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D0A06" w14:textId="432B34BE" w:rsidR="00E03FCF" w:rsidRPr="000B09B4" w:rsidRDefault="00E03FCF" w:rsidP="00997A49">
      <w:pPr>
        <w:spacing w:before="100" w:beforeAutospacing="1" w:after="100" w:afterAutospacing="1" w:line="360" w:lineRule="auto"/>
        <w:rPr>
          <w:rFonts w:ascii="Times New Roman" w:eastAsia="Times New Roman" w:hAnsi="Times New Roman" w:cs="Times New Roman"/>
          <w:color w:val="000000"/>
          <w:sz w:val="24"/>
          <w:szCs w:val="24"/>
          <w:u w:val="single"/>
          <w:lang w:eastAsia="en-GB"/>
        </w:rPr>
      </w:pPr>
      <w:r w:rsidRPr="000B09B4">
        <w:rPr>
          <w:rFonts w:ascii="Times New Roman" w:eastAsia="Times New Roman" w:hAnsi="Times New Roman" w:cs="Times New Roman"/>
          <w:color w:val="000000"/>
          <w:sz w:val="24"/>
          <w:szCs w:val="24"/>
          <w:u w:val="single"/>
          <w:lang w:eastAsia="en-GB"/>
        </w:rPr>
        <w:t xml:space="preserve">Diana Evans </w:t>
      </w:r>
    </w:p>
    <w:p w14:paraId="6B933044" w14:textId="37FA3F83" w:rsidR="00E03FCF" w:rsidRPr="000B09B4" w:rsidRDefault="00E03FCF" w:rsidP="00997A49">
      <w:pPr>
        <w:spacing w:before="100" w:beforeAutospacing="1" w:after="100" w:afterAutospacing="1" w:line="360" w:lineRule="auto"/>
        <w:rPr>
          <w:rFonts w:ascii="Times New Roman" w:eastAsia="Times New Roman" w:hAnsi="Times New Roman" w:cs="Times New Roman"/>
          <w:color w:val="000000"/>
          <w:sz w:val="24"/>
          <w:szCs w:val="24"/>
          <w:u w:val="single"/>
          <w:lang w:eastAsia="en-GB"/>
        </w:rPr>
      </w:pPr>
      <w:r w:rsidRPr="000B09B4">
        <w:rPr>
          <w:rFonts w:ascii="Times New Roman" w:eastAsia="Times New Roman" w:hAnsi="Times New Roman" w:cs="Times New Roman"/>
          <w:color w:val="000000"/>
          <w:sz w:val="24"/>
          <w:szCs w:val="24"/>
          <w:u w:val="single"/>
          <w:lang w:eastAsia="en-GB"/>
        </w:rPr>
        <w:t>1706137</w:t>
      </w:r>
    </w:p>
    <w:p w14:paraId="16636699" w14:textId="1B72099A" w:rsidR="00E03FCF" w:rsidRPr="000B09B4" w:rsidRDefault="000B09B4" w:rsidP="00997A49">
      <w:pPr>
        <w:spacing w:before="100" w:beforeAutospacing="1" w:after="100" w:afterAutospacing="1" w:line="360" w:lineRule="auto"/>
        <w:rPr>
          <w:rFonts w:ascii="Times New Roman" w:eastAsia="Times New Roman" w:hAnsi="Times New Roman" w:cs="Times New Roman"/>
          <w:color w:val="000000"/>
          <w:sz w:val="24"/>
          <w:szCs w:val="24"/>
          <w:u w:val="single"/>
          <w:lang w:eastAsia="en-GB"/>
        </w:rPr>
      </w:pPr>
      <w:r w:rsidRPr="000B09B4">
        <w:rPr>
          <w:rFonts w:ascii="Times New Roman" w:eastAsia="Times New Roman" w:hAnsi="Times New Roman" w:cs="Times New Roman"/>
          <w:color w:val="000000"/>
          <w:sz w:val="24"/>
          <w:szCs w:val="24"/>
          <w:u w:val="single"/>
          <w:lang w:eastAsia="en-GB"/>
        </w:rPr>
        <w:t>Regulations within Complementary Therapies.</w:t>
      </w:r>
    </w:p>
    <w:p w14:paraId="0F6E19D2" w14:textId="61827FC8"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The aim of this paper is to present and evaluate the current day processes that are being applied to regulate the practice of Complementary and Alternative Medicines. While these practices are being employed universally, the focus of this work will centre on the United Kingdom. A summary of the research findings will be given, followed by recommendations for improvements for future practice. </w:t>
      </w:r>
    </w:p>
    <w:p w14:paraId="0DE14DBB"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Complementary and Alternative Medicine (CAM) has been afforded many definitions; in point of fact, its definition continues to spark much discussion and debate as CAM progressively comes to the attention of both the public and the academic world (Tabish, 2008). According to the World Health Organisation (WHO) (2000), CAM practices refer to a broad and diverse collection of practices within healthcare that are not conventionally used within, nor thought of as belonging to, the prevailing healthcare service but which typically are used in conjunction with (complementary) or a substitute for (alternative) conventional medical care (World Health Organisation, (WHO), 2000). Ernst et al (2006, p.126) define CAM as the: </w:t>
      </w:r>
    </w:p>
    <w:p w14:paraId="176FBA81"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‘diagnosis, treatment and/or prevention which complements mainstream medicine by contributing to a common whole, satisfying a demand not met by orthodoxy, or diversifying the conceptual framework of medicine’ </w:t>
      </w:r>
    </w:p>
    <w:p w14:paraId="3452A9DA"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While Wieland et al (2011) are in accord with the </w:t>
      </w:r>
      <w:proofErr w:type="gramStart"/>
      <w:r w:rsidRPr="0098719E">
        <w:rPr>
          <w:rFonts w:ascii="Times New Roman" w:eastAsia="Times New Roman" w:hAnsi="Times New Roman" w:cs="Times New Roman"/>
          <w:color w:val="000000"/>
          <w:sz w:val="24"/>
          <w:szCs w:val="24"/>
          <w:lang w:eastAsia="en-GB"/>
        </w:rPr>
        <w:t>aforementioned definition</w:t>
      </w:r>
      <w:proofErr w:type="gramEnd"/>
      <w:r w:rsidRPr="0098719E">
        <w:rPr>
          <w:rFonts w:ascii="Times New Roman" w:eastAsia="Times New Roman" w:hAnsi="Times New Roman" w:cs="Times New Roman"/>
          <w:color w:val="000000"/>
          <w:sz w:val="24"/>
          <w:szCs w:val="24"/>
          <w:lang w:eastAsia="en-GB"/>
        </w:rPr>
        <w:t xml:space="preserve">, they further highlight CAM’s holistic nature and consider its practices as not merely treatments used to heal body and mind, but as healing therapies also. As explained by WHO (2002), integrative health care is seen as incorporating both traditional and accepted medicine along with complementary and alternative medicines; it is, according to Hilbers and Lewis (2010), commonplace in the UK, USA and Canada and Australia. </w:t>
      </w:r>
    </w:p>
    <w:p w14:paraId="624AD281"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The more CAM healing treatments and practices are shown to be safe and effective, the more they are becoming accepted; so too is the list of CAM practices and treatments continuing to grow. Tabish (2008, p.5) groups CAM practices into five discrete domains, as follows: </w:t>
      </w:r>
    </w:p>
    <w:p w14:paraId="6B7A958C"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lastRenderedPageBreak/>
        <w:t xml:space="preserve">“alternative medical systems such as homeopathy and traditional Chinese medicine, mind-body interventions such as meditation and yoga, biologically-based treatments such as herbal remedies, dietary supplements and amino-acid therapy, manipulative and body-based methods such as osteopathy and therapeutic massage and energy therapies such as hyperbaric oxygen therapy”. </w:t>
      </w:r>
    </w:p>
    <w:p w14:paraId="58C81145"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proofErr w:type="spellStart"/>
      <w:r w:rsidRPr="0098719E">
        <w:rPr>
          <w:rFonts w:ascii="Times New Roman" w:eastAsia="Times New Roman" w:hAnsi="Times New Roman" w:cs="Times New Roman"/>
          <w:color w:val="000000"/>
          <w:sz w:val="24"/>
          <w:szCs w:val="24"/>
          <w:lang w:eastAsia="en-GB"/>
        </w:rPr>
        <w:t>MacArtney</w:t>
      </w:r>
      <w:proofErr w:type="spellEnd"/>
      <w:r w:rsidRPr="0098719E">
        <w:rPr>
          <w:rFonts w:ascii="Times New Roman" w:eastAsia="Times New Roman" w:hAnsi="Times New Roman" w:cs="Times New Roman"/>
          <w:color w:val="000000"/>
          <w:sz w:val="24"/>
          <w:szCs w:val="24"/>
          <w:lang w:eastAsia="en-GB"/>
        </w:rPr>
        <w:t xml:space="preserve"> and Wahlberg (2014) report that recent years have witnessed a considerable increase in CAM’s popularity and usage; however, estimates of the usage of CAMs are complex on account of their diversity. Data from the National Health Interview Survey documented that between 2006 and 2007 approximately 40% of adults in the USA had used some form of CAM and almost 12% of children (Barnes et al, 2008). In 2016, the National Centre for Complementary and Integrated Health (NCCIH), reported similar figures for adult usage of CAMs, which had increased to almost 50% in 2018 (Wang et al, 2018), in comparison to an earlier study undertaken by Harris and Rees in 2000 who reported that CAM usage among the population in the USA equated to only 20%. Wang et </w:t>
      </w:r>
      <w:proofErr w:type="spellStart"/>
      <w:r w:rsidRPr="0098719E">
        <w:rPr>
          <w:rFonts w:ascii="Times New Roman" w:eastAsia="Times New Roman" w:hAnsi="Times New Roman" w:cs="Times New Roman"/>
          <w:color w:val="000000"/>
          <w:sz w:val="24"/>
          <w:szCs w:val="24"/>
          <w:lang w:eastAsia="en-GB"/>
        </w:rPr>
        <w:t>al’s</w:t>
      </w:r>
      <w:proofErr w:type="spellEnd"/>
      <w:r w:rsidRPr="0098719E">
        <w:rPr>
          <w:rFonts w:ascii="Times New Roman" w:eastAsia="Times New Roman" w:hAnsi="Times New Roman" w:cs="Times New Roman"/>
          <w:color w:val="000000"/>
          <w:sz w:val="24"/>
          <w:szCs w:val="24"/>
          <w:lang w:eastAsia="en-GB"/>
        </w:rPr>
        <w:t xml:space="preserve"> (2018) study into CAM use among children with mental health problems found that many parents had opted for more natural and holistic treatments for their children in the hope that these CAM therapies would minimise the likelihood of adverse side effects commonly found with pharmaceutical medications. Given the </w:t>
      </w:r>
      <w:proofErr w:type="gramStart"/>
      <w:r w:rsidRPr="0098719E">
        <w:rPr>
          <w:rFonts w:ascii="Times New Roman" w:eastAsia="Times New Roman" w:hAnsi="Times New Roman" w:cs="Times New Roman"/>
          <w:color w:val="000000"/>
          <w:sz w:val="24"/>
          <w:szCs w:val="24"/>
          <w:lang w:eastAsia="en-GB"/>
        </w:rPr>
        <w:t>ever increasing</w:t>
      </w:r>
      <w:proofErr w:type="gramEnd"/>
      <w:r w:rsidRPr="0098719E">
        <w:rPr>
          <w:rFonts w:ascii="Times New Roman" w:eastAsia="Times New Roman" w:hAnsi="Times New Roman" w:cs="Times New Roman"/>
          <w:color w:val="000000"/>
          <w:sz w:val="24"/>
          <w:szCs w:val="24"/>
          <w:lang w:eastAsia="en-GB"/>
        </w:rPr>
        <w:t xml:space="preserve"> popularity of, and the continuing demand for CAMs worldwide, CAMs will indubitably affect the delivery of health care for the foreseeable future (Frenkel and </w:t>
      </w:r>
      <w:proofErr w:type="spellStart"/>
      <w:r w:rsidRPr="0098719E">
        <w:rPr>
          <w:rFonts w:ascii="Times New Roman" w:eastAsia="Times New Roman" w:hAnsi="Times New Roman" w:cs="Times New Roman"/>
          <w:color w:val="000000"/>
          <w:sz w:val="24"/>
          <w:szCs w:val="24"/>
          <w:lang w:eastAsia="en-GB"/>
        </w:rPr>
        <w:t>Borkham</w:t>
      </w:r>
      <w:proofErr w:type="spellEnd"/>
      <w:r w:rsidRPr="0098719E">
        <w:rPr>
          <w:rFonts w:ascii="Times New Roman" w:eastAsia="Times New Roman" w:hAnsi="Times New Roman" w:cs="Times New Roman"/>
          <w:color w:val="000000"/>
          <w:sz w:val="24"/>
          <w:szCs w:val="24"/>
          <w:lang w:eastAsia="en-GB"/>
        </w:rPr>
        <w:t xml:space="preserve">, 2003). </w:t>
      </w:r>
    </w:p>
    <w:p w14:paraId="0E4B7630"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However, of </w:t>
      </w:r>
      <w:proofErr w:type="gramStart"/>
      <w:r w:rsidRPr="0098719E">
        <w:rPr>
          <w:rFonts w:ascii="Times New Roman" w:eastAsia="Times New Roman" w:hAnsi="Times New Roman" w:cs="Times New Roman"/>
          <w:color w:val="000000"/>
          <w:sz w:val="24"/>
          <w:szCs w:val="24"/>
          <w:lang w:eastAsia="en-GB"/>
        </w:rPr>
        <w:t>particular note</w:t>
      </w:r>
      <w:proofErr w:type="gramEnd"/>
      <w:r w:rsidRPr="0098719E">
        <w:rPr>
          <w:rFonts w:ascii="Times New Roman" w:eastAsia="Times New Roman" w:hAnsi="Times New Roman" w:cs="Times New Roman"/>
          <w:color w:val="000000"/>
          <w:sz w:val="24"/>
          <w:szCs w:val="24"/>
          <w:lang w:eastAsia="en-GB"/>
        </w:rPr>
        <w:t xml:space="preserve"> is that the usage of CAMs, in the main, is unregulated and unmonitored, a fact that Wardle (2016) states, holds true for most countries. White et al (2014) highlight that in many countries, the delivery of CAM practices takes place outside of mainstream healthcare services and by individuals who themselves are not regulated. The General Regulatory Council for Complementary Therapies (GRCCT) (2019) points out that in the UK, the registration and regulation of CAM practitioners continues to be done through voluntary self-regulation; that is, it is the practitioner who is regulated and not the therapy per se. This means that the public is not protected from practitioners who are unqualified or incompetent. That said, over the last decade and in accord with governmental recommendations, the different professional bodies for each of the therapy groups have been working together relentlessly to approve guidelines and mandatory criteria for each therapy (GRCCT, 2019). </w:t>
      </w:r>
    </w:p>
    <w:p w14:paraId="0001B50E"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lastRenderedPageBreak/>
        <w:t xml:space="preserve">What this means for CAM is that the reporting mechanisms and safety processes that are in built within regulatory and legislative frameworks may be unmonitored. Even in instances where there is regulation of CAM practices and products rarely are there </w:t>
      </w:r>
      <w:proofErr w:type="gramStart"/>
      <w:r w:rsidRPr="0098719E">
        <w:rPr>
          <w:rFonts w:ascii="Times New Roman" w:eastAsia="Times New Roman" w:hAnsi="Times New Roman" w:cs="Times New Roman"/>
          <w:color w:val="000000"/>
          <w:sz w:val="24"/>
          <w:szCs w:val="24"/>
          <w:lang w:eastAsia="en-GB"/>
        </w:rPr>
        <w:t>sufficient</w:t>
      </w:r>
      <w:proofErr w:type="gramEnd"/>
      <w:r w:rsidRPr="0098719E">
        <w:rPr>
          <w:rFonts w:ascii="Times New Roman" w:eastAsia="Times New Roman" w:hAnsi="Times New Roman" w:cs="Times New Roman"/>
          <w:color w:val="000000"/>
          <w:sz w:val="24"/>
          <w:szCs w:val="24"/>
          <w:lang w:eastAsia="en-GB"/>
        </w:rPr>
        <w:t xml:space="preserve"> reporting and assessing procedures in situ to be able to act on any adverse outcomes. As was highlighted by Robinson et al. (2011), the legislative, regulatory and scientific basis to deal with public health matters associated with CAM usage, is often inadequate or absent altogether. Indeed, Robinson et al (2011, p.77) go as far as to say that CAM acts as, what they refer to as “an informal black market”, being used by almost everyone but seldom in conventional health care settings. The very fact of it being a black market, Wardle (2016) argues, is attractive to people who decide to practice with very few or even </w:t>
      </w:r>
    </w:p>
    <w:p w14:paraId="5C8B949B"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no qualifications or training, unavoidably leading to unconventional practices. Further, WHO (2009) state that even when people use CAM, they rarely confess that they do so to practitioners in mainstream healthcare systems. As a consequence, the influence of CAM is under recognised and </w:t>
      </w:r>
      <w:proofErr w:type="gramStart"/>
      <w:r w:rsidRPr="0098719E">
        <w:rPr>
          <w:rFonts w:ascii="Times New Roman" w:eastAsia="Times New Roman" w:hAnsi="Times New Roman" w:cs="Times New Roman"/>
          <w:color w:val="000000"/>
          <w:sz w:val="24"/>
          <w:szCs w:val="24"/>
          <w:lang w:eastAsia="en-GB"/>
        </w:rPr>
        <w:t>under estimated</w:t>
      </w:r>
      <w:proofErr w:type="gramEnd"/>
      <w:r w:rsidRPr="0098719E">
        <w:rPr>
          <w:rFonts w:ascii="Times New Roman" w:eastAsia="Times New Roman" w:hAnsi="Times New Roman" w:cs="Times New Roman"/>
          <w:color w:val="000000"/>
          <w:sz w:val="24"/>
          <w:szCs w:val="24"/>
          <w:lang w:eastAsia="en-GB"/>
        </w:rPr>
        <w:t xml:space="preserve"> which leaves CAM patients vulnerable and with minimal knowledge of indications of malpractice, contra-indications and potential complications following treatment. </w:t>
      </w:r>
    </w:p>
    <w:p w14:paraId="71D0D2D4"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Valli and </w:t>
      </w:r>
      <w:proofErr w:type="spellStart"/>
      <w:r w:rsidRPr="0098719E">
        <w:rPr>
          <w:rFonts w:ascii="Times New Roman" w:eastAsia="Times New Roman" w:hAnsi="Times New Roman" w:cs="Times New Roman"/>
          <w:color w:val="000000"/>
          <w:sz w:val="24"/>
          <w:szCs w:val="24"/>
          <w:lang w:eastAsia="en-GB"/>
        </w:rPr>
        <w:t>Giardina</w:t>
      </w:r>
      <w:proofErr w:type="spellEnd"/>
      <w:r w:rsidRPr="0098719E">
        <w:rPr>
          <w:rFonts w:ascii="Times New Roman" w:eastAsia="Times New Roman" w:hAnsi="Times New Roman" w:cs="Times New Roman"/>
          <w:color w:val="000000"/>
          <w:sz w:val="24"/>
          <w:szCs w:val="24"/>
          <w:lang w:eastAsia="en-GB"/>
        </w:rPr>
        <w:t xml:space="preserve"> (2002) and Mills (2001) both assert that there is a necessity for more effective communication and collaboration between CAM and mainstream health care practitioners, since it is evident that many patients are seeking alternative treatments therapies without their doctors’ knowledge. Furthermore, as is pointed out by Valli et al. (2002), mainstream health care practitioners are often not well informed about CAM products and therapies, further contributing to an overlapping of health care provision and to less of a likelihood of interactions with drugs being identified and reported (White et al., 2014). Notwithstanding, despite the fact that there are some registers in place, such as the UK Yellow Card System, which list adverse reactions to drugs, very few people, patients or practitioners, know of their existence (Garcia &amp;</w:t>
      </w:r>
      <w:proofErr w:type="spellStart"/>
      <w:r w:rsidRPr="0098719E">
        <w:rPr>
          <w:rFonts w:ascii="Times New Roman" w:eastAsia="Times New Roman" w:hAnsi="Times New Roman" w:cs="Times New Roman"/>
          <w:color w:val="000000"/>
          <w:sz w:val="24"/>
          <w:szCs w:val="24"/>
          <w:lang w:eastAsia="en-GB"/>
        </w:rPr>
        <w:t>Figueras</w:t>
      </w:r>
      <w:proofErr w:type="spellEnd"/>
      <w:r w:rsidRPr="0098719E">
        <w:rPr>
          <w:rFonts w:ascii="Times New Roman" w:eastAsia="Times New Roman" w:hAnsi="Times New Roman" w:cs="Times New Roman"/>
          <w:color w:val="000000"/>
          <w:sz w:val="24"/>
          <w:szCs w:val="24"/>
          <w:lang w:eastAsia="en-GB"/>
        </w:rPr>
        <w:t xml:space="preserve">, 2011). This in turn causes further challenges for CAM (White et al., 2014). </w:t>
      </w:r>
    </w:p>
    <w:p w14:paraId="7334F285"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Dixon’s (2008) report, prepared for the WHO, included recommendations for governments to usher in legislation and to regulate the complementary therapy practice </w:t>
      </w:r>
      <w:proofErr w:type="gramStart"/>
      <w:r w:rsidRPr="0098719E">
        <w:rPr>
          <w:rFonts w:ascii="Times New Roman" w:eastAsia="Times New Roman" w:hAnsi="Times New Roman" w:cs="Times New Roman"/>
          <w:color w:val="000000"/>
          <w:sz w:val="24"/>
          <w:szCs w:val="24"/>
          <w:lang w:eastAsia="en-GB"/>
        </w:rPr>
        <w:t>so as to</w:t>
      </w:r>
      <w:proofErr w:type="gramEnd"/>
      <w:r w:rsidRPr="0098719E">
        <w:rPr>
          <w:rFonts w:ascii="Times New Roman" w:eastAsia="Times New Roman" w:hAnsi="Times New Roman" w:cs="Times New Roman"/>
          <w:color w:val="000000"/>
          <w:sz w:val="24"/>
          <w:szCs w:val="24"/>
          <w:lang w:eastAsia="en-GB"/>
        </w:rPr>
        <w:t xml:space="preserve"> ensure patient safety. This recommendation was made, according to Dixon (2008), on account of the discovery of the large number of therapists who were practising without any formal qualifications or adequate training. Some practitioners, according to Abbott (2005), were </w:t>
      </w:r>
      <w:r w:rsidRPr="0098719E">
        <w:rPr>
          <w:rFonts w:ascii="Times New Roman" w:eastAsia="Times New Roman" w:hAnsi="Times New Roman" w:cs="Times New Roman"/>
          <w:color w:val="000000"/>
          <w:sz w:val="24"/>
          <w:szCs w:val="24"/>
          <w:lang w:eastAsia="en-GB"/>
        </w:rPr>
        <w:lastRenderedPageBreak/>
        <w:t xml:space="preserve">shown to be ‘not doing enough for their patients’ and were not considering the potential adverse reactions that could ensue. Arguably, </w:t>
      </w:r>
      <w:proofErr w:type="gramStart"/>
      <w:r w:rsidRPr="0098719E">
        <w:rPr>
          <w:rFonts w:ascii="Times New Roman" w:eastAsia="Times New Roman" w:hAnsi="Times New Roman" w:cs="Times New Roman"/>
          <w:color w:val="000000"/>
          <w:sz w:val="24"/>
          <w:szCs w:val="24"/>
          <w:lang w:eastAsia="en-GB"/>
        </w:rPr>
        <w:t>in spite of</w:t>
      </w:r>
      <w:proofErr w:type="gramEnd"/>
      <w:r w:rsidRPr="0098719E">
        <w:rPr>
          <w:rFonts w:ascii="Times New Roman" w:eastAsia="Times New Roman" w:hAnsi="Times New Roman" w:cs="Times New Roman"/>
          <w:color w:val="000000"/>
          <w:sz w:val="24"/>
          <w:szCs w:val="24"/>
          <w:lang w:eastAsia="en-GB"/>
        </w:rPr>
        <w:t xml:space="preserve"> the recommendations, the lack of a significant shift in legislation could be attributed to the fact that most CAM practices continues to be voluntary self-regulation. </w:t>
      </w:r>
    </w:p>
    <w:p w14:paraId="5148BA8C"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The introduction of the Health Act, announced by the UK Government in 1999, put a stop to being able to practice complementary therapies freely, without regulation. This led to the publication of a comprehensive report by the Science and Technology Committee of the House of Lords which addressed concerns in relation to education, training and regulatory practices in the sector (The Federation of Nutritional Therapy Practitioners, 2019). </w:t>
      </w:r>
    </w:p>
    <w:p w14:paraId="6E296BCB"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The regulation of CAM is far from straightforward. In spite of the UK government’s acknowledgement for the increasing need for the industry to be regulated, it has not proven possible, because of the diverse range of CAM therapies which is ever growing, to ensure that every therapy is regulated under one legislative act (Walker and Budd, 2002), </w:t>
      </w:r>
    </w:p>
    <w:p w14:paraId="461929E8"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Across the world, attitudinal differences towards CAM and legislation (or lack of) which surrounds CAM practices, are evident. The World Health Organisation (2001) points out that in South Africa, for example, CAM practitioners adhere solely to one act of legislation which covers all CAM therapies collectively. In the UK, the regulation of CAM practices is not entirely non-existent. Chiropractors and Osteopaths, the first disciplines to be regulated, chose the statutory self-regulation route, and each has its discipline safeguarded by acts of parliament which protect their titles; moreover, both are governed by registered bodies (Walker and Budd, 2002). As regards Chiropractors, their appointed governing body in the UK is the General Chiropractic Council (GCC) whose responsibility it is to: keep a register of all qualified chiropractors in the UK, establish mandatory criteria for qualifications and training requirements, set standards for professional conduct and practice, look into any complaints and remove the name of any practitioner from the register if it is found they have engaged in malpractice (General Chiropractic Council, 2013). </w:t>
      </w:r>
    </w:p>
    <w:p w14:paraId="4E697722"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Mills (1996) proposes that, as a minimum, all CAM practitioners should demonstrate that they are aware of all possible side effects and contraindications and be able to refer their patients for medical treatment should this be required. Dixon (2008) is in concordance, pointing out that many practitioners are multi therapeutic practitioners and that though a practitioner may be both registered and regulated in a particular therapy, it does not </w:t>
      </w:r>
      <w:r w:rsidRPr="0098719E">
        <w:rPr>
          <w:rFonts w:ascii="Times New Roman" w:eastAsia="Times New Roman" w:hAnsi="Times New Roman" w:cs="Times New Roman"/>
          <w:color w:val="000000"/>
          <w:sz w:val="24"/>
          <w:szCs w:val="24"/>
          <w:lang w:eastAsia="en-GB"/>
        </w:rPr>
        <w:lastRenderedPageBreak/>
        <w:t xml:space="preserve">necessarily follow that the practitioner is regulated and registered for every therapy areas that he/she is practising. </w:t>
      </w:r>
    </w:p>
    <w:p w14:paraId="3F0C22A0" w14:textId="77777777"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Without doubt, and as emphasised by Metcalfe et al (2010) and Saydah and Eberhardt (2004), regulation is much needed in the fields where the usage of CAMs is widespread: for example, in the populace which has elevated chronic disease levels, where patients reportedly turn to CAMs over conventional medicines, based wholly on their affordability. Seeff et al (2001), however, sound a note of caution, stating that this, in actual fact, is a serious cause for concern, since it is likely that this sample of the population with chronic diseases is taking several different medications, and as a consequence the risk of interactions between these medications and CAMs, is increased. </w:t>
      </w:r>
      <w:proofErr w:type="gramStart"/>
      <w:r w:rsidRPr="0098719E">
        <w:rPr>
          <w:rFonts w:ascii="Times New Roman" w:eastAsia="Times New Roman" w:hAnsi="Times New Roman" w:cs="Times New Roman"/>
          <w:color w:val="000000"/>
          <w:sz w:val="24"/>
          <w:szCs w:val="24"/>
          <w:lang w:eastAsia="en-GB"/>
        </w:rPr>
        <w:t>The aforementioned, further</w:t>
      </w:r>
      <w:proofErr w:type="gramEnd"/>
      <w:r w:rsidRPr="0098719E">
        <w:rPr>
          <w:rFonts w:ascii="Times New Roman" w:eastAsia="Times New Roman" w:hAnsi="Times New Roman" w:cs="Times New Roman"/>
          <w:color w:val="000000"/>
          <w:sz w:val="24"/>
          <w:szCs w:val="24"/>
          <w:lang w:eastAsia="en-GB"/>
        </w:rPr>
        <w:t xml:space="preserve"> accentuates the necessity for more rigorous legalisations to safeguard patients. </w:t>
      </w:r>
    </w:p>
    <w:p w14:paraId="4387E2C3" w14:textId="2C450845"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In the World Health Organisation’s (2002) publication: a ‘Strategy for Traditional Medicine’, several objectives were noted, one of which was a recommendation that governments introduce national guidelines which would encompass the regulation of CAM practices, education and training requirements and licensing of CAMs to assure patient wellbeing and their protection ill trained practitioners. Recently, many countries have pursued this recommendation with the aim of formalising and professionalising CAMs within health care systems. The publishing of the </w:t>
      </w:r>
      <w:proofErr w:type="gramStart"/>
      <w:r w:rsidRPr="0098719E">
        <w:rPr>
          <w:rFonts w:ascii="Times New Roman" w:eastAsia="Times New Roman" w:hAnsi="Times New Roman" w:cs="Times New Roman"/>
          <w:color w:val="000000"/>
          <w:sz w:val="24"/>
          <w:szCs w:val="24"/>
          <w:lang w:eastAsia="en-GB"/>
        </w:rPr>
        <w:t>aforementioned recommendation</w:t>
      </w:r>
      <w:proofErr w:type="gramEnd"/>
      <w:r w:rsidRPr="0098719E">
        <w:rPr>
          <w:rFonts w:ascii="Times New Roman" w:eastAsia="Times New Roman" w:hAnsi="Times New Roman" w:cs="Times New Roman"/>
          <w:color w:val="000000"/>
          <w:sz w:val="24"/>
          <w:szCs w:val="24"/>
          <w:lang w:eastAsia="en-GB"/>
        </w:rPr>
        <w:t xml:space="preserve"> resulted in the World health Organisation providing strategic direction for national governments to develop and expedite policies for CAMs (Dixon, 2008). </w:t>
      </w:r>
    </w:p>
    <w:p w14:paraId="4F1338F7" w14:textId="1669522F" w:rsidR="0098719E" w:rsidRPr="0098719E" w:rsidRDefault="0098719E" w:rsidP="00997A49">
      <w:pPr>
        <w:spacing w:before="100" w:beforeAutospacing="1" w:after="100" w:afterAutospacing="1" w:line="360" w:lineRule="auto"/>
        <w:rPr>
          <w:rFonts w:ascii="Times New Roman" w:eastAsia="Times New Roman" w:hAnsi="Times New Roman" w:cs="Times New Roman"/>
          <w:color w:val="000000"/>
          <w:sz w:val="24"/>
          <w:szCs w:val="24"/>
          <w:lang w:eastAsia="en-GB"/>
        </w:rPr>
      </w:pPr>
      <w:r w:rsidRPr="0098719E">
        <w:rPr>
          <w:rFonts w:ascii="Times New Roman" w:eastAsia="Times New Roman" w:hAnsi="Times New Roman" w:cs="Times New Roman"/>
          <w:color w:val="000000"/>
          <w:sz w:val="24"/>
          <w:szCs w:val="24"/>
          <w:lang w:eastAsia="en-GB"/>
        </w:rPr>
        <w:t xml:space="preserve">Within this paper, </w:t>
      </w:r>
      <w:proofErr w:type="gramStart"/>
      <w:r w:rsidRPr="0098719E">
        <w:rPr>
          <w:rFonts w:ascii="Times New Roman" w:eastAsia="Times New Roman" w:hAnsi="Times New Roman" w:cs="Times New Roman"/>
          <w:color w:val="000000"/>
          <w:sz w:val="24"/>
          <w:szCs w:val="24"/>
          <w:lang w:eastAsia="en-GB"/>
        </w:rPr>
        <w:t>it can be seen that within</w:t>
      </w:r>
      <w:proofErr w:type="gramEnd"/>
      <w:r w:rsidRPr="0098719E">
        <w:rPr>
          <w:rFonts w:ascii="Times New Roman" w:eastAsia="Times New Roman" w:hAnsi="Times New Roman" w:cs="Times New Roman"/>
          <w:color w:val="000000"/>
          <w:sz w:val="24"/>
          <w:szCs w:val="24"/>
          <w:lang w:eastAsia="en-GB"/>
        </w:rPr>
        <w:t xml:space="preserve"> many countries, </w:t>
      </w:r>
      <w:r w:rsidR="00E03FCF" w:rsidRPr="0098719E">
        <w:rPr>
          <w:rFonts w:ascii="Times New Roman" w:eastAsia="Times New Roman" w:hAnsi="Times New Roman" w:cs="Times New Roman"/>
          <w:color w:val="000000"/>
          <w:sz w:val="24"/>
          <w:szCs w:val="24"/>
          <w:lang w:eastAsia="en-GB"/>
        </w:rPr>
        <w:t>policymakers</w:t>
      </w:r>
      <w:r w:rsidRPr="0098719E">
        <w:rPr>
          <w:rFonts w:ascii="Times New Roman" w:eastAsia="Times New Roman" w:hAnsi="Times New Roman" w:cs="Times New Roman"/>
          <w:color w:val="000000"/>
          <w:sz w:val="24"/>
          <w:szCs w:val="24"/>
          <w:lang w:eastAsia="en-GB"/>
        </w:rPr>
        <w:t xml:space="preserve"> are putting measures in place to introduce legislation for the regulation of practitioners of CAM. </w:t>
      </w:r>
      <w:r w:rsidR="00E03FCF" w:rsidRPr="0098719E">
        <w:rPr>
          <w:rFonts w:ascii="Times New Roman" w:eastAsia="Times New Roman" w:hAnsi="Times New Roman" w:cs="Times New Roman"/>
          <w:color w:val="000000"/>
          <w:sz w:val="24"/>
          <w:szCs w:val="24"/>
          <w:lang w:eastAsia="en-GB"/>
        </w:rPr>
        <w:t>Much of</w:t>
      </w:r>
      <w:r w:rsidRPr="0098719E">
        <w:rPr>
          <w:rFonts w:ascii="Times New Roman" w:eastAsia="Times New Roman" w:hAnsi="Times New Roman" w:cs="Times New Roman"/>
          <w:color w:val="000000"/>
          <w:sz w:val="24"/>
          <w:szCs w:val="24"/>
          <w:lang w:eastAsia="en-GB"/>
        </w:rPr>
        <w:t xml:space="preserve"> the work to date has been involved with the establishing of statutory professional regulation processes. However, there is much variation between countries as regards the approaches. Arguably, it would be valuable for professionals to follow in the footsteps of Chiropractors and Osteopaths and to obtain statutory self-regulation; however, in order to achieve this, it would be necessary to appoint regulatory bodies for each profession. Following on from the opinion of the Department of Health that both Herbal Medicine and Acupuncture are at the stage at which could work towards obtaining statutory regulation, there is nothing to say that other professions could not be persuaded to follow in their example. </w:t>
      </w:r>
    </w:p>
    <w:p w14:paraId="20169095" w14:textId="46C2244E" w:rsidR="005F6F9D" w:rsidRPr="00997A49" w:rsidRDefault="00A62BB0" w:rsidP="00997A49">
      <w:pPr>
        <w:tabs>
          <w:tab w:val="left" w:pos="1721"/>
        </w:tabs>
        <w:spacing w:line="360" w:lineRule="auto"/>
        <w:rPr>
          <w:rFonts w:ascii="Times New Roman" w:hAnsi="Times New Roman" w:cs="Times New Roman"/>
          <w:sz w:val="24"/>
          <w:szCs w:val="24"/>
        </w:rPr>
      </w:pPr>
      <w:r w:rsidRPr="00997A49">
        <w:rPr>
          <w:rFonts w:ascii="Times New Roman" w:hAnsi="Times New Roman" w:cs="Times New Roman"/>
          <w:sz w:val="24"/>
          <w:szCs w:val="24"/>
        </w:rPr>
        <w:lastRenderedPageBreak/>
        <w:tab/>
      </w:r>
    </w:p>
    <w:sdt>
      <w:sdtPr>
        <w:rPr>
          <w:rFonts w:ascii="Times New Roman" w:eastAsiaTheme="minorHAnsi" w:hAnsi="Times New Roman" w:cs="Times New Roman"/>
          <w:color w:val="auto"/>
          <w:sz w:val="24"/>
          <w:szCs w:val="24"/>
          <w:lang w:val="en-GB"/>
        </w:rPr>
        <w:id w:val="-607978970"/>
        <w:docPartObj>
          <w:docPartGallery w:val="Bibliographies"/>
          <w:docPartUnique/>
        </w:docPartObj>
      </w:sdtPr>
      <w:sdtEndPr/>
      <w:sdtContent>
        <w:p w14:paraId="446446C4" w14:textId="2A37D8AB" w:rsidR="00B84E95" w:rsidRPr="00997A49" w:rsidRDefault="005F6F9D" w:rsidP="00997A49">
          <w:pPr>
            <w:pStyle w:val="Heading1"/>
            <w:spacing w:line="360" w:lineRule="auto"/>
            <w:rPr>
              <w:rFonts w:ascii="Times New Roman" w:hAnsi="Times New Roman" w:cs="Times New Roman"/>
              <w:sz w:val="24"/>
              <w:szCs w:val="24"/>
            </w:rPr>
          </w:pPr>
          <w:r w:rsidRPr="00997A49">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1F281464" w14:textId="77777777" w:rsidR="0025704A" w:rsidRPr="00997A49" w:rsidRDefault="005F6F9D"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sz w:val="24"/>
                  <w:szCs w:val="24"/>
                </w:rPr>
                <w:fldChar w:fldCharType="begin"/>
              </w:r>
              <w:r w:rsidRPr="00997A49">
                <w:rPr>
                  <w:rFonts w:ascii="Times New Roman" w:hAnsi="Times New Roman" w:cs="Times New Roman"/>
                  <w:sz w:val="24"/>
                  <w:szCs w:val="24"/>
                </w:rPr>
                <w:instrText xml:space="preserve"> BIBLIOGRAPHY </w:instrText>
              </w:r>
              <w:r w:rsidRPr="00997A49">
                <w:rPr>
                  <w:rFonts w:ascii="Times New Roman" w:hAnsi="Times New Roman" w:cs="Times New Roman"/>
                  <w:sz w:val="24"/>
                  <w:szCs w:val="24"/>
                </w:rPr>
                <w:fldChar w:fldCharType="separate"/>
              </w:r>
              <w:r w:rsidR="0025704A" w:rsidRPr="00997A49">
                <w:rPr>
                  <w:rFonts w:ascii="Times New Roman" w:hAnsi="Times New Roman" w:cs="Times New Roman"/>
                  <w:noProof/>
                  <w:sz w:val="24"/>
                  <w:szCs w:val="24"/>
                  <w:lang w:val="en-US"/>
                </w:rPr>
                <w:t xml:space="preserve">Abbott, A. (2005). Survey questions safety of alternative medicine. </w:t>
              </w:r>
              <w:r w:rsidR="0025704A" w:rsidRPr="00997A49">
                <w:rPr>
                  <w:rFonts w:ascii="Times New Roman" w:hAnsi="Times New Roman" w:cs="Times New Roman"/>
                  <w:i/>
                  <w:iCs/>
                  <w:noProof/>
                  <w:sz w:val="24"/>
                  <w:szCs w:val="24"/>
                  <w:lang w:val="en-US"/>
                </w:rPr>
                <w:t>Nature, 436</w:t>
              </w:r>
              <w:r w:rsidR="0025704A" w:rsidRPr="00997A49">
                <w:rPr>
                  <w:rFonts w:ascii="Times New Roman" w:hAnsi="Times New Roman" w:cs="Times New Roman"/>
                  <w:noProof/>
                  <w:sz w:val="24"/>
                  <w:szCs w:val="24"/>
                  <w:lang w:val="en-US"/>
                </w:rPr>
                <w:t>(18), 898.</w:t>
              </w:r>
            </w:p>
            <w:p w14:paraId="5FA2F4ED"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Barnes, P. M., Bloom, B., &amp; Nahin, R. L. (2008). Complementary and alternative medicine use among adults and children: United States, 2007. </w:t>
              </w:r>
              <w:r w:rsidRPr="00997A49">
                <w:rPr>
                  <w:rFonts w:ascii="Times New Roman" w:hAnsi="Times New Roman" w:cs="Times New Roman"/>
                  <w:i/>
                  <w:iCs/>
                  <w:noProof/>
                  <w:sz w:val="24"/>
                  <w:szCs w:val="24"/>
                  <w:lang w:val="en-US"/>
                </w:rPr>
                <w:t>National Health Statistics Report, 12</w:t>
              </w:r>
              <w:r w:rsidRPr="00997A49">
                <w:rPr>
                  <w:rFonts w:ascii="Times New Roman" w:hAnsi="Times New Roman" w:cs="Times New Roman"/>
                  <w:noProof/>
                  <w:sz w:val="24"/>
                  <w:szCs w:val="24"/>
                  <w:lang w:val="en-US"/>
                </w:rPr>
                <w:t>, 1-23.</w:t>
              </w:r>
            </w:p>
            <w:p w14:paraId="099B1592"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Dixon, A. (2008). </w:t>
              </w:r>
              <w:r w:rsidRPr="00997A49">
                <w:rPr>
                  <w:rFonts w:ascii="Times New Roman" w:hAnsi="Times New Roman" w:cs="Times New Roman"/>
                  <w:i/>
                  <w:iCs/>
                  <w:noProof/>
                  <w:sz w:val="24"/>
                  <w:szCs w:val="24"/>
                  <w:lang w:val="en-US"/>
                </w:rPr>
                <w:t>Regulating Complementary Medical Practitioners - An international review.</w:t>
              </w:r>
              <w:r w:rsidRPr="00997A49">
                <w:rPr>
                  <w:rFonts w:ascii="Times New Roman" w:hAnsi="Times New Roman" w:cs="Times New Roman"/>
                  <w:noProof/>
                  <w:sz w:val="24"/>
                  <w:szCs w:val="24"/>
                  <w:lang w:val="en-US"/>
                </w:rPr>
                <w:t xml:space="preserve"> London: Kings Fund .</w:t>
              </w:r>
            </w:p>
            <w:p w14:paraId="1D9743FA"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Frenkel, M. A., &amp; Borkan, J. M. (2003). An approach for integrating complementary– alternative medicine into primary care. </w:t>
              </w:r>
              <w:r w:rsidRPr="00997A49">
                <w:rPr>
                  <w:rFonts w:ascii="Times New Roman" w:hAnsi="Times New Roman" w:cs="Times New Roman"/>
                  <w:i/>
                  <w:iCs/>
                  <w:noProof/>
                  <w:sz w:val="24"/>
                  <w:szCs w:val="24"/>
                  <w:lang w:val="en-US"/>
                </w:rPr>
                <w:t>Family Practice, 20</w:t>
              </w:r>
              <w:r w:rsidRPr="00997A49">
                <w:rPr>
                  <w:rFonts w:ascii="Times New Roman" w:hAnsi="Times New Roman" w:cs="Times New Roman"/>
                  <w:noProof/>
                  <w:sz w:val="24"/>
                  <w:szCs w:val="24"/>
                  <w:lang w:val="en-US"/>
                </w:rPr>
                <w:t>(3), 324-332.</w:t>
              </w:r>
            </w:p>
            <w:p w14:paraId="4F17A1AA"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Garcia, P., &amp; Figueras, A. (2011). he lack of knowledge about the voluntary reporting system of adverse drug reactions as a major cause of underreporting: direct survey among health professionals. </w:t>
              </w:r>
              <w:r w:rsidRPr="00997A49">
                <w:rPr>
                  <w:rFonts w:ascii="Times New Roman" w:hAnsi="Times New Roman" w:cs="Times New Roman"/>
                  <w:i/>
                  <w:iCs/>
                  <w:noProof/>
                  <w:sz w:val="24"/>
                  <w:szCs w:val="24"/>
                  <w:lang w:val="en-US"/>
                </w:rPr>
                <w:t>Pharmacoepidemiol Drug Safety, 20</w:t>
              </w:r>
              <w:r w:rsidRPr="00997A49">
                <w:rPr>
                  <w:rFonts w:ascii="Times New Roman" w:hAnsi="Times New Roman" w:cs="Times New Roman"/>
                  <w:noProof/>
                  <w:sz w:val="24"/>
                  <w:szCs w:val="24"/>
                  <w:lang w:val="en-US"/>
                </w:rPr>
                <w:t>(12), 1295-1302.</w:t>
              </w:r>
            </w:p>
            <w:p w14:paraId="58A1DA69"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General Chiropractic Council. (2016). </w:t>
              </w:r>
              <w:r w:rsidRPr="00997A49">
                <w:rPr>
                  <w:rFonts w:ascii="Times New Roman" w:hAnsi="Times New Roman" w:cs="Times New Roman"/>
                  <w:i/>
                  <w:iCs/>
                  <w:noProof/>
                  <w:sz w:val="24"/>
                  <w:szCs w:val="24"/>
                  <w:lang w:val="en-US"/>
                </w:rPr>
                <w:t>The Code: Standards of conduct, performance and ethics for chiropractors .</w:t>
              </w:r>
              <w:r w:rsidRPr="00997A49">
                <w:rPr>
                  <w:rFonts w:ascii="Times New Roman" w:hAnsi="Times New Roman" w:cs="Times New Roman"/>
                  <w:noProof/>
                  <w:sz w:val="24"/>
                  <w:szCs w:val="24"/>
                  <w:lang w:val="en-US"/>
                </w:rPr>
                <w:t xml:space="preserve"> London: General Chiropractic Council.</w:t>
              </w:r>
            </w:p>
            <w:p w14:paraId="5444DE50"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GRCCT. (2019, Jan 01). </w:t>
              </w:r>
              <w:r w:rsidRPr="00997A49">
                <w:rPr>
                  <w:rFonts w:ascii="Times New Roman" w:hAnsi="Times New Roman" w:cs="Times New Roman"/>
                  <w:i/>
                  <w:iCs/>
                  <w:noProof/>
                  <w:sz w:val="24"/>
                  <w:szCs w:val="24"/>
                  <w:lang w:val="en-US"/>
                </w:rPr>
                <w:t>Welcome to the GRCCT - The UK Federal Regulator for Complementary Therapies</w:t>
              </w:r>
              <w:r w:rsidRPr="00997A49">
                <w:rPr>
                  <w:rFonts w:ascii="Times New Roman" w:hAnsi="Times New Roman" w:cs="Times New Roman"/>
                  <w:noProof/>
                  <w:sz w:val="24"/>
                  <w:szCs w:val="24"/>
                  <w:lang w:val="en-US"/>
                </w:rPr>
                <w:t>. Retrieved February 14, 2019, from The General Regulatory Council for Complementary Therapies: http://www.grcct.org/about-us/</w:t>
              </w:r>
            </w:p>
            <w:p w14:paraId="711179AD"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Harris, P., &amp; Rees, R. (200). The prevalence of complementary and alternative medicine use among the general population: A systemativ review of the literature. </w:t>
              </w:r>
              <w:r w:rsidRPr="00997A49">
                <w:rPr>
                  <w:rFonts w:ascii="Times New Roman" w:hAnsi="Times New Roman" w:cs="Times New Roman"/>
                  <w:i/>
                  <w:iCs/>
                  <w:noProof/>
                  <w:sz w:val="24"/>
                  <w:szCs w:val="24"/>
                  <w:lang w:val="en-US"/>
                </w:rPr>
                <w:t>Complementary Therapies in Medicine, 8</w:t>
              </w:r>
              <w:r w:rsidRPr="00997A49">
                <w:rPr>
                  <w:rFonts w:ascii="Times New Roman" w:hAnsi="Times New Roman" w:cs="Times New Roman"/>
                  <w:noProof/>
                  <w:sz w:val="24"/>
                  <w:szCs w:val="24"/>
                  <w:lang w:val="en-US"/>
                </w:rPr>
                <w:t>(2), 88-96.</w:t>
              </w:r>
            </w:p>
            <w:p w14:paraId="4675E127"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Hilbers, J., &amp; Lewis, C. (2013). Complementary health therapies: Moving towards an integrated health model. </w:t>
              </w:r>
              <w:r w:rsidRPr="00997A49">
                <w:rPr>
                  <w:rFonts w:ascii="Times New Roman" w:hAnsi="Times New Roman" w:cs="Times New Roman"/>
                  <w:i/>
                  <w:iCs/>
                  <w:noProof/>
                  <w:sz w:val="24"/>
                  <w:szCs w:val="24"/>
                  <w:lang w:val="en-US"/>
                </w:rPr>
                <w:t>Elsevier, 20</w:t>
              </w:r>
              <w:r w:rsidRPr="00997A49">
                <w:rPr>
                  <w:rFonts w:ascii="Times New Roman" w:hAnsi="Times New Roman" w:cs="Times New Roman"/>
                  <w:noProof/>
                  <w:sz w:val="24"/>
                  <w:szCs w:val="24"/>
                  <w:lang w:val="en-US"/>
                </w:rPr>
                <w:t>(1), 51-60.</w:t>
              </w:r>
            </w:p>
            <w:p w14:paraId="334B6006"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Lindquist, R., &amp; Snyder, M. (2010). </w:t>
              </w:r>
              <w:r w:rsidRPr="00997A49">
                <w:rPr>
                  <w:rFonts w:ascii="Times New Roman" w:hAnsi="Times New Roman" w:cs="Times New Roman"/>
                  <w:i/>
                  <w:iCs/>
                  <w:noProof/>
                  <w:sz w:val="24"/>
                  <w:szCs w:val="24"/>
                  <w:lang w:val="en-US"/>
                </w:rPr>
                <w:t>Complementary and Alternative Therapies in Nursing</w:t>
              </w:r>
              <w:r w:rsidRPr="00997A49">
                <w:rPr>
                  <w:rFonts w:ascii="Times New Roman" w:hAnsi="Times New Roman" w:cs="Times New Roman"/>
                  <w:noProof/>
                  <w:sz w:val="24"/>
                  <w:szCs w:val="24"/>
                  <w:lang w:val="en-US"/>
                </w:rPr>
                <w:t xml:space="preserve"> (8 ed.). New York: Springer.</w:t>
              </w:r>
            </w:p>
            <w:p w14:paraId="6DAF8B43"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MacArtney, J. I., &amp; Wahlberg, A. (2014). The problem of complementary and alternative medicine use today: Eyes half closed? </w:t>
              </w:r>
              <w:r w:rsidRPr="00997A49">
                <w:rPr>
                  <w:rFonts w:ascii="Times New Roman" w:hAnsi="Times New Roman" w:cs="Times New Roman"/>
                  <w:i/>
                  <w:iCs/>
                  <w:noProof/>
                  <w:sz w:val="24"/>
                  <w:szCs w:val="24"/>
                  <w:lang w:val="en-US"/>
                </w:rPr>
                <w:t>Qualitative Health Research, 1</w:t>
              </w:r>
              <w:r w:rsidRPr="00997A49">
                <w:rPr>
                  <w:rFonts w:ascii="Times New Roman" w:hAnsi="Times New Roman" w:cs="Times New Roman"/>
                  <w:noProof/>
                  <w:sz w:val="24"/>
                  <w:szCs w:val="24"/>
                  <w:lang w:val="en-US"/>
                </w:rPr>
                <w:t>, 114-123.</w:t>
              </w:r>
            </w:p>
            <w:p w14:paraId="027E7551"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lastRenderedPageBreak/>
                <w:t xml:space="preserve">Metcalfe, A., Williams, J., McChesney, J., Patten, S., &amp; Jette, N. (2010). Use of complementary and alternative medicine by those with a chronic disease and the general population - results of a national population based survey. </w:t>
              </w:r>
              <w:r w:rsidRPr="00997A49">
                <w:rPr>
                  <w:rFonts w:ascii="Times New Roman" w:hAnsi="Times New Roman" w:cs="Times New Roman"/>
                  <w:i/>
                  <w:iCs/>
                  <w:noProof/>
                  <w:sz w:val="24"/>
                  <w:szCs w:val="24"/>
                  <w:lang w:val="en-US"/>
                </w:rPr>
                <w:t>10</w:t>
              </w:r>
              <w:r w:rsidRPr="00997A49">
                <w:rPr>
                  <w:rFonts w:ascii="Times New Roman" w:hAnsi="Times New Roman" w:cs="Times New Roman"/>
                  <w:noProof/>
                  <w:sz w:val="24"/>
                  <w:szCs w:val="24"/>
                  <w:lang w:val="en-US"/>
                </w:rPr>
                <w:t>(1), 58.</w:t>
              </w:r>
            </w:p>
            <w:p w14:paraId="48674E29"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Mills, S. Y. (1996). Safety awareness in complementary medicine . </w:t>
              </w:r>
              <w:r w:rsidRPr="00997A49">
                <w:rPr>
                  <w:rFonts w:ascii="Times New Roman" w:hAnsi="Times New Roman" w:cs="Times New Roman"/>
                  <w:i/>
                  <w:iCs/>
                  <w:noProof/>
                  <w:sz w:val="24"/>
                  <w:szCs w:val="24"/>
                  <w:lang w:val="en-US"/>
                </w:rPr>
                <w:t>Complementary Therapies in Medicine, 4</w:t>
              </w:r>
              <w:r w:rsidRPr="00997A49">
                <w:rPr>
                  <w:rFonts w:ascii="Times New Roman" w:hAnsi="Times New Roman" w:cs="Times New Roman"/>
                  <w:noProof/>
                  <w:sz w:val="24"/>
                  <w:szCs w:val="24"/>
                  <w:lang w:val="en-US"/>
                </w:rPr>
                <w:t>(1), 48-51.</w:t>
              </w:r>
            </w:p>
            <w:p w14:paraId="3E2E5B68"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Mills, S. Y. (2001). Regulation in complementary and alternative medicine. </w:t>
              </w:r>
              <w:r w:rsidRPr="00997A49">
                <w:rPr>
                  <w:rFonts w:ascii="Times New Roman" w:hAnsi="Times New Roman" w:cs="Times New Roman"/>
                  <w:i/>
                  <w:iCs/>
                  <w:noProof/>
                  <w:sz w:val="24"/>
                  <w:szCs w:val="24"/>
                  <w:lang w:val="en-US"/>
                </w:rPr>
                <w:t>332</w:t>
              </w:r>
              <w:r w:rsidRPr="00997A49">
                <w:rPr>
                  <w:rFonts w:ascii="Times New Roman" w:hAnsi="Times New Roman" w:cs="Times New Roman"/>
                  <w:noProof/>
                  <w:sz w:val="24"/>
                  <w:szCs w:val="24"/>
                  <w:lang w:val="en-US"/>
                </w:rPr>
                <w:t>(7279), 158-160.</w:t>
              </w:r>
            </w:p>
            <w:p w14:paraId="13756D77"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Saydah, S. H., &amp; Eberhardt, M. S. (2004). Use of complementary and alternative medicine among adults with chronic diseases : United States, 2002. </w:t>
              </w:r>
              <w:r w:rsidRPr="00997A49">
                <w:rPr>
                  <w:rFonts w:ascii="Times New Roman" w:hAnsi="Times New Roman" w:cs="Times New Roman"/>
                  <w:i/>
                  <w:iCs/>
                  <w:noProof/>
                  <w:sz w:val="24"/>
                  <w:szCs w:val="24"/>
                  <w:lang w:val="en-US"/>
                </w:rPr>
                <w:t>Seminars in Integrative Medicine, 2</w:t>
              </w:r>
              <w:r w:rsidRPr="00997A49">
                <w:rPr>
                  <w:rFonts w:ascii="Times New Roman" w:hAnsi="Times New Roman" w:cs="Times New Roman"/>
                  <w:noProof/>
                  <w:sz w:val="24"/>
                  <w:szCs w:val="24"/>
                  <w:lang w:val="en-US"/>
                </w:rPr>
                <w:t>(2), 54-71.</w:t>
              </w:r>
            </w:p>
            <w:p w14:paraId="1AF5290D"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Seeff, L. B., Lindsay, K. L., Bacon, B. R., &amp; Kresina, T. F. (2001). Complementary and alternative medicine in chronic liver disease. </w:t>
              </w:r>
              <w:r w:rsidRPr="00997A49">
                <w:rPr>
                  <w:rFonts w:ascii="Times New Roman" w:hAnsi="Times New Roman" w:cs="Times New Roman"/>
                  <w:i/>
                  <w:iCs/>
                  <w:noProof/>
                  <w:sz w:val="24"/>
                  <w:szCs w:val="24"/>
                  <w:lang w:val="en-US"/>
                </w:rPr>
                <w:t>Special Article , 34</w:t>
              </w:r>
              <w:r w:rsidRPr="00997A49">
                <w:rPr>
                  <w:rFonts w:ascii="Times New Roman" w:hAnsi="Times New Roman" w:cs="Times New Roman"/>
                  <w:noProof/>
                  <w:sz w:val="24"/>
                  <w:szCs w:val="24"/>
                  <w:lang w:val="en-US"/>
                </w:rPr>
                <w:t>(3), 595-603.</w:t>
              </w:r>
            </w:p>
            <w:p w14:paraId="4A34A1C0"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Sibbritt, D., Millbank, J., Stuhmcke, A., Kaye, M., Karpin, I., &amp; Wardle, J. (2016). The failure of contemporary law and regulation to keep pace with growing complementary medicine (CM) use: The significance of examining ‘hidden’ gaps in Australia's current regulatory and legislative infrastructure. </w:t>
              </w:r>
              <w:r w:rsidRPr="00997A49">
                <w:rPr>
                  <w:rFonts w:ascii="Times New Roman" w:hAnsi="Times New Roman" w:cs="Times New Roman"/>
                  <w:i/>
                  <w:iCs/>
                  <w:noProof/>
                  <w:sz w:val="24"/>
                  <w:szCs w:val="24"/>
                  <w:lang w:val="en-US"/>
                </w:rPr>
                <w:t>Advances in Integrative Medicine, 3</w:t>
              </w:r>
              <w:r w:rsidRPr="00997A49">
                <w:rPr>
                  <w:rFonts w:ascii="Times New Roman" w:hAnsi="Times New Roman" w:cs="Times New Roman"/>
                  <w:noProof/>
                  <w:sz w:val="24"/>
                  <w:szCs w:val="24"/>
                  <w:lang w:val="en-US"/>
                </w:rPr>
                <w:t>(2), 43-44.</w:t>
              </w:r>
            </w:p>
            <w:p w14:paraId="602E2E45"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Tabisha , S. A. (2008). Complementary and Alternative Healthcare: Is it Evidenced-based? </w:t>
              </w:r>
              <w:r w:rsidRPr="00997A49">
                <w:rPr>
                  <w:rFonts w:ascii="Times New Roman" w:hAnsi="Times New Roman" w:cs="Times New Roman"/>
                  <w:i/>
                  <w:iCs/>
                  <w:noProof/>
                  <w:sz w:val="24"/>
                  <w:szCs w:val="24"/>
                  <w:lang w:val="en-US"/>
                </w:rPr>
                <w:t>International Journal of Health Sciences, 2</w:t>
              </w:r>
              <w:r w:rsidRPr="00997A49">
                <w:rPr>
                  <w:rFonts w:ascii="Times New Roman" w:hAnsi="Times New Roman" w:cs="Times New Roman"/>
                  <w:noProof/>
                  <w:sz w:val="24"/>
                  <w:szCs w:val="24"/>
                  <w:lang w:val="en-US"/>
                </w:rPr>
                <w:t>(1), 5-9.</w:t>
              </w:r>
            </w:p>
            <w:p w14:paraId="66B20001"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The Federation of Nutritional Therapy Practitioners. (2019, Jan 01). </w:t>
              </w:r>
              <w:r w:rsidRPr="00997A49">
                <w:rPr>
                  <w:rFonts w:ascii="Times New Roman" w:hAnsi="Times New Roman" w:cs="Times New Roman"/>
                  <w:i/>
                  <w:iCs/>
                  <w:noProof/>
                  <w:sz w:val="24"/>
                  <w:szCs w:val="24"/>
                  <w:lang w:val="en-US"/>
                </w:rPr>
                <w:t>History of the Regulation of Complementary and Alternative Medicine in the United Kingdom.</w:t>
              </w:r>
              <w:r w:rsidRPr="00997A49">
                <w:rPr>
                  <w:rFonts w:ascii="Times New Roman" w:hAnsi="Times New Roman" w:cs="Times New Roman"/>
                  <w:noProof/>
                  <w:sz w:val="24"/>
                  <w:szCs w:val="24"/>
                  <w:lang w:val="en-US"/>
                </w:rPr>
                <w:t xml:space="preserve"> Retrieved Jan 06, 2019, from http://www.fntp.org.uk/history-of-regulation/</w:t>
              </w:r>
            </w:p>
            <w:p w14:paraId="55B718A1"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Valli, G., &amp; Giardina, E. G. (2002). Benefits adverse effects and drug interactions of herbal therapies with cardiovascular effects. </w:t>
              </w:r>
              <w:r w:rsidRPr="00997A49">
                <w:rPr>
                  <w:rFonts w:ascii="Times New Roman" w:hAnsi="Times New Roman" w:cs="Times New Roman"/>
                  <w:i/>
                  <w:iCs/>
                  <w:noProof/>
                  <w:sz w:val="24"/>
                  <w:szCs w:val="24"/>
                  <w:lang w:val="en-US"/>
                </w:rPr>
                <w:t>Journal of the American College of Cardiology, 39</w:t>
              </w:r>
              <w:r w:rsidRPr="00997A49">
                <w:rPr>
                  <w:rFonts w:ascii="Times New Roman" w:hAnsi="Times New Roman" w:cs="Times New Roman"/>
                  <w:noProof/>
                  <w:sz w:val="24"/>
                  <w:szCs w:val="24"/>
                  <w:lang w:val="en-US"/>
                </w:rPr>
                <w:t>(7), 1083-1095.</w:t>
              </w:r>
            </w:p>
            <w:p w14:paraId="6C38B266"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Walker, L. A., &amp; Budd, S. (2002). UK: the current state of regulation of complementary and alternative medicine. </w:t>
              </w:r>
              <w:r w:rsidRPr="00997A49">
                <w:rPr>
                  <w:rFonts w:ascii="Times New Roman" w:hAnsi="Times New Roman" w:cs="Times New Roman"/>
                  <w:i/>
                  <w:iCs/>
                  <w:noProof/>
                  <w:sz w:val="24"/>
                  <w:szCs w:val="24"/>
                  <w:lang w:val="en-US"/>
                </w:rPr>
                <w:t>Complementary Therapies in Medicine, 10</w:t>
              </w:r>
              <w:r w:rsidRPr="00997A49">
                <w:rPr>
                  <w:rFonts w:ascii="Times New Roman" w:hAnsi="Times New Roman" w:cs="Times New Roman"/>
                  <w:noProof/>
                  <w:sz w:val="24"/>
                  <w:szCs w:val="24"/>
                  <w:lang w:val="en-US"/>
                </w:rPr>
                <w:t>(1), 8-13.</w:t>
              </w:r>
            </w:p>
            <w:p w14:paraId="5620F20F"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Wardle, J. (2014). Holding unregistered health practitioners to account: an analysis of current regulatory and legislative approaches. </w:t>
              </w:r>
              <w:r w:rsidRPr="00997A49">
                <w:rPr>
                  <w:rFonts w:ascii="Times New Roman" w:hAnsi="Times New Roman" w:cs="Times New Roman"/>
                  <w:i/>
                  <w:iCs/>
                  <w:noProof/>
                  <w:sz w:val="24"/>
                  <w:szCs w:val="24"/>
                  <w:lang w:val="en-US"/>
                </w:rPr>
                <w:t>J.Med Law, 22</w:t>
              </w:r>
              <w:r w:rsidRPr="00997A49">
                <w:rPr>
                  <w:rFonts w:ascii="Times New Roman" w:hAnsi="Times New Roman" w:cs="Times New Roman"/>
                  <w:noProof/>
                  <w:sz w:val="24"/>
                  <w:szCs w:val="24"/>
                  <w:lang w:val="en-US"/>
                </w:rPr>
                <w:t>(2), 350-375.</w:t>
              </w:r>
            </w:p>
            <w:p w14:paraId="48F2FECB"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lastRenderedPageBreak/>
                <w:t xml:space="preserve">Wieland, L. S., Manheimer, E., &amp; Berman, B. M. (2011). Development and Classification of an Operational Definition of Complementary and Alternative Medicine for the Cochrane Collaboration. </w:t>
              </w:r>
              <w:r w:rsidRPr="00997A49">
                <w:rPr>
                  <w:rFonts w:ascii="Times New Roman" w:hAnsi="Times New Roman" w:cs="Times New Roman"/>
                  <w:i/>
                  <w:iCs/>
                  <w:noProof/>
                  <w:sz w:val="24"/>
                  <w:szCs w:val="24"/>
                  <w:lang w:val="en-US"/>
                </w:rPr>
                <w:t>Alternative Therapies in Health and Medicine, 17</w:t>
              </w:r>
              <w:r w:rsidRPr="00997A49">
                <w:rPr>
                  <w:rFonts w:ascii="Times New Roman" w:hAnsi="Times New Roman" w:cs="Times New Roman"/>
                  <w:noProof/>
                  <w:sz w:val="24"/>
                  <w:szCs w:val="24"/>
                  <w:lang w:val="en-US"/>
                </w:rPr>
                <w:t>(2), 50-59.</w:t>
              </w:r>
            </w:p>
            <w:p w14:paraId="2D258751"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World Health Organisation. (2001). </w:t>
              </w:r>
              <w:r w:rsidRPr="00997A49">
                <w:rPr>
                  <w:rFonts w:ascii="Times New Roman" w:hAnsi="Times New Roman" w:cs="Times New Roman"/>
                  <w:i/>
                  <w:iCs/>
                  <w:noProof/>
                  <w:sz w:val="24"/>
                  <w:szCs w:val="24"/>
                  <w:lang w:val="en-US"/>
                </w:rPr>
                <w:t>Legal Status of Traditional Medicine and Complementary/Alternative Medicine: A Worldwide Review.</w:t>
              </w:r>
              <w:r w:rsidRPr="00997A49">
                <w:rPr>
                  <w:rFonts w:ascii="Times New Roman" w:hAnsi="Times New Roman" w:cs="Times New Roman"/>
                  <w:noProof/>
                  <w:sz w:val="24"/>
                  <w:szCs w:val="24"/>
                  <w:lang w:val="en-US"/>
                </w:rPr>
                <w:t xml:space="preserve"> Switzerland: World Health Organisation.</w:t>
              </w:r>
            </w:p>
            <w:p w14:paraId="13C4F28A"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World Health Organisation. (2002). </w:t>
              </w:r>
              <w:r w:rsidRPr="00997A49">
                <w:rPr>
                  <w:rFonts w:ascii="Times New Roman" w:hAnsi="Times New Roman" w:cs="Times New Roman"/>
                  <w:i/>
                  <w:iCs/>
                  <w:noProof/>
                  <w:sz w:val="24"/>
                  <w:szCs w:val="24"/>
                  <w:lang w:val="en-US"/>
                </w:rPr>
                <w:t>Traditional Medicine Stategy.</w:t>
              </w:r>
              <w:r w:rsidRPr="00997A49">
                <w:rPr>
                  <w:rFonts w:ascii="Times New Roman" w:hAnsi="Times New Roman" w:cs="Times New Roman"/>
                  <w:noProof/>
                  <w:sz w:val="24"/>
                  <w:szCs w:val="24"/>
                  <w:lang w:val="en-US"/>
                </w:rPr>
                <w:t xml:space="preserve"> Geneva: World Health Organisation.</w:t>
              </w:r>
            </w:p>
            <w:p w14:paraId="05994FE2" w14:textId="77777777" w:rsidR="0025704A" w:rsidRPr="00997A49" w:rsidRDefault="0025704A" w:rsidP="00997A49">
              <w:pPr>
                <w:pStyle w:val="Bibliography"/>
                <w:spacing w:line="360" w:lineRule="auto"/>
                <w:ind w:left="720" w:hanging="720"/>
                <w:rPr>
                  <w:rFonts w:ascii="Times New Roman" w:hAnsi="Times New Roman" w:cs="Times New Roman"/>
                  <w:noProof/>
                  <w:sz w:val="24"/>
                  <w:szCs w:val="24"/>
                  <w:lang w:val="en-US"/>
                </w:rPr>
              </w:pPr>
              <w:r w:rsidRPr="00997A49">
                <w:rPr>
                  <w:rFonts w:ascii="Times New Roman" w:hAnsi="Times New Roman" w:cs="Times New Roman"/>
                  <w:noProof/>
                  <w:sz w:val="24"/>
                  <w:szCs w:val="24"/>
                  <w:lang w:val="en-US"/>
                </w:rPr>
                <w:t xml:space="preserve">World Health Organization. (2000). </w:t>
              </w:r>
              <w:r w:rsidRPr="00997A49">
                <w:rPr>
                  <w:rFonts w:ascii="Times New Roman" w:hAnsi="Times New Roman" w:cs="Times New Roman"/>
                  <w:i/>
                  <w:iCs/>
                  <w:noProof/>
                  <w:sz w:val="24"/>
                  <w:szCs w:val="24"/>
                  <w:lang w:val="en-US"/>
                </w:rPr>
                <w:t>General Guidelines for Methodologies on Research and Evaluation of Traditional Medicine.</w:t>
              </w:r>
              <w:r w:rsidRPr="00997A49">
                <w:rPr>
                  <w:rFonts w:ascii="Times New Roman" w:hAnsi="Times New Roman" w:cs="Times New Roman"/>
                  <w:noProof/>
                  <w:sz w:val="24"/>
                  <w:szCs w:val="24"/>
                  <w:lang w:val="en-US"/>
                </w:rPr>
                <w:t xml:space="preserve"> Geneva: World Health Organization.</w:t>
              </w:r>
            </w:p>
            <w:p w14:paraId="75F12FD4" w14:textId="67BFE21A" w:rsidR="005F6F9D" w:rsidRPr="00997A49" w:rsidRDefault="005F6F9D" w:rsidP="00997A49">
              <w:pPr>
                <w:spacing w:line="360" w:lineRule="auto"/>
                <w:rPr>
                  <w:rFonts w:ascii="Times New Roman" w:hAnsi="Times New Roman" w:cs="Times New Roman"/>
                  <w:sz w:val="24"/>
                  <w:szCs w:val="24"/>
                </w:rPr>
              </w:pPr>
              <w:r w:rsidRPr="00997A49">
                <w:rPr>
                  <w:rFonts w:ascii="Times New Roman" w:hAnsi="Times New Roman" w:cs="Times New Roman"/>
                  <w:sz w:val="24"/>
                  <w:szCs w:val="24"/>
                </w:rPr>
                <w:fldChar w:fldCharType="end"/>
              </w:r>
            </w:p>
          </w:sdtContent>
        </w:sdt>
      </w:sdtContent>
    </w:sdt>
    <w:p w14:paraId="061E6F1F" w14:textId="53ADCEC8" w:rsidR="371EB2D9" w:rsidRPr="00997A49" w:rsidRDefault="371EB2D9" w:rsidP="00997A49">
      <w:pPr>
        <w:spacing w:line="360" w:lineRule="auto"/>
        <w:rPr>
          <w:rFonts w:ascii="Times New Roman" w:hAnsi="Times New Roman" w:cs="Times New Roman"/>
          <w:sz w:val="24"/>
          <w:szCs w:val="24"/>
        </w:rPr>
      </w:pPr>
    </w:p>
    <w:sectPr w:rsidR="371EB2D9" w:rsidRPr="00997A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273"/>
    <w:rsid w:val="00000E52"/>
    <w:rsid w:val="000012A7"/>
    <w:rsid w:val="000028C2"/>
    <w:rsid w:val="0000516B"/>
    <w:rsid w:val="00005A83"/>
    <w:rsid w:val="00011736"/>
    <w:rsid w:val="00017DEA"/>
    <w:rsid w:val="000227B1"/>
    <w:rsid w:val="000228F8"/>
    <w:rsid w:val="00040088"/>
    <w:rsid w:val="00044F70"/>
    <w:rsid w:val="00045593"/>
    <w:rsid w:val="00051B33"/>
    <w:rsid w:val="00054B7E"/>
    <w:rsid w:val="00063462"/>
    <w:rsid w:val="000733F2"/>
    <w:rsid w:val="00073442"/>
    <w:rsid w:val="00076BE3"/>
    <w:rsid w:val="00080ED9"/>
    <w:rsid w:val="00090683"/>
    <w:rsid w:val="00093799"/>
    <w:rsid w:val="0009776A"/>
    <w:rsid w:val="000A11D9"/>
    <w:rsid w:val="000B09B4"/>
    <w:rsid w:val="000B5BBF"/>
    <w:rsid w:val="000B7AF3"/>
    <w:rsid w:val="000C0E3E"/>
    <w:rsid w:val="000C5C4D"/>
    <w:rsid w:val="000D4C2E"/>
    <w:rsid w:val="000D743C"/>
    <w:rsid w:val="000E071C"/>
    <w:rsid w:val="000F1479"/>
    <w:rsid w:val="000F19BC"/>
    <w:rsid w:val="000F22B1"/>
    <w:rsid w:val="000F417A"/>
    <w:rsid w:val="000F687E"/>
    <w:rsid w:val="001007EA"/>
    <w:rsid w:val="00104692"/>
    <w:rsid w:val="0011570E"/>
    <w:rsid w:val="0013019C"/>
    <w:rsid w:val="0013038B"/>
    <w:rsid w:val="00143B24"/>
    <w:rsid w:val="00150371"/>
    <w:rsid w:val="00152265"/>
    <w:rsid w:val="00152A89"/>
    <w:rsid w:val="00156C84"/>
    <w:rsid w:val="0015786F"/>
    <w:rsid w:val="00160EF5"/>
    <w:rsid w:val="00167464"/>
    <w:rsid w:val="00167892"/>
    <w:rsid w:val="00171854"/>
    <w:rsid w:val="00176755"/>
    <w:rsid w:val="00192519"/>
    <w:rsid w:val="00197CF8"/>
    <w:rsid w:val="001A45BB"/>
    <w:rsid w:val="001B264F"/>
    <w:rsid w:val="001B6B62"/>
    <w:rsid w:val="001B7707"/>
    <w:rsid w:val="001D4246"/>
    <w:rsid w:val="001D7CFF"/>
    <w:rsid w:val="001E12DE"/>
    <w:rsid w:val="001F23FC"/>
    <w:rsid w:val="001F6237"/>
    <w:rsid w:val="00211198"/>
    <w:rsid w:val="00211B78"/>
    <w:rsid w:val="00216A60"/>
    <w:rsid w:val="00221797"/>
    <w:rsid w:val="002224DE"/>
    <w:rsid w:val="00223DFE"/>
    <w:rsid w:val="00227B20"/>
    <w:rsid w:val="00233828"/>
    <w:rsid w:val="002341D6"/>
    <w:rsid w:val="002375B3"/>
    <w:rsid w:val="0024051A"/>
    <w:rsid w:val="002513D7"/>
    <w:rsid w:val="0025704A"/>
    <w:rsid w:val="0026630D"/>
    <w:rsid w:val="002734A2"/>
    <w:rsid w:val="00274D25"/>
    <w:rsid w:val="00277401"/>
    <w:rsid w:val="00284295"/>
    <w:rsid w:val="002906DC"/>
    <w:rsid w:val="00291E1E"/>
    <w:rsid w:val="0029570D"/>
    <w:rsid w:val="002A0820"/>
    <w:rsid w:val="002A0CC5"/>
    <w:rsid w:val="002A1FFE"/>
    <w:rsid w:val="002A5F3F"/>
    <w:rsid w:val="002C26C6"/>
    <w:rsid w:val="002C37A9"/>
    <w:rsid w:val="002C403F"/>
    <w:rsid w:val="002D42D6"/>
    <w:rsid w:val="002D4BEC"/>
    <w:rsid w:val="002D695C"/>
    <w:rsid w:val="002E70D8"/>
    <w:rsid w:val="002F02B6"/>
    <w:rsid w:val="002F41EF"/>
    <w:rsid w:val="002F7DE1"/>
    <w:rsid w:val="003132DB"/>
    <w:rsid w:val="0031644D"/>
    <w:rsid w:val="00320767"/>
    <w:rsid w:val="00325034"/>
    <w:rsid w:val="003321AF"/>
    <w:rsid w:val="0033249D"/>
    <w:rsid w:val="00333D6E"/>
    <w:rsid w:val="00335679"/>
    <w:rsid w:val="003451BD"/>
    <w:rsid w:val="00362D6E"/>
    <w:rsid w:val="00362FF6"/>
    <w:rsid w:val="003632D7"/>
    <w:rsid w:val="00367344"/>
    <w:rsid w:val="0037015F"/>
    <w:rsid w:val="003712AB"/>
    <w:rsid w:val="0037343B"/>
    <w:rsid w:val="003769BD"/>
    <w:rsid w:val="00376AAF"/>
    <w:rsid w:val="00380172"/>
    <w:rsid w:val="003933B7"/>
    <w:rsid w:val="003A3381"/>
    <w:rsid w:val="003A5ACD"/>
    <w:rsid w:val="003B2A60"/>
    <w:rsid w:val="003B3979"/>
    <w:rsid w:val="003C4933"/>
    <w:rsid w:val="003C658E"/>
    <w:rsid w:val="003C6887"/>
    <w:rsid w:val="003D3FA5"/>
    <w:rsid w:val="003E0C78"/>
    <w:rsid w:val="003E181F"/>
    <w:rsid w:val="003E66E0"/>
    <w:rsid w:val="003F0002"/>
    <w:rsid w:val="003F05A8"/>
    <w:rsid w:val="003F2B37"/>
    <w:rsid w:val="003F5E52"/>
    <w:rsid w:val="003F6C55"/>
    <w:rsid w:val="0040086D"/>
    <w:rsid w:val="00405225"/>
    <w:rsid w:val="004062FF"/>
    <w:rsid w:val="00411DA8"/>
    <w:rsid w:val="004134F7"/>
    <w:rsid w:val="00417C33"/>
    <w:rsid w:val="00432B8F"/>
    <w:rsid w:val="00433D6F"/>
    <w:rsid w:val="004401B0"/>
    <w:rsid w:val="00450A26"/>
    <w:rsid w:val="00453A0D"/>
    <w:rsid w:val="00457684"/>
    <w:rsid w:val="00463B67"/>
    <w:rsid w:val="004653CB"/>
    <w:rsid w:val="0046746D"/>
    <w:rsid w:val="004677AD"/>
    <w:rsid w:val="00490EA0"/>
    <w:rsid w:val="004A5783"/>
    <w:rsid w:val="004B41AF"/>
    <w:rsid w:val="004B56DA"/>
    <w:rsid w:val="004C4335"/>
    <w:rsid w:val="004E74A9"/>
    <w:rsid w:val="004F0026"/>
    <w:rsid w:val="004F0D4F"/>
    <w:rsid w:val="004F463C"/>
    <w:rsid w:val="004F56A5"/>
    <w:rsid w:val="00501101"/>
    <w:rsid w:val="005079AE"/>
    <w:rsid w:val="00514718"/>
    <w:rsid w:val="00521A13"/>
    <w:rsid w:val="00524407"/>
    <w:rsid w:val="00527FA4"/>
    <w:rsid w:val="00531BE9"/>
    <w:rsid w:val="005357BE"/>
    <w:rsid w:val="005532DD"/>
    <w:rsid w:val="00553608"/>
    <w:rsid w:val="005557E5"/>
    <w:rsid w:val="00560C39"/>
    <w:rsid w:val="00560F01"/>
    <w:rsid w:val="00560F4A"/>
    <w:rsid w:val="0056643F"/>
    <w:rsid w:val="00570281"/>
    <w:rsid w:val="00571477"/>
    <w:rsid w:val="0057242E"/>
    <w:rsid w:val="00574046"/>
    <w:rsid w:val="005827BB"/>
    <w:rsid w:val="00584510"/>
    <w:rsid w:val="005A018D"/>
    <w:rsid w:val="005A081B"/>
    <w:rsid w:val="005A0B97"/>
    <w:rsid w:val="005A6446"/>
    <w:rsid w:val="005C6578"/>
    <w:rsid w:val="005C7EC4"/>
    <w:rsid w:val="005D53DE"/>
    <w:rsid w:val="005E0D1A"/>
    <w:rsid w:val="005E74B3"/>
    <w:rsid w:val="005F10B4"/>
    <w:rsid w:val="005F1C4B"/>
    <w:rsid w:val="005F2186"/>
    <w:rsid w:val="005F5889"/>
    <w:rsid w:val="005F6F9D"/>
    <w:rsid w:val="00603F0F"/>
    <w:rsid w:val="00612BBB"/>
    <w:rsid w:val="0063045B"/>
    <w:rsid w:val="00644F3F"/>
    <w:rsid w:val="0065289E"/>
    <w:rsid w:val="006635FE"/>
    <w:rsid w:val="00664574"/>
    <w:rsid w:val="006650BF"/>
    <w:rsid w:val="00665D78"/>
    <w:rsid w:val="00667F28"/>
    <w:rsid w:val="00673BE1"/>
    <w:rsid w:val="006773E4"/>
    <w:rsid w:val="00680C63"/>
    <w:rsid w:val="00680F93"/>
    <w:rsid w:val="00683F1B"/>
    <w:rsid w:val="006924B9"/>
    <w:rsid w:val="00693D59"/>
    <w:rsid w:val="006960CE"/>
    <w:rsid w:val="00696F52"/>
    <w:rsid w:val="00697AF0"/>
    <w:rsid w:val="006A1610"/>
    <w:rsid w:val="006B7943"/>
    <w:rsid w:val="006C18CA"/>
    <w:rsid w:val="006C5DF9"/>
    <w:rsid w:val="006C6B1C"/>
    <w:rsid w:val="006D218D"/>
    <w:rsid w:val="006D5338"/>
    <w:rsid w:val="006E0A2F"/>
    <w:rsid w:val="006F0F47"/>
    <w:rsid w:val="00702BFF"/>
    <w:rsid w:val="00711818"/>
    <w:rsid w:val="007143CB"/>
    <w:rsid w:val="00715CF0"/>
    <w:rsid w:val="00735F83"/>
    <w:rsid w:val="00740B65"/>
    <w:rsid w:val="00757E2F"/>
    <w:rsid w:val="00760497"/>
    <w:rsid w:val="00770AF4"/>
    <w:rsid w:val="00780208"/>
    <w:rsid w:val="00783AC1"/>
    <w:rsid w:val="00785677"/>
    <w:rsid w:val="007957B5"/>
    <w:rsid w:val="007974FA"/>
    <w:rsid w:val="007A2227"/>
    <w:rsid w:val="007B0451"/>
    <w:rsid w:val="007B07C6"/>
    <w:rsid w:val="007C1F17"/>
    <w:rsid w:val="007D1B72"/>
    <w:rsid w:val="007D38A0"/>
    <w:rsid w:val="007D70F7"/>
    <w:rsid w:val="007E0019"/>
    <w:rsid w:val="007E2265"/>
    <w:rsid w:val="007E56C1"/>
    <w:rsid w:val="007E6F02"/>
    <w:rsid w:val="007F00DD"/>
    <w:rsid w:val="007F11FB"/>
    <w:rsid w:val="007F4BD1"/>
    <w:rsid w:val="007F6E7C"/>
    <w:rsid w:val="007F70B6"/>
    <w:rsid w:val="00800253"/>
    <w:rsid w:val="008037B9"/>
    <w:rsid w:val="00803886"/>
    <w:rsid w:val="00803E6D"/>
    <w:rsid w:val="008176D8"/>
    <w:rsid w:val="00820121"/>
    <w:rsid w:val="00823B31"/>
    <w:rsid w:val="008264EE"/>
    <w:rsid w:val="00827A59"/>
    <w:rsid w:val="00827D51"/>
    <w:rsid w:val="00830009"/>
    <w:rsid w:val="00831A10"/>
    <w:rsid w:val="00832126"/>
    <w:rsid w:val="00833970"/>
    <w:rsid w:val="008339CB"/>
    <w:rsid w:val="00833B4D"/>
    <w:rsid w:val="00835691"/>
    <w:rsid w:val="00835BEF"/>
    <w:rsid w:val="00845D4B"/>
    <w:rsid w:val="00845F8B"/>
    <w:rsid w:val="00847066"/>
    <w:rsid w:val="008502C3"/>
    <w:rsid w:val="00851500"/>
    <w:rsid w:val="0085305D"/>
    <w:rsid w:val="00857022"/>
    <w:rsid w:val="008707FA"/>
    <w:rsid w:val="008735B2"/>
    <w:rsid w:val="0088770A"/>
    <w:rsid w:val="00891D83"/>
    <w:rsid w:val="008A3680"/>
    <w:rsid w:val="008A36FC"/>
    <w:rsid w:val="008A3DA9"/>
    <w:rsid w:val="008A461A"/>
    <w:rsid w:val="008A7D01"/>
    <w:rsid w:val="008B0537"/>
    <w:rsid w:val="008B7EA4"/>
    <w:rsid w:val="008C50B5"/>
    <w:rsid w:val="008D2546"/>
    <w:rsid w:val="008D4B22"/>
    <w:rsid w:val="008E0887"/>
    <w:rsid w:val="008E3BAD"/>
    <w:rsid w:val="008F0191"/>
    <w:rsid w:val="008F6534"/>
    <w:rsid w:val="008F6912"/>
    <w:rsid w:val="00900B3E"/>
    <w:rsid w:val="00902CA9"/>
    <w:rsid w:val="00915A23"/>
    <w:rsid w:val="00925192"/>
    <w:rsid w:val="009262F4"/>
    <w:rsid w:val="00933209"/>
    <w:rsid w:val="0096582E"/>
    <w:rsid w:val="00967A6A"/>
    <w:rsid w:val="0097118A"/>
    <w:rsid w:val="0097686E"/>
    <w:rsid w:val="00976972"/>
    <w:rsid w:val="009803E3"/>
    <w:rsid w:val="00980FAC"/>
    <w:rsid w:val="00982893"/>
    <w:rsid w:val="009828E2"/>
    <w:rsid w:val="0098719E"/>
    <w:rsid w:val="00991EDE"/>
    <w:rsid w:val="00994323"/>
    <w:rsid w:val="00994D4E"/>
    <w:rsid w:val="00997A49"/>
    <w:rsid w:val="009A18C4"/>
    <w:rsid w:val="009A29BA"/>
    <w:rsid w:val="009B3034"/>
    <w:rsid w:val="009D002A"/>
    <w:rsid w:val="009D0EC7"/>
    <w:rsid w:val="009D1BE9"/>
    <w:rsid w:val="00A128E5"/>
    <w:rsid w:val="00A14A2A"/>
    <w:rsid w:val="00A17BF1"/>
    <w:rsid w:val="00A209EE"/>
    <w:rsid w:val="00A26BCA"/>
    <w:rsid w:val="00A32C83"/>
    <w:rsid w:val="00A4379A"/>
    <w:rsid w:val="00A45A62"/>
    <w:rsid w:val="00A5258C"/>
    <w:rsid w:val="00A538B8"/>
    <w:rsid w:val="00A57AD9"/>
    <w:rsid w:val="00A57E84"/>
    <w:rsid w:val="00A62BB0"/>
    <w:rsid w:val="00A6312C"/>
    <w:rsid w:val="00A73152"/>
    <w:rsid w:val="00A80792"/>
    <w:rsid w:val="00A85688"/>
    <w:rsid w:val="00AA07DB"/>
    <w:rsid w:val="00AA1466"/>
    <w:rsid w:val="00AA2A06"/>
    <w:rsid w:val="00AA2F7F"/>
    <w:rsid w:val="00AA6266"/>
    <w:rsid w:val="00AB04AA"/>
    <w:rsid w:val="00AB0F46"/>
    <w:rsid w:val="00AB48AF"/>
    <w:rsid w:val="00AC63EF"/>
    <w:rsid w:val="00AC65D0"/>
    <w:rsid w:val="00AC6DEF"/>
    <w:rsid w:val="00AE318C"/>
    <w:rsid w:val="00AE78A8"/>
    <w:rsid w:val="00AF5DAF"/>
    <w:rsid w:val="00AF77F1"/>
    <w:rsid w:val="00B02276"/>
    <w:rsid w:val="00B06F38"/>
    <w:rsid w:val="00B13ABF"/>
    <w:rsid w:val="00B146D7"/>
    <w:rsid w:val="00B206BD"/>
    <w:rsid w:val="00B306E1"/>
    <w:rsid w:val="00B33930"/>
    <w:rsid w:val="00B3470D"/>
    <w:rsid w:val="00B37CDA"/>
    <w:rsid w:val="00B40EDA"/>
    <w:rsid w:val="00B42E63"/>
    <w:rsid w:val="00B5424B"/>
    <w:rsid w:val="00B55286"/>
    <w:rsid w:val="00B61530"/>
    <w:rsid w:val="00B67C07"/>
    <w:rsid w:val="00B71BDD"/>
    <w:rsid w:val="00B822E7"/>
    <w:rsid w:val="00B84E95"/>
    <w:rsid w:val="00B9797F"/>
    <w:rsid w:val="00BA4873"/>
    <w:rsid w:val="00BA687F"/>
    <w:rsid w:val="00BB0990"/>
    <w:rsid w:val="00BB6220"/>
    <w:rsid w:val="00BB753C"/>
    <w:rsid w:val="00BC0A43"/>
    <w:rsid w:val="00BC3345"/>
    <w:rsid w:val="00BC77C5"/>
    <w:rsid w:val="00BD3ABA"/>
    <w:rsid w:val="00BD6935"/>
    <w:rsid w:val="00BE50C5"/>
    <w:rsid w:val="00BF72FF"/>
    <w:rsid w:val="00BF731F"/>
    <w:rsid w:val="00BF7E59"/>
    <w:rsid w:val="00C00BB1"/>
    <w:rsid w:val="00C0227A"/>
    <w:rsid w:val="00C10A82"/>
    <w:rsid w:val="00C11278"/>
    <w:rsid w:val="00C2581E"/>
    <w:rsid w:val="00C30714"/>
    <w:rsid w:val="00C42640"/>
    <w:rsid w:val="00C44D85"/>
    <w:rsid w:val="00C5314E"/>
    <w:rsid w:val="00C670A5"/>
    <w:rsid w:val="00C80A19"/>
    <w:rsid w:val="00C80E81"/>
    <w:rsid w:val="00C81B19"/>
    <w:rsid w:val="00C8436A"/>
    <w:rsid w:val="00C92754"/>
    <w:rsid w:val="00C96BEA"/>
    <w:rsid w:val="00CA1F20"/>
    <w:rsid w:val="00CA5F30"/>
    <w:rsid w:val="00CB4882"/>
    <w:rsid w:val="00CC1972"/>
    <w:rsid w:val="00CC47B4"/>
    <w:rsid w:val="00CC6D93"/>
    <w:rsid w:val="00CD5180"/>
    <w:rsid w:val="00CD7256"/>
    <w:rsid w:val="00CF3812"/>
    <w:rsid w:val="00D019E1"/>
    <w:rsid w:val="00D033C7"/>
    <w:rsid w:val="00D05A91"/>
    <w:rsid w:val="00D12391"/>
    <w:rsid w:val="00D23589"/>
    <w:rsid w:val="00D25D93"/>
    <w:rsid w:val="00D3352A"/>
    <w:rsid w:val="00D4194A"/>
    <w:rsid w:val="00D42A9F"/>
    <w:rsid w:val="00D432B9"/>
    <w:rsid w:val="00D46625"/>
    <w:rsid w:val="00D50881"/>
    <w:rsid w:val="00D66D5E"/>
    <w:rsid w:val="00D709F3"/>
    <w:rsid w:val="00D7720D"/>
    <w:rsid w:val="00DA4BB6"/>
    <w:rsid w:val="00DA6128"/>
    <w:rsid w:val="00DA6B9C"/>
    <w:rsid w:val="00DA78C6"/>
    <w:rsid w:val="00DC7640"/>
    <w:rsid w:val="00DD02A8"/>
    <w:rsid w:val="00DE2A96"/>
    <w:rsid w:val="00DE3DC8"/>
    <w:rsid w:val="00DE6D7B"/>
    <w:rsid w:val="00DE77B7"/>
    <w:rsid w:val="00DF01EA"/>
    <w:rsid w:val="00DF3588"/>
    <w:rsid w:val="00DF4ED8"/>
    <w:rsid w:val="00E01D4A"/>
    <w:rsid w:val="00E03840"/>
    <w:rsid w:val="00E03FCF"/>
    <w:rsid w:val="00E044BD"/>
    <w:rsid w:val="00E15B0F"/>
    <w:rsid w:val="00E210CE"/>
    <w:rsid w:val="00E22273"/>
    <w:rsid w:val="00E261D5"/>
    <w:rsid w:val="00E33183"/>
    <w:rsid w:val="00E45C4D"/>
    <w:rsid w:val="00E51D0D"/>
    <w:rsid w:val="00E57443"/>
    <w:rsid w:val="00E638D0"/>
    <w:rsid w:val="00E64281"/>
    <w:rsid w:val="00E651D5"/>
    <w:rsid w:val="00E72E39"/>
    <w:rsid w:val="00E7536C"/>
    <w:rsid w:val="00E76A45"/>
    <w:rsid w:val="00E80FCE"/>
    <w:rsid w:val="00E816D2"/>
    <w:rsid w:val="00E8626D"/>
    <w:rsid w:val="00E933F7"/>
    <w:rsid w:val="00E93DC3"/>
    <w:rsid w:val="00E94775"/>
    <w:rsid w:val="00E960A4"/>
    <w:rsid w:val="00E9644F"/>
    <w:rsid w:val="00EA0B85"/>
    <w:rsid w:val="00EB2D4C"/>
    <w:rsid w:val="00EC7DB5"/>
    <w:rsid w:val="00EE10D5"/>
    <w:rsid w:val="00EE4764"/>
    <w:rsid w:val="00EF2E35"/>
    <w:rsid w:val="00EF5399"/>
    <w:rsid w:val="00EF7675"/>
    <w:rsid w:val="00F009A8"/>
    <w:rsid w:val="00F037D9"/>
    <w:rsid w:val="00F1126C"/>
    <w:rsid w:val="00F11A66"/>
    <w:rsid w:val="00F21FA0"/>
    <w:rsid w:val="00F2419F"/>
    <w:rsid w:val="00F34C76"/>
    <w:rsid w:val="00F364B0"/>
    <w:rsid w:val="00F3735C"/>
    <w:rsid w:val="00F46C09"/>
    <w:rsid w:val="00F50B27"/>
    <w:rsid w:val="00F62B81"/>
    <w:rsid w:val="00F662FE"/>
    <w:rsid w:val="00F668C3"/>
    <w:rsid w:val="00F7190E"/>
    <w:rsid w:val="00F72A51"/>
    <w:rsid w:val="00F7503A"/>
    <w:rsid w:val="00F86573"/>
    <w:rsid w:val="00F933AA"/>
    <w:rsid w:val="00F935FA"/>
    <w:rsid w:val="00F97446"/>
    <w:rsid w:val="00FA4E72"/>
    <w:rsid w:val="00FA5507"/>
    <w:rsid w:val="00FA670B"/>
    <w:rsid w:val="00FB1D96"/>
    <w:rsid w:val="00FB5073"/>
    <w:rsid w:val="00FB7AE1"/>
    <w:rsid w:val="00FC3398"/>
    <w:rsid w:val="00FD2200"/>
    <w:rsid w:val="00FD3456"/>
    <w:rsid w:val="00FE29A7"/>
    <w:rsid w:val="00FE63B2"/>
    <w:rsid w:val="00FF1DFA"/>
    <w:rsid w:val="00FF3E63"/>
    <w:rsid w:val="172983E4"/>
    <w:rsid w:val="371EB2D9"/>
    <w:rsid w:val="43728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A3E17"/>
  <w15:chartTrackingRefBased/>
  <w15:docId w15:val="{20DCDDF8-9775-4710-A3FE-F213C215E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F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F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6F9D"/>
  </w:style>
  <w:style w:type="character" w:styleId="CommentReference">
    <w:name w:val="annotation reference"/>
    <w:basedOn w:val="DefaultParagraphFont"/>
    <w:uiPriority w:val="99"/>
    <w:semiHidden/>
    <w:unhideWhenUsed/>
    <w:rsid w:val="006E0A2F"/>
    <w:rPr>
      <w:sz w:val="16"/>
      <w:szCs w:val="16"/>
    </w:rPr>
  </w:style>
  <w:style w:type="paragraph" w:styleId="CommentText">
    <w:name w:val="annotation text"/>
    <w:basedOn w:val="Normal"/>
    <w:link w:val="CommentTextChar"/>
    <w:uiPriority w:val="99"/>
    <w:semiHidden/>
    <w:unhideWhenUsed/>
    <w:rsid w:val="006E0A2F"/>
    <w:pPr>
      <w:spacing w:line="240" w:lineRule="auto"/>
    </w:pPr>
    <w:rPr>
      <w:sz w:val="20"/>
      <w:szCs w:val="20"/>
    </w:rPr>
  </w:style>
  <w:style w:type="character" w:customStyle="1" w:styleId="CommentTextChar">
    <w:name w:val="Comment Text Char"/>
    <w:basedOn w:val="DefaultParagraphFont"/>
    <w:link w:val="CommentText"/>
    <w:uiPriority w:val="99"/>
    <w:semiHidden/>
    <w:rsid w:val="006E0A2F"/>
    <w:rPr>
      <w:sz w:val="20"/>
      <w:szCs w:val="20"/>
    </w:rPr>
  </w:style>
  <w:style w:type="paragraph" w:styleId="BalloonText">
    <w:name w:val="Balloon Text"/>
    <w:basedOn w:val="Normal"/>
    <w:link w:val="BalloonTextChar"/>
    <w:uiPriority w:val="99"/>
    <w:semiHidden/>
    <w:unhideWhenUsed/>
    <w:rsid w:val="006E0A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0A2F"/>
    <w:rPr>
      <w:rFonts w:ascii="Segoe UI" w:hAnsi="Segoe UI" w:cs="Segoe UI"/>
      <w:sz w:val="18"/>
      <w:szCs w:val="18"/>
    </w:rPr>
  </w:style>
  <w:style w:type="paragraph" w:styleId="NormalWeb">
    <w:name w:val="Normal (Web)"/>
    <w:basedOn w:val="Normal"/>
    <w:uiPriority w:val="99"/>
    <w:semiHidden/>
    <w:unhideWhenUsed/>
    <w:rsid w:val="007E6F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88617">
      <w:bodyDiv w:val="1"/>
      <w:marLeft w:val="0"/>
      <w:marRight w:val="0"/>
      <w:marTop w:val="0"/>
      <w:marBottom w:val="0"/>
      <w:divBdr>
        <w:top w:val="none" w:sz="0" w:space="0" w:color="auto"/>
        <w:left w:val="none" w:sz="0" w:space="0" w:color="auto"/>
        <w:bottom w:val="none" w:sz="0" w:space="0" w:color="auto"/>
        <w:right w:val="none" w:sz="0" w:space="0" w:color="auto"/>
      </w:divBdr>
    </w:div>
    <w:div w:id="10225860">
      <w:bodyDiv w:val="1"/>
      <w:marLeft w:val="0"/>
      <w:marRight w:val="0"/>
      <w:marTop w:val="0"/>
      <w:marBottom w:val="0"/>
      <w:divBdr>
        <w:top w:val="none" w:sz="0" w:space="0" w:color="auto"/>
        <w:left w:val="none" w:sz="0" w:space="0" w:color="auto"/>
        <w:bottom w:val="none" w:sz="0" w:space="0" w:color="auto"/>
        <w:right w:val="none" w:sz="0" w:space="0" w:color="auto"/>
      </w:divBdr>
    </w:div>
    <w:div w:id="28529171">
      <w:bodyDiv w:val="1"/>
      <w:marLeft w:val="0"/>
      <w:marRight w:val="0"/>
      <w:marTop w:val="0"/>
      <w:marBottom w:val="0"/>
      <w:divBdr>
        <w:top w:val="none" w:sz="0" w:space="0" w:color="auto"/>
        <w:left w:val="none" w:sz="0" w:space="0" w:color="auto"/>
        <w:bottom w:val="none" w:sz="0" w:space="0" w:color="auto"/>
        <w:right w:val="none" w:sz="0" w:space="0" w:color="auto"/>
      </w:divBdr>
    </w:div>
    <w:div w:id="58066773">
      <w:bodyDiv w:val="1"/>
      <w:marLeft w:val="0"/>
      <w:marRight w:val="0"/>
      <w:marTop w:val="0"/>
      <w:marBottom w:val="0"/>
      <w:divBdr>
        <w:top w:val="none" w:sz="0" w:space="0" w:color="auto"/>
        <w:left w:val="none" w:sz="0" w:space="0" w:color="auto"/>
        <w:bottom w:val="none" w:sz="0" w:space="0" w:color="auto"/>
        <w:right w:val="none" w:sz="0" w:space="0" w:color="auto"/>
      </w:divBdr>
    </w:div>
    <w:div w:id="163907944">
      <w:bodyDiv w:val="1"/>
      <w:marLeft w:val="0"/>
      <w:marRight w:val="0"/>
      <w:marTop w:val="0"/>
      <w:marBottom w:val="0"/>
      <w:divBdr>
        <w:top w:val="none" w:sz="0" w:space="0" w:color="auto"/>
        <w:left w:val="none" w:sz="0" w:space="0" w:color="auto"/>
        <w:bottom w:val="none" w:sz="0" w:space="0" w:color="auto"/>
        <w:right w:val="none" w:sz="0" w:space="0" w:color="auto"/>
      </w:divBdr>
    </w:div>
    <w:div w:id="177282410">
      <w:bodyDiv w:val="1"/>
      <w:marLeft w:val="0"/>
      <w:marRight w:val="0"/>
      <w:marTop w:val="0"/>
      <w:marBottom w:val="0"/>
      <w:divBdr>
        <w:top w:val="none" w:sz="0" w:space="0" w:color="auto"/>
        <w:left w:val="none" w:sz="0" w:space="0" w:color="auto"/>
        <w:bottom w:val="none" w:sz="0" w:space="0" w:color="auto"/>
        <w:right w:val="none" w:sz="0" w:space="0" w:color="auto"/>
      </w:divBdr>
    </w:div>
    <w:div w:id="222445502">
      <w:bodyDiv w:val="1"/>
      <w:marLeft w:val="0"/>
      <w:marRight w:val="0"/>
      <w:marTop w:val="0"/>
      <w:marBottom w:val="0"/>
      <w:divBdr>
        <w:top w:val="none" w:sz="0" w:space="0" w:color="auto"/>
        <w:left w:val="none" w:sz="0" w:space="0" w:color="auto"/>
        <w:bottom w:val="none" w:sz="0" w:space="0" w:color="auto"/>
        <w:right w:val="none" w:sz="0" w:space="0" w:color="auto"/>
      </w:divBdr>
    </w:div>
    <w:div w:id="300380484">
      <w:bodyDiv w:val="1"/>
      <w:marLeft w:val="0"/>
      <w:marRight w:val="0"/>
      <w:marTop w:val="0"/>
      <w:marBottom w:val="0"/>
      <w:divBdr>
        <w:top w:val="none" w:sz="0" w:space="0" w:color="auto"/>
        <w:left w:val="none" w:sz="0" w:space="0" w:color="auto"/>
        <w:bottom w:val="none" w:sz="0" w:space="0" w:color="auto"/>
        <w:right w:val="none" w:sz="0" w:space="0" w:color="auto"/>
      </w:divBdr>
    </w:div>
    <w:div w:id="348607359">
      <w:bodyDiv w:val="1"/>
      <w:marLeft w:val="0"/>
      <w:marRight w:val="0"/>
      <w:marTop w:val="0"/>
      <w:marBottom w:val="0"/>
      <w:divBdr>
        <w:top w:val="none" w:sz="0" w:space="0" w:color="auto"/>
        <w:left w:val="none" w:sz="0" w:space="0" w:color="auto"/>
        <w:bottom w:val="none" w:sz="0" w:space="0" w:color="auto"/>
        <w:right w:val="none" w:sz="0" w:space="0" w:color="auto"/>
      </w:divBdr>
    </w:div>
    <w:div w:id="444007370">
      <w:bodyDiv w:val="1"/>
      <w:marLeft w:val="0"/>
      <w:marRight w:val="0"/>
      <w:marTop w:val="0"/>
      <w:marBottom w:val="0"/>
      <w:divBdr>
        <w:top w:val="none" w:sz="0" w:space="0" w:color="auto"/>
        <w:left w:val="none" w:sz="0" w:space="0" w:color="auto"/>
        <w:bottom w:val="none" w:sz="0" w:space="0" w:color="auto"/>
        <w:right w:val="none" w:sz="0" w:space="0" w:color="auto"/>
      </w:divBdr>
    </w:div>
    <w:div w:id="581453810">
      <w:bodyDiv w:val="1"/>
      <w:marLeft w:val="0"/>
      <w:marRight w:val="0"/>
      <w:marTop w:val="0"/>
      <w:marBottom w:val="0"/>
      <w:divBdr>
        <w:top w:val="none" w:sz="0" w:space="0" w:color="auto"/>
        <w:left w:val="none" w:sz="0" w:space="0" w:color="auto"/>
        <w:bottom w:val="none" w:sz="0" w:space="0" w:color="auto"/>
        <w:right w:val="none" w:sz="0" w:space="0" w:color="auto"/>
      </w:divBdr>
    </w:div>
    <w:div w:id="611010215">
      <w:bodyDiv w:val="1"/>
      <w:marLeft w:val="0"/>
      <w:marRight w:val="0"/>
      <w:marTop w:val="0"/>
      <w:marBottom w:val="0"/>
      <w:divBdr>
        <w:top w:val="none" w:sz="0" w:space="0" w:color="auto"/>
        <w:left w:val="none" w:sz="0" w:space="0" w:color="auto"/>
        <w:bottom w:val="none" w:sz="0" w:space="0" w:color="auto"/>
        <w:right w:val="none" w:sz="0" w:space="0" w:color="auto"/>
      </w:divBdr>
    </w:div>
    <w:div w:id="941912761">
      <w:bodyDiv w:val="1"/>
      <w:marLeft w:val="0"/>
      <w:marRight w:val="0"/>
      <w:marTop w:val="0"/>
      <w:marBottom w:val="0"/>
      <w:divBdr>
        <w:top w:val="none" w:sz="0" w:space="0" w:color="auto"/>
        <w:left w:val="none" w:sz="0" w:space="0" w:color="auto"/>
        <w:bottom w:val="none" w:sz="0" w:space="0" w:color="auto"/>
        <w:right w:val="none" w:sz="0" w:space="0" w:color="auto"/>
      </w:divBdr>
    </w:div>
    <w:div w:id="1014571685">
      <w:bodyDiv w:val="1"/>
      <w:marLeft w:val="0"/>
      <w:marRight w:val="0"/>
      <w:marTop w:val="0"/>
      <w:marBottom w:val="0"/>
      <w:divBdr>
        <w:top w:val="none" w:sz="0" w:space="0" w:color="auto"/>
        <w:left w:val="none" w:sz="0" w:space="0" w:color="auto"/>
        <w:bottom w:val="none" w:sz="0" w:space="0" w:color="auto"/>
        <w:right w:val="none" w:sz="0" w:space="0" w:color="auto"/>
      </w:divBdr>
    </w:div>
    <w:div w:id="1035933877">
      <w:bodyDiv w:val="1"/>
      <w:marLeft w:val="0"/>
      <w:marRight w:val="0"/>
      <w:marTop w:val="0"/>
      <w:marBottom w:val="0"/>
      <w:divBdr>
        <w:top w:val="none" w:sz="0" w:space="0" w:color="auto"/>
        <w:left w:val="none" w:sz="0" w:space="0" w:color="auto"/>
        <w:bottom w:val="none" w:sz="0" w:space="0" w:color="auto"/>
        <w:right w:val="none" w:sz="0" w:space="0" w:color="auto"/>
      </w:divBdr>
    </w:div>
    <w:div w:id="1057389141">
      <w:bodyDiv w:val="1"/>
      <w:marLeft w:val="0"/>
      <w:marRight w:val="0"/>
      <w:marTop w:val="0"/>
      <w:marBottom w:val="0"/>
      <w:divBdr>
        <w:top w:val="none" w:sz="0" w:space="0" w:color="auto"/>
        <w:left w:val="none" w:sz="0" w:space="0" w:color="auto"/>
        <w:bottom w:val="none" w:sz="0" w:space="0" w:color="auto"/>
        <w:right w:val="none" w:sz="0" w:space="0" w:color="auto"/>
      </w:divBdr>
    </w:div>
    <w:div w:id="1086609734">
      <w:bodyDiv w:val="1"/>
      <w:marLeft w:val="0"/>
      <w:marRight w:val="0"/>
      <w:marTop w:val="0"/>
      <w:marBottom w:val="0"/>
      <w:divBdr>
        <w:top w:val="none" w:sz="0" w:space="0" w:color="auto"/>
        <w:left w:val="none" w:sz="0" w:space="0" w:color="auto"/>
        <w:bottom w:val="none" w:sz="0" w:space="0" w:color="auto"/>
        <w:right w:val="none" w:sz="0" w:space="0" w:color="auto"/>
      </w:divBdr>
    </w:div>
    <w:div w:id="1182864889">
      <w:bodyDiv w:val="1"/>
      <w:marLeft w:val="0"/>
      <w:marRight w:val="0"/>
      <w:marTop w:val="0"/>
      <w:marBottom w:val="0"/>
      <w:divBdr>
        <w:top w:val="none" w:sz="0" w:space="0" w:color="auto"/>
        <w:left w:val="none" w:sz="0" w:space="0" w:color="auto"/>
        <w:bottom w:val="none" w:sz="0" w:space="0" w:color="auto"/>
        <w:right w:val="none" w:sz="0" w:space="0" w:color="auto"/>
      </w:divBdr>
    </w:div>
    <w:div w:id="1342008572">
      <w:bodyDiv w:val="1"/>
      <w:marLeft w:val="0"/>
      <w:marRight w:val="0"/>
      <w:marTop w:val="0"/>
      <w:marBottom w:val="0"/>
      <w:divBdr>
        <w:top w:val="none" w:sz="0" w:space="0" w:color="auto"/>
        <w:left w:val="none" w:sz="0" w:space="0" w:color="auto"/>
        <w:bottom w:val="none" w:sz="0" w:space="0" w:color="auto"/>
        <w:right w:val="none" w:sz="0" w:space="0" w:color="auto"/>
      </w:divBdr>
    </w:div>
    <w:div w:id="1437210530">
      <w:bodyDiv w:val="1"/>
      <w:marLeft w:val="0"/>
      <w:marRight w:val="0"/>
      <w:marTop w:val="0"/>
      <w:marBottom w:val="0"/>
      <w:divBdr>
        <w:top w:val="none" w:sz="0" w:space="0" w:color="auto"/>
        <w:left w:val="none" w:sz="0" w:space="0" w:color="auto"/>
        <w:bottom w:val="none" w:sz="0" w:space="0" w:color="auto"/>
        <w:right w:val="none" w:sz="0" w:space="0" w:color="auto"/>
      </w:divBdr>
    </w:div>
    <w:div w:id="1506431132">
      <w:bodyDiv w:val="1"/>
      <w:marLeft w:val="0"/>
      <w:marRight w:val="0"/>
      <w:marTop w:val="0"/>
      <w:marBottom w:val="0"/>
      <w:divBdr>
        <w:top w:val="none" w:sz="0" w:space="0" w:color="auto"/>
        <w:left w:val="none" w:sz="0" w:space="0" w:color="auto"/>
        <w:bottom w:val="none" w:sz="0" w:space="0" w:color="auto"/>
        <w:right w:val="none" w:sz="0" w:space="0" w:color="auto"/>
      </w:divBdr>
    </w:div>
    <w:div w:id="1590309763">
      <w:bodyDiv w:val="1"/>
      <w:marLeft w:val="0"/>
      <w:marRight w:val="0"/>
      <w:marTop w:val="0"/>
      <w:marBottom w:val="0"/>
      <w:divBdr>
        <w:top w:val="none" w:sz="0" w:space="0" w:color="auto"/>
        <w:left w:val="none" w:sz="0" w:space="0" w:color="auto"/>
        <w:bottom w:val="none" w:sz="0" w:space="0" w:color="auto"/>
        <w:right w:val="none" w:sz="0" w:space="0" w:color="auto"/>
      </w:divBdr>
    </w:div>
    <w:div w:id="1678921958">
      <w:bodyDiv w:val="1"/>
      <w:marLeft w:val="0"/>
      <w:marRight w:val="0"/>
      <w:marTop w:val="0"/>
      <w:marBottom w:val="0"/>
      <w:divBdr>
        <w:top w:val="none" w:sz="0" w:space="0" w:color="auto"/>
        <w:left w:val="none" w:sz="0" w:space="0" w:color="auto"/>
        <w:bottom w:val="none" w:sz="0" w:space="0" w:color="auto"/>
        <w:right w:val="none" w:sz="0" w:space="0" w:color="auto"/>
      </w:divBdr>
    </w:div>
    <w:div w:id="1893033929">
      <w:bodyDiv w:val="1"/>
      <w:marLeft w:val="0"/>
      <w:marRight w:val="0"/>
      <w:marTop w:val="0"/>
      <w:marBottom w:val="0"/>
      <w:divBdr>
        <w:top w:val="none" w:sz="0" w:space="0" w:color="auto"/>
        <w:left w:val="none" w:sz="0" w:space="0" w:color="auto"/>
        <w:bottom w:val="none" w:sz="0" w:space="0" w:color="auto"/>
        <w:right w:val="none" w:sz="0" w:space="0" w:color="auto"/>
      </w:divBdr>
    </w:div>
    <w:div w:id="1943032054">
      <w:bodyDiv w:val="1"/>
      <w:marLeft w:val="0"/>
      <w:marRight w:val="0"/>
      <w:marTop w:val="0"/>
      <w:marBottom w:val="0"/>
      <w:divBdr>
        <w:top w:val="none" w:sz="0" w:space="0" w:color="auto"/>
        <w:left w:val="none" w:sz="0" w:space="0" w:color="auto"/>
        <w:bottom w:val="none" w:sz="0" w:space="0" w:color="auto"/>
        <w:right w:val="none" w:sz="0" w:space="0" w:color="auto"/>
      </w:divBdr>
    </w:div>
    <w:div w:id="2114352361">
      <w:bodyDiv w:val="1"/>
      <w:marLeft w:val="0"/>
      <w:marRight w:val="0"/>
      <w:marTop w:val="0"/>
      <w:marBottom w:val="0"/>
      <w:divBdr>
        <w:top w:val="none" w:sz="0" w:space="0" w:color="auto"/>
        <w:left w:val="none" w:sz="0" w:space="0" w:color="auto"/>
        <w:bottom w:val="none" w:sz="0" w:space="0" w:color="auto"/>
        <w:right w:val="none" w:sz="0" w:space="0" w:color="auto"/>
      </w:divBdr>
    </w:div>
    <w:div w:id="2138525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Ann08</b:Tag>
    <b:SourceType>Report</b:SourceType>
    <b:Guid>{0D115D8D-1064-4C27-B06B-426EA5389929}</b:Guid>
    <b:Title>Regulating Complementary Medical Practitioners - An international review</b:Title>
    <b:Year>2008</b:Year>
    <b:Publisher>Kings Fund </b:Publisher>
    <b:City>London</b:City>
    <b:Author>
      <b:Author>
        <b:NameList>
          <b:Person>
            <b:Last>Dixon</b:Last>
            <b:First>Anna</b:First>
          </b:Person>
        </b:NameList>
      </b:Author>
    </b:Author>
    <b:RefOrder>1</b:RefOrder>
  </b:Source>
  <b:Source>
    <b:Tag>Fre03</b:Tag>
    <b:SourceType>JournalArticle</b:SourceType>
    <b:Guid>{74A58B63-DE80-4852-AB7A-42CC01C23052}</b:Guid>
    <b:Title>An approach for integrating complementary– alternative medicine into primary care</b:Title>
    <b:Year>2003</b:Year>
    <b:Pages>324-332</b:Pages>
    <b:Volume>20</b:Volume>
    <b:Issue>3</b:Issue>
    <b:Author>
      <b:Author>
        <b:NameList>
          <b:Person>
            <b:Last>Frenkel</b:Last>
            <b:Middle>A</b:Middle>
            <b:First>Moshe </b:First>
          </b:Person>
          <b:Person>
            <b:Last>Borkan</b:Last>
            <b:Middle>M</b:Middle>
            <b:First>Jeffrey</b:First>
          </b:Person>
        </b:NameList>
      </b:Author>
    </b:Author>
    <b:JournalName>Family Practice</b:JournalName>
    <b:RefOrder>2</b:RefOrder>
  </b:Source>
  <b:Source>
    <b:Tag>Wie11</b:Tag>
    <b:SourceType>JournalArticle</b:SourceType>
    <b:Guid>{BF1E6657-3458-4F25-B2BD-99DF42FA1D04}</b:Guid>
    <b:Title>Development and Classification of an Operational Definition of Complementary and Alternative Medicine for the Cochrane Collaboration</b:Title>
    <b:JournalName>Alternative Therapies in Health and Medicine</b:JournalName>
    <b:Year>2011</b:Year>
    <b:Pages>50-59</b:Pages>
    <b:Volume>17</b:Volume>
    <b:Issue>2</b:Issue>
    <b:Author>
      <b:Author>
        <b:NameList>
          <b:Person>
            <b:Last>Wieland</b:Last>
            <b:Middle>S</b:Middle>
            <b:First>L</b:First>
          </b:Person>
          <b:Person>
            <b:Last>Manheimer</b:Last>
            <b:First>E</b:First>
          </b:Person>
          <b:Person>
            <b:Last>Berman</b:Last>
            <b:Middle>M</b:Middle>
            <b:First>B</b:First>
          </b:Person>
        </b:NameList>
      </b:Author>
    </b:Author>
    <b:RefOrder>3</b:RefOrder>
  </b:Source>
  <b:Source>
    <b:Tag>Wor00</b:Tag>
    <b:SourceType>Report</b:SourceType>
    <b:Guid>{E4A55731-AB45-4EE1-8F97-71426EB9ACBC}</b:Guid>
    <b:Author>
      <b:Author>
        <b:Corporate>World Health Organization</b:Corporate>
      </b:Author>
    </b:Author>
    <b:Title>General Guidelines for Methodologies on Research and Evaluation of Traditional Medicine</b:Title>
    <b:Year>2000</b:Year>
    <b:City>Geneva</b:City>
    <b:Publisher>World Health Organization</b:Publisher>
    <b:RefOrder>4</b:RefOrder>
  </b:Source>
  <b:Source>
    <b:Tag>Lin10</b:Tag>
    <b:SourceType>Book</b:SourceType>
    <b:Guid>{19D8BE5D-8DF6-4114-9A0C-DC45D9CABD57}</b:Guid>
    <b:Title>Complementary and Alternative Therapies in Nursing</b:Title>
    <b:Year>2010</b:Year>
    <b:Publisher>Springer</b:Publisher>
    <b:City>New York</b:City>
    <b:Edition>8</b:Edition>
    <b:Author>
      <b:Author>
        <b:NameList>
          <b:Person>
            <b:Last>Lindquist</b:Last>
            <b:First>Ruth</b:First>
          </b:Person>
          <b:Person>
            <b:Last>Snyder</b:Last>
            <b:First>Mariah</b:First>
          </b:Person>
        </b:NameList>
      </b:Author>
    </b:Author>
    <b:RefOrder>5</b:RefOrder>
  </b:Source>
  <b:Source>
    <b:Tag>Har00</b:Tag>
    <b:SourceType>JournalArticle</b:SourceType>
    <b:Guid>{5A4AF5E3-427C-45FE-ADFB-F461697891A3}</b:Guid>
    <b:Title>The prevalence of complementary and alternative medicine use among the general population: A systemativ review of the literature</b:Title>
    <b:Year>200</b:Year>
    <b:JournalName>Complementary Therapies in Medicine</b:JournalName>
    <b:Pages>88-96</b:Pages>
    <b:Volume>8</b:Volume>
    <b:Issue>2</b:Issue>
    <b:Author>
      <b:Author>
        <b:NameList>
          <b:Person>
            <b:Last>Harris</b:Last>
            <b:First>P</b:First>
          </b:Person>
          <b:Person>
            <b:Last>Rees</b:Last>
            <b:First>R</b:First>
          </b:Person>
        </b:NameList>
      </b:Author>
    </b:Author>
    <b:RefOrder>6</b:RefOrder>
  </b:Source>
  <b:Source>
    <b:Tag>Abb05</b:Tag>
    <b:SourceType>JournalArticle</b:SourceType>
    <b:Guid>{D0C93C7E-4E16-4B86-8F15-45BE69C6DC23}</b:Guid>
    <b:Author>
      <b:Author>
        <b:NameList>
          <b:Person>
            <b:Last>Abbott</b:Last>
            <b:First>Alison</b:First>
          </b:Person>
        </b:NameList>
      </b:Author>
    </b:Author>
    <b:Title>Survey questions safety of alternative medicine</b:Title>
    <b:JournalName>Nature</b:JournalName>
    <b:Year>2005</b:Year>
    <b:Pages>898</b:Pages>
    <b:Volume>436</b:Volume>
    <b:Issue>18</b:Issue>
    <b:RefOrder>7</b:RefOrder>
  </b:Source>
  <b:Source>
    <b:Tag>Gen13</b:Tag>
    <b:SourceType>Report</b:SourceType>
    <b:Guid>{ED6403D7-7AD2-4337-82E8-7B11F398D1AA}</b:Guid>
    <b:Title>The Code: Standards of conduct, performance and ethics for chiropractors </b:Title>
    <b:Year>2016</b:Year>
    <b:Author>
      <b:Author>
        <b:Corporate>General Chiropractic Council</b:Corporate>
      </b:Author>
    </b:Author>
    <b:Publisher>General Chiropractic Council</b:Publisher>
    <b:City>London</b:City>
    <b:RefOrder>8</b:RefOrder>
  </b:Source>
  <b:Source>
    <b:Tag>Mil01</b:Tag>
    <b:SourceType>JournalArticle</b:SourceType>
    <b:Guid>{4D72234E-BCEC-4A16-9884-A352976C4BCD}</b:Guid>
    <b:Title>Regulation in complementary and alternative medicine</b:Title>
    <b:Year>2001</b:Year>
    <b:Pages>158-160</b:Pages>
    <b:Volume>332</b:Volume>
    <b:Issue>7279</b:Issue>
    <b:Author>
      <b:Author>
        <b:NameList>
          <b:Person>
            <b:Last>Mills</b:Last>
            <b:Middle>Y</b:Middle>
            <b:First>Simon</b:First>
          </b:Person>
        </b:NameList>
      </b:Author>
    </b:Author>
    <b:RefOrder>9</b:RefOrder>
  </b:Source>
  <b:Source>
    <b:Tag>The19</b:Tag>
    <b:SourceType>DocumentFromInternetSite</b:SourceType>
    <b:Guid>{73572C26-31DA-43D6-9569-2F8FC515135A}</b:Guid>
    <b:Title>History of the Regulation of Complementary and Alternative Medicine in the United Kingdom</b:Title>
    <b:Year>2019</b:Year>
    <b:Author>
      <b:Author>
        <b:Corporate>The Federation of Nutritional Therapy Practitioners</b:Corporate>
      </b:Author>
    </b:Author>
    <b:Month>Jan</b:Month>
    <b:Day>01</b:Day>
    <b:YearAccessed>2019</b:YearAccessed>
    <b:MonthAccessed>Jan</b:MonthAccessed>
    <b:DayAccessed>06</b:DayAccessed>
    <b:URL>http://www.fntp.org.uk/history-of-regulation/</b:URL>
    <b:RefOrder>10</b:RefOrder>
  </b:Source>
  <b:Source>
    <b:Tag>Wal02</b:Tag>
    <b:SourceType>JournalArticle</b:SourceType>
    <b:Guid>{83F5C235-6895-4E6E-9BA1-0D2128CAE3C1}</b:Guid>
    <b:Title>UK: the current state of regulation of complementary and alternative medicine</b:Title>
    <b:Year>2002</b:Year>
    <b:JournalName>Complementary Therapies in Medicine</b:JournalName>
    <b:Pages>8-13</b:Pages>
    <b:Volume>10</b:Volume>
    <b:Issue>1</b:Issue>
    <b:Author>
      <b:Author>
        <b:NameList>
          <b:Person>
            <b:Last>Walker</b:Last>
            <b:Middle>A</b:Middle>
            <b:First>L</b:First>
          </b:Person>
          <b:Person>
            <b:Last>Budd</b:Last>
            <b:First>S</b:First>
          </b:Person>
        </b:NameList>
      </b:Author>
    </b:Author>
    <b:RefOrder>11</b:RefOrder>
  </b:Source>
  <b:Source>
    <b:Tag>Mil96</b:Tag>
    <b:SourceType>JournalArticle</b:SourceType>
    <b:Guid>{32C1DB77-F3B7-4935-A65F-776C45771CB3}</b:Guid>
    <b:Title>Safety awareness in complementary medicine </b:Title>
    <b:JournalName>Complementary Therapies in Medicine</b:JournalName>
    <b:Year>1996</b:Year>
    <b:Pages>48-51</b:Pages>
    <b:Volume>4</b:Volume>
    <b:Issue>1</b:Issue>
    <b:Author>
      <b:Author>
        <b:NameList>
          <b:Person>
            <b:Last>Mills</b:Last>
            <b:Middle>Y</b:Middle>
            <b:First>S</b:First>
          </b:Person>
        </b:NameList>
      </b:Author>
    </b:Author>
    <b:RefOrder>12</b:RefOrder>
  </b:Source>
  <b:Source>
    <b:Tag>Wor01</b:Tag>
    <b:SourceType>Report</b:SourceType>
    <b:Guid>{AA49B0F2-656A-41F2-8E40-59A46F4802E0}</b:Guid>
    <b:Title>Legal Status of Traditional Medicine and Complementary/Alternative Medicine: A Worldwide Review</b:Title>
    <b:Year>2001</b:Year>
    <b:Author>
      <b:Author>
        <b:Corporate>World Health Organisation</b:Corporate>
      </b:Author>
    </b:Author>
    <b:City>Switzerland</b:City>
    <b:Publisher>World Health Organisation</b:Publisher>
    <b:RefOrder>13</b:RefOrder>
  </b:Source>
  <b:Source>
    <b:Tag>Met10</b:Tag>
    <b:SourceType>JournalArticle</b:SourceType>
    <b:Guid>{31D13966-B492-4ED2-8627-7C21178D15F6}</b:Guid>
    <b:Title>Use of complementary and alternative medicine by those with a chronic disease and the general population - results of a national population based survey.</b:Title>
    <b:Year>2010</b:Year>
    <b:Author>
      <b:Author>
        <b:NameList>
          <b:Person>
            <b:Last>Metcalfe</b:Last>
            <b:First>A</b:First>
          </b:Person>
          <b:Person>
            <b:Last>Williams</b:Last>
            <b:First>J</b:First>
          </b:Person>
          <b:Person>
            <b:Last>McChesney</b:Last>
            <b:First>J</b:First>
          </b:Person>
          <b:Person>
            <b:Last>Patten</b:Last>
            <b:First>S</b:First>
          </b:Person>
          <b:Person>
            <b:Last>Jette</b:Last>
            <b:First>N</b:First>
          </b:Person>
        </b:NameList>
      </b:Author>
    </b:Author>
    <b:Pages>58</b:Pages>
    <b:Volume>10</b:Volume>
    <b:Issue>1</b:Issue>
    <b:RefOrder>14</b:RefOrder>
  </b:Source>
  <b:Source>
    <b:Tag>Say04</b:Tag>
    <b:SourceType>JournalArticle</b:SourceType>
    <b:Guid>{67ECD488-0CE4-45B1-8D89-3BC53000EFAE}</b:Guid>
    <b:Title>Use of complementary and alternative medicine among adults with chronic diseases : United States, 2002</b:Title>
    <b:JournalName>Seminars in Integrative Medicine</b:JournalName>
    <b:Year>2004</b:Year>
    <b:Pages>54-71</b:Pages>
    <b:Volume>2</b:Volume>
    <b:Issue>2</b:Issue>
    <b:Author>
      <b:Author>
        <b:NameList>
          <b:Person>
            <b:Last>Saydah</b:Last>
            <b:Middle>H</b:Middle>
            <b:First>S</b:First>
          </b:Person>
          <b:Person>
            <b:Last>Eberhardt</b:Last>
            <b:Middle>S</b:Middle>
            <b:First>M</b:First>
          </b:Person>
        </b:NameList>
      </b:Author>
    </b:Author>
    <b:RefOrder>15</b:RefOrder>
  </b:Source>
  <b:Source>
    <b:Tag>See01</b:Tag>
    <b:SourceType>JournalArticle</b:SourceType>
    <b:Guid>{BBE5988B-3232-4F8C-8126-B70C3F3032A5}</b:Guid>
    <b:Title>Complementary and alternative medicine in chronic liver disease</b:Title>
    <b:JournalName>Special Article </b:JournalName>
    <b:Year>2001</b:Year>
    <b:Pages>595-603</b:Pages>
    <b:Volume>34</b:Volume>
    <b:Issue>3</b:Issue>
    <b:Author>
      <b:Author>
        <b:NameList>
          <b:Person>
            <b:Last>Seeff</b:Last>
            <b:Middle>B</b:Middle>
            <b:First>Leonard</b:First>
          </b:Person>
          <b:Person>
            <b:Last>Lindsay</b:Last>
            <b:Middle>L</b:Middle>
            <b:First>Karen</b:First>
          </b:Person>
          <b:Person>
            <b:Last>Bacon</b:Last>
            <b:Middle>R</b:Middle>
            <b:First>Bruce</b:First>
          </b:Person>
          <b:Person>
            <b:Last>Kresina</b:Last>
            <b:Middle>F</b:Middle>
            <b:First>Thomas </b:First>
          </b:Person>
        </b:NameList>
      </b:Author>
    </b:Author>
    <b:RefOrder>16</b:RefOrder>
  </b:Source>
  <b:Source>
    <b:Tag>Wor02</b:Tag>
    <b:SourceType>Report</b:SourceType>
    <b:Guid>{FBDF267C-4350-4FAF-AC81-E476CCEB01AA}</b:Guid>
    <b:Title>Traditional Medicine Stategy</b:Title>
    <b:Year>2002</b:Year>
    <b:City>Geneva</b:City>
    <b:Publisher>World Health Organisation</b:Publisher>
    <b:Author>
      <b:Author>
        <b:Corporate>World Health Organisation</b:Corporate>
      </b:Author>
    </b:Author>
    <b:RefOrder>17</b:RefOrder>
  </b:Source>
  <b:Source>
    <b:Tag>Hil13</b:Tag>
    <b:SourceType>JournalArticle</b:SourceType>
    <b:Guid>{BA184283-20C7-4CD9-AD8E-5FD763FB10B5}</b:Guid>
    <b:Title>Complementary health therapies: Moving towards an integrated health model</b:Title>
    <b:Year>2013</b:Year>
    <b:JournalName>Elsevier</b:JournalName>
    <b:Pages>51-60</b:Pages>
    <b:Volume>20</b:Volume>
    <b:Issue>1</b:Issue>
    <b:Author>
      <b:Author>
        <b:NameList>
          <b:Person>
            <b:Last>Hilbers</b:Last>
            <b:First>Julieanne</b:First>
          </b:Person>
          <b:Person>
            <b:Last>Lewis</b:Last>
            <b:First>Craig</b:First>
          </b:Person>
        </b:NameList>
      </b:Author>
    </b:Author>
    <b:RefOrder>18</b:RefOrder>
  </b:Source>
  <b:Source>
    <b:Tag>Gar11</b:Tag>
    <b:SourceType>JournalArticle</b:SourceType>
    <b:Guid>{552B8E1A-1019-42E4-BAB8-A3AAA3629F71}</b:Guid>
    <b:Title>he lack of knowledge about the voluntary reporting system of adverse drug reactions as a major cause of underreporting: direct survey among health professionals</b:Title>
    <b:JournalName>Pharmacoepidemiol Drug Safety</b:JournalName>
    <b:Year>2011</b:Year>
    <b:Pages>1295-1302</b:Pages>
    <b:Volume>20</b:Volume>
    <b:Issue>12</b:Issue>
    <b:Author>
      <b:Author>
        <b:NameList>
          <b:Person>
            <b:Last>Garcia</b:Last>
            <b:First>Perez</b:First>
          </b:Person>
          <b:Person>
            <b:Last>Figueras</b:Last>
            <b:First>A</b:First>
          </b:Person>
        </b:NameList>
      </b:Author>
    </b:Author>
    <b:RefOrder>19</b:RefOrder>
  </b:Source>
  <b:Source>
    <b:Tag>Val02</b:Tag>
    <b:SourceType>JournalArticle</b:SourceType>
    <b:Guid>{08A05219-7C7D-45E8-9C14-A7ACDF7D2F5E}</b:Guid>
    <b:Title>Benefits adverse effects and drug interactions of herbal therapies with cardiovascular effects</b:Title>
    <b:JournalName>Journal of the American College of Cardiology</b:JournalName>
    <b:Year>2002</b:Year>
    <b:Pages>1083-1095</b:Pages>
    <b:Volume>39</b:Volume>
    <b:Issue>7</b:Issue>
    <b:Author>
      <b:Author>
        <b:NameList>
          <b:Person>
            <b:Last>Valli</b:Last>
            <b:First>G</b:First>
          </b:Person>
          <b:Person>
            <b:Last>Giardina</b:Last>
            <b:Middle>G</b:Middle>
            <b:First>E</b:First>
          </b:Person>
        </b:NameList>
      </b:Author>
    </b:Author>
    <b:RefOrder>20</b:RefOrder>
  </b:Source>
  <b:Source>
    <b:Tag>Sib16</b:Tag>
    <b:SourceType>JournalArticle</b:SourceType>
    <b:Guid>{17F1CB3F-DF32-4132-B832-296064837121}</b:Guid>
    <b:Title>The failure of contemporary law and regulation to keep pace with growing complementary medicine (CM) use: The significance of examining ‘hidden’ gaps in Australia's current regulatory and legislative infrastructure</b:Title>
    <b:JournalName>Advances in Integrative Medicine</b:JournalName>
    <b:Year>2016</b:Year>
    <b:Pages>43-44</b:Pages>
    <b:Volume>3</b:Volume>
    <b:Issue>2</b:Issue>
    <b:Author>
      <b:Author>
        <b:NameList>
          <b:Person>
            <b:Last>Sibbritt</b:Last>
            <b:First>David</b:First>
          </b:Person>
          <b:Person>
            <b:Last>Millbank</b:Last>
            <b:First>Jenni</b:First>
          </b:Person>
          <b:Person>
            <b:Last>Stuhmcke</b:Last>
            <b:First>Anita</b:First>
          </b:Person>
          <b:Person>
            <b:Last>Kaye</b:Last>
            <b:First>Miranda</b:First>
          </b:Person>
          <b:Person>
            <b:Last>Karpin</b:Last>
            <b:First>Isabel</b:First>
          </b:Person>
          <b:Person>
            <b:Last>Wardle</b:Last>
            <b:First>Jon</b:First>
          </b:Person>
        </b:NameList>
      </b:Author>
    </b:Author>
    <b:RefOrder>21</b:RefOrder>
  </b:Source>
  <b:Source>
    <b:Tag>War14</b:Tag>
    <b:SourceType>JournalArticle</b:SourceType>
    <b:Guid>{B17C88AE-1AE0-48C2-81F9-D26407C30E14}</b:Guid>
    <b:Title>Holding unregistered health practitioners to account: an analysis of current regulatory and legislative approaches</b:Title>
    <b:JournalName>J.Med Law</b:JournalName>
    <b:Year>2014</b:Year>
    <b:Pages>350-375</b:Pages>
    <b:Volume>22</b:Volume>
    <b:Issue>2</b:Issue>
    <b:Author>
      <b:Author>
        <b:NameList>
          <b:Person>
            <b:Last>Wardle</b:Last>
            <b:First>J</b:First>
          </b:Person>
        </b:NameList>
      </b:Author>
    </b:Author>
    <b:RefOrder>22</b:RefOrder>
  </b:Source>
  <b:Source>
    <b:Tag>Tab08</b:Tag>
    <b:SourceType>JournalArticle</b:SourceType>
    <b:Guid>{F3B902B3-9548-418C-B186-AE1CBE8EDE09}</b:Guid>
    <b:Title>Complementary and Alternative Healthcare: Is it Evidenced-based?</b:Title>
    <b:Year>2008</b:Year>
    <b:Author>
      <b:Author>
        <b:NameList>
          <b:Person>
            <b:Last>Tabisha </b:Last>
            <b:Middle>A</b:Middle>
            <b:First>S</b:First>
          </b:Person>
        </b:NameList>
      </b:Author>
    </b:Author>
    <b:JournalName>International Journal of Health Sciences</b:JournalName>
    <b:Pages>5-9</b:Pages>
    <b:Volume>2</b:Volume>
    <b:Issue>1</b:Issue>
    <b:RefOrder>23</b:RefOrder>
  </b:Source>
  <b:Source>
    <b:Tag>Mac14</b:Tag>
    <b:SourceType>JournalArticle</b:SourceType>
    <b:Guid>{C31422BD-BF33-4662-8734-099E953FD729}</b:Guid>
    <b:Title>The problem of complementary and alternative medicine use today: Eyes half closed?</b:Title>
    <b:JournalName> Qualitative Health Research</b:JournalName>
    <b:Year>2014</b:Year>
    <b:Pages>114-123</b:Pages>
    <b:Volume>1</b:Volume>
    <b:Author>
      <b:Author>
        <b:NameList>
          <b:Person>
            <b:Last>MacArtney</b:Last>
            <b:Middle>I</b:Middle>
            <b:First>J</b:First>
          </b:Person>
          <b:Person>
            <b:Last>Wahlberg</b:Last>
            <b:First>A</b:First>
          </b:Person>
        </b:NameList>
      </b:Author>
    </b:Author>
    <b:RefOrder>24</b:RefOrder>
  </b:Source>
  <b:Source>
    <b:Tag>Bar08</b:Tag>
    <b:SourceType>JournalArticle</b:SourceType>
    <b:Guid>{896CE7CE-A91F-49D5-A78D-35DFD1221D9F}</b:Guid>
    <b:Title>Complementary and alternative medicine use among adults and children: United States, 2007</b:Title>
    <b:JournalName>National Health Statistics Report</b:JournalName>
    <b:Year>2008</b:Year>
    <b:Pages>1-23</b:Pages>
    <b:Volume>12</b:Volume>
    <b:Author>
      <b:Author>
        <b:NameList>
          <b:Person>
            <b:Last>Barnes</b:Last>
            <b:Middle>M</b:Middle>
            <b:First>P</b:First>
          </b:Person>
          <b:Person>
            <b:Last>Bloom</b:Last>
            <b:First>B</b:First>
          </b:Person>
          <b:Person>
            <b:Last>Nahin</b:Last>
            <b:Middle>L</b:Middle>
            <b:First>R</b:First>
          </b:Person>
        </b:NameList>
      </b:Author>
    </b:Author>
    <b:RefOrder>25</b:RefOrder>
  </b:Source>
  <b:Source>
    <b:Tag>GRC19</b:Tag>
    <b:SourceType>InternetSite</b:SourceType>
    <b:Guid>{42C03CA9-6252-4742-857B-8EF44DDF9C28}</b:Guid>
    <b:Title>Welcome to the GRCCT - The UK Federal Regulator for Complementary Therapies</b:Title>
    <b:Year>2019</b:Year>
    <b:InternetSiteTitle>The General Regulatory Council for Complementary Therapies</b:InternetSiteTitle>
    <b:Month>Jan</b:Month>
    <b:Day>01</b:Day>
    <b:URL>http://www.grcct.org/about-us/</b:URL>
    <b:Author>
      <b:Author>
        <b:Corporate>GRCCT</b:Corporate>
      </b:Author>
    </b:Author>
    <b:YearAccessed>2019</b:YearAccessed>
    <b:MonthAccessed>February</b:MonthAccessed>
    <b:DayAccessed>14</b:DayAccessed>
    <b:RefOrder>26</b:RefOrder>
  </b:Source>
</b:Sources>
</file>

<file path=customXml/itemProps1.xml><?xml version="1.0" encoding="utf-8"?>
<ds:datastoreItem xmlns:ds="http://schemas.openxmlformats.org/officeDocument/2006/customXml" ds:itemID="{F28C8CC8-E28B-40B2-82F3-2726500EA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8</Pages>
  <Words>2592</Words>
  <Characters>14779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Evans (1706137)</dc:creator>
  <cp:keywords/>
  <dc:description/>
  <cp:lastModifiedBy>Diana Evans</cp:lastModifiedBy>
  <cp:revision>507</cp:revision>
  <dcterms:created xsi:type="dcterms:W3CDTF">2019-01-03T18:49:00Z</dcterms:created>
  <dcterms:modified xsi:type="dcterms:W3CDTF">2020-05-01T09:25:00Z</dcterms:modified>
</cp:coreProperties>
</file>