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89EF2E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F37C8">
              <w:rPr>
                <w:rFonts w:ascii="Times New Roman" w:hAnsi="Times New Roman" w:cs="Times New Roman"/>
                <w:b/>
                <w:color w:val="auto"/>
                <w:sz w:val="48"/>
              </w:rPr>
              <w:t>Ellie Nash-McNeil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A5D44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F37C8">
              <w:rPr>
                <w:rFonts w:ascii="Times New Roman" w:hAnsi="Times New Roman" w:cs="Times New Roman"/>
                <w:b/>
                <w:color w:val="auto"/>
                <w:sz w:val="48"/>
              </w:rPr>
              <w:t xml:space="preserve"> ellienash86@icloud.com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15E86D7" w:rsidR="0085230E" w:rsidRPr="005D3F07" w:rsidRDefault="00E5338F" w:rsidP="005D3F07">
            <w:pPr>
              <w:overflowPunct/>
              <w:autoSpaceDE/>
              <w:autoSpaceDN/>
              <w:adjustRightInd/>
              <w:ind w:right="-957"/>
              <w:textAlignment w:val="auto"/>
              <w:rPr>
                <w:rFonts w:ascii="Times New Roman" w:hAnsi="Times New Roman" w:cs="Times New Roman"/>
                <w:b/>
                <w:color w:val="auto"/>
                <w:sz w:val="48"/>
              </w:rPr>
            </w:pPr>
            <w:r w:rsidRPr="00E5338F">
              <w:rPr>
                <w:rFonts w:ascii="Times New Roman" w:hAnsi="Times New Roman" w:cs="Times New Roman"/>
                <w:b/>
                <w:color w:val="auto"/>
                <w:sz w:val="48"/>
              </w:rPr>
              <w:t>2519408</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B10785D" w14:textId="77777777" w:rsidR="003442EF" w:rsidRPr="001810AE" w:rsidRDefault="003442EF" w:rsidP="003442EF">
            <w:pPr>
              <w:spacing w:line="360" w:lineRule="auto"/>
              <w:jc w:val="both"/>
              <w:rPr>
                <w:sz w:val="24"/>
                <w:szCs w:val="24"/>
              </w:rPr>
            </w:pPr>
            <w:r w:rsidRPr="001810AE">
              <w:rPr>
                <w:sz w:val="24"/>
                <w:szCs w:val="24"/>
              </w:rPr>
              <w:t>This critical analysis reflects on how I applied analysis within assessment to inform safeguarding interventions for Person 1 and Person 2. The assessment was undertaken within a rural local authority area in Wales, with all identifying information anonymised in accordance with professional standards for the purpose of this assignment. For confidentiality, the children are referred to as Person 1 and Person 2, and their parents are referred to as Person 3 and Person 4</w:t>
            </w:r>
          </w:p>
          <w:p w14:paraId="61E64560" w14:textId="77777777" w:rsidR="003442EF" w:rsidRPr="001810AE" w:rsidRDefault="003442EF" w:rsidP="003442EF">
            <w:pPr>
              <w:spacing w:line="360" w:lineRule="auto"/>
              <w:jc w:val="both"/>
              <w:rPr>
                <w:sz w:val="24"/>
                <w:szCs w:val="24"/>
              </w:rPr>
            </w:pPr>
            <w:r w:rsidRPr="001810AE">
              <w:rPr>
                <w:sz w:val="24"/>
                <w:szCs w:val="24"/>
              </w:rPr>
              <w:t>The assessment followed a police referral relating to domestic abuse, substance misuse and concerns regarding the children's safety. Due to the level of risk, Person 4 sought police support, and the police made an immediate safeguarding referral to Children’s Services.</w:t>
            </w:r>
          </w:p>
          <w:p w14:paraId="5A00598D" w14:textId="77777777" w:rsidR="003442EF" w:rsidRPr="001810AE" w:rsidRDefault="003442EF" w:rsidP="003442EF">
            <w:pPr>
              <w:spacing w:line="360" w:lineRule="auto"/>
              <w:jc w:val="both"/>
              <w:rPr>
                <w:sz w:val="24"/>
                <w:szCs w:val="24"/>
              </w:rPr>
            </w:pPr>
            <w:r w:rsidRPr="001810AE">
              <w:rPr>
                <w:sz w:val="24"/>
                <w:szCs w:val="24"/>
              </w:rPr>
              <w:t>At the point of receiving the multiagency referral form, Person 4 was initially identified as a protective factor. Person 4 engaged with Children’s Services and consented to a Well</w:t>
            </w:r>
            <w:r w:rsidRPr="001810AE">
              <w:rPr>
                <w:sz w:val="24"/>
                <w:szCs w:val="24"/>
              </w:rPr>
              <w:noBreakHyphen/>
              <w:t xml:space="preserve">being Assessment under the Social Services and Wellbeing (Wales) Act 2014 (SSWBWA 2014), stating that they were protecting the children by preventing further contact with Person 3. At this stage, information from other professionals appeared to support this position. No </w:t>
            </w:r>
            <w:r w:rsidRPr="001810AE">
              <w:rPr>
                <w:sz w:val="24"/>
                <w:szCs w:val="24"/>
              </w:rPr>
              <w:lastRenderedPageBreak/>
              <w:t>immediate safeguarding concerns were evident within education or health information and contact with Person 3 was reportedly restricted through a restraining order imposed by a judge.</w:t>
            </w:r>
          </w:p>
          <w:p w14:paraId="5A7862B8" w14:textId="77777777" w:rsidR="003442EF" w:rsidRPr="001810AE" w:rsidRDefault="003442EF" w:rsidP="003442EF">
            <w:pPr>
              <w:spacing w:line="360" w:lineRule="auto"/>
              <w:jc w:val="both"/>
              <w:rPr>
                <w:sz w:val="24"/>
                <w:szCs w:val="24"/>
              </w:rPr>
            </w:pPr>
            <w:r w:rsidRPr="001810AE">
              <w:rPr>
                <w:sz w:val="24"/>
                <w:szCs w:val="24"/>
              </w:rPr>
              <w:t>My analysis was informed by the Social Services and Well-being (Wales) Act 2014, the Children Act 1989 and relevant Welsh safeguarding guidance, ensuring that decisions were lawful, proportionate and child centred. My evaluation was additionally shaped by statutory and procedural guidance, such as "Working Together to Safeguard People: Volume 5 – Handling Individual Cases to Protect Children at Risk (Wales)," which details safeguarding thresholds, the roles of professionals, and the statutory timelines involved. The Wales Safeguarding Procedures, along with guidance from local safeguarding boards (</w:t>
            </w:r>
            <w:proofErr w:type="spellStart"/>
            <w:r w:rsidRPr="001810AE">
              <w:rPr>
                <w:sz w:val="24"/>
                <w:szCs w:val="24"/>
              </w:rPr>
              <w:t>xxxx</w:t>
            </w:r>
            <w:proofErr w:type="spellEnd"/>
            <w:r w:rsidRPr="001810AE">
              <w:rPr>
                <w:sz w:val="24"/>
                <w:szCs w:val="24"/>
              </w:rPr>
              <w:t xml:space="preserve"> Safeguarding Policy, Ref: xxx), further informed my professional judgment on matters of escalation and intervention.</w:t>
            </w:r>
          </w:p>
          <w:p w14:paraId="57700748" w14:textId="77777777" w:rsidR="003442EF" w:rsidRPr="001810AE" w:rsidRDefault="003442EF" w:rsidP="003442EF">
            <w:pPr>
              <w:spacing w:line="360" w:lineRule="auto"/>
              <w:jc w:val="both"/>
              <w:rPr>
                <w:sz w:val="24"/>
                <w:szCs w:val="24"/>
              </w:rPr>
            </w:pPr>
            <w:r w:rsidRPr="001810AE">
              <w:rPr>
                <w:sz w:val="24"/>
                <w:szCs w:val="24"/>
              </w:rPr>
              <w:t>Central to my assessment was ensuring that the voices and lived experiences of Person 1 and Person 2 informed analysis and decision-making throughout the assessment. Direct work, observation and individual discussions enabled me to understand the impact of instability, unpredictability and exposure to risk from the children's perspectives, rather than relying solely on adult accounts or other professional information. This approach is further underpinned by the United Nations Convention on the Rights of the Child (1989), particularly Article 12, which shares children’s right to be heard in matters affecting them, and Article 3, which establishes that their best interests must be a primary consideration. Promoting the children’s voices was crucial in informing analysis, challenging assumptions about safety, and ensuring that safeguarding decisions were grounded in their lived experience. By keeping their voices central, I was better able to assess risk holistically and avoid being led by adult viewpoints, and ensure that interventions remained child-focused, proportionate, and ethically sound.</w:t>
            </w:r>
          </w:p>
          <w:p w14:paraId="7FD43835" w14:textId="77777777" w:rsidR="003442EF" w:rsidRPr="001810AE" w:rsidRDefault="003442EF" w:rsidP="003442EF">
            <w:pPr>
              <w:spacing w:line="360" w:lineRule="auto"/>
              <w:jc w:val="both"/>
              <w:rPr>
                <w:sz w:val="24"/>
                <w:szCs w:val="24"/>
              </w:rPr>
            </w:pPr>
            <w:r w:rsidRPr="001810AE">
              <w:rPr>
                <w:sz w:val="24"/>
                <w:szCs w:val="24"/>
              </w:rPr>
              <w:t xml:space="preserve">During the consent based 42-day assessment in Wales which is undertaken in accordance with Part 3 of the Social Services and Well-being (Wales) Act 2014, a Family Network Meeting was convened in line with the Signs of Safety model used within the local authority. This meeting was critical in enabling wider family voices to contribute to the assessment and to test emerging safety narratives. Despite initial professional reassurance, I applied professional curiosity throughout the assessment. Information provided by partner agencies suggested that the children’s needs were being met and that risks were being managed. </w:t>
            </w:r>
            <w:r w:rsidRPr="001810AE">
              <w:rPr>
                <w:sz w:val="24"/>
                <w:szCs w:val="24"/>
              </w:rPr>
              <w:lastRenderedPageBreak/>
              <w:t>However, drawing on the Iceberg Theory (Munro, 2011), I recognised that this information represented only what was visible “above the surface”. Surface indicators such as attendance at school, involvement from the health visitor and intermittent engagement from Person 4, and verbal assurances did not necessarily reflect the children’s actual lived experiences.</w:t>
            </w:r>
          </w:p>
          <w:p w14:paraId="0B7D4E68" w14:textId="77777777" w:rsidR="003442EF" w:rsidRPr="001810AE" w:rsidRDefault="003442EF" w:rsidP="003442EF">
            <w:pPr>
              <w:spacing w:line="360" w:lineRule="auto"/>
              <w:jc w:val="both"/>
              <w:rPr>
                <w:sz w:val="24"/>
                <w:szCs w:val="24"/>
              </w:rPr>
            </w:pPr>
            <w:r w:rsidRPr="001810AE">
              <w:rPr>
                <w:sz w:val="24"/>
                <w:szCs w:val="24"/>
              </w:rPr>
              <w:t>Through deeper enquiry, including review of historical involvement, analysis of patterns of engagement, and information emerging from the Family Network Meeting, concerns were raised that the children were continuing to have unsupervised contact with Person 3, and although person 4 was presenting as a protective factor, there were further safeguarding worries raised by family member about their ability and availability to care for Person 1 and 2. Family members reported these concerns to the police and the out</w:t>
            </w:r>
            <w:r w:rsidRPr="001810AE">
              <w:rPr>
                <w:sz w:val="24"/>
                <w:szCs w:val="24"/>
              </w:rPr>
              <w:noBreakHyphen/>
              <w:t>of</w:t>
            </w:r>
            <w:r w:rsidRPr="001810AE">
              <w:rPr>
                <w:sz w:val="24"/>
                <w:szCs w:val="24"/>
              </w:rPr>
              <w:noBreakHyphen/>
              <w:t>hours children’s social work service as directed as part of the safety plan formulated within the family network meeting. Subsequent checks by police found that Person 1 and Person 2 were in the care of Person 3, who was again under the influence of substances while supervising them. This significantly altered the safeguarding assessment, as it demonstrated ongoing exposure to risk and highlighted that both parents were now unable to consistently protect the children. Professional curiosity was also exercised through my collaborative working with the Probation Service, which formed an important part of the wider safeguarding assessment. Information shared by probation indicated that Person 3 had stated they were caring for Person 1 and Person 2 on an “every other weekend” basis. This information contrasted with assurances previously given by Person 4 regarding restricted contact and was not fully reflected in information initially shared by other professionals. Exploring this discrepancy and triangulating information across agencies, I was able to identify inconsistencies in the safeguarding narrative and gain a clearer understanding of the children’s actual care arrangements.</w:t>
            </w:r>
            <w:r w:rsidRPr="001810AE">
              <w:rPr>
                <w:rFonts w:ascii="Segoe UI" w:hAnsi="Segoe UI" w:cs="Segoe UI"/>
                <w:sz w:val="24"/>
                <w:szCs w:val="24"/>
              </w:rPr>
              <w:t xml:space="preserve"> </w:t>
            </w:r>
            <w:r w:rsidRPr="001810AE">
              <w:rPr>
                <w:sz w:val="24"/>
                <w:szCs w:val="24"/>
              </w:rPr>
              <w:t>Triangulating information from multiple agencies strengthened my analysis by enabling me to test assumptions and develop a more accurate understanding of the children’s lived experience. By cross</w:t>
            </w:r>
            <w:r w:rsidRPr="001810AE">
              <w:rPr>
                <w:sz w:val="24"/>
                <w:szCs w:val="24"/>
              </w:rPr>
              <w:noBreakHyphen/>
              <w:t>referencing accounts from children, carers, education, health, police and other agencies, social workers enabled me to be able to detect hidden harm and emerging risks. Contemporary learning from safeguarding reviews highlights that failures to triangulate information can lead to drift, over</w:t>
            </w:r>
            <w:r w:rsidRPr="001810AE">
              <w:rPr>
                <w:sz w:val="24"/>
                <w:szCs w:val="24"/>
              </w:rPr>
              <w:noBreakHyphen/>
              <w:t>optimism and missed opportunities to protect children (NSPCC, 2023). Triangulation therefore supported my professional curiosity, strengthened my analytical decision</w:t>
            </w:r>
            <w:r w:rsidRPr="001810AE">
              <w:rPr>
                <w:sz w:val="24"/>
                <w:szCs w:val="24"/>
              </w:rPr>
              <w:noBreakHyphen/>
              <w:t>making, and ensured that safeguarding interventions are child</w:t>
            </w:r>
            <w:r w:rsidRPr="001810AE">
              <w:rPr>
                <w:sz w:val="24"/>
                <w:szCs w:val="24"/>
              </w:rPr>
              <w:noBreakHyphen/>
              <w:t xml:space="preserve">centred, </w:t>
            </w:r>
            <w:r w:rsidRPr="001810AE">
              <w:rPr>
                <w:sz w:val="24"/>
                <w:szCs w:val="24"/>
              </w:rPr>
              <w:lastRenderedPageBreak/>
              <w:t>proportionate and evidence</w:t>
            </w:r>
            <w:r w:rsidRPr="001810AE">
              <w:rPr>
                <w:sz w:val="24"/>
                <w:szCs w:val="24"/>
              </w:rPr>
              <w:noBreakHyphen/>
              <w:t>based, in line with statutory guidance and best practice. Being an evidence</w:t>
            </w:r>
            <w:r w:rsidRPr="001810AE">
              <w:rPr>
                <w:sz w:val="24"/>
                <w:szCs w:val="24"/>
              </w:rPr>
              <w:noBreakHyphen/>
              <w:t>based practitioner is fundamental to safe, ethical and effective social work practice, particularly within safeguarding contexts where decisions may have significant and long</w:t>
            </w:r>
            <w:r w:rsidRPr="001810AE">
              <w:rPr>
                <w:sz w:val="24"/>
                <w:szCs w:val="24"/>
              </w:rPr>
              <w:noBreakHyphen/>
              <w:t>term consequences for Person 1 and 2.</w:t>
            </w:r>
          </w:p>
          <w:p w14:paraId="613596B7" w14:textId="77777777" w:rsidR="003442EF" w:rsidRPr="001810AE" w:rsidRDefault="003442EF" w:rsidP="003442EF">
            <w:pPr>
              <w:spacing w:line="360" w:lineRule="auto"/>
              <w:jc w:val="both"/>
              <w:rPr>
                <w:sz w:val="24"/>
                <w:szCs w:val="24"/>
              </w:rPr>
            </w:pPr>
            <w:r w:rsidRPr="001810AE">
              <w:rPr>
                <w:sz w:val="24"/>
                <w:szCs w:val="24"/>
              </w:rPr>
              <w:t>When working with this family, it became increasingly challenging to assess the accuracy and reliability of the information being shared. Over the course of my first to third meetings with Person 1 and Person 2, I observed notable changes in their narratives and presentation, which indicated that they had likely been prompted on what to say and what to avoid disclosing. This raised professional concern that the children may still have been exposed to risky situations. While these observations generated a sense of unease, I recognised that professional insight alone was insufficient to justify safeguarding decision</w:t>
            </w:r>
            <w:r w:rsidRPr="001810AE">
              <w:rPr>
                <w:sz w:val="24"/>
                <w:szCs w:val="24"/>
              </w:rPr>
              <w:noBreakHyphen/>
              <w:t>making. As such, it was necessary to ground these concerns in evidence through the family network acting as protective factors. This approach ensured that my assessment remained analytical, defensible and focused on the children’s lived experience rather than reliance on instinct alone.</w:t>
            </w:r>
          </w:p>
          <w:p w14:paraId="5FE3C764" w14:textId="77777777" w:rsidR="003442EF" w:rsidRPr="001810AE" w:rsidRDefault="003442EF" w:rsidP="003442EF">
            <w:pPr>
              <w:spacing w:line="360" w:lineRule="auto"/>
              <w:jc w:val="both"/>
              <w:rPr>
                <w:sz w:val="24"/>
                <w:szCs w:val="24"/>
              </w:rPr>
            </w:pPr>
            <w:r w:rsidRPr="001810AE">
              <w:rPr>
                <w:sz w:val="24"/>
                <w:szCs w:val="24"/>
              </w:rPr>
              <w:t>This demonstrated the importance of robust information</w:t>
            </w:r>
            <w:r w:rsidRPr="001810AE">
              <w:rPr>
                <w:sz w:val="24"/>
                <w:szCs w:val="24"/>
              </w:rPr>
              <w:noBreakHyphen/>
              <w:t>sharing and professional curiosity within multiagency working, the reliance of the safety network as reliance on single</w:t>
            </w:r>
            <w:r w:rsidRPr="001810AE">
              <w:rPr>
                <w:sz w:val="24"/>
                <w:szCs w:val="24"/>
              </w:rPr>
              <w:noBreakHyphen/>
              <w:t>source information could have resulted in an underestimation of risk. The information obtained from probation directly and the protective factors reporting risk to the police informed my analysis of parental protective capacity and contributed to the decision to escalate safeguarding concerns in accordance with statutory guidance. This process reinforced the importance of moving beyond surface</w:t>
            </w:r>
            <w:r w:rsidRPr="001810AE">
              <w:rPr>
                <w:sz w:val="24"/>
                <w:szCs w:val="24"/>
              </w:rPr>
              <w:noBreakHyphen/>
              <w:t xml:space="preserve">level reassurance, recognising disguised compliance, and applying analytical thinking to identify hidden harm and growing risk. The Iceberg Theory provided a conceptual framework to understand how serious safeguarding concerns can remain concealed unless actively explored. Throughout this assessment, I was mindful of the concept of </w:t>
            </w:r>
            <w:r w:rsidRPr="001810AE">
              <w:rPr>
                <w:i/>
                <w:iCs/>
                <w:sz w:val="24"/>
                <w:szCs w:val="24"/>
              </w:rPr>
              <w:t>disguised compliance</w:t>
            </w:r>
            <w:r w:rsidRPr="001810AE">
              <w:rPr>
                <w:sz w:val="24"/>
                <w:szCs w:val="24"/>
              </w:rPr>
              <w:t xml:space="preserve"> which I used evaluation from recent training I had attended, while also remaining critically reflective about how the term itself is used in practice. Recent learning from child safeguarding reviews highlights that apparent parental co</w:t>
            </w:r>
            <w:r w:rsidRPr="001810AE">
              <w:rPr>
                <w:sz w:val="24"/>
                <w:szCs w:val="24"/>
              </w:rPr>
              <w:noBreakHyphen/>
              <w:t>operation can mask ongoing risk when professionals rely on surface</w:t>
            </w:r>
            <w:r w:rsidRPr="001810AE">
              <w:rPr>
                <w:sz w:val="24"/>
                <w:szCs w:val="24"/>
              </w:rPr>
              <w:noBreakHyphen/>
              <w:t xml:space="preserve">level engagement rather than sustained change in children’s lived experiences (NSPCC, 2025). In this case, initial assurances from Person 4 suggested protective action; however, information from partner agencies and family members revealed inconsistencies that required further exploration and increased </w:t>
            </w:r>
            <w:r w:rsidRPr="001810AE">
              <w:rPr>
                <w:sz w:val="24"/>
                <w:szCs w:val="24"/>
              </w:rPr>
              <w:lastRenderedPageBreak/>
              <w:t>safeguarding measures. At the same time, contemporary safeguarding literature cautions that the term “disguised compliance” can become oppressive and blaming if used uncritically, as it locates risk solely within parental behaviour and may obscure factors such as fear, trauma, power imbalance, or previous negative experiences with professionals (NSPCC, 2025; Leigh, Beddoe and Keddell, 2020). Recognising this, I avoided using the label as a shorthand explanation and instead focused on describing observed behaviours, testing evidence through professional curiosity, and analysing parental capacity to sustain change in line with the child’s lived experience. This approach aligns with rights</w:t>
            </w:r>
            <w:r w:rsidRPr="001810AE">
              <w:rPr>
                <w:sz w:val="24"/>
                <w:szCs w:val="24"/>
              </w:rPr>
              <w:noBreakHyphen/>
              <w:t>based, trauma</w:t>
            </w:r>
            <w:r w:rsidRPr="001810AE">
              <w:rPr>
                <w:sz w:val="24"/>
                <w:szCs w:val="24"/>
              </w:rPr>
              <w:noBreakHyphen/>
              <w:t>informed and non</w:t>
            </w:r>
            <w:r w:rsidRPr="001810AE">
              <w:rPr>
                <w:sz w:val="24"/>
                <w:szCs w:val="24"/>
              </w:rPr>
              <w:noBreakHyphen/>
              <w:t xml:space="preserve">oppressive practice, ensuring that challenge is applied respectfully while maintaining a clear safeguarding focus grounded in the welfare of Person 1 and Person 2. </w:t>
            </w:r>
          </w:p>
          <w:p w14:paraId="40652A29" w14:textId="77777777" w:rsidR="003442EF" w:rsidRPr="001810AE" w:rsidRDefault="003442EF" w:rsidP="003442EF">
            <w:pPr>
              <w:spacing w:line="360" w:lineRule="auto"/>
              <w:jc w:val="both"/>
              <w:rPr>
                <w:sz w:val="24"/>
                <w:szCs w:val="24"/>
              </w:rPr>
            </w:pPr>
            <w:r w:rsidRPr="001810AE">
              <w:rPr>
                <w:sz w:val="24"/>
                <w:szCs w:val="24"/>
              </w:rPr>
              <w:t>In line with Working Together to Safeguard People (Wales), I focused on the growing impact of concerns rather than viewing incidents in isolation. Chronological analysis was central to this process, revealing patterns of domestic abuse, substance misuse, parental instability, and inconsistent safeguarding responses. Research highlighted that effective use of chronologies strengthens analytical decision</w:t>
            </w:r>
            <w:r w:rsidRPr="001810AE">
              <w:rPr>
                <w:sz w:val="24"/>
                <w:szCs w:val="24"/>
              </w:rPr>
              <w:noBreakHyphen/>
              <w:t>making, supports professional curiosity and provides a robust evidence base for escalation under child protection procedures (Research in Practice, 2019). The chronology was able to identify patterns that while engagement with services occurred at times, it was inconsistent and often coincided with professional challenge also the short time services were involved the risk’s that the children were exposed to and the level of support that was offered to the family and lack of engagement. This required me to distinguish between temporary compliance and sustainable change. My analysis therefore considered not only parental intent, but parental capacity to sustain protective behaviour, particularly in the context of substance misuse, mental health difficulties, and limited informal support networks.</w:t>
            </w:r>
          </w:p>
          <w:p w14:paraId="040F30C7" w14:textId="77777777" w:rsidR="003442EF" w:rsidRPr="001810AE" w:rsidRDefault="003442EF" w:rsidP="003442EF">
            <w:pPr>
              <w:spacing w:line="360" w:lineRule="auto"/>
              <w:jc w:val="both"/>
              <w:rPr>
                <w:sz w:val="24"/>
                <w:szCs w:val="24"/>
              </w:rPr>
            </w:pPr>
            <w:r w:rsidRPr="001810AE">
              <w:rPr>
                <w:sz w:val="24"/>
                <w:szCs w:val="24"/>
              </w:rPr>
              <w:t>Accurate recording formed a critical element of safe, ethical and defensible safeguarding practice throughout my involvement with this family. I ensured that assessment records were clear, analytical and accurate, with chronologies maintained to evidence patterns and cumulative concerns over time. Recording information, observation, analysis and professional judgement, which supported transparency and reduced the risk of assumption</w:t>
            </w:r>
            <w:r w:rsidRPr="001810AE">
              <w:rPr>
                <w:sz w:val="24"/>
                <w:szCs w:val="24"/>
              </w:rPr>
              <w:noBreakHyphen/>
              <w:t>based decision</w:t>
            </w:r>
            <w:r w:rsidRPr="001810AE">
              <w:rPr>
                <w:sz w:val="24"/>
                <w:szCs w:val="24"/>
              </w:rPr>
              <w:noBreakHyphen/>
              <w:t>making. High</w:t>
            </w:r>
            <w:r w:rsidRPr="001810AE">
              <w:rPr>
                <w:sz w:val="24"/>
                <w:szCs w:val="24"/>
              </w:rPr>
              <w:noBreakHyphen/>
              <w:t xml:space="preserve">quality recording was essential in enabling effective multiagency information sharing, supporting accountability, and providing a robust evidence base for </w:t>
            </w:r>
            <w:r w:rsidRPr="001810AE">
              <w:rPr>
                <w:sz w:val="24"/>
                <w:szCs w:val="24"/>
              </w:rPr>
              <w:lastRenderedPageBreak/>
              <w:t>escalation under safeguarding procedures where thresholds are met. Modern safeguarding guidelines underscore the importance of thorough and effective recording practices. By ensuring accurate documentation, professionals can mitigate delays, allowed me to develop a clearer understanding of risks, and identify opportunities to protect person 1 and 2. Furthermore, adopting an analytical approach to recording enhances professional judgment and strengthens defensibility in decision-making. (NSPCC, 2023). Reflecting on this, I recognised recording not simply as an administrative task but as an integral professional responsibility that directly contributes to child</w:t>
            </w:r>
            <w:r w:rsidRPr="001810AE">
              <w:rPr>
                <w:sz w:val="24"/>
                <w:szCs w:val="24"/>
              </w:rPr>
              <w:noBreakHyphen/>
              <w:t>centred, evidence</w:t>
            </w:r>
            <w:r w:rsidRPr="001810AE">
              <w:rPr>
                <w:sz w:val="24"/>
                <w:szCs w:val="24"/>
              </w:rPr>
              <w:noBreakHyphen/>
              <w:t>based and proportionate safeguarding intervention (SCIE, 2026)</w:t>
            </w:r>
          </w:p>
          <w:p w14:paraId="55CEF984" w14:textId="77777777" w:rsidR="003442EF" w:rsidRPr="001810AE" w:rsidRDefault="003442EF" w:rsidP="003442EF">
            <w:pPr>
              <w:spacing w:line="360" w:lineRule="auto"/>
              <w:jc w:val="both"/>
              <w:rPr>
                <w:sz w:val="24"/>
                <w:szCs w:val="24"/>
              </w:rPr>
            </w:pPr>
            <w:r w:rsidRPr="001810AE">
              <w:rPr>
                <w:sz w:val="24"/>
                <w:szCs w:val="24"/>
              </w:rPr>
              <w:t>A multiagency strategy discussion was scheduled based on gathered information and supervision discussions. Following a multiagency strategy discussion, a Section 47 enquiry was initiated under the Working Together to Safeguard People: Volume 5 – Handling Individual Cases to Protect Children at Risk (Welsh Government, 2018)</w:t>
            </w:r>
          </w:p>
          <w:p w14:paraId="004711C7" w14:textId="77777777" w:rsidR="003442EF" w:rsidRPr="001810AE" w:rsidRDefault="003442EF" w:rsidP="003442EF">
            <w:pPr>
              <w:spacing w:line="360" w:lineRule="auto"/>
              <w:jc w:val="both"/>
              <w:rPr>
                <w:sz w:val="24"/>
                <w:szCs w:val="24"/>
              </w:rPr>
            </w:pPr>
            <w:r w:rsidRPr="001810AE">
              <w:rPr>
                <w:sz w:val="24"/>
                <w:szCs w:val="24"/>
              </w:rPr>
              <w:t>This statutory guidance sets out how agencies in Wales should respond to safeguarding concerns and undertake child protection processes, including Section 47 enquiries. The decision to initiate a Section 47 enquiry highlighted the tension between safeguarding duties and maintaining collaborative relationships with parents. This required me to balance statutory authority with transparent and respectful engagement,</w:t>
            </w:r>
            <w:r w:rsidRPr="001810AE">
              <w:rPr>
                <w:rFonts w:ascii="Segoe UI" w:hAnsi="Segoe UI" w:cs="Segoe UI"/>
                <w:sz w:val="24"/>
                <w:szCs w:val="24"/>
              </w:rPr>
              <w:t xml:space="preserve"> </w:t>
            </w:r>
            <w:r w:rsidRPr="001810AE">
              <w:rPr>
                <w:sz w:val="24"/>
                <w:szCs w:val="24"/>
              </w:rPr>
              <w:t>a particular challenge was managing the tension between exercising legal responsibilities to safeguard children and developing honest, collaborative relationships with parents that support meaningful change. Whilst legislation provides the authority to intervene when children are at risk of harm, effective safeguarding also requires practitioners to work alongside parents, helping them understand the impact of their behaviours on their children's wellbeing and encouraging them to take ownership of the changes needed to keep their children safe. This reflects the child-centred and whole-family approach promoted within Working Together to Safeguard Children, which emphasises partnership with families whilst maintaining the child's welfare as the paramount consideration (Department for Education, 2026).</w:t>
            </w:r>
          </w:p>
          <w:p w14:paraId="4181A415" w14:textId="77777777" w:rsidR="003442EF" w:rsidRPr="001810AE" w:rsidRDefault="003442EF" w:rsidP="003442EF">
            <w:pPr>
              <w:spacing w:line="360" w:lineRule="auto"/>
              <w:jc w:val="both"/>
              <w:rPr>
                <w:sz w:val="24"/>
                <w:szCs w:val="24"/>
              </w:rPr>
            </w:pPr>
            <w:r w:rsidRPr="001810AE">
              <w:rPr>
                <w:sz w:val="24"/>
                <w:szCs w:val="24"/>
              </w:rPr>
              <w:t xml:space="preserve">While Section 47 intervention is essential for safeguarding, it can often feel intrusive, disempowering, and oppressive for parents. This process involves increased scrutiny, sharing information without consent, and the risk of forced state intervention, which undermines the partnership approach and creates an imbalance in the working relationship. Delving deeper </w:t>
            </w:r>
            <w:r w:rsidRPr="001810AE">
              <w:rPr>
                <w:sz w:val="24"/>
                <w:szCs w:val="24"/>
              </w:rPr>
              <w:lastRenderedPageBreak/>
              <w:t>into this social work literature highlights that such processes can reinforce power imbalances between professionals and families, particularly where parents experience fear, shame or distrust of statutory services (Featherstone, Gupta, Morris and White, 2018). Reflecting on this, I was mindful of the ethical tension between safeguarding responsibilities and relational practice. To mitigate the potentially oppressive impact of Section 47 processes, I remained committed to working openly, transparently and respectfully with parents, clearly explaining concerns, processes and decision</w:t>
            </w:r>
            <w:r w:rsidRPr="001810AE">
              <w:rPr>
                <w:sz w:val="24"/>
                <w:szCs w:val="24"/>
              </w:rPr>
              <w:noBreakHyphen/>
              <w:t>making while maintaining a child</w:t>
            </w:r>
            <w:r w:rsidRPr="001810AE">
              <w:rPr>
                <w:sz w:val="24"/>
                <w:szCs w:val="24"/>
              </w:rPr>
              <w:noBreakHyphen/>
              <w:t>centred focus. This approach supported non</w:t>
            </w:r>
            <w:r w:rsidRPr="001810AE">
              <w:rPr>
                <w:sz w:val="24"/>
                <w:szCs w:val="24"/>
              </w:rPr>
              <w:noBreakHyphen/>
              <w:t xml:space="preserve">oppressive practice, ensuring that statutory authority was exercised proportionately and ethically, in line with the Social Care Wales Code of Professional Practice. </w:t>
            </w:r>
          </w:p>
          <w:p w14:paraId="25809A97" w14:textId="77777777" w:rsidR="003442EF" w:rsidRPr="001810AE" w:rsidRDefault="003442EF" w:rsidP="003442EF">
            <w:pPr>
              <w:spacing w:line="360" w:lineRule="auto"/>
              <w:jc w:val="both"/>
              <w:rPr>
                <w:sz w:val="24"/>
                <w:szCs w:val="24"/>
              </w:rPr>
            </w:pPr>
            <w:r w:rsidRPr="001810AE">
              <w:rPr>
                <w:sz w:val="24"/>
                <w:szCs w:val="24"/>
              </w:rPr>
              <w:t>Although I remained committed to supporting the family, their engagement became increasingly inconsistent. Reflecting on this, I recognised the importance of balancing the needs of one family with my wider professional responsibilities. Through supervision, I identified that accountability extends beyond case management and includes effective prioritisation and use of resources. By delegating appropriate tasks to wellbeing workers, I ensured the family continued to receive support while I maintained focus on safeguarding assessment and risk management. This experience strengthened my understanding that accountable practice requires effective teamwork, professional judgement and a clear focus on achieving positive outcomes for the children.</w:t>
            </w:r>
          </w:p>
          <w:p w14:paraId="51B7565D" w14:textId="77777777" w:rsidR="003442EF" w:rsidRPr="001810AE" w:rsidRDefault="003442EF" w:rsidP="003442EF">
            <w:pPr>
              <w:spacing w:line="360" w:lineRule="auto"/>
              <w:jc w:val="both"/>
              <w:rPr>
                <w:sz w:val="24"/>
                <w:szCs w:val="24"/>
              </w:rPr>
            </w:pPr>
            <w:r w:rsidRPr="001810AE">
              <w:rPr>
                <w:sz w:val="24"/>
                <w:szCs w:val="24"/>
              </w:rPr>
              <w:t>Consistent with the SSWBWA principle of voice and control, my assessment maintained a child</w:t>
            </w:r>
            <w:r w:rsidRPr="001810AE">
              <w:rPr>
                <w:sz w:val="24"/>
                <w:szCs w:val="24"/>
              </w:rPr>
              <w:noBreakHyphen/>
              <w:t>centred and outcome</w:t>
            </w:r>
            <w:r w:rsidRPr="001810AE">
              <w:rPr>
                <w:sz w:val="24"/>
                <w:szCs w:val="24"/>
              </w:rPr>
              <w:noBreakHyphen/>
              <w:t>focused approach. I ensured that Person 1 and Person 2 were seen alone and that direct work was undertaken using age</w:t>
            </w:r>
            <w:r w:rsidRPr="001810AE">
              <w:rPr>
                <w:sz w:val="24"/>
                <w:szCs w:val="24"/>
              </w:rPr>
              <w:noBreakHyphen/>
              <w:t>appropriate methods. I used the Three Houses tool which enables children to express their worries, strengths and hopes using visual and narrative approaches, which can be particularly valuable where verbal disclosure may be limited or influenced by adult guidance. The Three Houses tool forms part of the Signs of Safety framework, which emphasises meaningful child participation and strengths</w:t>
            </w:r>
            <w:r w:rsidRPr="001810AE">
              <w:rPr>
                <w:sz w:val="24"/>
                <w:szCs w:val="24"/>
              </w:rPr>
              <w:noBreakHyphen/>
              <w:t>based assessment (Turnell, Munro and Murphy, 2013). Using the Three Houses, I was better able to explore the children’s perspectives safely and ethically, reducing reliance on adult narratives and strengthening the analytical quality of the safeguarding assessment. Both children articulated concerns related to unpredictability, routines, and emotional insecurity including times spent with Person 3, although were too young to explicitly site exact times. These disclosures informed my understanding of emotional harm and potential role reversal.</w:t>
            </w:r>
            <w:r w:rsidRPr="001810AE">
              <w:rPr>
                <w:rFonts w:ascii="Segoe UI" w:hAnsi="Segoe UI" w:cs="Segoe UI"/>
                <w:sz w:val="24"/>
                <w:szCs w:val="24"/>
              </w:rPr>
              <w:t xml:space="preserve"> </w:t>
            </w:r>
            <w:r w:rsidRPr="001810AE">
              <w:rPr>
                <w:sz w:val="24"/>
                <w:szCs w:val="24"/>
              </w:rPr>
              <w:lastRenderedPageBreak/>
              <w:t>Observational assessment and partnership working with health and early years professionals enabled a holistic analysis of the children's developmental needs and revealed an unexpected level of independence and self-care for children of such a young age, raising concerns about whether their needs were being consistently met by caregivers.</w:t>
            </w:r>
          </w:p>
          <w:p w14:paraId="017920E1" w14:textId="77777777" w:rsidR="003442EF" w:rsidRPr="001810AE" w:rsidRDefault="003442EF" w:rsidP="003442EF">
            <w:pPr>
              <w:spacing w:line="360" w:lineRule="auto"/>
              <w:jc w:val="both"/>
              <w:rPr>
                <w:sz w:val="24"/>
                <w:szCs w:val="24"/>
              </w:rPr>
            </w:pPr>
            <w:r w:rsidRPr="001810AE">
              <w:rPr>
                <w:sz w:val="24"/>
                <w:szCs w:val="24"/>
              </w:rPr>
              <w:t>While I explored family strengths, including parental affection and the children’s resilience, adopting a strengths</w:t>
            </w:r>
            <w:r w:rsidRPr="001810AE">
              <w:rPr>
                <w:sz w:val="24"/>
                <w:szCs w:val="24"/>
              </w:rPr>
              <w:noBreakHyphen/>
              <w:t>based approach did not detract from recognising risk. Instead, it enabled a balanced, holistic assessment that considered both protective and risk factors in the context of the children’s lived experience. Research highlights that strengths</w:t>
            </w:r>
            <w:r w:rsidRPr="001810AE">
              <w:rPr>
                <w:sz w:val="24"/>
                <w:szCs w:val="24"/>
              </w:rPr>
              <w:noBreakHyphen/>
              <w:t>based practice supports more accurate analysis by avoiding deficit</w:t>
            </w:r>
            <w:r w:rsidRPr="001810AE">
              <w:rPr>
                <w:sz w:val="24"/>
                <w:szCs w:val="24"/>
              </w:rPr>
              <w:noBreakHyphen/>
              <w:t>focused or overly risk</w:t>
            </w:r>
            <w:r w:rsidRPr="001810AE">
              <w:rPr>
                <w:sz w:val="24"/>
                <w:szCs w:val="24"/>
              </w:rPr>
              <w:noBreakHyphen/>
              <w:t>averse assessments, which can mask underlying needs or lead to oppressive practice (Research in Practice, 2019). Identifying strengths alongside concerns, I was better able to evaluate parental capacity to effect and sustain change, maintain ethical decision</w:t>
            </w:r>
            <w:r w:rsidRPr="001810AE">
              <w:rPr>
                <w:sz w:val="24"/>
                <w:szCs w:val="24"/>
              </w:rPr>
              <w:noBreakHyphen/>
              <w:t>making, and ensure that safeguarding interventions were proportionate and child</w:t>
            </w:r>
            <w:r w:rsidRPr="001810AE">
              <w:rPr>
                <w:sz w:val="24"/>
                <w:szCs w:val="24"/>
              </w:rPr>
              <w:noBreakHyphen/>
              <w:t>centred. This approach aligned with the Social Services and Well</w:t>
            </w:r>
            <w:r w:rsidRPr="001810AE">
              <w:rPr>
                <w:sz w:val="24"/>
                <w:szCs w:val="24"/>
              </w:rPr>
              <w:noBreakHyphen/>
              <w:t>being (Wales) Act 2014’s emphasis on well</w:t>
            </w:r>
            <w:r w:rsidRPr="001810AE">
              <w:rPr>
                <w:sz w:val="24"/>
                <w:szCs w:val="24"/>
              </w:rPr>
              <w:noBreakHyphen/>
              <w:t>being, prevention and partnership, reinforcing the importance of understanding the family system rather than assessing risk in isolation.</w:t>
            </w:r>
          </w:p>
          <w:p w14:paraId="1EEF0B37" w14:textId="77777777" w:rsidR="003442EF" w:rsidRPr="001810AE" w:rsidRDefault="003442EF" w:rsidP="003442EF">
            <w:pPr>
              <w:spacing w:line="360" w:lineRule="auto"/>
              <w:jc w:val="both"/>
              <w:rPr>
                <w:sz w:val="24"/>
                <w:szCs w:val="24"/>
              </w:rPr>
            </w:pPr>
            <w:r w:rsidRPr="001810AE">
              <w:rPr>
                <w:sz w:val="24"/>
                <w:szCs w:val="24"/>
              </w:rPr>
              <w:t>My assessment was informed by multiple theoretical perspectives; however, two key theories that underpinned my analytical approach were ecological systems theory and attachment theory. These theories provided a structured framework for understanding both the wider context of the children’s lives and their emotional and relational needs.</w:t>
            </w:r>
          </w:p>
          <w:p w14:paraId="538E0EA7" w14:textId="77777777" w:rsidR="003442EF" w:rsidRPr="001810AE" w:rsidRDefault="003442EF" w:rsidP="003442EF">
            <w:pPr>
              <w:spacing w:line="360" w:lineRule="auto"/>
              <w:jc w:val="both"/>
              <w:rPr>
                <w:sz w:val="24"/>
                <w:szCs w:val="24"/>
              </w:rPr>
            </w:pPr>
            <w:r w:rsidRPr="001810AE">
              <w:rPr>
                <w:sz w:val="24"/>
                <w:szCs w:val="24"/>
              </w:rPr>
              <w:t>Applying an ecological perspective (Bronfenbrenner 1979) challenged me to look beyond individual parenting behaviours and consider the wider factors affecting the family, including rural isolation, substance misuse and limited support networks. This prevented me from developing an overly simplistic view of risk and helped me recognise how environmental pressures were impacting parental capacity. However, I also recognised that understanding these wider influences could not detract from the children's immediate need for safety. Using this perspective strengthened my ability to balance empathy for the family's circumstances with a clear focus on the lived experiences of Person 1 and Person 2.</w:t>
            </w:r>
          </w:p>
          <w:p w14:paraId="0BD50190" w14:textId="77777777" w:rsidR="003442EF" w:rsidRPr="001810AE" w:rsidRDefault="003442EF" w:rsidP="003442EF">
            <w:pPr>
              <w:spacing w:line="360" w:lineRule="auto"/>
              <w:jc w:val="both"/>
              <w:rPr>
                <w:sz w:val="24"/>
                <w:szCs w:val="24"/>
              </w:rPr>
            </w:pPr>
            <w:r w:rsidRPr="001810AE">
              <w:rPr>
                <w:sz w:val="24"/>
                <w:szCs w:val="24"/>
              </w:rPr>
              <w:t>Using an ecological lens, I was able to move beyond an individualised or blame</w:t>
            </w:r>
            <w:r w:rsidRPr="001810AE">
              <w:rPr>
                <w:sz w:val="24"/>
                <w:szCs w:val="24"/>
              </w:rPr>
              <w:noBreakHyphen/>
              <w:t xml:space="preserve">focused analysis and instead undertake a holistic assessment that recognised the cumulative impact of environmental stressors alongside parenting behaviours. This approach supported </w:t>
            </w:r>
            <w:r w:rsidRPr="001810AE">
              <w:rPr>
                <w:sz w:val="24"/>
                <w:szCs w:val="24"/>
              </w:rPr>
              <w:lastRenderedPageBreak/>
              <w:t>proportionate, ethical decision</w:t>
            </w:r>
            <w:r w:rsidRPr="001810AE">
              <w:rPr>
                <w:sz w:val="24"/>
                <w:szCs w:val="24"/>
              </w:rPr>
              <w:noBreakHyphen/>
              <w:t>making and aligned with the Social Services and Well</w:t>
            </w:r>
            <w:r w:rsidRPr="001810AE">
              <w:rPr>
                <w:sz w:val="24"/>
                <w:szCs w:val="24"/>
              </w:rPr>
              <w:noBreakHyphen/>
              <w:t>being (Wales) Act 2014, which requires consideration of well</w:t>
            </w:r>
            <w:r w:rsidRPr="001810AE">
              <w:rPr>
                <w:sz w:val="24"/>
                <w:szCs w:val="24"/>
              </w:rPr>
              <w:noBreakHyphen/>
              <w:t>being within a wider social context.</w:t>
            </w:r>
          </w:p>
          <w:p w14:paraId="05A9A7DD" w14:textId="77777777" w:rsidR="003442EF" w:rsidRPr="001810AE" w:rsidRDefault="003442EF" w:rsidP="003442EF">
            <w:pPr>
              <w:spacing w:line="360" w:lineRule="auto"/>
              <w:jc w:val="both"/>
              <w:rPr>
                <w:sz w:val="24"/>
                <w:szCs w:val="24"/>
              </w:rPr>
            </w:pPr>
            <w:r w:rsidRPr="001810AE">
              <w:rPr>
                <w:sz w:val="24"/>
                <w:szCs w:val="24"/>
              </w:rPr>
              <w:t>Attachment theory helped me analyse the impact of instability and unpredictability on the children's emotional wellbeing and reinforced the importance of safe, consistent caregiving relationships (Bowlby, 1988) underpinned my assessment, informing my understanding of the children’s emotional presentation, behaviours and need for relational stability. Attachment theory helped me move beyond assessing individual incidents and instead consider the emotional impact that instability, unpredictability and exposure to conflict were having on the children. Observations of heightened vigilance and emotional insecurity suggested that their need for consistent and reliable caregiving was not being fully met. Reflecting on this, I became more aware that safeguarding interventions needed to promote not only physical safety but also emotional security and stability. This strengthened my understanding of how emotional harm can affect children's development, even where significant physical harm is not immediately evident.</w:t>
            </w:r>
          </w:p>
          <w:p w14:paraId="589985C0" w14:textId="77777777" w:rsidR="003442EF" w:rsidRPr="001810AE" w:rsidRDefault="003442EF" w:rsidP="003442EF">
            <w:pPr>
              <w:spacing w:line="360" w:lineRule="auto"/>
              <w:jc w:val="both"/>
              <w:rPr>
                <w:sz w:val="24"/>
                <w:szCs w:val="24"/>
              </w:rPr>
            </w:pPr>
            <w:r w:rsidRPr="001810AE">
              <w:rPr>
                <w:sz w:val="24"/>
                <w:szCs w:val="24"/>
              </w:rPr>
              <w:t>Although ecological systems theory and attachment theory originate from earlier theoretical traditions, I found them to remain highly relevant and credible within my existing practice. Reflecting on their application, these theories supported my analytical thinking and frameworks to understand children’s development, relationships and lived experiences within complex family systems. Using an ecological perspective enabled me to reflect on how wider factors such as isolation, poverty and service accessibility interacted with parental capacity, rather than viewing risk solely through individual behaviour. Similarly, attachment theory helped me to reflect on the children’s emotional responses and need for relational consistency, reinforcing the importance of stability and safety in safeguarding planning. I recognised that while practice continues to evolve, these theories are not outdated but instead underpin current trauma</w:t>
            </w:r>
            <w:r w:rsidRPr="001810AE">
              <w:rPr>
                <w:sz w:val="24"/>
                <w:szCs w:val="24"/>
              </w:rPr>
              <w:noBreakHyphen/>
              <w:t>informed, rights</w:t>
            </w:r>
            <w:r w:rsidRPr="001810AE">
              <w:rPr>
                <w:sz w:val="24"/>
                <w:szCs w:val="24"/>
              </w:rPr>
              <w:noBreakHyphen/>
              <w:t>based and strengths</w:t>
            </w:r>
            <w:r w:rsidRPr="001810AE">
              <w:rPr>
                <w:sz w:val="24"/>
                <w:szCs w:val="24"/>
              </w:rPr>
              <w:noBreakHyphen/>
              <w:t>focused approaches. Their application enhanced my confidence in making holistic, child</w:t>
            </w:r>
            <w:r w:rsidRPr="001810AE">
              <w:rPr>
                <w:sz w:val="24"/>
                <w:szCs w:val="24"/>
              </w:rPr>
              <w:noBreakHyphen/>
              <w:t>centred assessments and supported ethically grounded professional judgement rather than isolated observations.</w:t>
            </w:r>
          </w:p>
          <w:p w14:paraId="14AD06FF" w14:textId="77777777" w:rsidR="003442EF" w:rsidRPr="001810AE" w:rsidRDefault="003442EF" w:rsidP="003442EF">
            <w:pPr>
              <w:spacing w:line="360" w:lineRule="auto"/>
              <w:jc w:val="both"/>
              <w:rPr>
                <w:sz w:val="24"/>
                <w:szCs w:val="24"/>
              </w:rPr>
            </w:pPr>
            <w:r w:rsidRPr="001810AE">
              <w:rPr>
                <w:sz w:val="24"/>
                <w:szCs w:val="24"/>
              </w:rPr>
              <w:t>Safeguarding children in Wales is a shared responsibility. Collaborative working is both a statutory duty and a fundamental component of effective practice. Throughout working with this family, I worked closely with education, health, police, early years services, out</w:t>
            </w:r>
            <w:r w:rsidRPr="001810AE">
              <w:rPr>
                <w:sz w:val="24"/>
                <w:szCs w:val="24"/>
              </w:rPr>
              <w:noBreakHyphen/>
              <w:t>of</w:t>
            </w:r>
            <w:r w:rsidRPr="001810AE">
              <w:rPr>
                <w:sz w:val="24"/>
                <w:szCs w:val="24"/>
              </w:rPr>
              <w:noBreakHyphen/>
              <w:t xml:space="preserve">hours social work, and legal services. Education professionals provided insight into attendance and </w:t>
            </w:r>
            <w:r w:rsidRPr="001810AE">
              <w:rPr>
                <w:sz w:val="24"/>
                <w:szCs w:val="24"/>
              </w:rPr>
              <w:lastRenderedPageBreak/>
              <w:t>emotional presentation, while health professionals highlighted missed appointments and developmental concerns. Police involvement was central both at the point of referral and during subsequent safeguarding enquiries. Multiagency collaboration enabled information from different services to be triangulated, strengthening risk analysis and supporting timely decision-making</w:t>
            </w:r>
          </w:p>
          <w:p w14:paraId="4CF21BDC" w14:textId="77777777" w:rsidR="003442EF" w:rsidRPr="001810AE" w:rsidRDefault="003442EF" w:rsidP="003442EF">
            <w:pPr>
              <w:spacing w:line="360" w:lineRule="auto"/>
              <w:jc w:val="both"/>
              <w:rPr>
                <w:sz w:val="24"/>
                <w:szCs w:val="24"/>
              </w:rPr>
            </w:pPr>
            <w:r w:rsidRPr="001810AE">
              <w:rPr>
                <w:sz w:val="24"/>
                <w:szCs w:val="24"/>
              </w:rPr>
              <w:t>Research highlights that serious safeguarding failures are often linked to poor inter</w:t>
            </w:r>
            <w:r w:rsidRPr="001810AE">
              <w:rPr>
                <w:sz w:val="24"/>
                <w:szCs w:val="24"/>
              </w:rPr>
              <w:noBreakHyphen/>
              <w:t>agency communication, lack of shared responsibility and over</w:t>
            </w:r>
            <w:r w:rsidRPr="001810AE">
              <w:rPr>
                <w:sz w:val="24"/>
                <w:szCs w:val="24"/>
              </w:rPr>
              <w:noBreakHyphen/>
              <w:t>reliance on individual professional perspectives (SCIE, 2018). Collaborative practice supports professional curiosity, strengthens risk assessment, and ensures that safeguarding decisions are timely, proportionate and child</w:t>
            </w:r>
            <w:r w:rsidRPr="001810AE">
              <w:rPr>
                <w:sz w:val="24"/>
                <w:szCs w:val="24"/>
              </w:rPr>
              <w:noBreakHyphen/>
              <w:t>centred. Within the Welsh context, partnership working is a statutory principle of the Social Services and Well</w:t>
            </w:r>
            <w:r w:rsidRPr="001810AE">
              <w:rPr>
                <w:sz w:val="24"/>
                <w:szCs w:val="24"/>
              </w:rPr>
              <w:noBreakHyphen/>
              <w:t>being (Wales) Act 2014, reinforcing that safeguarding is a shared responsibility requiring coordinated responses across education, health, police and social services to protect children effectively. However, working within rural areas of Wales can present challenges, as professionals and agencies are often geographically dispersed, making information sharing and multiagency communication more difficult. This can sometimes impact the timeliness of information exchange and require practitioners to be proactive in maintaining effective communication and collaboration to ensure children receive coordinated support.</w:t>
            </w:r>
          </w:p>
          <w:p w14:paraId="7F239BBD" w14:textId="77777777" w:rsidR="003442EF" w:rsidRPr="001810AE" w:rsidRDefault="003442EF" w:rsidP="003442EF">
            <w:pPr>
              <w:spacing w:line="360" w:lineRule="auto"/>
              <w:jc w:val="both"/>
              <w:rPr>
                <w:sz w:val="24"/>
                <w:szCs w:val="24"/>
              </w:rPr>
            </w:pPr>
            <w:r w:rsidRPr="001810AE">
              <w:rPr>
                <w:sz w:val="24"/>
                <w:szCs w:val="24"/>
              </w:rPr>
              <w:t>When I reflect on the importance of working collaboratively with other professionals, I am mindful of the learning from the National Child Safeguarding Practice Review into the deaths of Arthur Labinjo</w:t>
            </w:r>
            <w:r w:rsidRPr="001810AE">
              <w:rPr>
                <w:sz w:val="24"/>
                <w:szCs w:val="24"/>
              </w:rPr>
              <w:noBreakHyphen/>
              <w:t>Hughes and Star Hobson. This review highlighted how serious harm can occur when professionals work in isolation and fail to share, seek and jointly analyse information, despite multiple agencies being involved with a child and family. In Arthur and Star’s cases, each agency held pieces of information that, if effectively brought together and critically discussed, may have led to earlier recognition of risk and safeguarding intervention. This learning reinforces for me that effective collaborative working is not simply about communication, but about developing a shared understanding of risk, maintaining professional curiosity and exercising respectful challenge across agencies. It has strengthened my commitment to multiagency working as a core safeguarding responsibility, ensuring that children are not afforded invisible within fragmented systems and that decision</w:t>
            </w:r>
            <w:r w:rsidRPr="001810AE">
              <w:rPr>
                <w:sz w:val="24"/>
                <w:szCs w:val="24"/>
              </w:rPr>
              <w:noBreakHyphen/>
              <w:t>making remains child</w:t>
            </w:r>
            <w:r w:rsidRPr="001810AE">
              <w:rPr>
                <w:sz w:val="24"/>
                <w:szCs w:val="24"/>
              </w:rPr>
              <w:noBreakHyphen/>
              <w:t>centred and evidence</w:t>
            </w:r>
            <w:r w:rsidRPr="001810AE">
              <w:rPr>
                <w:sz w:val="24"/>
                <w:szCs w:val="24"/>
              </w:rPr>
              <w:noBreakHyphen/>
              <w:t>based.</w:t>
            </w:r>
          </w:p>
          <w:p w14:paraId="141A932E" w14:textId="77777777" w:rsidR="003442EF" w:rsidRPr="001810AE" w:rsidRDefault="003442EF" w:rsidP="003442EF">
            <w:pPr>
              <w:spacing w:line="360" w:lineRule="auto"/>
              <w:jc w:val="both"/>
              <w:rPr>
                <w:sz w:val="24"/>
                <w:szCs w:val="24"/>
              </w:rPr>
            </w:pPr>
            <w:r w:rsidRPr="001810AE">
              <w:rPr>
                <w:sz w:val="24"/>
                <w:szCs w:val="24"/>
              </w:rPr>
              <w:lastRenderedPageBreak/>
              <w:t>This collaborative approach reflects statutory duties under Section 28 of the Children Act 2004 and the partnership principle of the SSWBWA. Information sharing occurred through strategy discussions, safeguarding meetings, and recorded updates, ensuring that professionals had a shared understanding of risk.</w:t>
            </w:r>
          </w:p>
          <w:p w14:paraId="5A8D0661" w14:textId="77777777" w:rsidR="003442EF" w:rsidRPr="001810AE" w:rsidRDefault="003442EF" w:rsidP="003442EF">
            <w:pPr>
              <w:spacing w:line="360" w:lineRule="auto"/>
              <w:jc w:val="both"/>
              <w:rPr>
                <w:sz w:val="24"/>
                <w:szCs w:val="24"/>
              </w:rPr>
            </w:pPr>
            <w:r w:rsidRPr="001810AE">
              <w:rPr>
                <w:sz w:val="24"/>
                <w:szCs w:val="24"/>
              </w:rPr>
              <w:t>Engagement with person 3 and 4 required careful balance. While I sought to work collaboratively and maintain openness, inconsistent engagement required vigilance regarding disguised compliance. Reflective supervisions enabled me to critically reflect, supporting me to maintain professional curiosity while communicating respectfully. Working openly, honestly and transparently with parents was essential to my practice and aligned with the Social Care Wales Code of Professional Practice, which requires social care professionals to communicate respectfully, be clear about concerns and decisions, and build trust while ensuring a safeguarding focus (Social Care Wales, 2024).</w:t>
            </w:r>
          </w:p>
          <w:p w14:paraId="6F3A99B1" w14:textId="77777777" w:rsidR="003442EF" w:rsidRPr="001810AE" w:rsidRDefault="003442EF" w:rsidP="003442EF">
            <w:pPr>
              <w:spacing w:line="360" w:lineRule="auto"/>
              <w:jc w:val="both"/>
              <w:rPr>
                <w:sz w:val="24"/>
                <w:szCs w:val="24"/>
              </w:rPr>
            </w:pPr>
            <w:r w:rsidRPr="001810AE">
              <w:rPr>
                <w:sz w:val="24"/>
                <w:szCs w:val="24"/>
              </w:rPr>
              <w:t>The difficulty of supporting this family lay in managing persistent risk without a single ongoing incident of harm. Professional judgement was required to balance early intervention with statutory safeguarding. Following the Section 47 enquiry, a child protection conference was convened within statutory timescales, ensuring that safeguarding processes were timely and lawful. I ensured that the children’s voices were represented and that parents were supported to understand the process. A child protection plan was implemented focusing on safety planning, substance misuse intervention, emotional support, and improved routines. As a result of my assessment and recommendation, the case was progressed to a Legal Planning Meeting to consider the Public Law Outline (PLO).</w:t>
            </w:r>
          </w:p>
          <w:p w14:paraId="36270F11" w14:textId="77777777" w:rsidR="003442EF" w:rsidRPr="001810AE" w:rsidRDefault="003442EF" w:rsidP="003442EF">
            <w:pPr>
              <w:spacing w:line="360" w:lineRule="auto"/>
              <w:jc w:val="both"/>
              <w:rPr>
                <w:sz w:val="24"/>
                <w:szCs w:val="24"/>
              </w:rPr>
            </w:pPr>
            <w:r w:rsidRPr="001810AE">
              <w:rPr>
                <w:sz w:val="24"/>
                <w:szCs w:val="24"/>
              </w:rPr>
              <w:t>This decision reflected the need to balance proportionate intervention with the duty to safeguard children. Whilst the Social Services and Well-being (Wales) Act 2014 promotes partnership working and the least intrusive intervention, repeated safety plan breaches indicated that voluntary support was no longer sufficient to manage risk. Consequently, the children became subject to Child Protection Plans, and the case transferred to the Child Protection Team for ongoing statutory intervention. This strengthened my understanding of the importance of professional judgement, continual risk analysis and timely escalation where children's safety cannot be secured through voluntary engagement alone.</w:t>
            </w:r>
          </w:p>
          <w:p w14:paraId="1379CB15" w14:textId="77777777" w:rsidR="003442EF" w:rsidRPr="001810AE" w:rsidRDefault="003442EF" w:rsidP="003442EF">
            <w:pPr>
              <w:spacing w:line="360" w:lineRule="auto"/>
              <w:jc w:val="both"/>
              <w:rPr>
                <w:sz w:val="24"/>
                <w:szCs w:val="24"/>
              </w:rPr>
            </w:pPr>
            <w:r w:rsidRPr="001810AE">
              <w:rPr>
                <w:sz w:val="24"/>
                <w:szCs w:val="24"/>
              </w:rPr>
              <w:t>Ethical tensions arose between respecting parental autonomy and prioritising children’s welfare. The paramountcy principle guided decision</w:t>
            </w:r>
            <w:r w:rsidRPr="001810AE">
              <w:rPr>
                <w:sz w:val="24"/>
                <w:szCs w:val="24"/>
              </w:rPr>
              <w:noBreakHyphen/>
              <w:t>making, supported by the well</w:t>
            </w:r>
            <w:r w:rsidRPr="001810AE">
              <w:rPr>
                <w:sz w:val="24"/>
                <w:szCs w:val="24"/>
              </w:rPr>
              <w:noBreakHyphen/>
              <w:t xml:space="preserve">being </w:t>
            </w:r>
            <w:r w:rsidRPr="001810AE">
              <w:rPr>
                <w:sz w:val="24"/>
                <w:szCs w:val="24"/>
              </w:rPr>
              <w:lastRenderedPageBreak/>
              <w:t>focus of the SSWBWA. Reflective supervision was essential in supporting emotional resilience, ethical reflection and defensible judgement.</w:t>
            </w:r>
          </w:p>
          <w:p w14:paraId="4270982E" w14:textId="77777777" w:rsidR="003442EF" w:rsidRPr="001810AE" w:rsidRDefault="003442EF" w:rsidP="003442EF">
            <w:pPr>
              <w:spacing w:line="360" w:lineRule="auto"/>
              <w:jc w:val="both"/>
              <w:rPr>
                <w:sz w:val="24"/>
                <w:szCs w:val="24"/>
              </w:rPr>
            </w:pPr>
            <w:r w:rsidRPr="001810AE">
              <w:rPr>
                <w:sz w:val="24"/>
                <w:szCs w:val="24"/>
              </w:rPr>
              <w:t>Although the UK has left the European Union, EU</w:t>
            </w:r>
            <w:r w:rsidRPr="001810AE">
              <w:rPr>
                <w:sz w:val="24"/>
                <w:szCs w:val="24"/>
              </w:rPr>
              <w:noBreakHyphen/>
              <w:t>derived safeguarding principles such as proportionality, dignity and participation continue to influence practice. The UNCRC remains embedded in Welsh law through the Rights of Children and Young Persons (Wales) Measure 2011. Reflecting on international approaches to safeguarding, I recognise that different countries balance family autonomy and state intervention in different ways. While Norway is often associated with earlier compulsory intervention, Wales emphasises preventative support, partnership working and graduated safeguarding responses. This case challenged me to consider whether earlier intervention may have reduced ongoing risk. However, it also reinforced the importance of working collaboratively with families where safe to do so and ensuring that statutory intervention remains proportionate and evidence based. For me this reinforced the importance of legal literacy in social work practice. Understanding Welsh and UK legislation enabled lawful intervention, protection of rights, and defensible decision</w:t>
            </w:r>
            <w:r w:rsidRPr="001810AE">
              <w:rPr>
                <w:sz w:val="24"/>
                <w:szCs w:val="24"/>
              </w:rPr>
              <w:noBreakHyphen/>
              <w:t>making.</w:t>
            </w:r>
          </w:p>
          <w:p w14:paraId="748AF559" w14:textId="77777777" w:rsidR="003442EF" w:rsidRPr="001810AE" w:rsidRDefault="003442EF" w:rsidP="003442EF">
            <w:pPr>
              <w:spacing w:line="360" w:lineRule="auto"/>
              <w:jc w:val="both"/>
              <w:rPr>
                <w:sz w:val="24"/>
                <w:szCs w:val="24"/>
              </w:rPr>
            </w:pPr>
            <w:r w:rsidRPr="001810AE">
              <w:rPr>
                <w:sz w:val="24"/>
                <w:szCs w:val="24"/>
              </w:rPr>
              <w:t>The National Occupational Standards supported my practice by grounding my work in shared professional values that emphasise dignity, respect and compassion alongside accountability. Throughout this case, the standards helped me remain focused not only on tasks and procedures, but on the human impact of my decisions on Person 1, Person 2 and their parents. They encouraged me to approach safeguarding work with empathy, to listen carefully to children’s experiences, and to recognise the complexity of family life rather than viewing situations solely through a risk</w:t>
            </w:r>
            <w:r w:rsidRPr="001810AE">
              <w:rPr>
                <w:sz w:val="24"/>
                <w:szCs w:val="24"/>
              </w:rPr>
              <w:noBreakHyphen/>
              <w:t>focused lens. By providing clarity about what safe, ethical and competent practice looks like, the standards enabled me to work with confidence in challenging situations while remaining reflective and emotionally attuned. I found that using the National Occupational Standards helped me balance professional authority with humility and care, ensuring that my interventions were not only lawful and defensible, but also humane, respectful and rooted in social work values.</w:t>
            </w:r>
          </w:p>
          <w:p w14:paraId="11F352F8" w14:textId="77777777" w:rsidR="003442EF" w:rsidRPr="001810AE" w:rsidRDefault="003442EF" w:rsidP="003442EF">
            <w:pPr>
              <w:spacing w:line="360" w:lineRule="auto"/>
              <w:jc w:val="both"/>
              <w:rPr>
                <w:sz w:val="24"/>
                <w:szCs w:val="24"/>
              </w:rPr>
            </w:pPr>
            <w:r w:rsidRPr="001810AE">
              <w:rPr>
                <w:sz w:val="24"/>
                <w:szCs w:val="24"/>
              </w:rPr>
              <w:t>This critically reflective case study has demonstrated my application of analytical assessment, collaborative working and professional judgement in safeguarding Person 1 and Person 2 within the Welsh legislative and practice context. By using professional curiosity, the Iceberg Theory and effective multiagency collaboration, I was able to move beyond surface</w:t>
            </w:r>
            <w:r w:rsidRPr="001810AE">
              <w:rPr>
                <w:sz w:val="24"/>
                <w:szCs w:val="24"/>
              </w:rPr>
              <w:noBreakHyphen/>
              <w:t xml:space="preserve">level </w:t>
            </w:r>
            <w:r w:rsidRPr="001810AE">
              <w:rPr>
                <w:sz w:val="24"/>
                <w:szCs w:val="24"/>
              </w:rPr>
              <w:lastRenderedPageBreak/>
              <w:t>assurances and develop a robust understanding of the children’s lived experiences. Integrating legislation, policy and theory enabled proportionate, child</w:t>
            </w:r>
            <w:r w:rsidRPr="001810AE">
              <w:rPr>
                <w:sz w:val="24"/>
                <w:szCs w:val="24"/>
              </w:rPr>
              <w:noBreakHyphen/>
              <w:t>centred and rights</w:t>
            </w:r>
            <w:r w:rsidRPr="001810AE">
              <w:rPr>
                <w:sz w:val="24"/>
                <w:szCs w:val="24"/>
              </w:rPr>
              <w:noBreakHyphen/>
              <w:t>based intervention, while reflective supervision supported ethical decision</w:t>
            </w:r>
            <w:r w:rsidRPr="001810AE">
              <w:rPr>
                <w:sz w:val="24"/>
                <w:szCs w:val="24"/>
              </w:rPr>
              <w:noBreakHyphen/>
              <w:t>making in a complex safeguarding situation. This study highlights the relational and legally informed nature of safeguarding practice in Wales and reinforces the importance of reflective, evidence</w:t>
            </w:r>
            <w:r w:rsidRPr="001810AE">
              <w:rPr>
                <w:sz w:val="24"/>
                <w:szCs w:val="24"/>
              </w:rPr>
              <w:noBreakHyphen/>
              <w:t>based social work to protect and promote children’s well</w:t>
            </w:r>
            <w:r w:rsidRPr="001810AE">
              <w:rPr>
                <w:sz w:val="24"/>
                <w:szCs w:val="24"/>
              </w:rPr>
              <w:noBreakHyphen/>
              <w:t xml:space="preserve">being. Reflecting on this case, I recognise that I initially placed greater confidence in the safeguarding narrative presented by Person 4 than was warranted. Although I maintained professional curiosity, earlier triangulation of information from family members and partner agencies may have identified concerns sooner. This experience reinforced the importance of continually testing assumptions, particularly where parents appear cooperative. In future, I would seek independent verification of key information at an earlier stage and place greater emphasis on evidence of change within the children’s lived experience. </w:t>
            </w:r>
          </w:p>
          <w:p w14:paraId="20370495" w14:textId="79B79501" w:rsidR="00D3203C" w:rsidRDefault="00D3203C" w:rsidP="00FF7EBB">
            <w:pPr>
              <w:jc w:val="both"/>
              <w:rPr>
                <w:iCs/>
                <w:sz w:val="24"/>
                <w:szCs w:val="24"/>
              </w:rPr>
            </w:pPr>
          </w:p>
          <w:p w14:paraId="77108839" w14:textId="77777777" w:rsidR="00DF6B74" w:rsidRPr="001810AE" w:rsidRDefault="00DF6B74" w:rsidP="00DF6B74">
            <w:pPr>
              <w:spacing w:line="360" w:lineRule="auto"/>
              <w:jc w:val="both"/>
              <w:rPr>
                <w:b/>
                <w:bCs/>
                <w:sz w:val="24"/>
                <w:szCs w:val="24"/>
              </w:rPr>
            </w:pPr>
            <w:r w:rsidRPr="001810AE">
              <w:rPr>
                <w:b/>
                <w:bCs/>
                <w:sz w:val="24"/>
                <w:szCs w:val="24"/>
              </w:rPr>
              <w:t>Word Count - 4348</w:t>
            </w:r>
          </w:p>
          <w:p w14:paraId="73C210EF" w14:textId="77777777" w:rsidR="00DF6B74" w:rsidRPr="003442EF" w:rsidRDefault="00DF6B74" w:rsidP="00FF7EBB">
            <w:pPr>
              <w:jc w:val="both"/>
              <w:rPr>
                <w:iCs/>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629E0" w14:textId="77777777" w:rsidR="00EF50DA" w:rsidRDefault="00EF50DA">
      <w:r>
        <w:separator/>
      </w:r>
    </w:p>
  </w:endnote>
  <w:endnote w:type="continuationSeparator" w:id="0">
    <w:p w14:paraId="22C9C77D" w14:textId="77777777" w:rsidR="00EF50DA" w:rsidRDefault="00EF50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C62F4" w14:textId="77777777" w:rsidR="00EF50DA" w:rsidRDefault="00EF50DA">
      <w:r>
        <w:separator/>
      </w:r>
    </w:p>
  </w:footnote>
  <w:footnote w:type="continuationSeparator" w:id="0">
    <w:p w14:paraId="429C1BDF" w14:textId="77777777" w:rsidR="00EF50DA" w:rsidRDefault="00EF50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2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5CB6"/>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37C8"/>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FF8"/>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23E"/>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556"/>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F4A"/>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6B74"/>
    <w:rsid w:val="00DF7899"/>
    <w:rsid w:val="00E0524C"/>
    <w:rsid w:val="00E15751"/>
    <w:rsid w:val="00E17160"/>
    <w:rsid w:val="00E17D41"/>
    <w:rsid w:val="00E231D1"/>
    <w:rsid w:val="00E3288D"/>
    <w:rsid w:val="00E35112"/>
    <w:rsid w:val="00E35BEC"/>
    <w:rsid w:val="00E41A6A"/>
    <w:rsid w:val="00E50821"/>
    <w:rsid w:val="00E51F91"/>
    <w:rsid w:val="00E5338F"/>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0DA"/>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4983</Words>
  <Characters>28407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Ellie Nash-McNeil</cp:lastModifiedBy>
  <cp:revision>6</cp:revision>
  <cp:lastPrinted>2020-02-11T19:20:00Z</cp:lastPrinted>
  <dcterms:created xsi:type="dcterms:W3CDTF">2026-10-05T11:28:00Z</dcterms:created>
  <dcterms:modified xsi:type="dcterms:W3CDTF">2026-10-05T17:49:00Z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