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6C976BD" w:rsidP="2C82A51B" w:rsidRDefault="3FB3665F" w14:paraId="451396D6" w14:textId="130C2989">
      <w:pPr>
        <w:jc w:val="center"/>
      </w:pPr>
      <w:r w:rsidR="3FB3665F">
        <w:drawing>
          <wp:inline wp14:editId="363408AA" wp14:anchorId="500D3C0D">
            <wp:extent cx="3591818" cy="1257894"/>
            <wp:effectExtent l="0" t="0" r="0" b="0"/>
            <wp:docPr id="2029485661" name="Picture 2029485661" title=""/>
            <wp:cNvGraphicFramePr>
              <a:graphicFrameLocks noChangeAspect="1"/>
            </wp:cNvGraphicFramePr>
            <a:graphic>
              <a:graphicData uri="http://schemas.openxmlformats.org/drawingml/2006/picture">
                <pic:pic>
                  <pic:nvPicPr>
                    <pic:cNvPr id="0" name="Picture 2029485661"/>
                    <pic:cNvPicPr/>
                  </pic:nvPicPr>
                  <pic:blipFill>
                    <a:blip r:embed="Rc05b981addd842f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591818" cy="1257894"/>
                    </a:xfrm>
                    <a:prstGeom prst="rect">
                      <a:avLst/>
                    </a:prstGeom>
                  </pic:spPr>
                </pic:pic>
              </a:graphicData>
            </a:graphic>
          </wp:inline>
        </w:drawing>
      </w:r>
    </w:p>
    <w:p w:rsidR="2C82A51B" w:rsidP="2C82A51B" w:rsidRDefault="2C82A51B" w14:paraId="761247B9" w14:textId="71F3B472">
      <w:pPr>
        <w:pStyle w:val="Title"/>
      </w:pPr>
    </w:p>
    <w:p w:rsidR="2CC6201F" w:rsidP="2C82A51B" w:rsidRDefault="258648E5" w14:paraId="6E44A9FA" w14:textId="67F36280">
      <w:pPr>
        <w:pStyle w:val="Title"/>
      </w:pPr>
      <w:r w:rsidR="258648E5">
        <w:rPr/>
        <w:t xml:space="preserve">Wireless Inductor Coil Charger </w:t>
      </w:r>
      <w:bookmarkStart w:name="_Int_BHpGj9AQ" w:id="0"/>
      <w:r w:rsidR="258648E5">
        <w:rPr/>
        <w:t>With</w:t>
      </w:r>
      <w:bookmarkEnd w:id="0"/>
      <w:r w:rsidR="258648E5">
        <w:rPr/>
        <w:t xml:space="preserve"> Controller </w:t>
      </w:r>
      <w:bookmarkStart w:name="_Int_EDOIPtPN" w:id="1"/>
      <w:r w:rsidR="258648E5">
        <w:rPr/>
        <w:t>For</w:t>
      </w:r>
      <w:bookmarkEnd w:id="1"/>
      <w:r w:rsidR="258648E5">
        <w:rPr/>
        <w:t xml:space="preserve"> Gaming</w:t>
      </w:r>
    </w:p>
    <w:p w:rsidR="2C82A51B" w:rsidP="2C82A51B" w:rsidRDefault="2C82A51B" w14:paraId="74517ABB" w14:textId="7DD37271">
      <w:pPr>
        <w:pStyle w:val="Title"/>
      </w:pPr>
    </w:p>
    <w:p w:rsidR="2CC6201F" w:rsidP="2C82A51B" w:rsidRDefault="2CC6201F" w14:paraId="0C66F6E6" w14:textId="323D33B6">
      <w:pPr>
        <w:pStyle w:val="Title"/>
      </w:pPr>
      <w:r>
        <w:t>By</w:t>
      </w:r>
    </w:p>
    <w:p w:rsidR="2CC6201F" w:rsidP="2C82A51B" w:rsidRDefault="2CC6201F" w14:paraId="0B9A50E2" w14:textId="79E6F044">
      <w:pPr>
        <w:pStyle w:val="Title"/>
      </w:pPr>
      <w:r>
        <w:t>Jade Williams</w:t>
      </w:r>
      <w:r w:rsidR="28D234BD">
        <w:t xml:space="preserve"> (2205436)</w:t>
      </w:r>
      <w:r>
        <w:t xml:space="preserve"> and Rhys Jones</w:t>
      </w:r>
      <w:r w:rsidR="06E72356">
        <w:t xml:space="preserve"> (2317422)</w:t>
      </w:r>
    </w:p>
    <w:p w:rsidR="2C82A51B" w:rsidP="2C82A51B" w:rsidRDefault="2C82A51B" w14:paraId="7DA338CC" w14:textId="3B685967">
      <w:pPr>
        <w:pStyle w:val="Title"/>
      </w:pPr>
    </w:p>
    <w:p w:rsidR="1392D4B6" w:rsidP="2C82A51B" w:rsidRDefault="1392D4B6" w14:paraId="2A15A1E8" w14:textId="3E6A010F">
      <w:pPr>
        <w:pStyle w:val="Title"/>
      </w:pPr>
      <w:r>
        <w:t>Supervisor: Steve Mosey</w:t>
      </w:r>
      <w:r w:rsidR="6C4AD269">
        <w:t xml:space="preserve"> and Gary Jones</w:t>
      </w:r>
    </w:p>
    <w:p w:rsidR="2C82A51B" w:rsidP="2C82A51B" w:rsidRDefault="2C82A51B" w14:paraId="7D7408DC" w14:textId="34E1A98C">
      <w:pPr>
        <w:pStyle w:val="Title"/>
      </w:pPr>
    </w:p>
    <w:p w:rsidR="1392D4B6" w:rsidP="2C82A51B" w:rsidRDefault="1392D4B6" w14:paraId="7353AE4D" w14:textId="05E8A50E">
      <w:pPr>
        <w:pStyle w:val="Title"/>
      </w:pPr>
      <w:r w:rsidR="1392D4B6">
        <w:rPr/>
        <w:t xml:space="preserve">Project </w:t>
      </w:r>
      <w:r w:rsidR="1392D4B6">
        <w:rPr/>
        <w:t>submitted</w:t>
      </w:r>
      <w:r w:rsidR="1392D4B6">
        <w:rPr/>
        <w:t xml:space="preserve"> as part of the requirements for the award of BEng Electrical and Electronic Engineering</w:t>
      </w:r>
    </w:p>
    <w:p w:rsidR="3C5DF6ED" w:rsidP="2C82A51B" w:rsidRDefault="3C5DF6ED" w14:paraId="1923921B" w14:textId="11D19608">
      <w:pPr>
        <w:pStyle w:val="Title"/>
      </w:pPr>
      <w:r>
        <w:t>Module Code: ACDA50</w:t>
      </w:r>
      <w:r w:rsidR="5C66C34E">
        <w:t>17</w:t>
      </w:r>
    </w:p>
    <w:p w:rsidR="2C82A51B" w:rsidP="2C82A51B" w:rsidRDefault="2C82A51B" w14:paraId="0CBF2B1E" w14:textId="5E05C8D8">
      <w:pPr>
        <w:pStyle w:val="Title"/>
      </w:pPr>
    </w:p>
    <w:p w:rsidR="1392D4B6" w:rsidP="2C82A51B" w:rsidRDefault="1392D4B6" w14:paraId="79F82C6D" w14:textId="47D1FF4A">
      <w:pPr>
        <w:pStyle w:val="Title"/>
      </w:pPr>
      <w:r>
        <w:t>May 2025</w:t>
      </w:r>
    </w:p>
    <w:p w:rsidR="2C82A51B" w:rsidP="2C82A51B" w:rsidRDefault="2C82A51B" w14:paraId="6A00ACB7" w14:textId="5A09F92A">
      <w:pPr>
        <w:spacing w:line="276" w:lineRule="auto"/>
        <w:jc w:val="center"/>
        <w:rPr>
          <w:sz w:val="32"/>
          <w:szCs w:val="32"/>
        </w:rPr>
      </w:pPr>
    </w:p>
    <w:p w:rsidR="2C82A51B" w:rsidRDefault="2C82A51B" w14:paraId="3D212482" w14:textId="3CE4831D">
      <w:r>
        <w:br w:type="page"/>
      </w:r>
    </w:p>
    <w:p w:rsidR="19C5AEA7" w:rsidP="4D172DEE" w:rsidRDefault="08792E01" w14:paraId="7AFA3C88" w14:textId="3C261B67">
      <w:pPr>
        <w:rPr>
          <w:b w:val="1"/>
          <w:bCs w:val="1"/>
          <w:sz w:val="32"/>
          <w:szCs w:val="32"/>
        </w:rPr>
      </w:pPr>
      <w:r w:rsidRPr="6DC777A1" w:rsidR="08792E01">
        <w:rPr>
          <w:b w:val="1"/>
          <w:bCs w:val="1"/>
          <w:sz w:val="32"/>
          <w:szCs w:val="32"/>
        </w:rPr>
        <w:t>Table of Contents</w:t>
      </w:r>
      <w:r w:rsidRPr="6DC777A1" w:rsidR="022729A6">
        <w:rPr>
          <w:b w:val="1"/>
          <w:bCs w:val="1"/>
          <w:sz w:val="32"/>
          <w:szCs w:val="32"/>
        </w:rPr>
        <w:t>:</w:t>
      </w:r>
    </w:p>
    <w:sdt>
      <w:sdtPr>
        <w:id w:val="871274440"/>
        <w:docPartObj>
          <w:docPartGallery w:val="Table of Contents"/>
          <w:docPartUnique/>
        </w:docPartObj>
      </w:sdtPr>
      <w:sdtContent>
        <w:p w:rsidR="19C5AEA7" w:rsidP="4D172DEE" w:rsidRDefault="5CD5467A" w14:paraId="6B19C031" w14:textId="6C9F9C98">
          <w:pPr>
            <w:pStyle w:val="TOC2"/>
            <w:tabs>
              <w:tab w:val="right" w:leader="dot" w:pos="9360"/>
            </w:tabs>
            <w:rPr>
              <w:rStyle w:val="Hyperlink"/>
            </w:rPr>
          </w:pPr>
          <w:r>
            <w:fldChar w:fldCharType="begin"/>
          </w:r>
          <w:r>
            <w:instrText xml:space="preserve">TOC \o "1-9" \z \u \h</w:instrText>
          </w:r>
          <w:r>
            <w:fldChar w:fldCharType="separate"/>
          </w:r>
          <w:hyperlink w:anchor="_Toc1982854171">
            <w:r w:rsidRPr="6DC777A1" w:rsidR="6DC777A1">
              <w:rPr>
                <w:rStyle w:val="Hyperlink"/>
              </w:rPr>
              <w:t>Abstract</w:t>
            </w:r>
            <w:r>
              <w:tab/>
            </w:r>
            <w:r>
              <w:fldChar w:fldCharType="begin"/>
            </w:r>
            <w:r>
              <w:instrText xml:space="preserve">PAGEREF _Toc1982854171 \h</w:instrText>
            </w:r>
            <w:r>
              <w:fldChar w:fldCharType="separate"/>
            </w:r>
            <w:r w:rsidRPr="6DC777A1" w:rsidR="6DC777A1">
              <w:rPr>
                <w:rStyle w:val="Hyperlink"/>
              </w:rPr>
              <w:t>2</w:t>
            </w:r>
            <w:r>
              <w:fldChar w:fldCharType="end"/>
            </w:r>
          </w:hyperlink>
        </w:p>
        <w:p w:rsidR="19C5AEA7" w:rsidP="4D172DEE" w:rsidRDefault="5CD5467A" w14:paraId="6A6F67DF" w14:textId="1B95B513">
          <w:pPr>
            <w:pStyle w:val="TOC2"/>
            <w:tabs>
              <w:tab w:val="right" w:leader="dot" w:pos="9360"/>
            </w:tabs>
            <w:rPr>
              <w:rStyle w:val="Hyperlink"/>
            </w:rPr>
          </w:pPr>
          <w:hyperlink w:anchor="_Toc504736603">
            <w:r w:rsidRPr="6DC777A1" w:rsidR="6DC777A1">
              <w:rPr>
                <w:rStyle w:val="Hyperlink"/>
              </w:rPr>
              <w:t>Introduction</w:t>
            </w:r>
            <w:r>
              <w:tab/>
            </w:r>
            <w:r>
              <w:fldChar w:fldCharType="begin"/>
            </w:r>
            <w:r>
              <w:instrText xml:space="preserve">PAGEREF _Toc504736603 \h</w:instrText>
            </w:r>
            <w:r>
              <w:fldChar w:fldCharType="separate"/>
            </w:r>
            <w:r w:rsidRPr="6DC777A1" w:rsidR="6DC777A1">
              <w:rPr>
                <w:rStyle w:val="Hyperlink"/>
              </w:rPr>
              <w:t>2</w:t>
            </w:r>
            <w:r>
              <w:fldChar w:fldCharType="end"/>
            </w:r>
          </w:hyperlink>
        </w:p>
        <w:p w:rsidR="19C5AEA7" w:rsidP="4D172DEE" w:rsidRDefault="5CD5467A" w14:paraId="1CF49E29" w14:textId="5B9B260B">
          <w:pPr>
            <w:pStyle w:val="TOC2"/>
            <w:tabs>
              <w:tab w:val="right" w:leader="dot" w:pos="9360"/>
            </w:tabs>
            <w:rPr>
              <w:rStyle w:val="Hyperlink"/>
            </w:rPr>
          </w:pPr>
          <w:hyperlink w:anchor="_Toc1641932182">
            <w:r w:rsidRPr="6DC777A1" w:rsidR="6DC777A1">
              <w:rPr>
                <w:rStyle w:val="Hyperlink"/>
              </w:rPr>
              <w:t>Research and Literature Review</w:t>
            </w:r>
            <w:r>
              <w:tab/>
            </w:r>
            <w:r>
              <w:fldChar w:fldCharType="begin"/>
            </w:r>
            <w:r>
              <w:instrText xml:space="preserve">PAGEREF _Toc1641932182 \h</w:instrText>
            </w:r>
            <w:r>
              <w:fldChar w:fldCharType="separate"/>
            </w:r>
            <w:r w:rsidRPr="6DC777A1" w:rsidR="6DC777A1">
              <w:rPr>
                <w:rStyle w:val="Hyperlink"/>
              </w:rPr>
              <w:t>4</w:t>
            </w:r>
            <w:r>
              <w:fldChar w:fldCharType="end"/>
            </w:r>
          </w:hyperlink>
        </w:p>
        <w:p w:rsidR="19C5AEA7" w:rsidP="4D172DEE" w:rsidRDefault="5CD5467A" w14:paraId="5FDECB3E" w14:textId="38229070">
          <w:pPr>
            <w:pStyle w:val="TOC2"/>
            <w:tabs>
              <w:tab w:val="right" w:leader="dot" w:pos="9360"/>
            </w:tabs>
            <w:rPr>
              <w:rStyle w:val="Hyperlink"/>
            </w:rPr>
          </w:pPr>
          <w:hyperlink w:anchor="_Toc625338944">
            <w:r w:rsidRPr="6DC777A1" w:rsidR="6DC777A1">
              <w:rPr>
                <w:rStyle w:val="Hyperlink"/>
              </w:rPr>
              <w:t>Research and Development</w:t>
            </w:r>
            <w:r>
              <w:tab/>
            </w:r>
            <w:r>
              <w:fldChar w:fldCharType="begin"/>
            </w:r>
            <w:r>
              <w:instrText xml:space="preserve">PAGEREF _Toc625338944 \h</w:instrText>
            </w:r>
            <w:r>
              <w:fldChar w:fldCharType="separate"/>
            </w:r>
            <w:r w:rsidRPr="6DC777A1" w:rsidR="6DC777A1">
              <w:rPr>
                <w:rStyle w:val="Hyperlink"/>
              </w:rPr>
              <w:t>7</w:t>
            </w:r>
            <w:r>
              <w:fldChar w:fldCharType="end"/>
            </w:r>
          </w:hyperlink>
        </w:p>
        <w:p w:rsidR="19C5AEA7" w:rsidP="4D172DEE" w:rsidRDefault="5CD5467A" w14:paraId="3937BD50" w14:textId="3F6EB73D">
          <w:pPr>
            <w:pStyle w:val="TOC2"/>
            <w:tabs>
              <w:tab w:val="right" w:leader="dot" w:pos="9360"/>
            </w:tabs>
            <w:rPr>
              <w:rStyle w:val="Hyperlink"/>
            </w:rPr>
          </w:pPr>
          <w:hyperlink w:anchor="_Toc1227706328">
            <w:r w:rsidRPr="6DC777A1" w:rsidR="6DC777A1">
              <w:rPr>
                <w:rStyle w:val="Hyperlink"/>
              </w:rPr>
              <w:t>Design and Implementation</w:t>
            </w:r>
            <w:r>
              <w:tab/>
            </w:r>
            <w:r>
              <w:fldChar w:fldCharType="begin"/>
            </w:r>
            <w:r>
              <w:instrText xml:space="preserve">PAGEREF _Toc1227706328 \h</w:instrText>
            </w:r>
            <w:r>
              <w:fldChar w:fldCharType="separate"/>
            </w:r>
            <w:r w:rsidRPr="6DC777A1" w:rsidR="6DC777A1">
              <w:rPr>
                <w:rStyle w:val="Hyperlink"/>
              </w:rPr>
              <w:t>10</w:t>
            </w:r>
            <w:r>
              <w:fldChar w:fldCharType="end"/>
            </w:r>
          </w:hyperlink>
        </w:p>
        <w:p w:rsidR="19C5AEA7" w:rsidP="4D172DEE" w:rsidRDefault="5CD5467A" w14:paraId="76A6198B" w14:textId="7C73C3A0">
          <w:pPr>
            <w:pStyle w:val="TOC2"/>
            <w:tabs>
              <w:tab w:val="right" w:leader="dot" w:pos="9360"/>
            </w:tabs>
            <w:rPr>
              <w:rStyle w:val="Hyperlink"/>
            </w:rPr>
          </w:pPr>
          <w:hyperlink w:anchor="_Toc1875860121">
            <w:r w:rsidRPr="6DC777A1" w:rsidR="6DC777A1">
              <w:rPr>
                <w:rStyle w:val="Hyperlink"/>
              </w:rPr>
              <w:t>Testing</w:t>
            </w:r>
            <w:r>
              <w:tab/>
            </w:r>
            <w:r>
              <w:fldChar w:fldCharType="begin"/>
            </w:r>
            <w:r>
              <w:instrText xml:space="preserve">PAGEREF _Toc1875860121 \h</w:instrText>
            </w:r>
            <w:r>
              <w:fldChar w:fldCharType="separate"/>
            </w:r>
            <w:r w:rsidRPr="6DC777A1" w:rsidR="6DC777A1">
              <w:rPr>
                <w:rStyle w:val="Hyperlink"/>
              </w:rPr>
              <w:t>11</w:t>
            </w:r>
            <w:r>
              <w:fldChar w:fldCharType="end"/>
            </w:r>
          </w:hyperlink>
        </w:p>
        <w:p w:rsidR="19C5AEA7" w:rsidP="4D172DEE" w:rsidRDefault="5CD5467A" w14:paraId="673D8E89" w14:textId="13A746F4">
          <w:pPr>
            <w:pStyle w:val="TOC2"/>
            <w:tabs>
              <w:tab w:val="right" w:leader="dot" w:pos="9360"/>
            </w:tabs>
            <w:rPr>
              <w:rStyle w:val="Hyperlink"/>
            </w:rPr>
          </w:pPr>
          <w:hyperlink w:anchor="_Toc1090836548">
            <w:r w:rsidRPr="6DC777A1" w:rsidR="6DC777A1">
              <w:rPr>
                <w:rStyle w:val="Hyperlink"/>
              </w:rPr>
              <w:t>Evaluation</w:t>
            </w:r>
            <w:r>
              <w:tab/>
            </w:r>
            <w:r>
              <w:fldChar w:fldCharType="begin"/>
            </w:r>
            <w:r>
              <w:instrText xml:space="preserve">PAGEREF _Toc1090836548 \h</w:instrText>
            </w:r>
            <w:r>
              <w:fldChar w:fldCharType="separate"/>
            </w:r>
            <w:r w:rsidRPr="6DC777A1" w:rsidR="6DC777A1">
              <w:rPr>
                <w:rStyle w:val="Hyperlink"/>
              </w:rPr>
              <w:t>12</w:t>
            </w:r>
            <w:r>
              <w:fldChar w:fldCharType="end"/>
            </w:r>
          </w:hyperlink>
        </w:p>
        <w:p w:rsidR="19C5AEA7" w:rsidP="4D172DEE" w:rsidRDefault="5CD5467A" w14:paraId="308CE2A6" w14:textId="3F95D9B0">
          <w:pPr>
            <w:pStyle w:val="TOC2"/>
            <w:tabs>
              <w:tab w:val="right" w:leader="dot" w:pos="9360"/>
            </w:tabs>
            <w:rPr>
              <w:rStyle w:val="Hyperlink"/>
            </w:rPr>
          </w:pPr>
          <w:hyperlink w:anchor="_Toc84332693">
            <w:r w:rsidRPr="6DC777A1" w:rsidR="6DC777A1">
              <w:rPr>
                <w:rStyle w:val="Hyperlink"/>
              </w:rPr>
              <w:t>Conclusions and Recommendations</w:t>
            </w:r>
            <w:r>
              <w:tab/>
            </w:r>
            <w:r>
              <w:fldChar w:fldCharType="begin"/>
            </w:r>
            <w:r>
              <w:instrText xml:space="preserve">PAGEREF _Toc84332693 \h</w:instrText>
            </w:r>
            <w:r>
              <w:fldChar w:fldCharType="separate"/>
            </w:r>
            <w:r w:rsidRPr="6DC777A1" w:rsidR="6DC777A1">
              <w:rPr>
                <w:rStyle w:val="Hyperlink"/>
              </w:rPr>
              <w:t>13</w:t>
            </w:r>
            <w:r>
              <w:fldChar w:fldCharType="end"/>
            </w:r>
          </w:hyperlink>
        </w:p>
        <w:p w:rsidR="19C5AEA7" w:rsidP="4D172DEE" w:rsidRDefault="5CD5467A" w14:paraId="39FA1D1B" w14:textId="6C7E2D12">
          <w:pPr>
            <w:pStyle w:val="TOC2"/>
            <w:tabs>
              <w:tab w:val="right" w:leader="dot" w:pos="9360"/>
            </w:tabs>
            <w:rPr>
              <w:rStyle w:val="Hyperlink"/>
            </w:rPr>
          </w:pPr>
          <w:hyperlink w:anchor="_Toc329556949">
            <w:r w:rsidRPr="6DC777A1" w:rsidR="6DC777A1">
              <w:rPr>
                <w:rStyle w:val="Hyperlink"/>
              </w:rPr>
              <w:t>References</w:t>
            </w:r>
            <w:r>
              <w:tab/>
            </w:r>
            <w:r>
              <w:fldChar w:fldCharType="begin"/>
            </w:r>
            <w:r>
              <w:instrText xml:space="preserve">PAGEREF _Toc329556949 \h</w:instrText>
            </w:r>
            <w:r>
              <w:fldChar w:fldCharType="separate"/>
            </w:r>
            <w:r w:rsidRPr="6DC777A1" w:rsidR="6DC777A1">
              <w:rPr>
                <w:rStyle w:val="Hyperlink"/>
              </w:rPr>
              <w:t>13</w:t>
            </w:r>
            <w:r>
              <w:fldChar w:fldCharType="end"/>
            </w:r>
          </w:hyperlink>
          <w:r>
            <w:fldChar w:fldCharType="end"/>
          </w:r>
        </w:p>
      </w:sdtContent>
    </w:sdt>
    <w:p w:rsidR="6DC777A1" w:rsidRDefault="6DC777A1" w14:paraId="16B4D1D5" w14:textId="2155F5F7">
      <w:r>
        <w:br w:type="page"/>
      </w:r>
    </w:p>
    <w:p w:rsidR="19C5AEA7" w:rsidP="2C82A51B" w:rsidRDefault="4A1412AF" w14:paraId="3109DCDF" w14:textId="49CB0640">
      <w:pPr>
        <w:pStyle w:val="Heading2"/>
      </w:pPr>
      <w:bookmarkStart w:name="_Toc1982854171" w:id="1162309167"/>
      <w:r w:rsidR="4A1412AF">
        <w:rPr/>
        <w:t>Abstract</w:t>
      </w:r>
      <w:bookmarkEnd w:id="1162309167"/>
    </w:p>
    <w:p w:rsidR="6359C10E" w:rsidP="6DC777A1" w:rsidRDefault="6359C10E" w14:paraId="4D5B0E71" w14:textId="0D19990A">
      <w:pPr>
        <w:spacing w:before="240" w:beforeAutospacing="off" w:after="240" w:afterAutospacing="off"/>
        <w:rPr>
          <w:rFonts w:ascii="Aptos" w:hAnsi="Aptos" w:eastAsia="Aptos" w:cs="Aptos"/>
          <w:b w:val="0"/>
          <w:bCs w:val="0"/>
          <w:i w:val="0"/>
          <w:iCs w:val="0"/>
          <w:caps w:val="0"/>
          <w:smallCaps w:val="0"/>
          <w:color w:val="000000" w:themeColor="text1" w:themeTint="FF" w:themeShade="FF"/>
          <w:sz w:val="24"/>
          <w:szCs w:val="24"/>
        </w:rPr>
      </w:pPr>
      <w:r w:rsidRPr="6DC777A1" w:rsidR="6359C10E">
        <w:rPr>
          <w:rFonts w:ascii="Aptos" w:hAnsi="Aptos" w:eastAsia="Aptos" w:cs="Aptos"/>
          <w:b w:val="0"/>
          <w:bCs w:val="0"/>
          <w:i w:val="0"/>
          <w:iCs w:val="0"/>
          <w:caps w:val="0"/>
          <w:smallCaps w:val="0"/>
          <w:color w:val="000000" w:themeColor="text1" w:themeTint="FF" w:themeShade="FF"/>
          <w:sz w:val="24"/>
          <w:szCs w:val="24"/>
        </w:rPr>
        <w:t>The growing popularity of wireless gaming controllers has exposed the limitations of traditional wired charging systems, which can cause cable clutter, wear on charging ports, and inconvenience for users. This project presents the development of a wireless inductive charging system designed specifically for gaming controllers, offering a solution that complements the wireless nature of modern devices. Using electromagnetic induction, the system transfers power between a transmitter coil in a charging dock and a receiver coil within the controller, removing the need for physical connectors.</w:t>
      </w:r>
    </w:p>
    <w:p w:rsidR="6359C10E" w:rsidP="6DC777A1" w:rsidRDefault="6359C10E" w14:paraId="53BBDA78" w14:textId="4CAE4CF8">
      <w:pPr>
        <w:spacing w:before="240" w:beforeAutospacing="off" w:after="240" w:afterAutospacing="off"/>
        <w:rPr>
          <w:rFonts w:ascii="Aptos" w:hAnsi="Aptos" w:eastAsia="Aptos" w:cs="Aptos"/>
          <w:b w:val="0"/>
          <w:bCs w:val="0"/>
          <w:i w:val="0"/>
          <w:iCs w:val="0"/>
          <w:caps w:val="0"/>
          <w:smallCaps w:val="0"/>
          <w:color w:val="000000" w:themeColor="text1" w:themeTint="FF" w:themeShade="FF"/>
          <w:sz w:val="24"/>
          <w:szCs w:val="24"/>
        </w:rPr>
      </w:pPr>
      <w:r w:rsidRPr="6DC777A1" w:rsidR="6359C10E">
        <w:rPr>
          <w:rFonts w:ascii="Aptos" w:hAnsi="Aptos" w:eastAsia="Aptos" w:cs="Aptos"/>
          <w:b w:val="0"/>
          <w:bCs w:val="0"/>
          <w:i w:val="0"/>
          <w:iCs w:val="0"/>
          <w:caps w:val="0"/>
          <w:smallCaps w:val="0"/>
          <w:color w:val="000000" w:themeColor="text1" w:themeTint="FF" w:themeShade="FF"/>
          <w:sz w:val="24"/>
          <w:szCs w:val="24"/>
        </w:rPr>
        <w:t xml:space="preserve">Extensive research into both conventional and resonant inductive charging technologies highlighted key advantages, including improved durability, user convenience, and cleaner aesthetics. Several receiver coils were designed and tested to </w:t>
      </w:r>
      <w:r w:rsidRPr="6DC777A1" w:rsidR="6359C10E">
        <w:rPr>
          <w:rFonts w:ascii="Aptos" w:hAnsi="Aptos" w:eastAsia="Aptos" w:cs="Aptos"/>
          <w:b w:val="0"/>
          <w:bCs w:val="0"/>
          <w:i w:val="0"/>
          <w:iCs w:val="0"/>
          <w:caps w:val="0"/>
          <w:smallCaps w:val="0"/>
          <w:color w:val="000000" w:themeColor="text1" w:themeTint="FF" w:themeShade="FF"/>
          <w:sz w:val="24"/>
          <w:szCs w:val="24"/>
        </w:rPr>
        <w:t>optimise</w:t>
      </w:r>
      <w:r w:rsidRPr="6DC777A1" w:rsidR="6359C10E">
        <w:rPr>
          <w:rFonts w:ascii="Aptos" w:hAnsi="Aptos" w:eastAsia="Aptos" w:cs="Aptos"/>
          <w:b w:val="0"/>
          <w:bCs w:val="0"/>
          <w:i w:val="0"/>
          <w:iCs w:val="0"/>
          <w:caps w:val="0"/>
          <w:smallCaps w:val="0"/>
          <w:color w:val="000000" w:themeColor="text1" w:themeTint="FF" w:themeShade="FF"/>
          <w:sz w:val="24"/>
          <w:szCs w:val="24"/>
        </w:rPr>
        <w:t xml:space="preserve"> output voltage and integration within the compact confines of a controller. Of the coils tested, a 24-turn coil produced the most suitable output—3V from a 15V input—</w:t>
      </w:r>
      <w:r w:rsidRPr="6DC777A1" w:rsidR="6359C10E">
        <w:rPr>
          <w:rFonts w:ascii="Aptos" w:hAnsi="Aptos" w:eastAsia="Aptos" w:cs="Aptos"/>
          <w:b w:val="0"/>
          <w:bCs w:val="0"/>
          <w:i w:val="0"/>
          <w:iCs w:val="0"/>
          <w:caps w:val="0"/>
          <w:smallCaps w:val="0"/>
          <w:color w:val="000000" w:themeColor="text1" w:themeTint="FF" w:themeShade="FF"/>
          <w:sz w:val="24"/>
          <w:szCs w:val="24"/>
        </w:rPr>
        <w:t>remaining</w:t>
      </w:r>
      <w:r w:rsidRPr="6DC777A1" w:rsidR="6359C10E">
        <w:rPr>
          <w:rFonts w:ascii="Aptos" w:hAnsi="Aptos" w:eastAsia="Aptos" w:cs="Aptos"/>
          <w:b w:val="0"/>
          <w:bCs w:val="0"/>
          <w:i w:val="0"/>
          <w:iCs w:val="0"/>
          <w:caps w:val="0"/>
          <w:smallCaps w:val="0"/>
          <w:color w:val="000000" w:themeColor="text1" w:themeTint="FF" w:themeShade="FF"/>
          <w:sz w:val="24"/>
          <w:szCs w:val="24"/>
        </w:rPr>
        <w:t xml:space="preserve"> below the 4.2V battery charging limit and providing consistent performance. Thermal issues with the switching transistor were resolved through the application of a heatsink, ensuring safe operation.</w:t>
      </w:r>
    </w:p>
    <w:p w:rsidR="6359C10E" w:rsidP="6DC777A1" w:rsidRDefault="6359C10E" w14:paraId="2B536FB2" w14:textId="21311AB3">
      <w:pPr>
        <w:spacing w:before="240" w:beforeAutospacing="off" w:after="240" w:afterAutospacing="off"/>
        <w:rPr>
          <w:rFonts w:ascii="Aptos" w:hAnsi="Aptos" w:eastAsia="Aptos" w:cs="Aptos"/>
          <w:b w:val="0"/>
          <w:bCs w:val="0"/>
          <w:i w:val="0"/>
          <w:iCs w:val="0"/>
          <w:caps w:val="0"/>
          <w:smallCaps w:val="0"/>
          <w:color w:val="000000" w:themeColor="text1" w:themeTint="FF" w:themeShade="FF"/>
          <w:sz w:val="24"/>
          <w:szCs w:val="24"/>
        </w:rPr>
      </w:pPr>
      <w:r w:rsidRPr="6DC777A1" w:rsidR="6359C10E">
        <w:rPr>
          <w:rFonts w:ascii="Aptos" w:hAnsi="Aptos" w:eastAsia="Aptos" w:cs="Aptos"/>
          <w:b w:val="0"/>
          <w:bCs w:val="0"/>
          <w:i w:val="0"/>
          <w:iCs w:val="0"/>
          <w:caps w:val="0"/>
          <w:smallCaps w:val="0"/>
          <w:color w:val="000000" w:themeColor="text1" w:themeTint="FF" w:themeShade="FF"/>
          <w:sz w:val="24"/>
          <w:szCs w:val="24"/>
        </w:rPr>
        <w:t xml:space="preserve">Materials for housing the circuit were evaluated, with ABS chosen for its heat resistance and impact strength, while PLA was used during the prototyping phase due to its affordability and ease of printing. The system was tested for efficiency, electromagnetic field (EMF) safety, and ease of use, </w:t>
      </w:r>
      <w:r w:rsidRPr="6DC777A1" w:rsidR="6359C10E">
        <w:rPr>
          <w:rFonts w:ascii="Aptos" w:hAnsi="Aptos" w:eastAsia="Aptos" w:cs="Aptos"/>
          <w:b w:val="0"/>
          <w:bCs w:val="0"/>
          <w:i w:val="0"/>
          <w:iCs w:val="0"/>
          <w:caps w:val="0"/>
          <w:smallCaps w:val="0"/>
          <w:color w:val="000000" w:themeColor="text1" w:themeTint="FF" w:themeShade="FF"/>
          <w:sz w:val="24"/>
          <w:szCs w:val="24"/>
        </w:rPr>
        <w:t>demonstrating</w:t>
      </w:r>
      <w:r w:rsidRPr="6DC777A1" w:rsidR="6359C10E">
        <w:rPr>
          <w:rFonts w:ascii="Aptos" w:hAnsi="Aptos" w:eastAsia="Aptos" w:cs="Aptos"/>
          <w:b w:val="0"/>
          <w:bCs w:val="0"/>
          <w:i w:val="0"/>
          <w:iCs w:val="0"/>
          <w:caps w:val="0"/>
          <w:smallCaps w:val="0"/>
          <w:color w:val="000000" w:themeColor="text1" w:themeTint="FF" w:themeShade="FF"/>
          <w:sz w:val="24"/>
          <w:szCs w:val="24"/>
        </w:rPr>
        <w:t xml:space="preserve"> both reliable performance and user-friendly operation.</w:t>
      </w:r>
    </w:p>
    <w:p w:rsidR="6359C10E" w:rsidP="6DC777A1" w:rsidRDefault="6359C10E" w14:paraId="476B1D7E" w14:textId="0C1D7168">
      <w:pPr>
        <w:spacing w:before="240" w:beforeAutospacing="off" w:after="240" w:afterAutospacing="off"/>
        <w:rPr>
          <w:rFonts w:ascii="Aptos" w:hAnsi="Aptos" w:eastAsia="Aptos" w:cs="Aptos"/>
          <w:b w:val="0"/>
          <w:bCs w:val="0"/>
          <w:i w:val="0"/>
          <w:iCs w:val="0"/>
          <w:caps w:val="0"/>
          <w:smallCaps w:val="0"/>
          <w:color w:val="000000" w:themeColor="text1" w:themeTint="FF" w:themeShade="FF"/>
          <w:sz w:val="24"/>
          <w:szCs w:val="24"/>
        </w:rPr>
      </w:pPr>
      <w:r w:rsidRPr="6DC777A1" w:rsidR="6359C10E">
        <w:rPr>
          <w:rFonts w:ascii="Aptos" w:hAnsi="Aptos" w:eastAsia="Aptos" w:cs="Aptos"/>
          <w:b w:val="0"/>
          <w:bCs w:val="0"/>
          <w:i w:val="0"/>
          <w:iCs w:val="0"/>
          <w:caps w:val="0"/>
          <w:smallCaps w:val="0"/>
          <w:color w:val="000000" w:themeColor="text1" w:themeTint="FF" w:themeShade="FF"/>
          <w:sz w:val="24"/>
          <w:szCs w:val="24"/>
        </w:rPr>
        <w:t xml:space="preserve">This project </w:t>
      </w:r>
      <w:r w:rsidRPr="6DC777A1" w:rsidR="6359C10E">
        <w:rPr>
          <w:rFonts w:ascii="Aptos" w:hAnsi="Aptos" w:eastAsia="Aptos" w:cs="Aptos"/>
          <w:b w:val="0"/>
          <w:bCs w:val="0"/>
          <w:i w:val="0"/>
          <w:iCs w:val="0"/>
          <w:caps w:val="0"/>
          <w:smallCaps w:val="0"/>
          <w:color w:val="000000" w:themeColor="text1" w:themeTint="FF" w:themeShade="FF"/>
          <w:sz w:val="24"/>
          <w:szCs w:val="24"/>
        </w:rPr>
        <w:t>validates</w:t>
      </w:r>
      <w:r w:rsidRPr="6DC777A1" w:rsidR="6359C10E">
        <w:rPr>
          <w:rFonts w:ascii="Aptos" w:hAnsi="Aptos" w:eastAsia="Aptos" w:cs="Aptos"/>
          <w:b w:val="0"/>
          <w:bCs w:val="0"/>
          <w:i w:val="0"/>
          <w:iCs w:val="0"/>
          <w:caps w:val="0"/>
          <w:smallCaps w:val="0"/>
          <w:color w:val="000000" w:themeColor="text1" w:themeTint="FF" w:themeShade="FF"/>
          <w:sz w:val="24"/>
          <w:szCs w:val="24"/>
        </w:rPr>
        <w:t xml:space="preserve"> the potential of wireless inductive charging as a practical, efficient alternative to conventional wired methods. It enhances the user experience while contributing to improved device longevity and reduced mechanical wear. With further refinement, including </w:t>
      </w:r>
      <w:r w:rsidRPr="6DC777A1" w:rsidR="6359C10E">
        <w:rPr>
          <w:rFonts w:ascii="Aptos" w:hAnsi="Aptos" w:eastAsia="Aptos" w:cs="Aptos"/>
          <w:b w:val="0"/>
          <w:bCs w:val="0"/>
          <w:i w:val="0"/>
          <w:iCs w:val="0"/>
          <w:caps w:val="0"/>
          <w:smallCaps w:val="0"/>
          <w:color w:val="000000" w:themeColor="text1" w:themeTint="FF" w:themeShade="FF"/>
          <w:sz w:val="24"/>
          <w:szCs w:val="24"/>
        </w:rPr>
        <w:t>optimised</w:t>
      </w:r>
      <w:r w:rsidRPr="6DC777A1" w:rsidR="6359C10E">
        <w:rPr>
          <w:rFonts w:ascii="Aptos" w:hAnsi="Aptos" w:eastAsia="Aptos" w:cs="Aptos"/>
          <w:b w:val="0"/>
          <w:bCs w:val="0"/>
          <w:i w:val="0"/>
          <w:iCs w:val="0"/>
          <w:caps w:val="0"/>
          <w:smallCaps w:val="0"/>
          <w:color w:val="000000" w:themeColor="text1" w:themeTint="FF" w:themeShade="FF"/>
          <w:sz w:val="24"/>
          <w:szCs w:val="24"/>
        </w:rPr>
        <w:t xml:space="preserve"> coil design and user trials, this system could set a new benchmark for charging technologies in the gaming industry.</w:t>
      </w:r>
    </w:p>
    <w:p w:rsidR="17CF33A9" w:rsidP="4D172DEE" w:rsidRDefault="19C5AEA7" w14:paraId="27518715" w14:textId="6B5EEE33">
      <w:pPr>
        <w:pStyle w:val="Heading2"/>
      </w:pPr>
      <w:bookmarkStart w:name="_Toc504736603" w:id="882331360"/>
      <w:r w:rsidR="19C5AEA7">
        <w:rPr/>
        <w:t>Introduction</w:t>
      </w:r>
      <w:bookmarkEnd w:id="882331360"/>
    </w:p>
    <w:p w:rsidR="006E19CC" w:rsidP="006E19CC" w:rsidRDefault="006E19CC" w14:paraId="55107B49" w14:textId="37F7CEF8">
      <w:r>
        <w:t xml:space="preserve">In the ever-evolving world of gaming technology, wireless gaming controllers have rapidly gained popularity, revolutionizing the way players interact with their </w:t>
      </w:r>
      <w:r w:rsidR="0367D22F">
        <w:t>favourite</w:t>
      </w:r>
      <w:r>
        <w:t xml:space="preserve"> games. These controllers offer unparalleled convenience, mobility, and ergonomic designs that enhance the overall gaming experience. As gaming becomes increasingly immersive, players are constantly seeking solutions that elevate comfort and performance. One such area that has garnered attention is the charging system for gaming controllers. Traditionally, controllers rely on wired connections for charging, a method that, while functional, has inherent drawbacks. These traditional charging solutions often come with issues like tangled cables, wear and tear on cables, and stress on the controller’s charging ports. As gaming systems become more advanced, players are also demanding more efficient, reliable, and user-friendly charging methods that align with the wireless nature of modern gaming devices.</w:t>
      </w:r>
    </w:p>
    <w:p w:rsidR="006E19CC" w:rsidP="006E19CC" w:rsidRDefault="006E19CC" w14:paraId="3591638D" w14:textId="16FB71E7">
      <w:r w:rsidR="006E19CC">
        <w:rPr/>
        <w:t xml:space="preserve">The need for a more seamless, hassle-free charging experience has prompted innovation in the field of wireless charging technology. Wireless charging, which </w:t>
      </w:r>
      <w:r w:rsidR="006E19CC">
        <w:rPr/>
        <w:t>eliminates</w:t>
      </w:r>
      <w:r w:rsidR="006E19CC">
        <w:rPr/>
        <w:t xml:space="preserve"> the need for physical connectors, presents an opportunity to resolve many of the challenges faced by gamers. The introduction of a wireless inductive charging system for gaming controllers is a proposed solution that aims to deliver a charging experience that matches the freedom and flexibility offered by wireless controllers themselves. This system would </w:t>
      </w:r>
      <w:r w:rsidR="006E19CC">
        <w:rPr/>
        <w:t>utilize</w:t>
      </w:r>
      <w:r w:rsidR="006E19CC">
        <w:rPr/>
        <w:t xml:space="preserve"> inductive charging technology, which allows for power transfer through electromagnetic induction between a charging pad and a controller. By using this method, players can simply place their controller on a charging surface, and it will begin charging automatically, without the need to plug in any cables.</w:t>
      </w:r>
    </w:p>
    <w:p w:rsidR="006E19CC" w:rsidP="006E19CC" w:rsidRDefault="006E19CC" w14:paraId="416EBDF0" w14:textId="410D403A">
      <w:r w:rsidR="006E19CC">
        <w:rPr/>
        <w:t xml:space="preserve">One of the primary advantages of this wireless charging approach is the elimination of the physical connectors that are typically used in wired charging systems. This removes the </w:t>
      </w:r>
      <w:r w:rsidR="006E19CC">
        <w:rPr/>
        <w:t>common problem</w:t>
      </w:r>
      <w:r w:rsidR="006E19CC">
        <w:rPr/>
        <w:t xml:space="preserve"> of wear and tear on both the charging cables and the controller’s charging port, which can degrade over time due to frequent plugging and unplugging. In addition, with no physical connectors involved, the risk of damaging the controller or the charging port is minimized, ensuring the long-term durability and reliability of the device. Another significant benefit is the convenience of not having to fumble with cables. With traditional wired chargers, users often </w:t>
      </w:r>
      <w:r w:rsidR="006E19CC">
        <w:rPr/>
        <w:t>have to</w:t>
      </w:r>
      <w:r w:rsidR="006E19CC">
        <w:rPr/>
        <w:t xml:space="preserve"> </w:t>
      </w:r>
      <w:r w:rsidR="006E19CC">
        <w:rPr/>
        <w:t>locate</w:t>
      </w:r>
      <w:r w:rsidR="006E19CC">
        <w:rPr/>
        <w:t xml:space="preserve"> and connect the correct cable, which can be frustrating, especially in dark or cluttered gaming environments. Wireless charging removes this inconvenience, offering a more intuitive and user-friendly experience.</w:t>
      </w:r>
    </w:p>
    <w:p w:rsidR="006E19CC" w:rsidP="006E19CC" w:rsidRDefault="1870537D" w14:paraId="5A5A9362" w14:textId="027359A2">
      <w:r w:rsidR="1870537D">
        <w:rPr/>
        <w:t xml:space="preserve">This proposal outlines the goals, </w:t>
      </w:r>
      <w:r w:rsidR="1870537D">
        <w:rPr/>
        <w:t>objectives</w:t>
      </w:r>
      <w:r w:rsidR="1870537D">
        <w:rPr/>
        <w:t xml:space="preserve">, and </w:t>
      </w:r>
      <w:r w:rsidR="1870537D">
        <w:rPr/>
        <w:t>methodology</w:t>
      </w:r>
      <w:r w:rsidR="1870537D">
        <w:rPr/>
        <w:t xml:space="preserve"> for developing a wireless inductive charging system specifically designed for gaming controllers. The project aims to create a solution that not only charges controllers more efficiently but also </w:t>
      </w:r>
      <w:r w:rsidR="06DFE961">
        <w:rPr/>
        <w:t>enhance</w:t>
      </w:r>
      <w:r w:rsidR="1870537D">
        <w:rPr/>
        <w:t xml:space="preserve"> the overall user experience. By implementing wireless charging technology, gamers will be able to simply place their controllers on a charging dock or pad, </w:t>
      </w:r>
      <w:r w:rsidR="1870537D">
        <w:rPr/>
        <w:t>eliminating</w:t>
      </w:r>
      <w:r w:rsidR="1870537D">
        <w:rPr/>
        <w:t xml:space="preserve"> the need for any physical connection. This wireless system is expected to provide faster charging speeds compared to traditional wired solutions, and potentially even extend battery life by reducing wear and tear caused by repeated plugging in and unplugging.</w:t>
      </w:r>
    </w:p>
    <w:p w:rsidR="006E19CC" w:rsidP="006E19CC" w:rsidRDefault="006E19CC" w14:paraId="1A1689D5" w14:textId="25A09610">
      <w:r w:rsidR="006E19CC">
        <w:rPr/>
        <w:t xml:space="preserve">The expected outcomes of this project are far-reaching. Not only will the development of a wireless charging system improve the user experience, but it will also contribute to the ongoing shift toward more streamlined, hassle-free technology in the gaming industry. As gaming hardware continues to evolve, integrating efficient and convenient charging systems will become increasingly important. </w:t>
      </w:r>
      <w:r w:rsidR="2FB40E50">
        <w:rPr/>
        <w:t>The</w:t>
      </w:r>
      <w:r w:rsidR="006E19CC">
        <w:rPr/>
        <w:t xml:space="preserve"> introduction of wireless inductive chargers for gaming controllers could set a new standard for the industry, offering a future where charging is as effortless as the gaming itself. This proposal </w:t>
      </w:r>
      <w:r w:rsidR="006E19CC">
        <w:rPr/>
        <w:t>represents</w:t>
      </w:r>
      <w:r w:rsidR="006E19CC">
        <w:rPr/>
        <w:t xml:space="preserve"> a forward-thinking solution designed to meet the growing demands of modern gamers worldwide.</w:t>
      </w:r>
    </w:p>
    <w:p w:rsidR="00A95887" w:rsidP="002C45B6" w:rsidRDefault="19C5AEA7" w14:paraId="2E0C9A69" w14:textId="7776B3CE">
      <w:pPr>
        <w:pStyle w:val="Heading2"/>
      </w:pPr>
      <w:bookmarkStart w:name="_Toc1641932182" w:id="1529148189"/>
      <w:r w:rsidR="19C5AEA7">
        <w:rPr/>
        <w:t>Research and Literature Review</w:t>
      </w:r>
      <w:bookmarkEnd w:id="1529148189"/>
    </w:p>
    <w:p w:rsidR="00A95887" w:rsidP="4D172DEE" w:rsidRDefault="00A95887" w14:paraId="0986D70E" w14:textId="1749FE8B">
      <w:r w:rsidR="00A95887">
        <w:rPr/>
        <w:t xml:space="preserve">The gaming industry has experienced significant advancements over the past decade, particularly in wireless gaming controllers. These controllers offer enhanced mobility and convenience, allowing gamers to enjoy greater freedom of movement without being tethered by cables. However, despite the popularity of wireless controllers, the issue of charging </w:t>
      </w:r>
      <w:r w:rsidR="00A95887">
        <w:rPr/>
        <w:t>remains</w:t>
      </w:r>
      <w:r w:rsidR="00A95887">
        <w:rPr/>
        <w:t xml:space="preserve"> a challenge. Current charging methods for gaming controllers primarily rely on a physical connection between the controller and the charging dock. While functional, this system introduces several drawbacks, including wear and tear on the connection points, potential damage to the controller’s charging interface, and the inconvenience of having to manually align the charging ports. This review explores existing literature on wireless and inductive charging technologies, and how they could be applied to replace physical connections with inductive charging in gaming controllers.</w:t>
      </w:r>
    </w:p>
    <w:p w:rsidR="00A95887" w:rsidP="4D172DEE" w:rsidRDefault="00A95887" w14:paraId="14F4FC18" w14:textId="77777777">
      <w:r w:rsidR="00A95887">
        <w:rPr/>
        <w:t xml:space="preserve">Traditional gaming controllers, including those for platforms like PlayStation and Xbox, use a charging dock that requires a physical connection between the controller and the dock to charge the device. These docks typically feature a physical interface—such as metal contacts or pins—that connect to corresponding contacts in the controller’s charging port. For example, Xbox controllers use a charging dock system with a battery pack, where metal connectors align with the charging dock’s pins. PlayStation controllers, such as the DualShock 4 and </w:t>
      </w:r>
      <w:r w:rsidR="00A95887">
        <w:rPr/>
        <w:t>DualSense</w:t>
      </w:r>
      <w:r w:rsidR="00A95887">
        <w:rPr/>
        <w:t xml:space="preserve">, use similar docking systems with metal connectors to </w:t>
      </w:r>
      <w:r w:rsidR="00A95887">
        <w:rPr/>
        <w:t>establish</w:t>
      </w:r>
      <w:r w:rsidR="00A95887">
        <w:rPr/>
        <w:t xml:space="preserve"> a power transfer.</w:t>
      </w:r>
    </w:p>
    <w:p w:rsidR="00A95887" w:rsidP="4D172DEE" w:rsidRDefault="00A95887" w14:paraId="34E102FB" w14:textId="61512EE2">
      <w:r>
        <w:t>While this physical connection method is effective, it has notable downsides. The repeated plugging and unplugging of controllers can lead to wear on both the charging pins and the controller’s charging port. Over time, this wear can result in poor connections, slower charging, or even permanent damage to the controller’s hardware. Furthermore, this system introduces clutter with cables and connectors, which detracts from the convenience that wireless controllers are meant to provide.</w:t>
      </w:r>
    </w:p>
    <w:p w:rsidR="00A95887" w:rsidP="4D172DEE" w:rsidRDefault="00A95887" w14:paraId="373C18F9" w14:textId="77777777">
      <w:r w:rsidR="00A95887">
        <w:rPr/>
        <w:t xml:space="preserve">Inductive charging, or wireless charging, </w:t>
      </w:r>
      <w:r w:rsidR="00A95887">
        <w:rPr/>
        <w:t>eliminates</w:t>
      </w:r>
      <w:r w:rsidR="00A95887">
        <w:rPr/>
        <w:t xml:space="preserve"> the need for physical connectors by transferring energy via electromagnetic induction. This method uses two coils: a transmitter coil in the charging pad and a receiver coil in the device. When the device is placed on the charging pad, the electromagnetic field created by the transmitter coil induces a current in the receiver coil, thus charging the device.</w:t>
      </w:r>
    </w:p>
    <w:p w:rsidR="00A95887" w:rsidP="4D172DEE" w:rsidRDefault="51107DE2" w14:paraId="1796CE5E" w14:textId="7D967196">
      <w:r>
        <w:t>The most common standard for inductive charging is the Qi standard, developed by the Wireless Power Consortium (WPC). This system has been successfully integrated into consumer electronics, including smartphones, tablets, and wireless earbuds. Inductive charging offers several key advantages: it removes the need for physical contact between the charging device and its charger, reduces wear on connectors, and enhances convenience for users.</w:t>
      </w:r>
    </w:p>
    <w:p w:rsidR="00A95887" w:rsidP="4D172DEE" w:rsidRDefault="00A95887" w14:paraId="7DE84FA0" w14:textId="6924B938">
      <w:r w:rsidR="00A95887">
        <w:rPr/>
        <w:t xml:space="preserve">However, as of now, inductive charging has not yet been widely implemented for gaming controllers. Existing charging solutions for controllers still rely on physical connections, with charging docks designed to </w:t>
      </w:r>
      <w:r w:rsidR="00A95887">
        <w:rPr/>
        <w:t>interface</w:t>
      </w:r>
      <w:r w:rsidR="00A95887">
        <w:rPr/>
        <w:t xml:space="preserve"> with connectors on the controller. </w:t>
      </w:r>
      <w:r w:rsidR="371916B1">
        <w:rPr/>
        <w:t>Despite</w:t>
      </w:r>
      <w:r w:rsidR="00A95887">
        <w:rPr/>
        <w:t xml:space="preserve"> inductive charging </w:t>
      </w:r>
      <w:r w:rsidR="371916B1">
        <w:rPr/>
        <w:t>being</w:t>
      </w:r>
      <w:r w:rsidR="00A95887">
        <w:rPr/>
        <w:t xml:space="preserve"> successfully applied to many other industries, its adoption for gaming controllers </w:t>
      </w:r>
      <w:r w:rsidR="00A95887">
        <w:rPr/>
        <w:t>remains</w:t>
      </w:r>
      <w:r w:rsidR="00A95887">
        <w:rPr/>
        <w:t>.</w:t>
      </w:r>
    </w:p>
    <w:p w:rsidR="00A95887" w:rsidP="4D172DEE" w:rsidRDefault="51107DE2" w14:paraId="5443B126" w14:textId="4E0D54BB">
      <w:r w:rsidR="51107DE2">
        <w:rPr/>
        <w:t xml:space="preserve">The integration of inductive charging into gaming controllers offers a promising solution to the challenges of physical connection-based charging. If a receiver coil were embedded directly into the controller, it would be possible to use a charging dock that </w:t>
      </w:r>
      <w:r w:rsidR="51107DE2">
        <w:rPr/>
        <w:t>contains</w:t>
      </w:r>
      <w:r w:rsidR="51107DE2">
        <w:rPr/>
        <w:t xml:space="preserve"> only a transmitter coil. This system would allow users to charge their controllers without having to plug them in or worry about aligning metal connectors. By replacing physical connectors with inductive charging coils, the overall user experience could be improved, offering more </w:t>
      </w:r>
      <w:r w:rsidR="7C960E69">
        <w:rPr/>
        <w:t>convenience,</w:t>
      </w:r>
      <w:r w:rsidR="51107DE2">
        <w:rPr/>
        <w:t xml:space="preserve"> and reducing the risk of wear or damage to the controller.</w:t>
      </w:r>
    </w:p>
    <w:p w:rsidR="00A95887" w:rsidP="4D172DEE" w:rsidRDefault="00A95887" w14:paraId="43EFDA98" w14:textId="77777777">
      <w:r w:rsidR="00A95887">
        <w:rPr/>
        <w:t>Previous</w:t>
      </w:r>
      <w:r w:rsidR="00A95887">
        <w:rPr/>
        <w:t xml:space="preserve"> studies have highlighted the potential of inductive charging in consumer electronics. For example, S. M. Kwon et al. [1] discuss how wireless charging systems have been successfully used for mobile devices, offering several advantages such as increased durability, ease of use, and safety. This research </w:t>
      </w:r>
      <w:r w:rsidR="00A95887">
        <w:rPr/>
        <w:t>indicates</w:t>
      </w:r>
      <w:r w:rsidR="00A95887">
        <w:rPr/>
        <w:t xml:space="preserve"> that the same benefits could be realized in gaming controllers by replacing physical connectors with inductive charging coils. In addition, the study emphasizes the ability of inductive charging to reduce wear on devices by </w:t>
      </w:r>
      <w:r w:rsidR="00A95887">
        <w:rPr/>
        <w:t>eliminating</w:t>
      </w:r>
      <w:r w:rsidR="00A95887">
        <w:rPr/>
        <w:t xml:space="preserve"> the need for frequent plugging and unplugging.</w:t>
      </w:r>
    </w:p>
    <w:p w:rsidR="00A95887" w:rsidP="6DC777A1" w:rsidRDefault="00A95887" w14:paraId="63A1C040" w14:textId="4C6DDCA6">
      <w:pPr>
        <w:pStyle w:val="Normal"/>
        <w:suppressLineNumbers w:val="0"/>
        <w:bidi w:val="0"/>
        <w:spacing w:before="0" w:beforeAutospacing="off" w:after="160" w:afterAutospacing="off" w:line="279" w:lineRule="auto"/>
        <w:ind w:left="0" w:right="0"/>
        <w:jc w:val="left"/>
      </w:pPr>
      <w:r w:rsidR="00A95887">
        <w:rPr/>
        <w:t>Moreover, the introduction of resonant inductive coupling, a more advanced form of inductive charging, could address some of the limitations of conventional inductive charging systems. Traditional inductive charging systems</w:t>
      </w:r>
      <w:r w:rsidR="2F91A149">
        <w:rPr/>
        <w:t xml:space="preserve"> </w:t>
      </w:r>
      <w:r w:rsidR="00A95887">
        <w:rPr/>
        <w:t xml:space="preserve">require </w:t>
      </w:r>
      <w:r w:rsidR="6CD3E2BD">
        <w:rPr/>
        <w:t>accurate</w:t>
      </w:r>
      <w:r w:rsidR="00A95887">
        <w:rPr/>
        <w:t xml:space="preserve"> alignment between the charging pad and the device, which can be a challenge for users. However, resonant inductive charging allows for more forgiving alignment, enabling greater flexibility and ease of use. According to Z. Zhang et al. [2], resonant inductive coupling has the potential to improve charging efficiency and make wireless charging more practical for a wider range of devices, including gaming controllers.</w:t>
      </w:r>
    </w:p>
    <w:p w:rsidR="00A95887" w:rsidP="4D172DEE" w:rsidRDefault="00A95887" w14:paraId="2CDC8419" w14:textId="5EE7EE50">
      <w:r w:rsidR="00A95887">
        <w:rPr/>
        <w:t xml:space="preserve">One of the main obstacles to implementing inductive charging in gaming controllers is the speed of power transfer. Inductive charging systems are </w:t>
      </w:r>
      <w:r w:rsidR="00A95887">
        <w:rPr/>
        <w:t>generally slower</w:t>
      </w:r>
      <w:r w:rsidR="00A95887">
        <w:rPr/>
        <w:t xml:space="preserve"> than traditional wired charging systems, which could be problematic for gamers who need to charge their controllers quickly. However, recent advancements in resonant inductive coupling and high-frequency energy transfer have </w:t>
      </w:r>
      <w:r w:rsidR="00A95887">
        <w:rPr/>
        <w:t>demonstrated</w:t>
      </w:r>
      <w:r w:rsidR="00A95887">
        <w:rPr/>
        <w:t xml:space="preserve"> that faster and more efficient wireless charging is possible. J. R. Lee et al. [3] show that the efficiency of inductive charging can be significantly improved </w:t>
      </w:r>
      <w:r w:rsidR="00A95887">
        <w:rPr/>
        <w:t>through the use of</w:t>
      </w:r>
      <w:r w:rsidR="00A95887">
        <w:rPr/>
        <w:t xml:space="preserve"> high-frequency resonant inductive systems, which could allow for faster charging times and make the transition from physical connections to wireless charging more </w:t>
      </w:r>
      <w:r w:rsidR="00A95887">
        <w:rPr/>
        <w:t>feasible</w:t>
      </w:r>
      <w:r w:rsidR="00A95887">
        <w:rPr/>
        <w:t xml:space="preserve"> for gaming controllers.</w:t>
      </w:r>
    </w:p>
    <w:p w:rsidR="00A95887" w:rsidP="4D172DEE" w:rsidRDefault="00A95887" w14:paraId="22C47000" w14:textId="77777777">
      <w:r>
        <w:t>By replacing the physical connection with inductive charging, several benefits can be realized:</w:t>
      </w:r>
    </w:p>
    <w:p w:rsidR="00A95887" w:rsidP="004A0B1A" w:rsidRDefault="00A95887" w14:paraId="65097D53" w14:textId="77777777">
      <w:pPr>
        <w:ind w:left="720"/>
      </w:pPr>
      <w:r w:rsidR="00A95887">
        <w:rPr/>
        <w:t xml:space="preserve">• Durability: The elimination of physical connectors reduces the wear and tear associated with </w:t>
      </w:r>
      <w:r w:rsidR="00A95887">
        <w:rPr/>
        <w:t>frequently</w:t>
      </w:r>
      <w:r w:rsidR="00A95887">
        <w:rPr/>
        <w:t xml:space="preserve"> plugging and unplugging charging cables. This increases the lifespan of both the controller and the charging dock.</w:t>
      </w:r>
    </w:p>
    <w:p w:rsidR="00A95887" w:rsidP="004A0B1A" w:rsidRDefault="00A95887" w14:paraId="3819C460" w14:textId="77777777">
      <w:pPr>
        <w:ind w:left="720"/>
      </w:pPr>
      <w:r w:rsidR="00A95887">
        <w:rPr/>
        <w:t xml:space="preserve">• Convenience: Gamers would no longer need to worry about aligning metal pins or physically connecting the controller to the dock. Placing the controller on the charging pad would automatically </w:t>
      </w:r>
      <w:r w:rsidR="00A95887">
        <w:rPr/>
        <w:t>initiate</w:t>
      </w:r>
      <w:r w:rsidR="00A95887">
        <w:rPr/>
        <w:t xml:space="preserve"> the charging process, providing a seamless experience.</w:t>
      </w:r>
    </w:p>
    <w:p w:rsidR="00A95887" w:rsidP="004A0B1A" w:rsidRDefault="00A95887" w14:paraId="4F8F6DF1" w14:textId="77777777">
      <w:pPr>
        <w:ind w:left="720"/>
      </w:pPr>
      <w:r w:rsidR="00A95887">
        <w:rPr/>
        <w:t xml:space="preserve">• Enhanced Aesthetics: Inductive charging </w:t>
      </w:r>
      <w:r w:rsidR="00A95887">
        <w:rPr/>
        <w:t>eliminates</w:t>
      </w:r>
      <w:r w:rsidR="00A95887">
        <w:rPr/>
        <w:t xml:space="preserve"> the clutter of cables, making the gaming setup cleaner and more organized. This aligns with the increasing demand for minimalistic and streamlined designs in gaming accessories.</w:t>
      </w:r>
    </w:p>
    <w:p w:rsidR="00A95887" w:rsidP="004A0B1A" w:rsidRDefault="51107DE2" w14:paraId="6F06D99A" w14:textId="154B6E11">
      <w:pPr>
        <w:ind w:left="720"/>
      </w:pPr>
      <w:r w:rsidR="51107DE2">
        <w:rPr/>
        <w:t>• Safety and Reliability: Without the need for physical contacts, the risk of short-circuiting or damaging connectors is significantly reduced. This makes the charging system more reliable over time</w:t>
      </w:r>
      <w:r w:rsidR="12A43C3D">
        <w:rPr/>
        <w:t>.</w:t>
      </w:r>
    </w:p>
    <w:p w:rsidR="00A95887" w:rsidP="4D172DEE" w:rsidRDefault="00A95887" w14:paraId="74D6CFAB" w14:textId="77777777">
      <w:r>
        <w:t>The application of inductive charging technology to replace the physical connection in gaming controllers offers several advantages, including improved durability, convenience, and a cleaner user experience. Although inductive charging has been widely used in other sectors, its integration into gaming controllers has been limited to date. Research shows that inductive charging, particularly through resonant inductive coupling, could overcome the challenges associated with efficiency and charging speed. The future of gaming controller charging systems may very well lie in wireless power transfer, providing gamers with a more convenient and durable solution that aligns with the wireless nature of modern gaming devices.</w:t>
      </w:r>
    </w:p>
    <w:p w:rsidR="19C5AEA7" w:rsidP="4D172DEE" w:rsidRDefault="00A95887" w14:paraId="22EEC8AF" w14:textId="10F57310">
      <w:pPr>
        <w:pStyle w:val="Heading2"/>
      </w:pPr>
      <w:bookmarkStart w:name="_Toc625338944" w:id="126602996"/>
      <w:r w:rsidR="00A95887">
        <w:rPr/>
        <w:t>Research and Development</w:t>
      </w:r>
      <w:bookmarkEnd w:id="126602996"/>
    </w:p>
    <w:p w:rsidR="4A74965A" w:rsidP="7B1717E5" w:rsidRDefault="4A74965A" w14:paraId="32B3FF76" w14:textId="1C365060">
      <w:pPr>
        <w:pStyle w:val="Normal"/>
        <w:spacing w:before="240" w:beforeAutospacing="off" w:after="240" w:afterAutospacing="off"/>
        <w:rPr>
          <w:noProof w:val="0"/>
          <w:sz w:val="24"/>
          <w:szCs w:val="24"/>
          <w:lang w:val="en-GB"/>
        </w:rPr>
      </w:pPr>
      <w:r w:rsidR="4A74965A">
        <w:rPr/>
        <w:t xml:space="preserve">Induction charging </w:t>
      </w:r>
      <w:r w:rsidR="4A74965A">
        <w:rPr/>
        <w:t>operates</w:t>
      </w:r>
      <w:r w:rsidR="4A74965A">
        <w:rPr/>
        <w:t xml:space="preserve"> through electromagnetic induction, where electrical energy is transferred between two coils without direct contact. When an alternating current flows through the transmitter coil, it generates a time varying magnetic field. If a receiver coil is placed within its magnetic field, voltage is sent across the coil, allowing power to be transferred to charge a battery.</w:t>
      </w:r>
      <w:r w:rsidR="14D3C13C">
        <w:rPr/>
        <w:t xml:space="preserve"> [9]</w:t>
      </w:r>
    </w:p>
    <w:p w:rsidR="4A74965A" w:rsidP="7B1717E5" w:rsidRDefault="4A74965A" w14:paraId="66CA4015" w14:textId="29FE8E5B">
      <w:pPr>
        <w:pStyle w:val="Normal"/>
        <w:spacing w:before="240" w:beforeAutospacing="off" w:after="240" w:afterAutospacing="off"/>
        <w:rPr>
          <w:noProof w:val="0"/>
          <w:sz w:val="24"/>
          <w:szCs w:val="24"/>
          <w:lang w:val="en-GB"/>
        </w:rPr>
      </w:pPr>
      <w:r w:rsidR="4A74965A">
        <w:rPr/>
        <w:t xml:space="preserve">Standard inductive charging requires </w:t>
      </w:r>
      <w:r w:rsidR="4A74965A">
        <w:rPr/>
        <w:t>relatively precise</w:t>
      </w:r>
      <w:r w:rsidR="4A74965A">
        <w:rPr/>
        <w:t xml:space="preserve"> alignment to ensure energy transfer takes place. Resonant inductive charging is one step beyond standard inductive charging by enabling energy transfer at a greater distance, as well as less precise alignment tolerances. By tuning the coils to resonate at a similar frequency, the energy transfer is maximized through resonance efficiency. Covering greater positions tolerances and distance is why adding resonant inductive charging is desirable.</w:t>
      </w:r>
      <w:r w:rsidR="024B741E">
        <w:rPr/>
        <w:t xml:space="preserve"> [10]</w:t>
      </w:r>
    </w:p>
    <w:p w:rsidR="4A74965A" w:rsidP="7B1717E5" w:rsidRDefault="4A74965A" w14:paraId="46AEB9BE" w14:textId="6F68E31B">
      <w:pPr>
        <w:pStyle w:val="Normal"/>
        <w:spacing w:before="240" w:beforeAutospacing="off" w:after="240" w:afterAutospacing="off"/>
        <w:rPr>
          <w:noProof w:val="0"/>
          <w:sz w:val="24"/>
          <w:szCs w:val="24"/>
          <w:lang w:val="en-GB"/>
        </w:rPr>
      </w:pPr>
      <w:r w:rsidR="4A74965A">
        <w:rPr/>
        <w:t>Other wireless charging methods include capacitive coupling, by using electric fields rather than magnetic fields and radio frequency RF charging this is done by using far-field electromagnetic wave. Inductive and resonant inductive charging are distinguished by higher power transfer efficiency and safety for high-current applications like controller charging.</w:t>
      </w:r>
      <w:r w:rsidR="38A48F9C">
        <w:rPr/>
        <w:t xml:space="preserve"> [11]</w:t>
      </w:r>
    </w:p>
    <w:p w:rsidR="4A74965A" w:rsidP="5B4C64F6" w:rsidRDefault="4A74965A" w14:paraId="1DEC352B" w14:textId="4452EECC">
      <w:pPr>
        <w:pStyle w:val="Normal"/>
        <w:spacing w:before="240" w:beforeAutospacing="off" w:after="240" w:afterAutospacing="off"/>
        <w:rPr>
          <w:noProof w:val="0"/>
          <w:sz w:val="24"/>
          <w:szCs w:val="24"/>
          <w:lang w:val="en-GB"/>
        </w:rPr>
      </w:pPr>
      <w:r w:rsidR="4A74965A">
        <w:rPr/>
        <w:t>Qi is the dominant standard for inductive charging developed by Wireless Power Consortium (WPC). Qi specifies power levels, communication systems between charger and device, and safety. Qi standards are based on safety in power transfer, detection of foreign objects, and interoperability across many brands and devices.</w:t>
      </w:r>
      <w:r w:rsidR="4DDA33F4">
        <w:rPr/>
        <w:t xml:space="preserve"> [12]</w:t>
      </w:r>
    </w:p>
    <w:p w:rsidR="4A74965A" w:rsidP="5B4C64F6" w:rsidRDefault="4A74965A" w14:paraId="47D0B938" w14:textId="24C4A2D7">
      <w:pPr>
        <w:pStyle w:val="Normal"/>
        <w:spacing w:before="240" w:beforeAutospacing="off" w:after="240" w:afterAutospacing="off"/>
        <w:rPr>
          <w:noProof w:val="0"/>
          <w:lang w:val="en-GB"/>
        </w:rPr>
      </w:pPr>
      <w:r w:rsidR="4A74965A">
        <w:rPr/>
        <w:t xml:space="preserve">Wireless charging systems use several main components: transmitter and receiver </w:t>
      </w:r>
      <w:r w:rsidR="645818D0">
        <w:rPr/>
        <w:t>coils,</w:t>
      </w:r>
      <w:r w:rsidR="4A74965A">
        <w:rPr/>
        <w:t xml:space="preserve"> capacitors (to tune the resonance), power electronics (I. e. Inverters and rectifiers), control circuits, and shielding materials to </w:t>
      </w:r>
      <w:r w:rsidR="4A74965A">
        <w:rPr/>
        <w:t>contain</w:t>
      </w:r>
      <w:r w:rsidR="4A74965A">
        <w:rPr/>
        <w:t xml:space="preserve"> the magnetic field. The coils may have a backer of a high-permeability ferrite material to increase the directionality and efficiency of the field.</w:t>
      </w:r>
      <w:r w:rsidR="173AB022">
        <w:rPr/>
        <w:t xml:space="preserve"> [13]</w:t>
      </w:r>
    </w:p>
    <w:p w:rsidR="4A74965A" w:rsidP="5B4C64F6" w:rsidRDefault="4A74965A" w14:paraId="390F5103" w14:textId="4B5AD197">
      <w:pPr>
        <w:pStyle w:val="Normal"/>
        <w:spacing w:before="240" w:beforeAutospacing="off" w:after="240" w:afterAutospacing="off"/>
        <w:rPr>
          <w:noProof w:val="0"/>
          <w:sz w:val="24"/>
          <w:szCs w:val="24"/>
          <w:lang w:val="en-GB"/>
        </w:rPr>
      </w:pPr>
      <w:r w:rsidR="4A74965A">
        <w:rPr/>
        <w:t>The coil shape, wire gauge, number of turns, and overall geometry have direct/indirect implications for how efficient charging is. To help with minimizing skin effect and proximity losses at greater frequencies, Litz wire, which consists of many thin insulated wires together braided, is often desirable. A flat spiral coil design is often used on smaller/easier-to-integrate devices, such as gaming controllers.</w:t>
      </w:r>
      <w:r w:rsidR="6A4B1DB3">
        <w:rPr/>
        <w:t xml:space="preserve"> [14]</w:t>
      </w:r>
    </w:p>
    <w:p w:rsidR="4A74965A" w:rsidP="5B4C64F6" w:rsidRDefault="4A74965A" w14:paraId="2480D3BA" w14:textId="1F3B5156">
      <w:pPr>
        <w:pStyle w:val="Normal"/>
        <w:spacing w:before="240" w:beforeAutospacing="off" w:after="240" w:afterAutospacing="off"/>
        <w:rPr>
          <w:noProof w:val="0"/>
          <w:sz w:val="24"/>
          <w:szCs w:val="24"/>
          <w:lang w:val="en-GB"/>
        </w:rPr>
      </w:pPr>
      <w:r w:rsidR="4A74965A">
        <w:rPr/>
        <w:t xml:space="preserve">High transfer efficiency is crucial for minimizing power loss and heat generation. </w:t>
      </w:r>
      <w:r w:rsidR="43750459">
        <w:rPr/>
        <w:t>well-designed</w:t>
      </w:r>
      <w:r w:rsidR="4A74965A">
        <w:rPr/>
        <w:t xml:space="preserve"> inductive </w:t>
      </w:r>
      <w:r w:rsidR="1E7593E2">
        <w:rPr/>
        <w:t>systems typically</w:t>
      </w:r>
      <w:r w:rsidR="4A74965A">
        <w:rPr/>
        <w:t xml:space="preserve"> have a transfer rate above 70%, whilst resonant systems can achieve efficiencies of 80% and higher in ideal conditions.</w:t>
      </w:r>
      <w:r w:rsidR="25DB3933">
        <w:rPr/>
        <w:t xml:space="preserve"> [15]</w:t>
      </w:r>
    </w:p>
    <w:p w:rsidR="4A74965A" w:rsidP="5B4C64F6" w:rsidRDefault="4A74965A" w14:paraId="0D5721E6" w14:textId="057BD9BA">
      <w:pPr>
        <w:pStyle w:val="Normal"/>
        <w:spacing w:before="240" w:beforeAutospacing="off" w:after="240" w:afterAutospacing="off"/>
        <w:rPr>
          <w:noProof w:val="0"/>
          <w:sz w:val="24"/>
          <w:szCs w:val="24"/>
          <w:lang w:val="en-GB"/>
        </w:rPr>
      </w:pPr>
      <w:r w:rsidR="4A74965A">
        <w:rPr/>
        <w:t xml:space="preserve">The resonant frequency is </w:t>
      </w:r>
      <w:r w:rsidR="4A74965A">
        <w:rPr/>
        <w:t>determined</w:t>
      </w:r>
      <w:r w:rsidR="4A74965A">
        <w:rPr/>
        <w:t xml:space="preserve"> by the inductance value of the coils and the value of the capacitance of the tuning capacitors. Using RF energy at frequencies around 100 kHz to several MHz is typical, and a final frequency is selected to balance efficiency, </w:t>
      </w:r>
      <w:r w:rsidR="4A74965A">
        <w:rPr/>
        <w:t>safety</w:t>
      </w:r>
      <w:r w:rsidR="4A74965A">
        <w:rPr/>
        <w:t xml:space="preserve"> and electromagnetic interference (EMI) issues.</w:t>
      </w:r>
      <w:r w:rsidR="2BD0D112">
        <w:rPr/>
        <w:t xml:space="preserve"> [16]</w:t>
      </w:r>
    </w:p>
    <w:p w:rsidR="4A74965A" w:rsidP="5B4C64F6" w:rsidRDefault="4A74965A" w14:paraId="7CB17133" w14:textId="49F162BD">
      <w:pPr>
        <w:pStyle w:val="Normal"/>
        <w:spacing w:before="240" w:beforeAutospacing="off" w:after="240" w:afterAutospacing="off"/>
        <w:rPr>
          <w:noProof w:val="0"/>
          <w:sz w:val="24"/>
          <w:szCs w:val="24"/>
          <w:lang w:val="en-GB"/>
        </w:rPr>
      </w:pPr>
      <w:r w:rsidR="4A74965A">
        <w:rPr/>
        <w:t xml:space="preserve">Conventional inductive charging requires </w:t>
      </w:r>
      <w:r w:rsidR="4A74965A">
        <w:rPr/>
        <w:t>close proximity</w:t>
      </w:r>
      <w:r w:rsidR="4A74965A">
        <w:rPr/>
        <w:t xml:space="preserve"> (2–5 mm). Resonant inductive systems can stretch this to 10–40 mm. However, misalignment still reduces efficiency, making good mechanical alignment design critical for consistent performance.</w:t>
      </w:r>
      <w:r w:rsidR="6EEEC6B9">
        <w:rPr/>
        <w:t xml:space="preserve"> [17]</w:t>
      </w:r>
    </w:p>
    <w:p w:rsidR="4A74965A" w:rsidP="7B1717E5" w:rsidRDefault="4A74965A" w14:paraId="2C940DE7" w14:textId="5D7D453D">
      <w:pPr>
        <w:pStyle w:val="Normal"/>
        <w:spacing w:before="240" w:beforeAutospacing="off" w:after="240" w:afterAutospacing="off"/>
        <w:rPr>
          <w:noProof w:val="0"/>
          <w:sz w:val="24"/>
          <w:szCs w:val="24"/>
          <w:lang w:val="en-GB"/>
        </w:rPr>
      </w:pPr>
      <w:r w:rsidR="4A74965A">
        <w:rPr/>
        <w:t xml:space="preserve">Common battery types for controllers are lithium-ion (Li-ion) and lithium-polymer (LiPo) cells, chosen for their high energy density, low self-discharge, and </w:t>
      </w:r>
      <w:r w:rsidR="4A74965A">
        <w:rPr/>
        <w:t>relatively simple</w:t>
      </w:r>
      <w:r w:rsidR="4A74965A">
        <w:rPr/>
        <w:t xml:space="preserve"> charging requirements.</w:t>
      </w:r>
    </w:p>
    <w:p w:rsidR="4A74965A" w:rsidP="7B1717E5" w:rsidRDefault="4A74965A" w14:paraId="404AB5BA" w14:textId="020143E1">
      <w:pPr>
        <w:pStyle w:val="Normal"/>
        <w:spacing w:before="240" w:beforeAutospacing="off" w:after="240" w:afterAutospacing="off"/>
        <w:rPr>
          <w:noProof w:val="0"/>
          <w:sz w:val="24"/>
          <w:szCs w:val="24"/>
          <w:lang w:val="en-GB"/>
        </w:rPr>
      </w:pPr>
      <w:r w:rsidR="4A74965A">
        <w:rPr/>
        <w:t xml:space="preserve">A charger now consists of an AC-to-DC rectifier or the input from the coil, a voltage regulator, a battery management system, and protection circuits that will ensure that charging is done safely and efficiently. </w:t>
      </w:r>
      <w:r w:rsidR="71921723">
        <w:rPr/>
        <w:t>[11]</w:t>
      </w:r>
    </w:p>
    <w:p w:rsidR="4A74965A" w:rsidP="5B4C64F6" w:rsidRDefault="4A74965A" w14:paraId="06C5925B" w14:textId="33B02D84">
      <w:pPr>
        <w:pStyle w:val="Normal"/>
        <w:spacing w:before="240" w:beforeAutospacing="off" w:after="240" w:afterAutospacing="off"/>
        <w:rPr>
          <w:noProof w:val="0"/>
          <w:sz w:val="24"/>
          <w:szCs w:val="24"/>
          <w:lang w:val="en-GB"/>
        </w:rPr>
      </w:pPr>
      <w:r w:rsidR="4A74965A">
        <w:rPr/>
        <w:t xml:space="preserve">The receiver coil carries power in AC </w:t>
      </w:r>
      <w:r w:rsidR="053C0BF1">
        <w:rPr/>
        <w:t>power;</w:t>
      </w:r>
      <w:r w:rsidR="4A74965A">
        <w:rPr/>
        <w:t xml:space="preserve"> </w:t>
      </w:r>
      <w:r w:rsidR="0DD427DB">
        <w:rPr/>
        <w:t>therefore,</w:t>
      </w:r>
      <w:r w:rsidR="4A74965A">
        <w:rPr/>
        <w:t xml:space="preserve"> you must rectify it. This can be done with a bridge rectifier to produce a voltage suitable for battery charging. </w:t>
      </w:r>
      <w:r w:rsidR="5C780156">
        <w:rPr/>
        <w:t>[18]</w:t>
      </w:r>
    </w:p>
    <w:p w:rsidR="4A74965A" w:rsidP="7B1717E5" w:rsidRDefault="4A74965A" w14:paraId="1F2FCF58" w14:textId="6590474D">
      <w:pPr>
        <w:pStyle w:val="Normal"/>
        <w:spacing w:before="240" w:beforeAutospacing="off" w:after="240" w:afterAutospacing="off"/>
        <w:rPr>
          <w:noProof w:val="0"/>
          <w:sz w:val="24"/>
          <w:szCs w:val="24"/>
          <w:lang w:val="en-GB"/>
        </w:rPr>
      </w:pPr>
      <w:r w:rsidR="4A74965A">
        <w:rPr/>
        <w:t xml:space="preserve">Voltage regulation is crucial to match the rectified voltage to the safe charging voltage range of the battery. Low-dropout regulators (LDOs) or buck converters are often </w:t>
      </w:r>
      <w:r w:rsidR="4A74965A">
        <w:rPr/>
        <w:t>utilized</w:t>
      </w:r>
      <w:r w:rsidR="4A74965A">
        <w:rPr/>
        <w:t xml:space="preserve"> to set a stable charging voltage. </w:t>
      </w:r>
    </w:p>
    <w:p w:rsidR="4A74965A" w:rsidP="7B1717E5" w:rsidRDefault="4A74965A" w14:paraId="3ABABE03" w14:textId="02BC3492">
      <w:pPr>
        <w:pStyle w:val="Normal"/>
        <w:spacing w:before="240" w:beforeAutospacing="off" w:after="240" w:afterAutospacing="off"/>
        <w:rPr>
          <w:noProof w:val="0"/>
          <w:sz w:val="24"/>
          <w:szCs w:val="24"/>
          <w:lang w:val="en-GB"/>
        </w:rPr>
      </w:pPr>
      <w:r w:rsidR="4A74965A">
        <w:rPr/>
        <w:t>Protection circuits provide safeguards against overvoltage, overcurrent, short-circuiting, and overheating, which protects the battery's health and longevity</w:t>
      </w:r>
    </w:p>
    <w:p w:rsidR="4A74965A" w:rsidP="5B4C64F6" w:rsidRDefault="4A74965A" w14:paraId="177A03EC" w14:textId="4706BCBD">
      <w:pPr>
        <w:pStyle w:val="Normal"/>
        <w:spacing w:before="240" w:beforeAutospacing="off" w:after="240" w:afterAutospacing="off"/>
        <w:rPr>
          <w:noProof w:val="0"/>
          <w:sz w:val="24"/>
          <w:szCs w:val="24"/>
          <w:lang w:val="en-GB"/>
        </w:rPr>
      </w:pPr>
      <w:r w:rsidR="4A74965A">
        <w:rPr/>
        <w:t>Protection circuits help prevent overvoltage, overheating and overcurrent, ensuring long lasting components and safety for users. Modern battery protection circuits often rely on integrated circuits. These compact ICs manage multiple protection tasks while communicating with the device’s main controller over I2C or SPI interfaces.</w:t>
      </w:r>
      <w:r w:rsidR="4592EEBE">
        <w:rPr/>
        <w:t xml:space="preserve"> [19]</w:t>
      </w:r>
    </w:p>
    <w:p w:rsidR="4A74965A" w:rsidP="7B1717E5" w:rsidRDefault="4A74965A" w14:paraId="2B264416" w14:textId="145C87A7">
      <w:pPr>
        <w:pStyle w:val="Normal"/>
        <w:spacing w:before="240" w:beforeAutospacing="off" w:after="240" w:afterAutospacing="off"/>
        <w:rPr>
          <w:noProof w:val="0"/>
          <w:sz w:val="24"/>
          <w:szCs w:val="24"/>
          <w:lang w:val="en-GB"/>
        </w:rPr>
      </w:pPr>
      <w:r w:rsidR="4A74965A">
        <w:rPr/>
        <w:t xml:space="preserve">The dock design must accurately fit </w:t>
      </w:r>
      <w:r w:rsidR="50B9863A">
        <w:rPr/>
        <w:t>an</w:t>
      </w:r>
      <w:r w:rsidR="4A74965A">
        <w:rPr/>
        <w:t xml:space="preserve"> </w:t>
      </w:r>
      <w:r w:rsidR="61C03DC8">
        <w:rPr/>
        <w:t>Xbox</w:t>
      </w:r>
      <w:r w:rsidR="4A74965A">
        <w:rPr/>
        <w:t xml:space="preserve"> controller to ensure the coils within the dock and the controller line up for efficient charging. Without this, the controller could move around and decrease the area which the coils can reach one </w:t>
      </w:r>
      <w:r w:rsidR="5FDFD097">
        <w:rPr/>
        <w:t>another</w:t>
      </w:r>
      <w:r w:rsidR="4A74965A">
        <w:rPr/>
        <w:t>, reducing the efficiency of the charging and increasing charging times.</w:t>
      </w:r>
    </w:p>
    <w:p w:rsidR="4A74965A" w:rsidP="7B1717E5" w:rsidRDefault="4A74965A" w14:paraId="282B13B5" w14:textId="48C2BF85">
      <w:pPr>
        <w:pStyle w:val="Normal"/>
        <w:spacing w:before="240" w:beforeAutospacing="off" w:after="240" w:afterAutospacing="off"/>
        <w:rPr>
          <w:noProof w:val="0"/>
          <w:sz w:val="24"/>
          <w:szCs w:val="24"/>
          <w:lang w:val="en-GB"/>
        </w:rPr>
      </w:pPr>
      <w:r w:rsidR="4A74965A">
        <w:rPr/>
        <w:t>The circuit within the controller must be designed compactly within the controller without disrupting any of the other components within the controller. Therefor designing a small and efficient circuit is needed as too much heat could disrupt other components within the controller and could have a negative effect on the user, such as buttons not working or increasing latency between button presses.</w:t>
      </w:r>
    </w:p>
    <w:p w:rsidR="4A74965A" w:rsidP="5B4C64F6" w:rsidRDefault="4A74965A" w14:paraId="2D853FE3" w14:textId="3DB2A0DA">
      <w:pPr>
        <w:pStyle w:val="Normal"/>
        <w:spacing w:before="240" w:beforeAutospacing="off" w:after="240" w:afterAutospacing="off"/>
        <w:rPr>
          <w:noProof w:val="0"/>
          <w:sz w:val="24"/>
          <w:szCs w:val="24"/>
          <w:lang w:val="en-GB"/>
        </w:rPr>
      </w:pPr>
      <w:r w:rsidR="4A74965A">
        <w:rPr/>
        <w:t xml:space="preserve">Efficiency can be increased by </w:t>
      </w:r>
      <w:r w:rsidR="4A74965A">
        <w:rPr/>
        <w:t>optimizing</w:t>
      </w:r>
      <w:r w:rsidR="4A74965A">
        <w:rPr/>
        <w:t xml:space="preserve"> coil coupling, using higher-quality materials, minimizing resistive losses, tuning for perfect resonance, and implementing dynamic power control.</w:t>
      </w:r>
      <w:r w:rsidR="3E3A158D">
        <w:rPr/>
        <w:t xml:space="preserve"> [20]</w:t>
      </w:r>
    </w:p>
    <w:p w:rsidR="4A74965A" w:rsidP="5B4C64F6" w:rsidRDefault="4A74965A" w14:paraId="28E79B51" w14:textId="223C2BA4">
      <w:pPr>
        <w:pStyle w:val="Normal"/>
        <w:spacing w:before="240" w:beforeAutospacing="off" w:after="240" w:afterAutospacing="off"/>
        <w:ind/>
        <w:rPr>
          <w:noProof w:val="0"/>
          <w:sz w:val="24"/>
          <w:szCs w:val="24"/>
          <w:lang w:val="en-GB"/>
        </w:rPr>
      </w:pPr>
      <w:r w:rsidR="4A74965A">
        <w:rPr/>
        <w:t xml:space="preserve"> </w:t>
      </w:r>
      <w:r w:rsidR="4A74965A">
        <w:rPr/>
        <w:t xml:space="preserve">Adaptive charging systems are in place to prolong the battery life. It works by learning your charging habits and will charge most of the way (typically 80%) then will fully charge about an hour before you normally unplug your device. this makes sure that your device </w:t>
      </w:r>
      <w:r w:rsidR="4A74965A">
        <w:rPr/>
        <w:t>isn't</w:t>
      </w:r>
      <w:r w:rsidR="4A74965A">
        <w:rPr/>
        <w:t xml:space="preserve"> constantly charging for </w:t>
      </w:r>
      <w:r w:rsidR="4A74965A">
        <w:rPr/>
        <w:t>long periods</w:t>
      </w:r>
      <w:r w:rsidR="4A74965A">
        <w:rPr/>
        <w:t xml:space="preserve"> of time such as overnight.</w:t>
      </w:r>
      <w:r w:rsidR="32B6122A">
        <w:rPr/>
        <w:t xml:space="preserve"> [21]</w:t>
      </w:r>
    </w:p>
    <w:p w:rsidR="4A74965A" w:rsidP="7B1717E5" w:rsidRDefault="4A74965A" w14:paraId="13EF1D99" w14:textId="0FA8A15A">
      <w:pPr>
        <w:pStyle w:val="Normal"/>
        <w:spacing w:before="240" w:beforeAutospacing="off" w:after="240" w:afterAutospacing="off"/>
        <w:ind w:left="0"/>
        <w:rPr>
          <w:noProof w:val="0"/>
          <w:sz w:val="24"/>
          <w:szCs w:val="24"/>
          <w:lang w:val="en-GB"/>
        </w:rPr>
      </w:pPr>
      <w:r w:rsidR="4A74965A">
        <w:rPr/>
        <w:t>Using multiple small coils on a charging mat can increase efficiency by creating a larger surface area in which you are able to charge your device.</w:t>
      </w:r>
    </w:p>
    <w:p w:rsidR="4A74965A" w:rsidP="5B4C64F6" w:rsidRDefault="4A74965A" w14:paraId="124F9C7E" w14:textId="13EAEF85">
      <w:pPr>
        <w:pStyle w:val="Normal"/>
        <w:spacing w:before="240" w:beforeAutospacing="off" w:after="240" w:afterAutospacing="off"/>
        <w:ind w:left="0"/>
        <w:rPr>
          <w:noProof w:val="0"/>
          <w:sz w:val="24"/>
          <w:szCs w:val="24"/>
          <w:lang w:val="en-GB"/>
        </w:rPr>
      </w:pPr>
      <w:r w:rsidR="4A74965A">
        <w:rPr/>
        <w:t xml:space="preserve">Resonant inductive charging is an advanced application of wireless power transfer. It is a sophisticated extension of traditional inductive charging that enhances the efficiency of energy transfer at distance, even if the transmitter and receiver are not precisely aligned. The key principle behind resonant inductive charging is magnetic resonance coupling. In a resonant system, the transmitter coils and receiver coils are both capacitively coupled to </w:t>
      </w:r>
      <w:r w:rsidR="4A74965A">
        <w:rPr/>
        <w:t>accompany</w:t>
      </w:r>
      <w:r w:rsidR="4A74965A">
        <w:rPr/>
        <w:t xml:space="preserve"> each other as LC circuits.</w:t>
      </w:r>
      <w:r w:rsidR="5D3164DC">
        <w:rPr/>
        <w:t xml:space="preserve"> [22]</w:t>
      </w:r>
    </w:p>
    <w:p w:rsidR="4A74965A" w:rsidP="5B4C64F6" w:rsidRDefault="4A74965A" w14:paraId="1C048880" w14:textId="2E5F6F13">
      <w:pPr>
        <w:pStyle w:val="Normal"/>
        <w:spacing w:before="240" w:beforeAutospacing="off" w:after="240" w:afterAutospacing="off"/>
        <w:ind w:left="0"/>
        <w:rPr>
          <w:noProof w:val="0"/>
          <w:sz w:val="24"/>
          <w:szCs w:val="24"/>
          <w:lang w:val="en-GB"/>
        </w:rPr>
      </w:pPr>
      <w:r w:rsidR="4A74965A">
        <w:rPr/>
        <w:t xml:space="preserve">one of the main safety concerns with wireless charging is electromagnetic field(emf). whilst wireless charging on its own emits only small amounts of emf, when added on to all the other devices used, these all start to add up and are recommended to only keep your device on the charger when necessary and  stay away from the charging if possible to reduce contact with emf. prolonged charging can have negative </w:t>
      </w:r>
      <w:r w:rsidR="426FA01F">
        <w:rPr/>
        <w:t>effects</w:t>
      </w:r>
      <w:r w:rsidR="4A74965A">
        <w:rPr/>
        <w:t xml:space="preserve"> on your device as it generates but normal day to day use </w:t>
      </w:r>
      <w:r w:rsidR="4A74965A">
        <w:rPr/>
        <w:t>shouldn't</w:t>
      </w:r>
      <w:r w:rsidR="4A74965A">
        <w:rPr/>
        <w:t xml:space="preserve"> have any </w:t>
      </w:r>
      <w:r w:rsidR="43EE97C3">
        <w:rPr/>
        <w:t>adverse effects</w:t>
      </w:r>
      <w:r w:rsidR="4A74965A">
        <w:rPr/>
        <w:t xml:space="preserve"> on your devices </w:t>
      </w:r>
      <w:r w:rsidR="2033DE4D">
        <w:rPr/>
        <w:t>if</w:t>
      </w:r>
      <w:r w:rsidR="4A74965A">
        <w:rPr/>
        <w:t xml:space="preserve"> they are used.</w:t>
      </w:r>
      <w:r w:rsidR="3615F1F4">
        <w:rPr/>
        <w:t xml:space="preserve"> [23]</w:t>
      </w:r>
    </w:p>
    <w:p w:rsidR="4A74965A" w:rsidP="5B4C64F6" w:rsidRDefault="4A74965A" w14:paraId="1F0BAC5A" w14:textId="08762330">
      <w:pPr>
        <w:pStyle w:val="Normal"/>
        <w:spacing w:before="240" w:beforeAutospacing="off" w:after="240" w:afterAutospacing="off"/>
        <w:ind w:left="0"/>
        <w:rPr>
          <w:noProof w:val="0"/>
          <w:lang w:val="en-GB"/>
        </w:rPr>
      </w:pPr>
      <w:r w:rsidR="4A74965A">
        <w:rPr/>
        <w:t>Wireless chargers add other electronic components like transmitter coils, PCBs, control chips, and shielding materials. They need:</w:t>
      </w:r>
      <w:r w:rsidR="2C5DD146">
        <w:rPr/>
        <w:t xml:space="preserve"> </w:t>
      </w:r>
      <w:r w:rsidR="4A74965A">
        <w:rPr/>
        <w:t>Copper and rare earth elements, Ferrite cores and other specialty components, Plastic casing, typically petroleum-based polymer-based. Increased complexity means greater material footprint per charge unit. Wireless charging devices are also typically non-modular and non-repairable, contributing to electronic waste if they happen to be damaged or are obsolete.</w:t>
      </w:r>
      <w:r w:rsidR="3ABFE530">
        <w:rPr/>
        <w:t xml:space="preserve"> [24]</w:t>
      </w:r>
    </w:p>
    <w:p w:rsidR="4A74965A" w:rsidP="7B1717E5" w:rsidRDefault="4A74965A" w14:paraId="3ECBBC74" w14:textId="57D68286">
      <w:pPr>
        <w:pStyle w:val="Normal"/>
        <w:ind w:left="0"/>
        <w:rPr>
          <w:noProof w:val="0"/>
          <w:sz w:val="24"/>
          <w:szCs w:val="24"/>
          <w:lang w:val="en-GB"/>
        </w:rPr>
      </w:pPr>
      <w:r w:rsidR="4A74965A">
        <w:rPr/>
        <w:t xml:space="preserve">The wireless charging market has rapidly grown over the past decade, rapidly improving in efficiency, cost and uses. there are now chargers for most types of devices including controllers and smart watches. the reason for this is the ease of use they provide whilst also allowing companies to make more profit by </w:t>
      </w:r>
      <w:r w:rsidR="4A74965A">
        <w:rPr/>
        <w:t>providing</w:t>
      </w:r>
      <w:r w:rsidR="4A74965A">
        <w:rPr/>
        <w:t xml:space="preserve"> more ways to charge your devices.</w:t>
      </w:r>
    </w:p>
    <w:p w:rsidR="19C5AEA7" w:rsidP="4D172DEE" w:rsidRDefault="19C5AEA7" w14:paraId="74EC23E4" w14:textId="3AC1387A">
      <w:pPr>
        <w:pStyle w:val="Heading2"/>
      </w:pPr>
      <w:bookmarkStart w:name="_Toc1227706328" w:id="1780991049"/>
      <w:r w:rsidR="19C5AEA7">
        <w:rPr/>
        <w:t>Design and Implementation</w:t>
      </w:r>
      <w:bookmarkEnd w:id="1780991049"/>
    </w:p>
    <w:p w:rsidR="10B18201" w:rsidP="364D1871" w:rsidRDefault="10B18201" w14:paraId="62D26248" w14:textId="622235DB">
      <w:r w:rsidR="10B18201">
        <w:rPr/>
        <w:t xml:space="preserve">The circuit is a basic SMPS (switched-mode power supply) which is designed to convert </w:t>
      </w:r>
      <w:r w:rsidR="023D8D3F">
        <w:rPr/>
        <w:t xml:space="preserve">an AC input into a DC output. It has electrical isolation and voltage conversion using a </w:t>
      </w:r>
      <w:r w:rsidR="5569249E">
        <w:rPr/>
        <w:t>set of copper induction coils, represented by a transformer in the digital prototype.</w:t>
      </w:r>
      <w:r w:rsidR="314CA441">
        <w:rPr/>
        <w:t xml:space="preserve"> </w:t>
      </w:r>
      <w:r w:rsidR="2E1481F4">
        <w:rPr/>
        <w:t xml:space="preserve">In the </w:t>
      </w:r>
      <w:r w:rsidR="2E1481F4">
        <w:rPr/>
        <w:t>initial</w:t>
      </w:r>
      <w:r w:rsidR="2E1481F4">
        <w:rPr/>
        <w:t xml:space="preserve"> design, the AC input is first rectified using a bridge rectifier which converts AC to </w:t>
      </w:r>
      <w:r w:rsidR="5AA54823">
        <w:rPr/>
        <w:t xml:space="preserve">pulsating DC. This is then smoothed with a capacitor. The resulting DC voltage is then supplied to the primary winding of the </w:t>
      </w:r>
      <w:r w:rsidR="1FA6229B">
        <w:rPr/>
        <w:t>transformer where switching is controlled by an NPN transistor.</w:t>
      </w:r>
      <w:r w:rsidR="5153B2EC">
        <w:rPr/>
        <w:t xml:space="preserve"> </w:t>
      </w:r>
      <w:r w:rsidR="1FA6229B">
        <w:rPr/>
        <w:t xml:space="preserve">The transistor </w:t>
      </w:r>
      <w:r w:rsidR="1FA6229B">
        <w:rPr/>
        <w:t>operates</w:t>
      </w:r>
      <w:r w:rsidR="1FA6229B">
        <w:rPr/>
        <w:t xml:space="preserve"> as a high-speed switch, </w:t>
      </w:r>
      <w:r w:rsidR="00FC2D8E">
        <w:rPr/>
        <w:t xml:space="preserve">which is driven by a timing circuit consisting of a variable resistor a resistor and a capacitor. This timing circuit </w:t>
      </w:r>
      <w:r w:rsidR="00FC2D8E">
        <w:rPr/>
        <w:t>determines</w:t>
      </w:r>
      <w:r w:rsidR="00FC2D8E">
        <w:rPr/>
        <w:t xml:space="preserve"> the </w:t>
      </w:r>
      <w:r w:rsidR="68E6B7E8">
        <w:rPr/>
        <w:t>switching frequency, which will cause the transistor to ra</w:t>
      </w:r>
      <w:r w:rsidR="2D07766B">
        <w:rPr/>
        <w:t>pidly switch on and off. The rapid switching then induces a voltage in the secondary winding of the transformer through electromagnetic induction</w:t>
      </w:r>
      <w:r w:rsidR="37C48857">
        <w:rPr/>
        <w:t xml:space="preserve">. </w:t>
      </w:r>
      <w:r w:rsidR="106CC929">
        <w:rPr/>
        <w:t xml:space="preserve"> </w:t>
      </w:r>
      <w:r w:rsidR="4B2FB1F4">
        <w:rPr/>
        <w:t xml:space="preserve">On the receiver side, a diode is used to rectify the induced AC voltage, while a Zener diode is used as a </w:t>
      </w:r>
      <w:r w:rsidR="753FC3AE">
        <w:rPr/>
        <w:t xml:space="preserve">voltage regulator, clamping the output to a specific voltage. </w:t>
      </w:r>
      <w:r w:rsidR="0D60E1A1">
        <w:rPr/>
        <w:t xml:space="preserve">Capacitors are then used as filters to reduce the output ripple which stabilises the output voltage. </w:t>
      </w:r>
      <w:r w:rsidR="53F79652">
        <w:rPr/>
        <w:t>In place of a battery is a voltmeter to ensure the correct output voltage is achieved.</w:t>
      </w:r>
    </w:p>
    <w:p w:rsidR="10B18201" w:rsidP="6DC777A1" w:rsidRDefault="10B18201" w14:paraId="033C858B" w14:textId="6D25D470">
      <w:pPr>
        <w:jc w:val="center"/>
      </w:pPr>
      <w:r w:rsidR="53F79652">
        <w:rPr/>
        <w:t xml:space="preserve"> </w:t>
      </w:r>
      <w:r w:rsidR="69A3E987">
        <w:drawing>
          <wp:inline wp14:editId="750401CD" wp14:anchorId="32286E86">
            <wp:extent cx="3638550" cy="2675850"/>
            <wp:effectExtent l="0" t="0" r="0" b="0"/>
            <wp:docPr id="1982508715" name="Picture 2142464140" title=""/>
            <wp:cNvGraphicFramePr>
              <a:graphicFrameLocks noChangeAspect="1"/>
            </wp:cNvGraphicFramePr>
            <a:graphic>
              <a:graphicData uri="http://schemas.openxmlformats.org/drawingml/2006/picture">
                <pic:pic>
                  <pic:nvPicPr>
                    <pic:cNvPr id="0" name="Picture 2142464140"/>
                    <pic:cNvPicPr/>
                  </pic:nvPicPr>
                  <pic:blipFill>
                    <a:blip r:embed="Reb13b7ca03b14dde">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638550" cy="2675850"/>
                    </a:xfrm>
                    <a:prstGeom xmlns:a="http://schemas.openxmlformats.org/drawingml/2006/main" prst="rect">
                      <a:avLst/>
                    </a:prstGeom>
                  </pic:spPr>
                </pic:pic>
              </a:graphicData>
            </a:graphic>
          </wp:inline>
        </w:drawing>
      </w:r>
    </w:p>
    <w:p w:rsidR="53F79652" w:rsidP="364D1871" w:rsidRDefault="53F79652" w14:paraId="5FE6CC85" w14:textId="7B0DDF7F">
      <w:r w:rsidR="53F79652">
        <w:rPr/>
        <w:t>The second prototype</w:t>
      </w:r>
      <w:r w:rsidR="2D89F2EE">
        <w:rPr/>
        <w:t xml:space="preserve"> involves a similar design, with a few components removed for simplicity. </w:t>
      </w:r>
      <w:r w:rsidR="19A10C16">
        <w:rPr/>
        <w:t>The components in the transmitter side include the varia</w:t>
      </w:r>
      <w:r w:rsidR="0A58326E">
        <w:rPr/>
        <w:t>ble resistor, the resistor, the two capacitors, and the transistors. The main difference on this side of the circuit is that the bridge rectifier is replaced wi</w:t>
      </w:r>
      <w:r w:rsidR="54B2CD4F">
        <w:rPr/>
        <w:t>th a capacitor. This is connected to the transmitter coil. On the receiver side, the componen</w:t>
      </w:r>
      <w:r w:rsidR="2A7E4344">
        <w:rPr/>
        <w:t xml:space="preserve">ts include a variable capacitor, a diode, </w:t>
      </w:r>
      <w:r w:rsidR="7D95A30A">
        <w:rPr/>
        <w:t xml:space="preserve">a capacitor, </w:t>
      </w:r>
      <w:r w:rsidR="2A7E4344">
        <w:rPr/>
        <w:t>and the battery or voltmeter.</w:t>
      </w:r>
    </w:p>
    <w:p w:rsidR="03BD238D" w:rsidRDefault="03BD238D" w14:paraId="489F0F40" w14:textId="27A66705">
      <w:r w:rsidR="03BD238D">
        <w:rPr/>
        <w:t>The housing for both the controller and the charger stand are both to be 3D printed</w:t>
      </w:r>
      <w:r w:rsidR="6D5C5D99">
        <w:rPr/>
        <w:t>.</w:t>
      </w:r>
      <w:r w:rsidR="5DA315F6">
        <w:rPr/>
        <w:t xml:space="preserve"> To ensure usability and functionality, the chos</w:t>
      </w:r>
      <w:r w:rsidR="5DA315F6">
        <w:rPr/>
        <w:t>en material needed to be heat resistant, lightweight, and sturdy. The two choices were ABS (</w:t>
      </w:r>
      <w:r w:rsidR="045BA72B">
        <w:rPr/>
        <w:t>Acetonitrile Butadiene Styrene</w:t>
      </w:r>
      <w:r w:rsidR="5DA315F6">
        <w:rPr/>
        <w:t>) and PLA</w:t>
      </w:r>
      <w:r w:rsidR="7007E23F">
        <w:rPr/>
        <w:t xml:space="preserve"> (Polylactic acid)</w:t>
      </w:r>
      <w:r w:rsidR="1947AEF1">
        <w:rPr/>
        <w:t>.</w:t>
      </w:r>
    </w:p>
    <w:p w:rsidR="6D5C5D99" w:rsidRDefault="6D5C5D99" w14:paraId="1D88B3E5" w14:textId="7B8A17BE">
      <w:r w:rsidR="6D5C5D99">
        <w:rPr/>
        <w:t xml:space="preserve"> The ABS filament was chosen over PLA as </w:t>
      </w:r>
      <w:r w:rsidR="6D5C5D99">
        <w:rPr/>
        <w:t>it's</w:t>
      </w:r>
      <w:r w:rsidR="6D5C5D99">
        <w:rPr/>
        <w:t xml:space="preserve"> the more lightweight </w:t>
      </w:r>
      <w:r w:rsidR="6D5C5D99">
        <w:rPr/>
        <w:t>option</w:t>
      </w:r>
      <w:r w:rsidR="6D5C5D99">
        <w:rPr/>
        <w:t xml:space="preserve"> out of the two materials. </w:t>
      </w:r>
      <w:r w:rsidR="747F495C">
        <w:rPr/>
        <w:t xml:space="preserve">PLA was used for the prototypes as </w:t>
      </w:r>
      <w:r w:rsidR="747F495C">
        <w:rPr/>
        <w:t>it's</w:t>
      </w:r>
      <w:r w:rsidR="747F495C">
        <w:rPr/>
        <w:t xml:space="preserve"> a more cost-effective </w:t>
      </w:r>
      <w:r w:rsidR="747F495C">
        <w:rPr/>
        <w:t>option</w:t>
      </w:r>
      <w:r w:rsidR="747F495C">
        <w:rPr/>
        <w:t>. It is easy to print with as it requires lower printing temperatures</w:t>
      </w:r>
      <w:r w:rsidR="4A0B8137">
        <w:rPr/>
        <w:t xml:space="preserve"> and is also biodegradable</w:t>
      </w:r>
      <w:r w:rsidR="699D189B">
        <w:rPr/>
        <w:t>.</w:t>
      </w:r>
      <w:r w:rsidR="00F240C2">
        <w:rPr/>
        <w:t xml:space="preserve"> If used in a room temperature environment and kept out of sunlight, PLA will </w:t>
      </w:r>
      <w:r w:rsidR="4A48BFF0">
        <w:rPr/>
        <w:t>last for up to 20 years before degrading.</w:t>
      </w:r>
      <w:r w:rsidR="699D189B">
        <w:rPr/>
        <w:t xml:space="preserve"> </w:t>
      </w:r>
      <w:r w:rsidR="699D189B">
        <w:rPr/>
        <w:t xml:space="preserve">It also offers good strength and </w:t>
      </w:r>
      <w:r w:rsidR="6F7EFE7D">
        <w:rPr/>
        <w:t xml:space="preserve">stiffness. However, it is brittle and less flexible making it more susceptible </w:t>
      </w:r>
      <w:r w:rsidR="6951C44E">
        <w:rPr/>
        <w:t xml:space="preserve">to cracking or breaking under stress. It is not as heat resistant compared to other materials meaning there is a possibility of </w:t>
      </w:r>
      <w:r w:rsidR="2F650469">
        <w:rPr/>
        <w:t xml:space="preserve">the housing </w:t>
      </w:r>
      <w:r w:rsidR="6951C44E">
        <w:rPr/>
        <w:t xml:space="preserve">deforming </w:t>
      </w:r>
      <w:r w:rsidR="03C4578B">
        <w:rPr/>
        <w:t>if the circuit were to overheat</w:t>
      </w:r>
      <w:r w:rsidR="23950A21">
        <w:rPr/>
        <w:t>. Due to it being biodegradable, if it were to be left in direct sunlight, the material will begin to degrade after only around</w:t>
      </w:r>
      <w:r w:rsidR="7E35C992">
        <w:rPr/>
        <w:t xml:space="preserve"> a year</w:t>
      </w:r>
      <w:r w:rsidR="7CD9B93F">
        <w:rPr/>
        <w:t xml:space="preserve">. ABS however has better impact resistance and can withstand more </w:t>
      </w:r>
      <w:r w:rsidR="56866541">
        <w:rPr/>
        <w:t>stress.</w:t>
      </w:r>
      <w:r w:rsidR="7CD9B93F">
        <w:rPr/>
        <w:t xml:space="preserve"> </w:t>
      </w:r>
      <w:r w:rsidR="0D5B19B9">
        <w:rPr/>
        <w:t>I</w:t>
      </w:r>
      <w:r w:rsidR="7CD9B93F">
        <w:rPr/>
        <w:t>t is also more heat resistant</w:t>
      </w:r>
      <w:r w:rsidR="4C00FA17">
        <w:rPr/>
        <w:t xml:space="preserve"> and more flexible than PLA</w:t>
      </w:r>
      <w:r w:rsidR="5EC0571B">
        <w:rPr/>
        <w:t>, while still being cost-effective</w:t>
      </w:r>
      <w:r w:rsidR="4C00FA17">
        <w:rPr/>
        <w:t>. On the other hand, the material is harder to print with as it needs higher printing temperatures and an enclosu</w:t>
      </w:r>
      <w:r w:rsidR="78FF02BC">
        <w:rPr/>
        <w:t xml:space="preserve">re to control the temperature </w:t>
      </w:r>
      <w:r w:rsidR="6BD4383F">
        <w:rPr/>
        <w:t>to</w:t>
      </w:r>
      <w:r w:rsidR="78FF02BC">
        <w:rPr/>
        <w:t xml:space="preserve"> prevent warping while printing</w:t>
      </w:r>
      <w:r w:rsidR="0C149C1A">
        <w:rPr/>
        <w:t>.</w:t>
      </w:r>
    </w:p>
    <w:p w:rsidR="19C5AEA7" w:rsidP="4D172DEE" w:rsidRDefault="19C5AEA7" w14:paraId="551C86C4" w14:textId="01C9D86B">
      <w:pPr>
        <w:pStyle w:val="Heading2"/>
      </w:pPr>
      <w:bookmarkStart w:name="_Toc1875860121" w:id="255498774"/>
      <w:r w:rsidR="19C5AEA7">
        <w:rPr/>
        <w:t>Testing</w:t>
      </w:r>
      <w:bookmarkEnd w:id="255498774"/>
    </w:p>
    <w:p w:rsidR="3A238AA2" w:rsidP="7E22E2D7" w:rsidRDefault="3A238AA2" w14:paraId="10E9AC93" w14:textId="0FB506EF">
      <w:r w:rsidR="7D17E102">
        <w:rPr/>
        <w:t xml:space="preserve">In the testing stage, the charging speed and efficiency will need to be </w:t>
      </w:r>
      <w:r w:rsidR="7D17E102">
        <w:rPr/>
        <w:t>determined</w:t>
      </w:r>
      <w:r w:rsidR="7D17E102">
        <w:rPr/>
        <w:t xml:space="preserve"> by measuring the power delivered to the battery</w:t>
      </w:r>
      <w:r w:rsidR="317B5898">
        <w:rPr/>
        <w:t xml:space="preserve"> and the energy consumed by the charger while in use. This involves measuring the voltage and the current at both the charger and the battery</w:t>
      </w:r>
      <w:r w:rsidR="2C235AB7">
        <w:rPr/>
        <w:t xml:space="preserve">, then using the results to calculate the power. The efficiency is then </w:t>
      </w:r>
      <w:r w:rsidR="2C235AB7">
        <w:rPr/>
        <w:t>determined</w:t>
      </w:r>
      <w:r w:rsidR="2C235AB7">
        <w:rPr/>
        <w:t xml:space="preserve"> by </w:t>
      </w:r>
      <w:r w:rsidR="48BD3D2D">
        <w:rPr/>
        <w:t>dividing the energy delivered to the battery by the energy consumed by the charger.</w:t>
      </w:r>
      <w:r w:rsidR="60824DC7">
        <w:rPr/>
        <w:t xml:space="preserve"> </w:t>
      </w:r>
      <w:r w:rsidR="48BD3D2D">
        <w:rPr/>
        <w:t xml:space="preserve">During these </w:t>
      </w:r>
      <w:r w:rsidR="48BD3D2D">
        <w:rPr/>
        <w:t>tests</w:t>
      </w:r>
      <w:r w:rsidR="48BD3D2D">
        <w:rPr/>
        <w:t xml:space="preserve"> the power loss can also be calculated.</w:t>
      </w:r>
    </w:p>
    <w:p w:rsidR="04B63EA7" w:rsidRDefault="04B63EA7" w14:paraId="300DB10B" w14:textId="18EB5B0F">
      <w:r w:rsidR="04B63EA7">
        <w:rPr/>
        <w:t xml:space="preserve">The battery life and safety will be </w:t>
      </w:r>
      <w:r w:rsidR="04B63EA7">
        <w:rPr/>
        <w:t>determined</w:t>
      </w:r>
      <w:r w:rsidR="04B63EA7">
        <w:rPr/>
        <w:t xml:space="preserve"> by finding the charging speed and efficiency. Part of the safety testing </w:t>
      </w:r>
      <w:r w:rsidR="79F0FCFA">
        <w:rPr/>
        <w:t>will also include solutions for temperature management and overcharge protection to prevent the circuit overheating and the charger overcharging the battery.</w:t>
      </w:r>
      <w:r w:rsidR="51C8280F">
        <w:rPr/>
        <w:t xml:space="preserve"> The circuit will also need to be tested on EMF exposure to ensure the electromagnetic fields are within safe limits. Foreign object det</w:t>
      </w:r>
      <w:r w:rsidR="2837E380">
        <w:rPr/>
        <w:t>ection will also need to be tested. Electromagnetic compatibility will need to be tested to ensure the charger does not interfere with any</w:t>
      </w:r>
      <w:r w:rsidR="3E52F0D9">
        <w:rPr/>
        <w:t xml:space="preserve"> other electronic devices.</w:t>
      </w:r>
    </w:p>
    <w:p w:rsidR="3E52F0D9" w:rsidRDefault="3E52F0D9" w14:paraId="52FE9679" w14:textId="65504937">
      <w:r w:rsidR="3E52F0D9">
        <w:rPr/>
        <w:t>The user experience testing will need to be done also to ensure that aesthetics and comfort are at a good standard.</w:t>
      </w:r>
    </w:p>
    <w:p w:rsidR="19C5AEA7" w:rsidP="4D172DEE" w:rsidRDefault="19C5AEA7" w14:paraId="5AD5F766" w14:textId="735175C4">
      <w:pPr>
        <w:pStyle w:val="Heading2"/>
      </w:pPr>
      <w:bookmarkStart w:name="_Toc1090836548" w:id="236422785"/>
      <w:r w:rsidR="19C5AEA7">
        <w:rPr/>
        <w:t>Evaluation</w:t>
      </w:r>
      <w:bookmarkEnd w:id="236422785"/>
    </w:p>
    <w:p w:rsidR="247D4BF0" w:rsidP="59691F1F" w:rsidRDefault="247D4BF0" w14:paraId="62D681BA" w14:textId="63C64458">
      <w:pPr>
        <w:pStyle w:val="Normal"/>
        <w:ind w:left="0"/>
      </w:pPr>
      <w:r w:rsidR="247D4BF0">
        <w:rPr/>
        <w:t>During testing</w:t>
      </w:r>
      <w:r w:rsidR="3C41FA06">
        <w:rPr/>
        <w:t xml:space="preserve">, </w:t>
      </w:r>
      <w:r w:rsidR="247D4BF0">
        <w:rPr/>
        <w:t>multiple coils</w:t>
      </w:r>
      <w:r w:rsidR="4F26245E">
        <w:rPr/>
        <w:t xml:space="preserve"> were tested</w:t>
      </w:r>
      <w:r w:rsidR="247D4BF0">
        <w:rPr/>
        <w:t xml:space="preserve"> to see which one was the most </w:t>
      </w:r>
      <w:r w:rsidR="4D8C0E57">
        <w:rPr/>
        <w:t>e</w:t>
      </w:r>
      <w:r w:rsidR="247D4BF0">
        <w:rPr/>
        <w:t xml:space="preserve">ffective. Firstly, </w:t>
      </w:r>
      <w:r w:rsidR="0BCF61BC">
        <w:rPr/>
        <w:t>a coil</w:t>
      </w:r>
      <w:r w:rsidR="247D4BF0">
        <w:rPr/>
        <w:t xml:space="preserve"> with 5 turn</w:t>
      </w:r>
      <w:r w:rsidR="3602C1C1">
        <w:rPr/>
        <w:t>s</w:t>
      </w:r>
      <w:r w:rsidR="4499F209">
        <w:rPr/>
        <w:t xml:space="preserve"> was tested against a transmitter coil with 100 turns</w:t>
      </w:r>
      <w:r w:rsidR="3602C1C1">
        <w:rPr/>
        <w:t xml:space="preserve">, </w:t>
      </w:r>
      <w:r w:rsidR="247D4BF0">
        <w:rPr/>
        <w:t xml:space="preserve">as this </w:t>
      </w:r>
      <w:r w:rsidR="247D4BF0">
        <w:rPr/>
        <w:t>wouldn't</w:t>
      </w:r>
      <w:r w:rsidR="247D4BF0">
        <w:rPr/>
        <w:t xml:space="preserve"> take up much room in the controller. After testin</w:t>
      </w:r>
      <w:r w:rsidR="247D4BF0">
        <w:rPr/>
        <w:t xml:space="preserve">g that </w:t>
      </w:r>
      <w:r w:rsidR="247D4BF0">
        <w:rPr/>
        <w:t>coil,</w:t>
      </w:r>
      <w:r w:rsidR="247D4BF0">
        <w:rPr/>
        <w:t xml:space="preserve"> no </w:t>
      </w:r>
      <w:r w:rsidR="446FCB68">
        <w:rPr/>
        <w:t>significant</w:t>
      </w:r>
      <w:r w:rsidR="247D4BF0">
        <w:rPr/>
        <w:t xml:space="preserve"> output voltage</w:t>
      </w:r>
      <w:r w:rsidR="7655C762">
        <w:rPr/>
        <w:t xml:space="preserve"> was shown</w:t>
      </w:r>
      <w:r w:rsidR="247D4BF0">
        <w:rPr/>
        <w:t xml:space="preserve"> on the oscilloscope. </w:t>
      </w:r>
      <w:r w:rsidR="5650676B">
        <w:rPr/>
        <w:t>The next coil to be tested was a coil with 24 turns,</w:t>
      </w:r>
      <w:r w:rsidR="247D4BF0">
        <w:rPr/>
        <w:t xml:space="preserve"> which gave an output of 3V when 15V was supplied.</w:t>
      </w:r>
    </w:p>
    <w:p w:rsidR="247D4BF0" w:rsidP="6DC777A1" w:rsidRDefault="247D4BF0" w14:paraId="0675EE76" w14:textId="47635EFB">
      <w:pPr>
        <w:pStyle w:val="Normal"/>
        <w:spacing w:before="240" w:beforeAutospacing="off" w:after="240" w:afterAutospacing="off"/>
        <w:ind w:left="0"/>
        <w:jc w:val="center"/>
      </w:pPr>
      <w:r w:rsidR="247D4BF0">
        <w:rPr/>
        <w:t xml:space="preserve"> </w:t>
      </w:r>
      <w:r w:rsidR="4E5335F7">
        <w:drawing>
          <wp:inline wp14:editId="0D20B001" wp14:anchorId="06A02282">
            <wp:extent cx="3352800" cy="2514600"/>
            <wp:effectExtent l="0" t="0" r="0" b="0"/>
            <wp:docPr id="1302590124" name="" title=""/>
            <wp:cNvGraphicFramePr>
              <a:graphicFrameLocks noChangeAspect="1"/>
            </wp:cNvGraphicFramePr>
            <a:graphic>
              <a:graphicData uri="http://schemas.openxmlformats.org/drawingml/2006/picture">
                <pic:pic>
                  <pic:nvPicPr>
                    <pic:cNvPr id="0" name=""/>
                    <pic:cNvPicPr/>
                  </pic:nvPicPr>
                  <pic:blipFill>
                    <a:blip r:embed="Rc27cc3db0d074c6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52800" cy="2514600"/>
                    </a:xfrm>
                    <a:prstGeom prst="rect">
                      <a:avLst/>
                    </a:prstGeom>
                  </pic:spPr>
                </pic:pic>
              </a:graphicData>
            </a:graphic>
          </wp:inline>
        </w:drawing>
      </w:r>
    </w:p>
    <w:p w:rsidR="247D4BF0" w:rsidP="6DC777A1" w:rsidRDefault="247D4BF0" w14:paraId="46228280" w14:textId="56E4DE73">
      <w:pPr>
        <w:pStyle w:val="Normal"/>
        <w:spacing w:before="240" w:beforeAutospacing="off" w:after="240" w:afterAutospacing="off"/>
        <w:ind w:left="0"/>
        <w:rPr>
          <w:noProof w:val="0"/>
          <w:lang w:val="en-GB"/>
        </w:rPr>
      </w:pPr>
      <w:r w:rsidR="546F4A42">
        <w:rPr/>
        <w:t>The third coil to be tested against the transmitter</w:t>
      </w:r>
      <w:r w:rsidR="739627C0">
        <w:rPr/>
        <w:t xml:space="preserve"> coil had 50 turns</w:t>
      </w:r>
      <w:r w:rsidR="247D4BF0">
        <w:rPr/>
        <w:t xml:space="preserve"> to </w:t>
      </w:r>
      <w:r w:rsidR="3C0E6739">
        <w:rPr/>
        <w:t>determine</w:t>
      </w:r>
      <w:r w:rsidR="3C0E6739">
        <w:rPr/>
        <w:t xml:space="preserve"> the output voltage for this </w:t>
      </w:r>
      <w:bookmarkStart w:name="_Int_fCvHGCSA" w:id="1271392990"/>
      <w:r w:rsidR="3C0E6739">
        <w:rPr/>
        <w:t>turns</w:t>
      </w:r>
      <w:bookmarkEnd w:id="1271392990"/>
      <w:r w:rsidR="3C0E6739">
        <w:rPr/>
        <w:t xml:space="preserve"> ratio.</w:t>
      </w:r>
      <w:r w:rsidR="54481F48">
        <w:rPr/>
        <w:t xml:space="preserve"> The coil with 50 turns </w:t>
      </w:r>
      <w:r w:rsidR="247D4BF0">
        <w:rPr/>
        <w:t>produced an output of 7V</w:t>
      </w:r>
      <w:r w:rsidR="46A58FA9">
        <w:rPr/>
        <w:t xml:space="preserve"> when 15V was applied.</w:t>
      </w:r>
      <w:r w:rsidR="247D4BF0">
        <w:rPr/>
        <w:t xml:space="preserve"> </w:t>
      </w:r>
      <w:r w:rsidR="247D4BF0">
        <w:rPr/>
        <w:t>This is not only too high a voltage for the battery</w:t>
      </w:r>
      <w:r w:rsidR="5D6DF584">
        <w:rPr/>
        <w:t>, which has a maximum charging voltage of 4.2</w:t>
      </w:r>
      <w:r w:rsidR="687FDDA7">
        <w:rPr/>
        <w:t>V,</w:t>
      </w:r>
      <w:r w:rsidR="247D4BF0">
        <w:rPr/>
        <w:t xml:space="preserve"> </w:t>
      </w:r>
      <w:r w:rsidR="247D4BF0">
        <w:rPr/>
        <w:t>but was also very unstable as seen in the picture below. T</w:t>
      </w:r>
      <w:r w:rsidR="210A86DB">
        <w:rPr/>
        <w:t>he closest output to the ideal output of 4V</w:t>
      </w:r>
      <w:r w:rsidR="30A4A0E1">
        <w:rPr/>
        <w:t xml:space="preserve"> was that of the coil with 24 turns with an output of 3V. </w:t>
      </w:r>
    </w:p>
    <w:p w:rsidR="6E81CC66" w:rsidP="6DC777A1" w:rsidRDefault="6E81CC66" w14:paraId="1D51F155" w14:textId="014D0B98">
      <w:pPr>
        <w:spacing w:before="240" w:beforeAutospacing="off" w:after="240" w:afterAutospacing="off"/>
        <w:ind w:left="0"/>
        <w:jc w:val="center"/>
      </w:pPr>
      <w:r w:rsidR="6E81CC66">
        <w:drawing>
          <wp:inline wp14:editId="10041E12" wp14:anchorId="5F334946">
            <wp:extent cx="3403600" cy="2552700"/>
            <wp:effectExtent l="0" t="0" r="0" b="0"/>
            <wp:docPr id="1464920254" name="" title=""/>
            <wp:cNvGraphicFramePr>
              <a:graphicFrameLocks noChangeAspect="1"/>
            </wp:cNvGraphicFramePr>
            <a:graphic>
              <a:graphicData uri="http://schemas.openxmlformats.org/drawingml/2006/picture">
                <pic:pic>
                  <pic:nvPicPr>
                    <pic:cNvPr id="0" name=""/>
                    <pic:cNvPicPr/>
                  </pic:nvPicPr>
                  <pic:blipFill>
                    <a:blip r:embed="R94bc434beeb04af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03600" cy="2552700"/>
                    </a:xfrm>
                    <a:prstGeom prst="rect">
                      <a:avLst/>
                    </a:prstGeom>
                  </pic:spPr>
                </pic:pic>
              </a:graphicData>
            </a:graphic>
          </wp:inline>
        </w:drawing>
      </w:r>
    </w:p>
    <w:p w:rsidR="247D4BF0" w:rsidP="6DC777A1" w:rsidRDefault="247D4BF0" w14:paraId="0F4EA186" w14:textId="3959CA0E">
      <w:pPr>
        <w:pStyle w:val="Normal"/>
        <w:spacing w:before="240" w:beforeAutospacing="off" w:after="240" w:afterAutospacing="off"/>
        <w:ind w:left="0"/>
        <w:rPr>
          <w:noProof w:val="0"/>
          <w:lang w:val="en-GB"/>
        </w:rPr>
      </w:pPr>
      <w:r w:rsidR="247D4BF0">
        <w:rPr/>
        <w:t xml:space="preserve">By having a smaller coil in the </w:t>
      </w:r>
      <w:r w:rsidR="247D4BF0">
        <w:rPr/>
        <w:t>controller,</w:t>
      </w:r>
      <w:r w:rsidR="247D4BF0">
        <w:rPr/>
        <w:t xml:space="preserve"> i</w:t>
      </w:r>
      <w:r w:rsidR="247D4BF0">
        <w:rPr/>
        <w:t xml:space="preserve">t makes the </w:t>
      </w:r>
      <w:r w:rsidR="5AD79AF5">
        <w:rPr/>
        <w:t>circuit</w:t>
      </w:r>
      <w:r w:rsidR="247D4BF0">
        <w:rPr/>
        <w:t xml:space="preserve"> smaller and therefor</w:t>
      </w:r>
      <w:r w:rsidR="2FCDA423">
        <w:rPr/>
        <w:t>e the size of the controller will not need to be changed</w:t>
      </w:r>
      <w:r w:rsidR="247D4BF0">
        <w:rPr/>
        <w:t>.</w:t>
      </w:r>
      <w:r w:rsidR="247D4BF0">
        <w:rPr/>
        <w:t xml:space="preserve"> </w:t>
      </w:r>
      <w:r w:rsidR="247D4BF0">
        <w:rPr/>
        <w:t xml:space="preserve">When using the </w:t>
      </w:r>
      <w:r w:rsidR="247D4BF0">
        <w:rPr/>
        <w:t>circuit,</w:t>
      </w:r>
      <w:r w:rsidR="247D4BF0">
        <w:rPr/>
        <w:t xml:space="preserve"> </w:t>
      </w:r>
      <w:r w:rsidR="733E041F">
        <w:rPr/>
        <w:t>it was noted that the transistor was overheating quite a bit</w:t>
      </w:r>
      <w:r w:rsidR="247D4BF0">
        <w:rPr/>
        <w:t xml:space="preserve">. To combat </w:t>
      </w:r>
      <w:r w:rsidR="247D4BF0">
        <w:rPr/>
        <w:t>this,</w:t>
      </w:r>
      <w:r w:rsidR="247D4BF0">
        <w:rPr/>
        <w:t xml:space="preserve"> heatsink </w:t>
      </w:r>
      <w:r w:rsidR="154FAAA1">
        <w:rPr/>
        <w:t xml:space="preserve">was put </w:t>
      </w:r>
      <w:r w:rsidR="247D4BF0">
        <w:rPr/>
        <w:t>on it and the tests</w:t>
      </w:r>
      <w:r w:rsidR="3ECA9F75">
        <w:rPr/>
        <w:t xml:space="preserve"> were run</w:t>
      </w:r>
      <w:r w:rsidR="247D4BF0">
        <w:rPr/>
        <w:t xml:space="preserve"> again</w:t>
      </w:r>
      <w:r w:rsidR="31542D77">
        <w:rPr/>
        <w:t xml:space="preserve"> to </w:t>
      </w:r>
      <w:r w:rsidR="31542D77">
        <w:rPr/>
        <w:t>determine</w:t>
      </w:r>
      <w:r w:rsidR="31542D77">
        <w:rPr/>
        <w:t xml:space="preserve"> if the transistor would still overheat.</w:t>
      </w:r>
      <w:r w:rsidR="247D4BF0">
        <w:rPr/>
        <w:t xml:space="preserve"> </w:t>
      </w:r>
      <w:r w:rsidR="44FB93A5">
        <w:rPr/>
        <w:t xml:space="preserve">The output voltage achieved through these tests was determined to be 3V </w:t>
      </w:r>
      <w:r w:rsidR="0B86AC5F">
        <w:rPr/>
        <w:t>with a stable output voltage.</w:t>
      </w:r>
    </w:p>
    <w:p w:rsidR="19C5AEA7" w:rsidP="2C82A51B" w:rsidRDefault="19C5AEA7" w14:paraId="7ED1EC53" w14:textId="0F299742">
      <w:pPr>
        <w:pStyle w:val="Heading2"/>
      </w:pPr>
      <w:bookmarkStart w:name="_Toc84332693" w:id="2095351023"/>
      <w:r w:rsidR="19C5AEA7">
        <w:rPr/>
        <w:t>Conclusions and Recommendations</w:t>
      </w:r>
      <w:bookmarkEnd w:id="2095351023"/>
    </w:p>
    <w:p w:rsidR="24E92D8B" w:rsidP="6DC777A1" w:rsidRDefault="24E92D8B" w14:paraId="32BBC3FA" w14:textId="27E204C5">
      <w:pPr>
        <w:pStyle w:val="Normal"/>
        <w:ind w:left="0"/>
      </w:pPr>
      <w:r w:rsidR="24E92D8B">
        <w:rPr/>
        <w:t xml:space="preserve">The final circuit, which utilised a 24-turn receiver coil, performed as intended and delivered a stable output of 3V when supplied with 15V. This output remained within a safe margin below the battery’s 4.2V maximum charging voltage, ensuring safe and efficient operation. Although the circuit met the project’s </w:t>
      </w:r>
      <w:r w:rsidR="24E92D8B">
        <w:rPr/>
        <w:t>objectives</w:t>
      </w:r>
      <w:r w:rsidR="24E92D8B">
        <w:rPr/>
        <w:t xml:space="preserve">, further time would have allowed for more extensive coil testing to optimise the number of turns for maximum efficiency, size, and voltage regulation. In addition, further development of the physical housing for both the controller and the charging dock would have helped to refine the overall user experience and ensure proper alignment of the coils for </w:t>
      </w:r>
      <w:r w:rsidR="24E92D8B">
        <w:rPr/>
        <w:t>optimal</w:t>
      </w:r>
      <w:r w:rsidR="24E92D8B">
        <w:rPr/>
        <w:t xml:space="preserve"> performance. While ABS was selected for its durability and heat resistance, </w:t>
      </w:r>
      <w:r w:rsidR="24E92D8B">
        <w:rPr/>
        <w:t>additional</w:t>
      </w:r>
      <w:r w:rsidR="24E92D8B">
        <w:rPr/>
        <w:t xml:space="preserve"> iterations could have improved the fit, aesthetics, and thermal performance. Lastly, with an extended deadline, comprehensive user testing could have been conducted to evaluate comfort, ease of use, and long-term reliability in real-world scenarios.</w:t>
      </w:r>
    </w:p>
    <w:p w:rsidR="19C5AEA7" w:rsidP="4D172DEE" w:rsidRDefault="19C5AEA7" w14:paraId="4C1E2A71" w14:textId="4987A375">
      <w:pPr>
        <w:pStyle w:val="Heading2"/>
      </w:pPr>
      <w:bookmarkStart w:name="_Toc329556949" w:id="1958559544"/>
      <w:r w:rsidR="19C5AEA7">
        <w:rPr/>
        <w:t>References</w:t>
      </w:r>
      <w:bookmarkEnd w:id="1958559544"/>
    </w:p>
    <w:p w:rsidR="0078186E" w:rsidP="0078186E" w:rsidRDefault="0078186E" w14:paraId="605C95CA" w14:textId="77777777">
      <w:r>
        <w:t xml:space="preserve">[1] S. M. Kwon, J. S. Oh, and Y. H. Cho, "Wireless charging systems for mobile devices and their applications," </w:t>
      </w:r>
      <w:r w:rsidRPr="0076371D">
        <w:rPr>
          <w:i/>
          <w:iCs/>
        </w:rPr>
        <w:t>IEEE Access</w:t>
      </w:r>
      <w:r>
        <w:t>, vol. 7, pp. 97423-97434, Jul. 2019.</w:t>
      </w:r>
    </w:p>
    <w:p w:rsidR="00E73A92" w:rsidP="00E73A92" w:rsidRDefault="0078186E" w14:paraId="1BE36280" w14:textId="77777777">
      <w:r>
        <w:t xml:space="preserve">[2] Z. Zhang, L. Wang, and X. Li, "Wireless charging for mobile devices: Recent advances and future prospects," </w:t>
      </w:r>
      <w:r w:rsidRPr="00DD5C8B">
        <w:rPr>
          <w:i/>
          <w:iCs/>
        </w:rPr>
        <w:t>IEEE Transactions on Industrial Applications</w:t>
      </w:r>
      <w:r>
        <w:t>, vol. 56, no. 2, pp. 1045-1053, Feb. 2016.</w:t>
      </w:r>
    </w:p>
    <w:p w:rsidR="00E73A92" w:rsidP="00E73A92" w:rsidRDefault="0078186E" w14:paraId="14352908" w14:textId="7705282E">
      <w:r>
        <w:t xml:space="preserve">[3] J. R. Lee, T. G. Kim, and S. H. Lee, "High-efficiency resonant inductive charging systems for consumer electronics," </w:t>
      </w:r>
      <w:r w:rsidRPr="00D004BD">
        <w:rPr>
          <w:i/>
          <w:iCs/>
        </w:rPr>
        <w:t>IEEE Transactions on Magnetics</w:t>
      </w:r>
      <w:r>
        <w:t>, vol. 52, no. 11, pp. 1-4, Nov. 2016.</w:t>
      </w:r>
    </w:p>
    <w:p w:rsidR="009F3758" w:rsidP="009F3758" w:rsidRDefault="009F3758" w14:paraId="02038676" w14:textId="2D2A5CAB">
      <w:r w:rsidR="009F3758">
        <w:rPr/>
        <w:t xml:space="preserve">[4] J. M. K. Tavares, A. B. R. M. Lima, and M. J. A. Soares, "A review of wireless power transfer technologies and their applications," </w:t>
      </w:r>
      <w:r w:rsidRPr="5B4C64F6" w:rsidR="009F3758">
        <w:rPr>
          <w:i w:val="1"/>
          <w:iCs w:val="1"/>
        </w:rPr>
        <w:t>IEEE Trans. Ind. Electron.</w:t>
      </w:r>
      <w:r w:rsidR="009F3758">
        <w:rPr/>
        <w:t>, vol. 61, no. 6, pp. 3062–3073, Jun. 2014.</w:t>
      </w:r>
    </w:p>
    <w:p w:rsidR="009F3758" w:rsidP="009F3758" w:rsidRDefault="009F3758" w14:paraId="21870474" w14:textId="45158564">
      <w:r w:rsidR="009F3758">
        <w:rPr/>
        <w:t xml:space="preserve">[5] M. </w:t>
      </w:r>
      <w:r w:rsidR="009F3758">
        <w:rPr/>
        <w:t>Ghovanloo</w:t>
      </w:r>
      <w:r w:rsidR="009F3758">
        <w:rPr/>
        <w:t xml:space="preserve">, "Inductive power transfer for implantable devices," </w:t>
      </w:r>
      <w:r w:rsidRPr="6DC777A1" w:rsidR="009F3758">
        <w:rPr>
          <w:i w:val="1"/>
          <w:iCs w:val="1"/>
        </w:rPr>
        <w:t>IEEE Trans. Biomed. Eng.</w:t>
      </w:r>
      <w:r w:rsidR="009F3758">
        <w:rPr/>
        <w:t>, vol. 57, no. 9, pp. 2281–2289, Sep. 2010.</w:t>
      </w:r>
    </w:p>
    <w:p w:rsidR="009F3758" w:rsidP="009F3758" w:rsidRDefault="009F3758" w14:paraId="6CC6BA4C" w14:textId="2A7E6D56">
      <w:r w:rsidR="009F3758">
        <w:rPr/>
        <w:t>[6] Wireless Power Consortium, "Qi Wirele</w:t>
      </w:r>
      <w:r w:rsidR="009F3758">
        <w:rPr/>
        <w:t xml:space="preserve">ss Power Transfer," </w:t>
      </w:r>
      <w:r w:rsidRPr="6DC777A1" w:rsidR="008E55CC">
        <w:rPr>
          <w:i w:val="1"/>
          <w:iCs w:val="1"/>
        </w:rPr>
        <w:t xml:space="preserve">Wireless Power </w:t>
      </w:r>
      <w:r w:rsidR="00E90716">
        <w:rPr/>
        <w:t xml:space="preserve">Consortium, </w:t>
      </w:r>
      <w:r w:rsidR="009F3758">
        <w:rPr/>
        <w:t xml:space="preserve">2023. [Online]. Available: https://www.wirelesspowerconsortium.com/qi. [Accessed: Apr. 3, 2025]. </w:t>
      </w:r>
    </w:p>
    <w:p w:rsidR="000A157E" w:rsidP="000A157E" w:rsidRDefault="009F3758" w14:paraId="3399792C" w14:textId="6D5398A0">
      <w:r>
        <w:t xml:space="preserve">[7] A. R. B. P. S. Freitas, "Resonant inductive wireless power transfer systems," </w:t>
      </w:r>
      <w:r w:rsidRPr="2CEC0CBF">
        <w:rPr>
          <w:i/>
          <w:iCs/>
        </w:rPr>
        <w:t>IEEE Trans. Magn.</w:t>
      </w:r>
      <w:r>
        <w:t xml:space="preserve">, vol. 50, no. 11, pp. 51–55, Nov. 2014. </w:t>
      </w:r>
    </w:p>
    <w:p w:rsidR="000A157E" w:rsidP="000A157E" w:rsidRDefault="009F3758" w14:paraId="2CE09B88" w14:textId="6645C2E3">
      <w:r w:rsidR="009F3758">
        <w:rPr/>
        <w:t xml:space="preserve">[8] P. R. Savino and F. S. S. D. M. Thomas, "RF-based wireless power transfer for mobile applications," </w:t>
      </w:r>
      <w:r w:rsidRPr="5B4C64F6" w:rsidR="009F3758">
        <w:rPr>
          <w:i w:val="1"/>
          <w:iCs w:val="1"/>
        </w:rPr>
        <w:t xml:space="preserve">IEEE Trans. </w:t>
      </w:r>
      <w:r w:rsidRPr="5B4C64F6" w:rsidR="009F3758">
        <w:rPr>
          <w:i w:val="1"/>
          <w:iCs w:val="1"/>
        </w:rPr>
        <w:t>Microw</w:t>
      </w:r>
      <w:r w:rsidRPr="5B4C64F6" w:rsidR="009F3758">
        <w:rPr>
          <w:i w:val="1"/>
          <w:iCs w:val="1"/>
        </w:rPr>
        <w:t>. Theory Techn.</w:t>
      </w:r>
      <w:r w:rsidR="009F3758">
        <w:rPr/>
        <w:t>, vol. 67, no. 3, pp. 1219–1231, Mar. 2019.</w:t>
      </w:r>
    </w:p>
    <w:p w:rsidR="28AC998A" w:rsidRDefault="28AC998A" w14:paraId="04E9A4BB" w14:textId="03028020">
      <w:r w:rsidR="28AC998A">
        <w:rPr/>
        <w:t>[9] The Physics Classroom, “Charging by Induction,” Physicsclassroom.com, 2019. https://www.physicsclassroom.com/class/estatics/Lesson-2/Charging-by-Induction (accessed Apr. 29, 2025).</w:t>
      </w:r>
    </w:p>
    <w:p w:rsidR="28AC998A" w:rsidRDefault="28AC998A" w14:paraId="0D2D4950" w14:textId="209891D5">
      <w:r w:rsidR="28AC998A">
        <w:rPr/>
        <w:t xml:space="preserve">[10] “Inductive Versus Resonant Wireless Charging: A Truce May Be a Designer’s Best Choice,” </w:t>
      </w:r>
      <w:r w:rsidR="28AC998A">
        <w:rPr/>
        <w:t>DigiKey</w:t>
      </w:r>
      <w:r w:rsidR="28AC998A">
        <w:rPr/>
        <w:t>, Aug. 02, 2016. https://www.digikey.co.uk/en/articles/inductive-versus-resonant-wireless-charging?srsltid=AfmBOooukLrsDJFs1pfLBzoq_R5QTztB5ZVumci3uNrG5ZNMqaE5P1PQ (accessed Apr. 29, 2025).</w:t>
      </w:r>
    </w:p>
    <w:p w:rsidR="28AC998A" w:rsidRDefault="28AC998A" w14:paraId="0778181F" w14:textId="653E5B1D">
      <w:r w:rsidR="28AC998A">
        <w:rPr/>
        <w:t xml:space="preserve">[11] “Guide </w:t>
      </w:r>
      <w:r w:rsidR="28AC998A">
        <w:rPr/>
        <w:t>To</w:t>
      </w:r>
      <w:r w:rsidR="28AC998A">
        <w:rPr/>
        <w:t xml:space="preserve"> Wireless Charging and the Technology Behind It | RS,” Rs-online.com, Jul. 23, 2024. https://uk.rs-online.com/web/content/discovery/ideas-and-advice/wireless-charging-guide (accessed Apr. 29, 2025).</w:t>
      </w:r>
    </w:p>
    <w:p w:rsidR="28AC998A" w:rsidRDefault="28AC998A" w14:paraId="2D8D323E" w14:textId="53405DBD">
      <w:r w:rsidR="28AC998A">
        <w:rPr/>
        <w:t>[12] “Qi Wireless charging,” Wireless Power Consortium. https://www.wirelesspowerconsortium.com/standards/qi-wireless-charging/ (accessed Apr. 29, 2025).</w:t>
      </w:r>
    </w:p>
    <w:p w:rsidR="28AC998A" w:rsidRDefault="28AC998A" w14:paraId="794E1808" w14:textId="6BD3C0B2">
      <w:r w:rsidR="28AC998A">
        <w:rPr/>
        <w:t>[13] “Designing wireless charging systems | Engineer Live,” Engineerlive.com, Dec. 15, 2021. https://www.engineerlive.com/content/designing-wireless-charging-systems (accessed Apr. 29, 2025).</w:t>
      </w:r>
    </w:p>
    <w:p w:rsidR="28AC998A" w:rsidRDefault="28AC998A" w14:paraId="777D81C2" w14:textId="000367DD">
      <w:r w:rsidR="28AC998A">
        <w:rPr/>
        <w:t>[14] S. Burrell, “</w:t>
      </w:r>
      <w:r w:rsidR="28AC998A">
        <w:rPr/>
        <w:t>Unraveling</w:t>
      </w:r>
      <w:r w:rsidR="28AC998A">
        <w:rPr/>
        <w:t xml:space="preserve"> Wireless Charging Coils: How They Power Your Devices,” Wray Castle, Nov. 15, 2024. https://wraycastle.com/blogs/knowledge-base/wireless-charging-coil?srsltid=AfmBOophV3II5Bj1P6kEMuUUngIajntE9D2mPPMBohKV31RpnO63H1LJ (accessed Apr. 29, 2025).</w:t>
      </w:r>
    </w:p>
    <w:p w:rsidR="28AC998A" w:rsidRDefault="28AC998A" w14:paraId="4ADB4DB6" w14:textId="325014AB">
      <w:r w:rsidR="28AC998A">
        <w:rPr/>
        <w:t>[15] “Power Transfer and Efficiency - DC Circuits - Basics Electronics,” ecstudiosystems.com. https://ecstudiosystems.com/discover/textbooks/basic-electronics/dc-circuits/power-transfer-and-efficiency/ (accessed Apr. 29, 2025).</w:t>
      </w:r>
    </w:p>
    <w:p w:rsidR="28AC998A" w:rsidP="5B4C64F6" w:rsidRDefault="28AC998A" w14:paraId="7361323A" w14:textId="599DF917">
      <w:pPr>
        <w:pStyle w:val="Normal"/>
        <w:suppressLineNumbers w:val="0"/>
        <w:bidi w:val="0"/>
        <w:spacing w:before="0" w:beforeAutospacing="off" w:after="160" w:afterAutospacing="off" w:line="279" w:lineRule="auto"/>
        <w:ind w:left="0" w:right="0"/>
        <w:jc w:val="left"/>
      </w:pPr>
      <w:r w:rsidR="28AC998A">
        <w:rPr/>
        <w:t>[16] M. Enamul Hossain and M. Ra</w:t>
      </w:r>
      <w:r w:rsidR="28AC998A">
        <w:rPr/>
        <w:t>fiqul Islam, “Resonance Frequency - an overview | ScienceDirect Topics,” www.sciencedirect.com, 2020. https://www.sciencedirect.com/topics/engineering/resonance-frequency (accessed Apr. 29, 2025).</w:t>
      </w:r>
    </w:p>
    <w:p w:rsidR="28AC998A" w:rsidRDefault="28AC998A" w14:paraId="71811318" w14:textId="28BAF69A">
      <w:r w:rsidR="28AC998A">
        <w:rPr/>
        <w:t xml:space="preserve">[17] S. A. Birrell, D. Wilson, C. P. Yang, G. </w:t>
      </w:r>
      <w:r w:rsidR="28AC998A">
        <w:rPr/>
        <w:t>D</w:t>
      </w:r>
      <w:r w:rsidR="28AC998A">
        <w:rPr/>
        <w:t>hadyalla</w:t>
      </w:r>
      <w:r w:rsidR="28AC998A">
        <w:rPr/>
        <w:t xml:space="preserve">, and P. Jennings, “How driver behaviour and parking alignment affects inductive charging systems for electric vehicles,” Transportation Research Part C: Emerging Technologies, vol. 58, pp. 721–731, Sep. 2015, </w:t>
      </w:r>
      <w:r w:rsidR="28AC998A">
        <w:rPr/>
        <w:t>doi</w:t>
      </w:r>
      <w:r w:rsidR="28AC998A">
        <w:rPr/>
        <w:t>: https://doi.org/10.1016/j.trc.2015.04.011.</w:t>
      </w:r>
    </w:p>
    <w:p w:rsidR="28AC998A" w:rsidRDefault="28AC998A" w14:paraId="1D03D83A" w14:textId="31C9AEB7">
      <w:r w:rsidR="28AC998A">
        <w:rPr/>
        <w:t>[18] All About Circuits, “Rectifier Circuits,” Allaboutcircuits.com, Jul. 28, 2019. https://www.allaboutcircuits.com/textbook/semiconductors/chpt-3/rectifier-circuits/ (accessed Apr. 29, 2025).</w:t>
      </w:r>
    </w:p>
    <w:p w:rsidR="28AC998A" w:rsidRDefault="28AC998A" w14:paraId="46CE80BF" w14:textId="0A4DFE6D">
      <w:r w:rsidR="28AC998A">
        <w:rPr/>
        <w:t>[19] ABLIC Inc, “What is a Lithium-ion Battery Protection IC? - Understanding the Role, Functionality, and Importance,” ABLIC Inc., May 31, 2024. https://www.ablic.com/en/semicon/products/power-management-ic/lithium-ion-battery-protection-ic/intro/ (accessed Apr. 29, 2025).</w:t>
      </w:r>
    </w:p>
    <w:p w:rsidR="28AC998A" w:rsidRDefault="28AC998A" w14:paraId="73471974" w14:textId="426CC2ED">
      <w:r w:rsidR="28AC998A">
        <w:rPr/>
        <w:t>[20] Anker, “How Efficient Is Inductive Charging? A Comprehensive Guide,” Anker, Apr. 11, 2024. https://www.anker.com/blogs/chargers/how-efficient-is-inductive-charging (accessed Apr. 29, 2025).</w:t>
      </w:r>
    </w:p>
    <w:p w:rsidR="28AC998A" w:rsidRDefault="28AC998A" w14:paraId="579DE773" w14:textId="043672B5">
      <w:r w:rsidR="28AC998A">
        <w:rPr/>
        <w:t>[21] “Consumer electronics | Adaptive charging software,” Breathebatteries.com, 2025. https://breathebatteries.com/consumer-electronics (accessed Apr. 29, 2025).</w:t>
      </w:r>
    </w:p>
    <w:p w:rsidR="28AC998A" w:rsidRDefault="28AC998A" w14:paraId="6C4A69D2" w14:textId="1AA56294">
      <w:r w:rsidR="28AC998A">
        <w:rPr/>
        <w:t xml:space="preserve">[22] R. J. et al., “A review on resonant inductive coupling pad design for wireless electric vehicle charging application,” Energy Reports, vol. 10, pp. 2047–2079, Nov. 2023, </w:t>
      </w:r>
      <w:r w:rsidR="28AC998A">
        <w:rPr/>
        <w:t>doi</w:t>
      </w:r>
      <w:r w:rsidR="28AC998A">
        <w:rPr/>
        <w:t>: https://doi.org/10.1016/j.egyr.2023.08.067.</w:t>
      </w:r>
    </w:p>
    <w:p w:rsidR="28AC998A" w:rsidRDefault="28AC998A" w14:paraId="76452ECA" w14:textId="3D0A7D6F">
      <w:r w:rsidR="28AC998A">
        <w:rPr/>
        <w:t>[23]</w:t>
      </w:r>
      <w:r w:rsidR="33D2EE50">
        <w:rPr/>
        <w:t xml:space="preserve"> </w:t>
      </w:r>
      <w:r w:rsidR="28AC998A">
        <w:rPr/>
        <w:t xml:space="preserve">“The Dark Side of Wireless Charging: Is It Safe for Your </w:t>
      </w:r>
      <w:r w:rsidR="28AC998A">
        <w:rPr/>
        <w:t>Health?,</w:t>
      </w:r>
      <w:r w:rsidR="28AC998A">
        <w:rPr/>
        <w:t xml:space="preserve">” </w:t>
      </w:r>
      <w:r w:rsidR="28AC998A">
        <w:rPr/>
        <w:t>Bodywell</w:t>
      </w:r>
      <w:r w:rsidR="28AC998A">
        <w:rPr/>
        <w:t>, May 16, 2024. https://bodywell.com/blogs/news/are-wireless-chargers-safe?srsltid=AfmBOor3Pudh-0GDgNcMYB4PqSxv2WIMsi9IxQPcXhWJer6nR0B5xLzh (accessed Apr. 29, 2025).</w:t>
      </w:r>
    </w:p>
    <w:p w:rsidR="28AC998A" w:rsidRDefault="28AC998A" w14:paraId="6FC5B469" w14:textId="40412A55">
      <w:r w:rsidR="28AC998A">
        <w:rPr/>
        <w:t>[</w:t>
      </w:r>
      <w:r w:rsidR="7FE60A87">
        <w:rPr/>
        <w:t>24</w:t>
      </w:r>
      <w:r w:rsidR="28AC998A">
        <w:rPr/>
        <w:t>]</w:t>
      </w:r>
      <w:r w:rsidR="7B552D43">
        <w:rPr/>
        <w:t xml:space="preserve"> </w:t>
      </w:r>
      <w:r w:rsidR="28AC998A">
        <w:rPr/>
        <w:t xml:space="preserve">N. Fonseka, “The Environmental Impact of Wireless Charging: Pros, Cons, and Future Solutions,” </w:t>
      </w:r>
      <w:r w:rsidR="28AC998A">
        <w:rPr/>
        <w:t>Ospolt</w:t>
      </w:r>
      <w:r w:rsidR="28AC998A">
        <w:rPr/>
        <w:t>, May 16, 2024. https://ospolt.com/blogs/news/the-environmental-impact-of-wireless-charging-pros-cons-and-future-solutions (accessed Apr. 29, 2025).</w:t>
      </w:r>
    </w:p>
    <w:p w:rsidR="4D172DEE" w:rsidP="4D172DEE" w:rsidRDefault="4D172DEE" w14:paraId="10037421" w14:textId="277C9C9F"/>
    <w:p w:rsidR="00871145" w:rsidRDefault="6A33D9AB" w14:paraId="2C078E63" w14:textId="53F59770"/>
    <w:p w:rsidR="7DAC7DF2" w:rsidRDefault="7DAC7DF2" w14:paraId="25BDAD01" w14:textId="25696F47"/>
    <w:p w:rsidR="30B6EA56" w:rsidRDefault="30B6EA56" w14:paraId="7A14803C" w14:textId="62897AD4"/>
    <w:sectPr w:rsidR="30B6EA56">
      <w:headerReference w:type="default" r:id="rId10"/>
      <w:footerReference w:type="default" r:id="rId1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C0799" w:rsidRDefault="000C0799" w14:paraId="6858CBE9" w14:textId="77777777">
      <w:pPr>
        <w:spacing w:after="0" w:line="240" w:lineRule="auto"/>
      </w:pPr>
      <w:r>
        <w:separator/>
      </w:r>
    </w:p>
  </w:endnote>
  <w:endnote w:type="continuationSeparator" w:id="0">
    <w:p w:rsidR="000C0799" w:rsidRDefault="000C0799" w14:paraId="065858FE" w14:textId="77777777">
      <w:pPr>
        <w:spacing w:after="0" w:line="240" w:lineRule="auto"/>
      </w:pPr>
      <w:r>
        <w:continuationSeparator/>
      </w:r>
    </w:p>
  </w:endnote>
  <w:endnote w:type="continuationNotice" w:id="1">
    <w:p w:rsidR="000C0799" w:rsidRDefault="000C0799" w14:paraId="64A4A69B"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C82A51B" w:rsidTr="6DC777A1" w14:paraId="5C7920C5" w14:textId="77777777">
      <w:trPr>
        <w:trHeight w:val="300"/>
      </w:trPr>
      <w:tc>
        <w:tcPr>
          <w:tcW w:w="3120" w:type="dxa"/>
          <w:tcMar/>
        </w:tcPr>
        <w:p w:rsidR="2C82A51B" w:rsidP="2C82A51B" w:rsidRDefault="2C82A51B" w14:paraId="45202BC3" w14:textId="6FB06BED">
          <w:pPr>
            <w:pStyle w:val="Header"/>
            <w:ind w:left="-115"/>
          </w:pPr>
        </w:p>
      </w:tc>
      <w:tc>
        <w:tcPr>
          <w:tcW w:w="3120" w:type="dxa"/>
          <w:tcMar/>
        </w:tcPr>
        <w:p w:rsidR="2C82A51B" w:rsidP="2C82A51B" w:rsidRDefault="2C82A51B" w14:paraId="01A125F1" w14:textId="47D213A1">
          <w:pPr>
            <w:pStyle w:val="Header"/>
            <w:jc w:val="center"/>
          </w:pPr>
        </w:p>
      </w:tc>
      <w:tc>
        <w:tcPr>
          <w:tcW w:w="3120" w:type="dxa"/>
          <w:tcMar/>
        </w:tcPr>
        <w:p w:rsidR="2C82A51B" w:rsidP="2C82A51B" w:rsidRDefault="2C82A51B" w14:paraId="7C331240" w14:textId="4410BE37">
          <w:pPr>
            <w:pStyle w:val="Header"/>
            <w:ind w:right="-115"/>
            <w:jc w:val="right"/>
          </w:pPr>
          <w:r>
            <w:fldChar w:fldCharType="begin"/>
          </w:r>
          <w:r>
            <w:instrText xml:space="preserve">PAGE</w:instrText>
          </w:r>
          <w:r>
            <w:fldChar w:fldCharType="separate"/>
          </w:r>
          <w:r w:rsidR="6DC777A1">
            <w:rPr/>
            <w:t>1</w:t>
          </w:r>
          <w:r>
            <w:fldChar w:fldCharType="end"/>
          </w:r>
        </w:p>
      </w:tc>
    </w:tr>
  </w:tbl>
  <w:p w:rsidR="2C82A51B" w:rsidP="2C82A51B" w:rsidRDefault="2C82A51B" w14:paraId="65F0E53B" w14:textId="597F5E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C0799" w:rsidRDefault="000C0799" w14:paraId="4FB903BF" w14:textId="77777777">
      <w:pPr>
        <w:spacing w:after="0" w:line="240" w:lineRule="auto"/>
      </w:pPr>
      <w:r>
        <w:separator/>
      </w:r>
    </w:p>
  </w:footnote>
  <w:footnote w:type="continuationSeparator" w:id="0">
    <w:p w:rsidR="000C0799" w:rsidRDefault="000C0799" w14:paraId="112609C0" w14:textId="77777777">
      <w:pPr>
        <w:spacing w:after="0" w:line="240" w:lineRule="auto"/>
      </w:pPr>
      <w:r>
        <w:continuationSeparator/>
      </w:r>
    </w:p>
  </w:footnote>
  <w:footnote w:type="continuationNotice" w:id="1">
    <w:p w:rsidR="000C0799" w:rsidRDefault="000C0799" w14:paraId="633FAD02"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C82A51B" w:rsidTr="6DC777A1" w14:paraId="3DF2B48F" w14:textId="77777777">
      <w:trPr>
        <w:trHeight w:val="300"/>
      </w:trPr>
      <w:tc>
        <w:tcPr>
          <w:tcW w:w="3120" w:type="dxa"/>
          <w:tcMar/>
        </w:tcPr>
        <w:p w:rsidR="2C82A51B" w:rsidP="2C82A51B" w:rsidRDefault="2C82A51B" w14:paraId="656D4793" w14:textId="45FC243B">
          <w:pPr>
            <w:pStyle w:val="Header"/>
            <w:ind w:left="-115"/>
          </w:pPr>
        </w:p>
      </w:tc>
      <w:tc>
        <w:tcPr>
          <w:tcW w:w="3120" w:type="dxa"/>
          <w:tcMar/>
        </w:tcPr>
        <w:p w:rsidR="2C82A51B" w:rsidP="2C82A51B" w:rsidRDefault="2C82A51B" w14:paraId="5C785E3E" w14:textId="6EB79F6B">
          <w:pPr>
            <w:pStyle w:val="Header"/>
            <w:jc w:val="center"/>
          </w:pPr>
        </w:p>
      </w:tc>
      <w:tc>
        <w:tcPr>
          <w:tcW w:w="3120" w:type="dxa"/>
          <w:tcMar/>
        </w:tcPr>
        <w:p w:rsidR="2C82A51B" w:rsidP="2C82A51B" w:rsidRDefault="2C82A51B" w14:paraId="3F4AE431" w14:textId="5DB8F357">
          <w:pPr>
            <w:pStyle w:val="Header"/>
            <w:ind w:right="-115"/>
            <w:jc w:val="right"/>
          </w:pPr>
        </w:p>
      </w:tc>
    </w:tr>
  </w:tbl>
  <w:p w:rsidR="2C82A51B" w:rsidP="2C82A51B" w:rsidRDefault="2C82A51B" w14:paraId="6B9E0D0C" w14:textId="46E3E13A">
    <w:pPr>
      <w:pStyle w:val="Header"/>
    </w:pPr>
  </w:p>
</w:hdr>
</file>

<file path=word/intelligence2.xml><?xml version="1.0" encoding="utf-8"?>
<int2:intelligence xmlns:int2="http://schemas.microsoft.com/office/intelligence/2020/intelligence" xmlns:oel="http://schemas.microsoft.com/office/2019/extlst">
  <int2:observations>
    <int2:textHash int2:hashCode="yoWROLaHNoCKLb" int2:id="WpjXPmWm">
      <int2:state int2:type="AugLoop_Text_Critique" int2:value="Rejected"/>
    </int2:textHash>
    <int2:textHash int2:hashCode="9CEscRdDnZfFtx" int2:id="g1YOx96t">
      <int2:state int2:type="AugLoop_Text_Critique" int2:value="Rejected"/>
    </int2:textHash>
    <int2:textHash int2:hashCode="ao5Au1gxwhG60i" int2:id="vXSeB9j5">
      <int2:state int2:type="AugLoop_Text_Critique" int2:value="Rejected"/>
    </int2:textHash>
    <int2:bookmark int2:bookmarkName="_Int_fCvHGCSA" int2:invalidationBookmarkName="" int2:hashCode="fLGy13H7K9KeXd" int2:id="IY33r4cj">
      <int2:state int2:type="AugLoop_Text_Critique" int2:value="Rejected"/>
    </int2:bookmark>
    <int2:bookmark int2:bookmarkName="_Int_BHpGj9AQ" int2:invalidationBookmarkName="" int2:hashCode="Vk+Mbnb71RK+Lj" int2:id="298mJfFs">
      <int2:state int2:type="AugLoop_Text_Critique" int2:value="Rejected"/>
    </int2:bookmark>
    <int2:bookmark int2:bookmarkName="_Int_EDOIPtPN" int2:invalidationBookmarkName="" int2:hashCode="94gGADSKCRpD4q" int2:id="JGBfWtYG">
      <int2:state int2:type="AugLoop_Text_Critique" int2:value="Rejected"/>
    </int2:bookmark>
  </int2:observations>
  <int2:intelligenceSettings/>
  <int2:onDemandWorkflows>
    <int2:onDemandWorkflow int2:type="SimilarityCheck" int2:paragraphVersions="451396D6-130C2989 4C3F28A2-759984A7 761247B9-5A58428C 6E44A9FA-67F36280 74517ABB-7DD37271 0C66F6E6-323D33B6 0B9A50E2-79E6F044 7DA338CC-3B685967 2A15A1E8-3E6A010F 7D7408DC-34E1A98C 7353AE4D-05E8A50E 1923921B-11D19608 0CBF2B1E-5E05C8D8 79F82C6D-47D1FF4A 6A00ACB7-5A09F92A 3D212482-3CE4831D 7AFA3C88-3C261B67 6B19C031-1E9283B5 6A6F67DF-39733ED5 1CF49E29-662B70CF 5FDECB3E-651F1F09 3937BD50-4743F7E4 76A6198B-0D5193AB 673D8E89-2ECA2EF0 308CE2A6-6B33EE7E 39FA1D1B-089BDFA7 02173579-5B322E90 1E3FD30C-0DFED4AB 7ECE6FB1-1E9CF8FB 3109DCDF-49CB0640 7BF3A758-596B74CA 7580EF96-15FF2CF9 55107B49-21152187 3591638D-16FB71E7 416EBDF0-410D403A 5A5A9362-77777777 1A1689D5-5F1C439C 2E0C9A69-7776B3CE 0986D70E-47866642 14F4FC18-77777777 34E102FB-61512EE2 373C18F9-77777777 1796CE5E-77777777 7DE84FA0-52F92B6D 5443B126-4E0D54BB 43EFDA98-77777777 63A1C040-77777777 2CDC8419-5EE7EE50 22C47000-77777777 65097D53-77777777 3819C460-77777777 4F8F6DF1-77777777 6F06D99A-154B6E11 74D6CFAB-77777777 22EEC8AF-10F57310 208DB009-2E247FEF 74EC23E4-69E79E78 26BC59B9-25BD0C0A 551C86C4-01C9D86B 56152BD5-5DFAF736 5AD5F766-735175C4 4C212411-69670459 7ED1EC53-0F299742 5C627E64-46239704 2B4697C2-33793336 3BB01FF8-4D3B1703 4C1E2A71-4987A375 605C95CA-77777777 1BE36280-77777777 14352908-7705282E 16A30B03-34E0193E 5CBCBE4E-4054C3DE 7249AA93-223C3767 10037421-277C9C9F 2C078E63-2DD071C9 25BDAD01-25696F47 7A14803C-53E08309 656D4793-45FC243B 5C785E3E-6EB79F6B 3F4AE431-5DB8F357 6B9E0D0C-46E3E13A 45202BC3-6FB06BED 01A125F1-47D213A1 7C331240-0E1FA63A 65F0E53B-597F5E30"/>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B5A7D"/>
    <w:multiLevelType w:val="hybridMultilevel"/>
    <w:tmpl w:val="7A70B64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4D9789B"/>
    <w:multiLevelType w:val="hybridMultilevel"/>
    <w:tmpl w:val="FFFFFFFF"/>
    <w:lvl w:ilvl="0" w:tplc="7A8E3276">
      <w:start w:val="1"/>
      <w:numFmt w:val="bullet"/>
      <w:lvlText w:val=""/>
      <w:lvlJc w:val="left"/>
      <w:pPr>
        <w:ind w:left="720" w:hanging="360"/>
      </w:pPr>
      <w:rPr>
        <w:rFonts w:hint="default" w:ascii="Symbol" w:hAnsi="Symbol"/>
      </w:rPr>
    </w:lvl>
    <w:lvl w:ilvl="1" w:tplc="3D7C1556">
      <w:start w:val="1"/>
      <w:numFmt w:val="bullet"/>
      <w:lvlText w:val="o"/>
      <w:lvlJc w:val="left"/>
      <w:pPr>
        <w:ind w:left="1440" w:hanging="360"/>
      </w:pPr>
      <w:rPr>
        <w:rFonts w:hint="default" w:ascii="Courier New" w:hAnsi="Courier New"/>
      </w:rPr>
    </w:lvl>
    <w:lvl w:ilvl="2" w:tplc="0A2449D0">
      <w:start w:val="1"/>
      <w:numFmt w:val="bullet"/>
      <w:lvlText w:val=""/>
      <w:lvlJc w:val="left"/>
      <w:pPr>
        <w:ind w:left="2160" w:hanging="360"/>
      </w:pPr>
      <w:rPr>
        <w:rFonts w:hint="default" w:ascii="Wingdings" w:hAnsi="Wingdings"/>
      </w:rPr>
    </w:lvl>
    <w:lvl w:ilvl="3" w:tplc="0DFAAC6C">
      <w:start w:val="1"/>
      <w:numFmt w:val="bullet"/>
      <w:lvlText w:val=""/>
      <w:lvlJc w:val="left"/>
      <w:pPr>
        <w:ind w:left="2880" w:hanging="360"/>
      </w:pPr>
      <w:rPr>
        <w:rFonts w:hint="default" w:ascii="Symbol" w:hAnsi="Symbol"/>
      </w:rPr>
    </w:lvl>
    <w:lvl w:ilvl="4" w:tplc="334E818C">
      <w:start w:val="1"/>
      <w:numFmt w:val="bullet"/>
      <w:lvlText w:val="o"/>
      <w:lvlJc w:val="left"/>
      <w:pPr>
        <w:ind w:left="3600" w:hanging="360"/>
      </w:pPr>
      <w:rPr>
        <w:rFonts w:hint="default" w:ascii="Courier New" w:hAnsi="Courier New"/>
      </w:rPr>
    </w:lvl>
    <w:lvl w:ilvl="5" w:tplc="5C06C356">
      <w:start w:val="1"/>
      <w:numFmt w:val="bullet"/>
      <w:lvlText w:val=""/>
      <w:lvlJc w:val="left"/>
      <w:pPr>
        <w:ind w:left="4320" w:hanging="360"/>
      </w:pPr>
      <w:rPr>
        <w:rFonts w:hint="default" w:ascii="Wingdings" w:hAnsi="Wingdings"/>
      </w:rPr>
    </w:lvl>
    <w:lvl w:ilvl="6" w:tplc="348E93EA">
      <w:start w:val="1"/>
      <w:numFmt w:val="bullet"/>
      <w:lvlText w:val=""/>
      <w:lvlJc w:val="left"/>
      <w:pPr>
        <w:ind w:left="5040" w:hanging="360"/>
      </w:pPr>
      <w:rPr>
        <w:rFonts w:hint="default" w:ascii="Symbol" w:hAnsi="Symbol"/>
      </w:rPr>
    </w:lvl>
    <w:lvl w:ilvl="7" w:tplc="133437C2">
      <w:start w:val="1"/>
      <w:numFmt w:val="bullet"/>
      <w:lvlText w:val="o"/>
      <w:lvlJc w:val="left"/>
      <w:pPr>
        <w:ind w:left="5760" w:hanging="360"/>
      </w:pPr>
      <w:rPr>
        <w:rFonts w:hint="default" w:ascii="Courier New" w:hAnsi="Courier New"/>
      </w:rPr>
    </w:lvl>
    <w:lvl w:ilvl="8" w:tplc="7870DACC">
      <w:start w:val="1"/>
      <w:numFmt w:val="bullet"/>
      <w:lvlText w:val=""/>
      <w:lvlJc w:val="left"/>
      <w:pPr>
        <w:ind w:left="6480" w:hanging="360"/>
      </w:pPr>
      <w:rPr>
        <w:rFonts w:hint="default" w:ascii="Wingdings" w:hAnsi="Wingdings"/>
      </w:rPr>
    </w:lvl>
  </w:abstractNum>
  <w:abstractNum w:abstractNumId="2" w15:restartNumberingAfterBreak="0">
    <w:nsid w:val="2674C58A"/>
    <w:multiLevelType w:val="hybridMultilevel"/>
    <w:tmpl w:val="FFFFFFFF"/>
    <w:lvl w:ilvl="0" w:tplc="BDE6C33A">
      <w:start w:val="1"/>
      <w:numFmt w:val="bullet"/>
      <w:lvlText w:val=""/>
      <w:lvlJc w:val="left"/>
      <w:pPr>
        <w:ind w:left="720" w:hanging="360"/>
      </w:pPr>
      <w:rPr>
        <w:rFonts w:hint="default" w:ascii="Symbol" w:hAnsi="Symbol"/>
      </w:rPr>
    </w:lvl>
    <w:lvl w:ilvl="1" w:tplc="063448BC">
      <w:start w:val="1"/>
      <w:numFmt w:val="bullet"/>
      <w:lvlText w:val="o"/>
      <w:lvlJc w:val="left"/>
      <w:pPr>
        <w:ind w:left="1440" w:hanging="360"/>
      </w:pPr>
      <w:rPr>
        <w:rFonts w:hint="default" w:ascii="Symbol" w:hAnsi="Symbol"/>
      </w:rPr>
    </w:lvl>
    <w:lvl w:ilvl="2" w:tplc="AF5E2280">
      <w:start w:val="1"/>
      <w:numFmt w:val="bullet"/>
      <w:lvlText w:val=""/>
      <w:lvlJc w:val="left"/>
      <w:pPr>
        <w:ind w:left="2160" w:hanging="360"/>
      </w:pPr>
      <w:rPr>
        <w:rFonts w:hint="default" w:ascii="Wingdings" w:hAnsi="Wingdings"/>
      </w:rPr>
    </w:lvl>
    <w:lvl w:ilvl="3" w:tplc="F0D84A0C">
      <w:start w:val="1"/>
      <w:numFmt w:val="bullet"/>
      <w:lvlText w:val=""/>
      <w:lvlJc w:val="left"/>
      <w:pPr>
        <w:ind w:left="2880" w:hanging="360"/>
      </w:pPr>
      <w:rPr>
        <w:rFonts w:hint="default" w:ascii="Symbol" w:hAnsi="Symbol"/>
      </w:rPr>
    </w:lvl>
    <w:lvl w:ilvl="4" w:tplc="099E508C">
      <w:start w:val="1"/>
      <w:numFmt w:val="bullet"/>
      <w:lvlText w:val="o"/>
      <w:lvlJc w:val="left"/>
      <w:pPr>
        <w:ind w:left="3600" w:hanging="360"/>
      </w:pPr>
      <w:rPr>
        <w:rFonts w:hint="default" w:ascii="Courier New" w:hAnsi="Courier New"/>
      </w:rPr>
    </w:lvl>
    <w:lvl w:ilvl="5" w:tplc="5DFAA67C">
      <w:start w:val="1"/>
      <w:numFmt w:val="bullet"/>
      <w:lvlText w:val=""/>
      <w:lvlJc w:val="left"/>
      <w:pPr>
        <w:ind w:left="4320" w:hanging="360"/>
      </w:pPr>
      <w:rPr>
        <w:rFonts w:hint="default" w:ascii="Wingdings" w:hAnsi="Wingdings"/>
      </w:rPr>
    </w:lvl>
    <w:lvl w:ilvl="6" w:tplc="865E59AE">
      <w:start w:val="1"/>
      <w:numFmt w:val="bullet"/>
      <w:lvlText w:val=""/>
      <w:lvlJc w:val="left"/>
      <w:pPr>
        <w:ind w:left="5040" w:hanging="360"/>
      </w:pPr>
      <w:rPr>
        <w:rFonts w:hint="default" w:ascii="Symbol" w:hAnsi="Symbol"/>
      </w:rPr>
    </w:lvl>
    <w:lvl w:ilvl="7" w:tplc="EEFA8D96">
      <w:start w:val="1"/>
      <w:numFmt w:val="bullet"/>
      <w:lvlText w:val="o"/>
      <w:lvlJc w:val="left"/>
      <w:pPr>
        <w:ind w:left="5760" w:hanging="360"/>
      </w:pPr>
      <w:rPr>
        <w:rFonts w:hint="default" w:ascii="Courier New" w:hAnsi="Courier New"/>
      </w:rPr>
    </w:lvl>
    <w:lvl w:ilvl="8" w:tplc="3B0A7C50">
      <w:start w:val="1"/>
      <w:numFmt w:val="bullet"/>
      <w:lvlText w:val=""/>
      <w:lvlJc w:val="left"/>
      <w:pPr>
        <w:ind w:left="6480" w:hanging="360"/>
      </w:pPr>
      <w:rPr>
        <w:rFonts w:hint="default" w:ascii="Wingdings" w:hAnsi="Wingdings"/>
      </w:rPr>
    </w:lvl>
  </w:abstractNum>
  <w:abstractNum w:abstractNumId="3" w15:restartNumberingAfterBreak="0">
    <w:nsid w:val="4821F03D"/>
    <w:multiLevelType w:val="hybridMultilevel"/>
    <w:tmpl w:val="FFFFFFFF"/>
    <w:lvl w:ilvl="0" w:tplc="ED10308C">
      <w:start w:val="1"/>
      <w:numFmt w:val="bullet"/>
      <w:lvlText w:val=""/>
      <w:lvlJc w:val="left"/>
      <w:pPr>
        <w:ind w:left="720" w:hanging="360"/>
      </w:pPr>
      <w:rPr>
        <w:rFonts w:hint="default" w:ascii="Symbol" w:hAnsi="Symbol"/>
      </w:rPr>
    </w:lvl>
    <w:lvl w:ilvl="1" w:tplc="BB645C4C">
      <w:start w:val="1"/>
      <w:numFmt w:val="bullet"/>
      <w:lvlText w:val="o"/>
      <w:lvlJc w:val="left"/>
      <w:pPr>
        <w:ind w:left="1440" w:hanging="360"/>
      </w:pPr>
      <w:rPr>
        <w:rFonts w:hint="default" w:ascii="Courier New" w:hAnsi="Courier New"/>
      </w:rPr>
    </w:lvl>
    <w:lvl w:ilvl="2" w:tplc="5226F674">
      <w:start w:val="1"/>
      <w:numFmt w:val="bullet"/>
      <w:lvlText w:val=""/>
      <w:lvlJc w:val="left"/>
      <w:pPr>
        <w:ind w:left="2160" w:hanging="360"/>
      </w:pPr>
      <w:rPr>
        <w:rFonts w:hint="default" w:ascii="Wingdings" w:hAnsi="Wingdings"/>
      </w:rPr>
    </w:lvl>
    <w:lvl w:ilvl="3" w:tplc="64245940">
      <w:start w:val="1"/>
      <w:numFmt w:val="bullet"/>
      <w:lvlText w:val=""/>
      <w:lvlJc w:val="left"/>
      <w:pPr>
        <w:ind w:left="2880" w:hanging="360"/>
      </w:pPr>
      <w:rPr>
        <w:rFonts w:hint="default" w:ascii="Symbol" w:hAnsi="Symbol"/>
      </w:rPr>
    </w:lvl>
    <w:lvl w:ilvl="4" w:tplc="67769A5C">
      <w:start w:val="1"/>
      <w:numFmt w:val="bullet"/>
      <w:lvlText w:val="o"/>
      <w:lvlJc w:val="left"/>
      <w:pPr>
        <w:ind w:left="3600" w:hanging="360"/>
      </w:pPr>
      <w:rPr>
        <w:rFonts w:hint="default" w:ascii="Courier New" w:hAnsi="Courier New"/>
      </w:rPr>
    </w:lvl>
    <w:lvl w:ilvl="5" w:tplc="4A7E54B4">
      <w:start w:val="1"/>
      <w:numFmt w:val="bullet"/>
      <w:lvlText w:val=""/>
      <w:lvlJc w:val="left"/>
      <w:pPr>
        <w:ind w:left="4320" w:hanging="360"/>
      </w:pPr>
      <w:rPr>
        <w:rFonts w:hint="default" w:ascii="Wingdings" w:hAnsi="Wingdings"/>
      </w:rPr>
    </w:lvl>
    <w:lvl w:ilvl="6" w:tplc="04CEB7E4">
      <w:start w:val="1"/>
      <w:numFmt w:val="bullet"/>
      <w:lvlText w:val=""/>
      <w:lvlJc w:val="left"/>
      <w:pPr>
        <w:ind w:left="5040" w:hanging="360"/>
      </w:pPr>
      <w:rPr>
        <w:rFonts w:hint="default" w:ascii="Symbol" w:hAnsi="Symbol"/>
      </w:rPr>
    </w:lvl>
    <w:lvl w:ilvl="7" w:tplc="3D881B72">
      <w:start w:val="1"/>
      <w:numFmt w:val="bullet"/>
      <w:lvlText w:val="o"/>
      <w:lvlJc w:val="left"/>
      <w:pPr>
        <w:ind w:left="5760" w:hanging="360"/>
      </w:pPr>
      <w:rPr>
        <w:rFonts w:hint="default" w:ascii="Courier New" w:hAnsi="Courier New"/>
      </w:rPr>
    </w:lvl>
    <w:lvl w:ilvl="8" w:tplc="3AEE2634">
      <w:start w:val="1"/>
      <w:numFmt w:val="bullet"/>
      <w:lvlText w:val=""/>
      <w:lvlJc w:val="left"/>
      <w:pPr>
        <w:ind w:left="6480" w:hanging="360"/>
      </w:pPr>
      <w:rPr>
        <w:rFonts w:hint="default" w:ascii="Wingdings" w:hAnsi="Wingdings"/>
      </w:rPr>
    </w:lvl>
  </w:abstractNum>
  <w:abstractNum w:abstractNumId="4" w15:restartNumberingAfterBreak="0">
    <w:nsid w:val="6073F480"/>
    <w:multiLevelType w:val="hybridMultilevel"/>
    <w:tmpl w:val="FFFFFFFF"/>
    <w:lvl w:ilvl="0" w:tplc="56A43BF2">
      <w:start w:val="1"/>
      <w:numFmt w:val="bullet"/>
      <w:lvlText w:val=""/>
      <w:lvlJc w:val="left"/>
      <w:pPr>
        <w:ind w:left="720" w:hanging="360"/>
      </w:pPr>
      <w:rPr>
        <w:rFonts w:hint="default" w:ascii="Symbol" w:hAnsi="Symbol"/>
      </w:rPr>
    </w:lvl>
    <w:lvl w:ilvl="1" w:tplc="3EBC2D82">
      <w:start w:val="1"/>
      <w:numFmt w:val="bullet"/>
      <w:lvlText w:val="o"/>
      <w:lvlJc w:val="left"/>
      <w:pPr>
        <w:ind w:left="1440" w:hanging="360"/>
      </w:pPr>
      <w:rPr>
        <w:rFonts w:hint="default" w:ascii="Courier New" w:hAnsi="Courier New"/>
      </w:rPr>
    </w:lvl>
    <w:lvl w:ilvl="2" w:tplc="3F12239E">
      <w:start w:val="1"/>
      <w:numFmt w:val="bullet"/>
      <w:lvlText w:val=""/>
      <w:lvlJc w:val="left"/>
      <w:pPr>
        <w:ind w:left="2160" w:hanging="360"/>
      </w:pPr>
      <w:rPr>
        <w:rFonts w:hint="default" w:ascii="Wingdings" w:hAnsi="Wingdings"/>
      </w:rPr>
    </w:lvl>
    <w:lvl w:ilvl="3" w:tplc="BC349D42">
      <w:start w:val="1"/>
      <w:numFmt w:val="bullet"/>
      <w:lvlText w:val=""/>
      <w:lvlJc w:val="left"/>
      <w:pPr>
        <w:ind w:left="2880" w:hanging="360"/>
      </w:pPr>
      <w:rPr>
        <w:rFonts w:hint="default" w:ascii="Symbol" w:hAnsi="Symbol"/>
      </w:rPr>
    </w:lvl>
    <w:lvl w:ilvl="4" w:tplc="9ED8606E">
      <w:start w:val="1"/>
      <w:numFmt w:val="bullet"/>
      <w:lvlText w:val="o"/>
      <w:lvlJc w:val="left"/>
      <w:pPr>
        <w:ind w:left="3600" w:hanging="360"/>
      </w:pPr>
      <w:rPr>
        <w:rFonts w:hint="default" w:ascii="Courier New" w:hAnsi="Courier New"/>
      </w:rPr>
    </w:lvl>
    <w:lvl w:ilvl="5" w:tplc="C05E65F2">
      <w:start w:val="1"/>
      <w:numFmt w:val="bullet"/>
      <w:lvlText w:val=""/>
      <w:lvlJc w:val="left"/>
      <w:pPr>
        <w:ind w:left="4320" w:hanging="360"/>
      </w:pPr>
      <w:rPr>
        <w:rFonts w:hint="default" w:ascii="Wingdings" w:hAnsi="Wingdings"/>
      </w:rPr>
    </w:lvl>
    <w:lvl w:ilvl="6" w:tplc="6DD28746">
      <w:start w:val="1"/>
      <w:numFmt w:val="bullet"/>
      <w:lvlText w:val=""/>
      <w:lvlJc w:val="left"/>
      <w:pPr>
        <w:ind w:left="5040" w:hanging="360"/>
      </w:pPr>
      <w:rPr>
        <w:rFonts w:hint="default" w:ascii="Symbol" w:hAnsi="Symbol"/>
      </w:rPr>
    </w:lvl>
    <w:lvl w:ilvl="7" w:tplc="19CE613C">
      <w:start w:val="1"/>
      <w:numFmt w:val="bullet"/>
      <w:lvlText w:val="o"/>
      <w:lvlJc w:val="left"/>
      <w:pPr>
        <w:ind w:left="5760" w:hanging="360"/>
      </w:pPr>
      <w:rPr>
        <w:rFonts w:hint="default" w:ascii="Courier New" w:hAnsi="Courier New"/>
      </w:rPr>
    </w:lvl>
    <w:lvl w:ilvl="8" w:tplc="D5D26584">
      <w:start w:val="1"/>
      <w:numFmt w:val="bullet"/>
      <w:lvlText w:val=""/>
      <w:lvlJc w:val="left"/>
      <w:pPr>
        <w:ind w:left="6480" w:hanging="360"/>
      </w:pPr>
      <w:rPr>
        <w:rFonts w:hint="default" w:ascii="Wingdings" w:hAnsi="Wingdings"/>
      </w:rPr>
    </w:lvl>
  </w:abstractNum>
  <w:abstractNum w:abstractNumId="5" w15:restartNumberingAfterBreak="0">
    <w:nsid w:val="6A712EAE"/>
    <w:multiLevelType w:val="hybridMultilevel"/>
    <w:tmpl w:val="FFFFFFFF"/>
    <w:lvl w:ilvl="0" w:tplc="ED1CE6AC">
      <w:start w:val="1"/>
      <w:numFmt w:val="bullet"/>
      <w:lvlText w:val=""/>
      <w:lvlJc w:val="left"/>
      <w:pPr>
        <w:ind w:left="720" w:hanging="360"/>
      </w:pPr>
      <w:rPr>
        <w:rFonts w:hint="default" w:ascii="Symbol" w:hAnsi="Symbol"/>
      </w:rPr>
    </w:lvl>
    <w:lvl w:ilvl="1" w:tplc="1248CCCC">
      <w:start w:val="1"/>
      <w:numFmt w:val="bullet"/>
      <w:lvlText w:val="o"/>
      <w:lvlJc w:val="left"/>
      <w:pPr>
        <w:ind w:left="1440" w:hanging="360"/>
      </w:pPr>
      <w:rPr>
        <w:rFonts w:hint="default" w:ascii="Courier New" w:hAnsi="Courier New"/>
      </w:rPr>
    </w:lvl>
    <w:lvl w:ilvl="2" w:tplc="21DC71E6">
      <w:start w:val="1"/>
      <w:numFmt w:val="bullet"/>
      <w:lvlText w:val=""/>
      <w:lvlJc w:val="left"/>
      <w:pPr>
        <w:ind w:left="2160" w:hanging="360"/>
      </w:pPr>
      <w:rPr>
        <w:rFonts w:hint="default" w:ascii="Wingdings" w:hAnsi="Wingdings"/>
      </w:rPr>
    </w:lvl>
    <w:lvl w:ilvl="3" w:tplc="F920FB48">
      <w:start w:val="1"/>
      <w:numFmt w:val="bullet"/>
      <w:lvlText w:val=""/>
      <w:lvlJc w:val="left"/>
      <w:pPr>
        <w:ind w:left="2880" w:hanging="360"/>
      </w:pPr>
      <w:rPr>
        <w:rFonts w:hint="default" w:ascii="Symbol" w:hAnsi="Symbol"/>
      </w:rPr>
    </w:lvl>
    <w:lvl w:ilvl="4" w:tplc="C4A68702">
      <w:start w:val="1"/>
      <w:numFmt w:val="bullet"/>
      <w:lvlText w:val="o"/>
      <w:lvlJc w:val="left"/>
      <w:pPr>
        <w:ind w:left="3600" w:hanging="360"/>
      </w:pPr>
      <w:rPr>
        <w:rFonts w:hint="default" w:ascii="Courier New" w:hAnsi="Courier New"/>
      </w:rPr>
    </w:lvl>
    <w:lvl w:ilvl="5" w:tplc="C8B2EA1C">
      <w:start w:val="1"/>
      <w:numFmt w:val="bullet"/>
      <w:lvlText w:val=""/>
      <w:lvlJc w:val="left"/>
      <w:pPr>
        <w:ind w:left="4320" w:hanging="360"/>
      </w:pPr>
      <w:rPr>
        <w:rFonts w:hint="default" w:ascii="Wingdings" w:hAnsi="Wingdings"/>
      </w:rPr>
    </w:lvl>
    <w:lvl w:ilvl="6" w:tplc="C7BAE422">
      <w:start w:val="1"/>
      <w:numFmt w:val="bullet"/>
      <w:lvlText w:val=""/>
      <w:lvlJc w:val="left"/>
      <w:pPr>
        <w:ind w:left="5040" w:hanging="360"/>
      </w:pPr>
      <w:rPr>
        <w:rFonts w:hint="default" w:ascii="Symbol" w:hAnsi="Symbol"/>
      </w:rPr>
    </w:lvl>
    <w:lvl w:ilvl="7" w:tplc="7C8EEA8E">
      <w:start w:val="1"/>
      <w:numFmt w:val="bullet"/>
      <w:lvlText w:val="o"/>
      <w:lvlJc w:val="left"/>
      <w:pPr>
        <w:ind w:left="5760" w:hanging="360"/>
      </w:pPr>
      <w:rPr>
        <w:rFonts w:hint="default" w:ascii="Courier New" w:hAnsi="Courier New"/>
      </w:rPr>
    </w:lvl>
    <w:lvl w:ilvl="8" w:tplc="D8446562">
      <w:start w:val="1"/>
      <w:numFmt w:val="bullet"/>
      <w:lvlText w:val=""/>
      <w:lvlJc w:val="left"/>
      <w:pPr>
        <w:ind w:left="6480" w:hanging="360"/>
      </w:pPr>
      <w:rPr>
        <w:rFonts w:hint="default" w:ascii="Wingdings" w:hAnsi="Wingdings"/>
      </w:rPr>
    </w:lvl>
  </w:abstractNum>
  <w:num w:numId="1" w16cid:durableId="1435705985">
    <w:abstractNumId w:val="2"/>
  </w:num>
  <w:num w:numId="2" w16cid:durableId="1330522422">
    <w:abstractNumId w:val="4"/>
  </w:num>
  <w:num w:numId="3" w16cid:durableId="948439678">
    <w:abstractNumId w:val="3"/>
  </w:num>
  <w:num w:numId="4" w16cid:durableId="2120489695">
    <w:abstractNumId w:val="1"/>
  </w:num>
  <w:num w:numId="5" w16cid:durableId="543760295">
    <w:abstractNumId w:val="5"/>
  </w:num>
  <w:num w:numId="6" w16cid:durableId="396637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59FB86"/>
    <w:rsid w:val="00021184"/>
    <w:rsid w:val="0003173E"/>
    <w:rsid w:val="00033000"/>
    <w:rsid w:val="0003361A"/>
    <w:rsid w:val="000A157E"/>
    <w:rsid w:val="000A7E32"/>
    <w:rsid w:val="000B5F0C"/>
    <w:rsid w:val="000C0799"/>
    <w:rsid w:val="0011599E"/>
    <w:rsid w:val="001217D8"/>
    <w:rsid w:val="00133FF0"/>
    <w:rsid w:val="001A212D"/>
    <w:rsid w:val="001F2B8A"/>
    <w:rsid w:val="002A673F"/>
    <w:rsid w:val="002C45B6"/>
    <w:rsid w:val="00332FAF"/>
    <w:rsid w:val="0033A2B0"/>
    <w:rsid w:val="00437799"/>
    <w:rsid w:val="00445972"/>
    <w:rsid w:val="004559C6"/>
    <w:rsid w:val="004569EF"/>
    <w:rsid w:val="004A0B1A"/>
    <w:rsid w:val="004A1103"/>
    <w:rsid w:val="00527C79"/>
    <w:rsid w:val="005D0075"/>
    <w:rsid w:val="00607599"/>
    <w:rsid w:val="00684E0D"/>
    <w:rsid w:val="006A3824"/>
    <w:rsid w:val="006A3D6F"/>
    <w:rsid w:val="006E19CC"/>
    <w:rsid w:val="00747749"/>
    <w:rsid w:val="00760487"/>
    <w:rsid w:val="0076371D"/>
    <w:rsid w:val="0078186E"/>
    <w:rsid w:val="007E76B2"/>
    <w:rsid w:val="007F7D26"/>
    <w:rsid w:val="008450B5"/>
    <w:rsid w:val="00871145"/>
    <w:rsid w:val="008D1D28"/>
    <w:rsid w:val="008E55CC"/>
    <w:rsid w:val="009213ED"/>
    <w:rsid w:val="00977628"/>
    <w:rsid w:val="009919A4"/>
    <w:rsid w:val="009D08E6"/>
    <w:rsid w:val="009F2E9A"/>
    <w:rsid w:val="009F3758"/>
    <w:rsid w:val="00A40C08"/>
    <w:rsid w:val="00A415EE"/>
    <w:rsid w:val="00A4A02E"/>
    <w:rsid w:val="00A95887"/>
    <w:rsid w:val="00AC7FBC"/>
    <w:rsid w:val="00AD648A"/>
    <w:rsid w:val="00AE1D9B"/>
    <w:rsid w:val="00AE231E"/>
    <w:rsid w:val="00B16C2C"/>
    <w:rsid w:val="00B517E0"/>
    <w:rsid w:val="00B97340"/>
    <w:rsid w:val="00C10108"/>
    <w:rsid w:val="00C43782"/>
    <w:rsid w:val="00C53DA1"/>
    <w:rsid w:val="00C9E6C5"/>
    <w:rsid w:val="00CD6BEE"/>
    <w:rsid w:val="00D004BD"/>
    <w:rsid w:val="00DB21AD"/>
    <w:rsid w:val="00DD5C8B"/>
    <w:rsid w:val="00E71814"/>
    <w:rsid w:val="00E73A92"/>
    <w:rsid w:val="00E90716"/>
    <w:rsid w:val="00EB12EF"/>
    <w:rsid w:val="00EC5C7F"/>
    <w:rsid w:val="00ED761F"/>
    <w:rsid w:val="00F03279"/>
    <w:rsid w:val="00F134D6"/>
    <w:rsid w:val="00F240C2"/>
    <w:rsid w:val="00F3300E"/>
    <w:rsid w:val="00FC2D8E"/>
    <w:rsid w:val="00FE238E"/>
    <w:rsid w:val="0159FB86"/>
    <w:rsid w:val="01644AF9"/>
    <w:rsid w:val="022729A6"/>
    <w:rsid w:val="023D8D3F"/>
    <w:rsid w:val="024B741E"/>
    <w:rsid w:val="03175EE5"/>
    <w:rsid w:val="0367D22F"/>
    <w:rsid w:val="03BD238D"/>
    <w:rsid w:val="03C4578B"/>
    <w:rsid w:val="0418C8F5"/>
    <w:rsid w:val="04289D34"/>
    <w:rsid w:val="045BA72B"/>
    <w:rsid w:val="04B63EA7"/>
    <w:rsid w:val="0535259B"/>
    <w:rsid w:val="053C0BF1"/>
    <w:rsid w:val="0557330A"/>
    <w:rsid w:val="05E3E842"/>
    <w:rsid w:val="05F9921A"/>
    <w:rsid w:val="0635DA5F"/>
    <w:rsid w:val="065638D4"/>
    <w:rsid w:val="06C976BD"/>
    <w:rsid w:val="06DFE961"/>
    <w:rsid w:val="06E72356"/>
    <w:rsid w:val="0735CF34"/>
    <w:rsid w:val="0770309A"/>
    <w:rsid w:val="07FA7383"/>
    <w:rsid w:val="083FC5D6"/>
    <w:rsid w:val="08457777"/>
    <w:rsid w:val="08792E01"/>
    <w:rsid w:val="08FBE48E"/>
    <w:rsid w:val="09897A22"/>
    <w:rsid w:val="0995CC87"/>
    <w:rsid w:val="0A58326E"/>
    <w:rsid w:val="0AA27003"/>
    <w:rsid w:val="0AA80CE3"/>
    <w:rsid w:val="0B24539D"/>
    <w:rsid w:val="0B519D3C"/>
    <w:rsid w:val="0B53BEA1"/>
    <w:rsid w:val="0B86AC5F"/>
    <w:rsid w:val="0BCF61BC"/>
    <w:rsid w:val="0C149C1A"/>
    <w:rsid w:val="0C2691CF"/>
    <w:rsid w:val="0C8381D4"/>
    <w:rsid w:val="0C96B9CD"/>
    <w:rsid w:val="0CA82EEF"/>
    <w:rsid w:val="0D235799"/>
    <w:rsid w:val="0D5B19B9"/>
    <w:rsid w:val="0D60E1A1"/>
    <w:rsid w:val="0DD427DB"/>
    <w:rsid w:val="0E210B42"/>
    <w:rsid w:val="0E430A02"/>
    <w:rsid w:val="0FBCAFDA"/>
    <w:rsid w:val="106CC929"/>
    <w:rsid w:val="108F97EC"/>
    <w:rsid w:val="10B18201"/>
    <w:rsid w:val="111A4412"/>
    <w:rsid w:val="11480497"/>
    <w:rsid w:val="1174C30E"/>
    <w:rsid w:val="120F2F83"/>
    <w:rsid w:val="121AD383"/>
    <w:rsid w:val="12A43C3D"/>
    <w:rsid w:val="12A5D619"/>
    <w:rsid w:val="12BCB57B"/>
    <w:rsid w:val="12E83A8B"/>
    <w:rsid w:val="132408D6"/>
    <w:rsid w:val="134C3A6B"/>
    <w:rsid w:val="1392D4B6"/>
    <w:rsid w:val="142EF46B"/>
    <w:rsid w:val="14D3C13C"/>
    <w:rsid w:val="154FAAA1"/>
    <w:rsid w:val="1626D21F"/>
    <w:rsid w:val="173AB022"/>
    <w:rsid w:val="17CF33A9"/>
    <w:rsid w:val="1870537D"/>
    <w:rsid w:val="18913D68"/>
    <w:rsid w:val="190D945E"/>
    <w:rsid w:val="193A7FA3"/>
    <w:rsid w:val="1947AEF1"/>
    <w:rsid w:val="19759D77"/>
    <w:rsid w:val="197E351E"/>
    <w:rsid w:val="19A10C16"/>
    <w:rsid w:val="19C5AEA7"/>
    <w:rsid w:val="19CE9DFA"/>
    <w:rsid w:val="19DB31AE"/>
    <w:rsid w:val="1A042195"/>
    <w:rsid w:val="1A143752"/>
    <w:rsid w:val="1A6A0A6F"/>
    <w:rsid w:val="1A921DF2"/>
    <w:rsid w:val="1AAF56B4"/>
    <w:rsid w:val="1B068D78"/>
    <w:rsid w:val="1B9BF4F9"/>
    <w:rsid w:val="1BF44A3A"/>
    <w:rsid w:val="1C27806C"/>
    <w:rsid w:val="1C81D800"/>
    <w:rsid w:val="1D93D10F"/>
    <w:rsid w:val="1E7593E2"/>
    <w:rsid w:val="1E92EAE8"/>
    <w:rsid w:val="1EBCA3C9"/>
    <w:rsid w:val="1ED18D3A"/>
    <w:rsid w:val="1F704BE8"/>
    <w:rsid w:val="1FA6229B"/>
    <w:rsid w:val="1FB9E428"/>
    <w:rsid w:val="1FE8A736"/>
    <w:rsid w:val="20034A73"/>
    <w:rsid w:val="20164744"/>
    <w:rsid w:val="2033DE4D"/>
    <w:rsid w:val="20F097D0"/>
    <w:rsid w:val="210A86DB"/>
    <w:rsid w:val="210D1DA9"/>
    <w:rsid w:val="2248788C"/>
    <w:rsid w:val="22FC266D"/>
    <w:rsid w:val="2327D60B"/>
    <w:rsid w:val="232F531F"/>
    <w:rsid w:val="233E3176"/>
    <w:rsid w:val="23950A21"/>
    <w:rsid w:val="240FF3D0"/>
    <w:rsid w:val="247D4BF0"/>
    <w:rsid w:val="24C80AA3"/>
    <w:rsid w:val="24DFF87B"/>
    <w:rsid w:val="24E92D8B"/>
    <w:rsid w:val="258648E5"/>
    <w:rsid w:val="25DB3933"/>
    <w:rsid w:val="2600F26A"/>
    <w:rsid w:val="267C687F"/>
    <w:rsid w:val="26F1537E"/>
    <w:rsid w:val="26FA3EC0"/>
    <w:rsid w:val="27544493"/>
    <w:rsid w:val="2814A2F7"/>
    <w:rsid w:val="2837E380"/>
    <w:rsid w:val="2876D1CB"/>
    <w:rsid w:val="28AC998A"/>
    <w:rsid w:val="28C30EB7"/>
    <w:rsid w:val="28D234BD"/>
    <w:rsid w:val="298476C7"/>
    <w:rsid w:val="29A9DDAE"/>
    <w:rsid w:val="29E93D89"/>
    <w:rsid w:val="29F04DA0"/>
    <w:rsid w:val="2A1F07E2"/>
    <w:rsid w:val="2A5670F9"/>
    <w:rsid w:val="2A7E4344"/>
    <w:rsid w:val="2B4D72CE"/>
    <w:rsid w:val="2BD0D112"/>
    <w:rsid w:val="2C235AB7"/>
    <w:rsid w:val="2C5DD146"/>
    <w:rsid w:val="2C82A51B"/>
    <w:rsid w:val="2CC6201F"/>
    <w:rsid w:val="2CEC0CBF"/>
    <w:rsid w:val="2D07766B"/>
    <w:rsid w:val="2D89F2EE"/>
    <w:rsid w:val="2E1481F4"/>
    <w:rsid w:val="2E9A8882"/>
    <w:rsid w:val="2F00D795"/>
    <w:rsid w:val="2F650469"/>
    <w:rsid w:val="2F91A149"/>
    <w:rsid w:val="2FB40E50"/>
    <w:rsid w:val="2FCDA423"/>
    <w:rsid w:val="2FDAD171"/>
    <w:rsid w:val="2FE11515"/>
    <w:rsid w:val="30A4A0E1"/>
    <w:rsid w:val="30B6EA56"/>
    <w:rsid w:val="310CAD9F"/>
    <w:rsid w:val="313B2014"/>
    <w:rsid w:val="313B2014"/>
    <w:rsid w:val="314CA441"/>
    <w:rsid w:val="314CC84F"/>
    <w:rsid w:val="31542D77"/>
    <w:rsid w:val="317B5898"/>
    <w:rsid w:val="31B4636D"/>
    <w:rsid w:val="31EC44FE"/>
    <w:rsid w:val="321B792D"/>
    <w:rsid w:val="326F098B"/>
    <w:rsid w:val="32764868"/>
    <w:rsid w:val="32B6122A"/>
    <w:rsid w:val="331CED5F"/>
    <w:rsid w:val="3392A007"/>
    <w:rsid w:val="33D2EE50"/>
    <w:rsid w:val="3489F39B"/>
    <w:rsid w:val="34E42B44"/>
    <w:rsid w:val="3578A017"/>
    <w:rsid w:val="3602C1C1"/>
    <w:rsid w:val="3615F1F4"/>
    <w:rsid w:val="364D1871"/>
    <w:rsid w:val="369DCC46"/>
    <w:rsid w:val="371916B1"/>
    <w:rsid w:val="37901F7F"/>
    <w:rsid w:val="37C48857"/>
    <w:rsid w:val="3836A21C"/>
    <w:rsid w:val="38A48F9C"/>
    <w:rsid w:val="38D62D69"/>
    <w:rsid w:val="39159223"/>
    <w:rsid w:val="399CD495"/>
    <w:rsid w:val="39A0CD11"/>
    <w:rsid w:val="3A238AA2"/>
    <w:rsid w:val="3AAB5B90"/>
    <w:rsid w:val="3ABFE530"/>
    <w:rsid w:val="3B511EFD"/>
    <w:rsid w:val="3B5C4FF9"/>
    <w:rsid w:val="3C0E6739"/>
    <w:rsid w:val="3C1D877F"/>
    <w:rsid w:val="3C41FA06"/>
    <w:rsid w:val="3C4B60BB"/>
    <w:rsid w:val="3C5DF6ED"/>
    <w:rsid w:val="3D827193"/>
    <w:rsid w:val="3E0EA035"/>
    <w:rsid w:val="3E3A158D"/>
    <w:rsid w:val="3E52F0D9"/>
    <w:rsid w:val="3ECA9F75"/>
    <w:rsid w:val="3FA85580"/>
    <w:rsid w:val="3FB3665F"/>
    <w:rsid w:val="41CF9B5F"/>
    <w:rsid w:val="426FA01F"/>
    <w:rsid w:val="42883866"/>
    <w:rsid w:val="42F55C37"/>
    <w:rsid w:val="434BB029"/>
    <w:rsid w:val="435FAC62"/>
    <w:rsid w:val="43750459"/>
    <w:rsid w:val="43C4F410"/>
    <w:rsid w:val="43EE97C3"/>
    <w:rsid w:val="446FCB68"/>
    <w:rsid w:val="4499F209"/>
    <w:rsid w:val="44FB93A5"/>
    <w:rsid w:val="45662F00"/>
    <w:rsid w:val="4592EEBE"/>
    <w:rsid w:val="465E67F2"/>
    <w:rsid w:val="46A58FA9"/>
    <w:rsid w:val="4785F5AD"/>
    <w:rsid w:val="482997F7"/>
    <w:rsid w:val="48B2CAEA"/>
    <w:rsid w:val="48BD3D2D"/>
    <w:rsid w:val="491C687B"/>
    <w:rsid w:val="49AB595A"/>
    <w:rsid w:val="4A0B8137"/>
    <w:rsid w:val="4A1010FE"/>
    <w:rsid w:val="4A1412AF"/>
    <w:rsid w:val="4A28CE60"/>
    <w:rsid w:val="4A478B4C"/>
    <w:rsid w:val="4A48BFF0"/>
    <w:rsid w:val="4A5118A4"/>
    <w:rsid w:val="4A74965A"/>
    <w:rsid w:val="4B2FB1F4"/>
    <w:rsid w:val="4C00FA17"/>
    <w:rsid w:val="4C378020"/>
    <w:rsid w:val="4C79A3C8"/>
    <w:rsid w:val="4C81FC23"/>
    <w:rsid w:val="4CB65EF9"/>
    <w:rsid w:val="4D172DEE"/>
    <w:rsid w:val="4D8C0E57"/>
    <w:rsid w:val="4DDA33F4"/>
    <w:rsid w:val="4DDF4A65"/>
    <w:rsid w:val="4E4D13F7"/>
    <w:rsid w:val="4E5335F7"/>
    <w:rsid w:val="4EC8E430"/>
    <w:rsid w:val="4F26245E"/>
    <w:rsid w:val="4F8AC932"/>
    <w:rsid w:val="4FC93004"/>
    <w:rsid w:val="4FDE807B"/>
    <w:rsid w:val="4FF0666C"/>
    <w:rsid w:val="50B9863A"/>
    <w:rsid w:val="50E6AB2B"/>
    <w:rsid w:val="51107DE2"/>
    <w:rsid w:val="51123E89"/>
    <w:rsid w:val="5153B2EC"/>
    <w:rsid w:val="51C8280F"/>
    <w:rsid w:val="51D6CE97"/>
    <w:rsid w:val="5370E145"/>
    <w:rsid w:val="53F79652"/>
    <w:rsid w:val="54481F48"/>
    <w:rsid w:val="546F4A42"/>
    <w:rsid w:val="54B2CD4F"/>
    <w:rsid w:val="54F3453B"/>
    <w:rsid w:val="5569249E"/>
    <w:rsid w:val="5646A701"/>
    <w:rsid w:val="5650676B"/>
    <w:rsid w:val="56565C74"/>
    <w:rsid w:val="567FEE2E"/>
    <w:rsid w:val="56866541"/>
    <w:rsid w:val="56899EDD"/>
    <w:rsid w:val="5698E615"/>
    <w:rsid w:val="56E74153"/>
    <w:rsid w:val="57783645"/>
    <w:rsid w:val="5795972F"/>
    <w:rsid w:val="59691F1F"/>
    <w:rsid w:val="5981C066"/>
    <w:rsid w:val="5A4976E3"/>
    <w:rsid w:val="5AA54823"/>
    <w:rsid w:val="5AC69E4B"/>
    <w:rsid w:val="5AD79AF5"/>
    <w:rsid w:val="5B4C64F6"/>
    <w:rsid w:val="5B8217D4"/>
    <w:rsid w:val="5BB20731"/>
    <w:rsid w:val="5C66C34E"/>
    <w:rsid w:val="5C780156"/>
    <w:rsid w:val="5C8CB05E"/>
    <w:rsid w:val="5CD5467A"/>
    <w:rsid w:val="5CED0E70"/>
    <w:rsid w:val="5D3164DC"/>
    <w:rsid w:val="5D67D585"/>
    <w:rsid w:val="5D6DF584"/>
    <w:rsid w:val="5DA315F6"/>
    <w:rsid w:val="5DAB9062"/>
    <w:rsid w:val="5E1CD230"/>
    <w:rsid w:val="5EAFF7C7"/>
    <w:rsid w:val="5EB9D837"/>
    <w:rsid w:val="5EC0571B"/>
    <w:rsid w:val="5FDFD097"/>
    <w:rsid w:val="607E6652"/>
    <w:rsid w:val="60824DC7"/>
    <w:rsid w:val="61C03DC8"/>
    <w:rsid w:val="624BFDC0"/>
    <w:rsid w:val="62A99A34"/>
    <w:rsid w:val="62D2FD86"/>
    <w:rsid w:val="62DC97C1"/>
    <w:rsid w:val="6359C10E"/>
    <w:rsid w:val="6366CB1B"/>
    <w:rsid w:val="636C2B87"/>
    <w:rsid w:val="639C3AA4"/>
    <w:rsid w:val="63A98424"/>
    <w:rsid w:val="63B552CD"/>
    <w:rsid w:val="63B738E5"/>
    <w:rsid w:val="63ED7A74"/>
    <w:rsid w:val="645818D0"/>
    <w:rsid w:val="660C6308"/>
    <w:rsid w:val="66B7EF3E"/>
    <w:rsid w:val="67471779"/>
    <w:rsid w:val="67C15E5A"/>
    <w:rsid w:val="67C954A2"/>
    <w:rsid w:val="687FDDA7"/>
    <w:rsid w:val="68CEEC17"/>
    <w:rsid w:val="68DA0A82"/>
    <w:rsid w:val="68E6B7E8"/>
    <w:rsid w:val="6951C44E"/>
    <w:rsid w:val="699454B7"/>
    <w:rsid w:val="699D189B"/>
    <w:rsid w:val="69A3E987"/>
    <w:rsid w:val="69E5AEF4"/>
    <w:rsid w:val="6A182E19"/>
    <w:rsid w:val="6A33D9AB"/>
    <w:rsid w:val="6A40F434"/>
    <w:rsid w:val="6A479A1B"/>
    <w:rsid w:val="6A4B1DB3"/>
    <w:rsid w:val="6AE38363"/>
    <w:rsid w:val="6B650453"/>
    <w:rsid w:val="6BC7360F"/>
    <w:rsid w:val="6BD4383F"/>
    <w:rsid w:val="6BF4252B"/>
    <w:rsid w:val="6C175B1C"/>
    <w:rsid w:val="6C4AD269"/>
    <w:rsid w:val="6C507608"/>
    <w:rsid w:val="6C52295A"/>
    <w:rsid w:val="6CC20E14"/>
    <w:rsid w:val="6CD3E2BD"/>
    <w:rsid w:val="6D5C5D99"/>
    <w:rsid w:val="6DC777A1"/>
    <w:rsid w:val="6DC97372"/>
    <w:rsid w:val="6DFDE9F8"/>
    <w:rsid w:val="6E098ABA"/>
    <w:rsid w:val="6E81CC66"/>
    <w:rsid w:val="6E988420"/>
    <w:rsid w:val="6EEEC6B9"/>
    <w:rsid w:val="6F46100E"/>
    <w:rsid w:val="6F7EFE7D"/>
    <w:rsid w:val="6F9A17D8"/>
    <w:rsid w:val="6FE3A27B"/>
    <w:rsid w:val="7007E23F"/>
    <w:rsid w:val="71921723"/>
    <w:rsid w:val="72581D78"/>
    <w:rsid w:val="729D5844"/>
    <w:rsid w:val="733E041F"/>
    <w:rsid w:val="739627C0"/>
    <w:rsid w:val="73E4BFD5"/>
    <w:rsid w:val="747F495C"/>
    <w:rsid w:val="74D679AA"/>
    <w:rsid w:val="75149F5A"/>
    <w:rsid w:val="753FC3AE"/>
    <w:rsid w:val="755A92AF"/>
    <w:rsid w:val="75C025A1"/>
    <w:rsid w:val="76356F5B"/>
    <w:rsid w:val="7655C762"/>
    <w:rsid w:val="76AE480D"/>
    <w:rsid w:val="76C3DC60"/>
    <w:rsid w:val="77335BEE"/>
    <w:rsid w:val="778F69F4"/>
    <w:rsid w:val="77CA491C"/>
    <w:rsid w:val="7850CD6C"/>
    <w:rsid w:val="78F1F3F2"/>
    <w:rsid w:val="78FF02BC"/>
    <w:rsid w:val="792D45D4"/>
    <w:rsid w:val="794A8D4F"/>
    <w:rsid w:val="79F0FCFA"/>
    <w:rsid w:val="7A04B989"/>
    <w:rsid w:val="7A135526"/>
    <w:rsid w:val="7A90945A"/>
    <w:rsid w:val="7B04EF38"/>
    <w:rsid w:val="7B1717E5"/>
    <w:rsid w:val="7B552D43"/>
    <w:rsid w:val="7BF81750"/>
    <w:rsid w:val="7C55D809"/>
    <w:rsid w:val="7C960E69"/>
    <w:rsid w:val="7C9AD172"/>
    <w:rsid w:val="7CAC4D40"/>
    <w:rsid w:val="7CAC4D40"/>
    <w:rsid w:val="7CCDCAF9"/>
    <w:rsid w:val="7CD9B93F"/>
    <w:rsid w:val="7D17E102"/>
    <w:rsid w:val="7D6C4F75"/>
    <w:rsid w:val="7D7CE8D9"/>
    <w:rsid w:val="7D8FF9DB"/>
    <w:rsid w:val="7D95A30A"/>
    <w:rsid w:val="7DAC7DF2"/>
    <w:rsid w:val="7DAD02EA"/>
    <w:rsid w:val="7E22E2D7"/>
    <w:rsid w:val="7E35C992"/>
    <w:rsid w:val="7FE60A8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9FB86"/>
  <w15:chartTrackingRefBased/>
  <w15:docId w15:val="{908C35A7-A613-4477-8896-3C0F1D165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6DC777A1"/>
    <w:rPr>
      <w:noProof w:val="0"/>
      <w:lang w:val="en-GB"/>
    </w:rPr>
  </w:style>
  <w:style w:type="paragraph" w:styleId="Heading1">
    <w:uiPriority w:val="9"/>
    <w:name w:val="heading 1"/>
    <w:basedOn w:val="Normal"/>
    <w:next w:val="Normal"/>
    <w:link w:val="Heading1Char"/>
    <w:qFormat/>
    <w:rsid w:val="6DC777A1"/>
    <w:rPr>
      <w:rFonts w:ascii="Aptos Display" w:hAnsi="Aptos Display" w:eastAsia="ＭＳ ゴシック"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6DC777A1"/>
    <w:rPr>
      <w:b w:val="1"/>
      <w:bCs w:val="1"/>
      <w:sz w:val="32"/>
      <w:szCs w:val="32"/>
    </w:rPr>
    <w:pPr>
      <w:outlineLvl w:val="1"/>
    </w:pPr>
  </w:style>
  <w:style w:type="paragraph" w:styleId="Heading3">
    <w:uiPriority w:val="9"/>
    <w:name w:val="heading 3"/>
    <w:basedOn w:val="Normal"/>
    <w:next w:val="Normal"/>
    <w:unhideWhenUsed/>
    <w:link w:val="Heading3Char"/>
    <w:qFormat/>
    <w:rsid w:val="6DC777A1"/>
    <w:rPr>
      <w:rFonts w:eastAsia="ＭＳ ゴシック" w:cs="Times New Roman"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6DC777A1"/>
    <w:rPr>
      <w:rFonts w:eastAsia="ＭＳ ゴシック" w:cs="Times New Roman"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6DC777A1"/>
    <w:rPr>
      <w:rFonts w:eastAsia="ＭＳ ゴシック" w:cs="Times New Roman"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6DC777A1"/>
    <w:rPr>
      <w:rFonts w:eastAsia="ＭＳ ゴシック" w:cs="Times New Roman"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6DC777A1"/>
    <w:rPr>
      <w:rFonts w:eastAsia="ＭＳ ゴシック" w:cs="Times New Roman"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6DC777A1"/>
    <w:rPr>
      <w:rFonts w:eastAsia="ＭＳ ゴシック" w:cs="Times New Roman"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6DC777A1"/>
    <w:rPr>
      <w:rFonts w:eastAsia="ＭＳ ゴシック" w:cs="Times New Roman"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link w:val="Heading2"/>
    <w:uiPriority w:val="9"/>
    <w:rsid w:val="2C82A51B"/>
    <w:rPr>
      <w:b/>
      <w:bCs/>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lang w:val="en-GB"/>
    </w:rPr>
  </w:style>
  <w:style w:type="character" w:styleId="Heading9Char" w:customStyle="1">
    <w:name w:val="Heading 9 Char"/>
    <w:basedOn w:val="DefaultParagraphFont"/>
    <w:link w:val="Heading9"/>
    <w:uiPriority w:val="9"/>
    <w:rPr>
      <w:rFonts w:eastAsiaTheme="majorEastAsia" w:cstheme="majorBidi"/>
      <w:color w:val="272727"/>
      <w:lang w:val="en-GB"/>
    </w:rPr>
  </w:style>
  <w:style w:type="character" w:styleId="TitleChar" w:customStyle="1">
    <w:name w:val="Title Char"/>
    <w:link w:val="Title"/>
    <w:uiPriority w:val="10"/>
    <w:rsid w:val="2C82A51B"/>
    <w:rPr>
      <w:b/>
      <w:bCs/>
      <w:sz w:val="32"/>
      <w:szCs w:val="32"/>
    </w:rPr>
  </w:style>
  <w:style w:type="paragraph" w:styleId="Title">
    <w:uiPriority w:val="10"/>
    <w:name w:val="Title"/>
    <w:basedOn w:val="Normal"/>
    <w:next w:val="Normal"/>
    <w:link w:val="TitleChar"/>
    <w:qFormat/>
    <w:rsid w:val="6DC777A1"/>
    <w:rPr>
      <w:b w:val="1"/>
      <w:bCs w:val="1"/>
      <w:sz w:val="32"/>
      <w:szCs w:val="32"/>
    </w:rPr>
    <w:pPr>
      <w:spacing w:line="276" w:lineRule="auto"/>
      <w:jc w:val="center"/>
    </w:pPr>
  </w:style>
  <w:style w:type="character" w:styleId="SubtitleChar" w:customStyle="1">
    <w:name w:val="Subtitle Char"/>
    <w:basedOn w:val="DefaultParagraphFont"/>
    <w:link w:val="Subtitle"/>
    <w:uiPriority w:val="11"/>
    <w:rPr>
      <w:rFonts w:eastAsiaTheme="majorEastAsia" w:cstheme="majorBidi"/>
      <w:color w:val="595959" w:themeColor="text1" w:themeTint="A6"/>
      <w:sz w:val="28"/>
      <w:szCs w:val="28"/>
      <w:lang w:val="en-GB"/>
    </w:rPr>
  </w:style>
  <w:style w:type="paragraph" w:styleId="Subtitle">
    <w:uiPriority w:val="11"/>
    <w:name w:val="Subtitle"/>
    <w:basedOn w:val="Normal"/>
    <w:next w:val="Normal"/>
    <w:link w:val="SubtitleChar"/>
    <w:qFormat/>
    <w:rsid w:val="6DC777A1"/>
    <w:rPr>
      <w:rFonts w:eastAsia="ＭＳ ゴシック" w:cs="Times New Roman"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DC777A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DC777A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2">
    <w:uiPriority w:val="39"/>
    <w:name w:val="toc 2"/>
    <w:basedOn w:val="Normal"/>
    <w:next w:val="Normal"/>
    <w:unhideWhenUsed/>
    <w:rsid w:val="6DC777A1"/>
    <w:pPr>
      <w:spacing w:after="100"/>
      <w:ind w:left="220"/>
    </w:pPr>
  </w:style>
  <w:style w:type="character" w:styleId="Hyperlink">
    <w:name w:val="Hyperlink"/>
    <w:basedOn w:val="DefaultParagraphFont"/>
    <w:uiPriority w:val="99"/>
    <w:unhideWhenUsed/>
    <w:rsid w:val="2C82A51B"/>
    <w:rPr>
      <w:color w:val="467886"/>
      <w:u w:val="single"/>
    </w:rPr>
  </w:style>
  <w:style w:type="paragraph" w:styleId="Header">
    <w:uiPriority w:val="99"/>
    <w:name w:val="header"/>
    <w:basedOn w:val="Normal"/>
    <w:unhideWhenUsed/>
    <w:rsid w:val="6DC777A1"/>
    <w:pPr>
      <w:tabs>
        <w:tab w:val="center" w:leader="none" w:pos="4680"/>
        <w:tab w:val="right" w:leader="none" w:pos="9360"/>
      </w:tabs>
      <w:spacing w:after="0" w:line="240" w:lineRule="auto"/>
    </w:pPr>
  </w:style>
  <w:style w:type="paragraph" w:styleId="Footer">
    <w:uiPriority w:val="99"/>
    <w:name w:val="footer"/>
    <w:basedOn w:val="Normal"/>
    <w:unhideWhenUsed/>
    <w:rsid w:val="6DC777A1"/>
    <w:pPr>
      <w:tabs>
        <w:tab w:val="center" w:leader="none" w:pos="4680"/>
        <w:tab w:val="right" w:leader="none"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uiPriority w:val="34"/>
    <w:name w:val="List Paragraph"/>
    <w:basedOn w:val="Normal"/>
    <w:qFormat/>
    <w:rsid w:val="6DC777A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eader" Target="header1.xml" Id="rId10" /><Relationship Type="http://schemas.openxmlformats.org/officeDocument/2006/relationships/webSettings" Target="webSettings.xml" Id="rId4" /><Relationship Type="http://schemas.microsoft.com/office/2020/10/relationships/intelligence" Target="intelligence2.xml" Id="rId14" /><Relationship Type="http://schemas.openxmlformats.org/officeDocument/2006/relationships/image" Target="/media/image6.png" Id="Rc05b981addd842f3" /><Relationship Type="http://schemas.openxmlformats.org/officeDocument/2006/relationships/image" Target="/media/image7.png" Id="Reb13b7ca03b14dde" /><Relationship Type="http://schemas.openxmlformats.org/officeDocument/2006/relationships/image" Target="/media/image8.png" Id="Rc27cc3db0d074c6b" /><Relationship Type="http://schemas.openxmlformats.org/officeDocument/2006/relationships/image" Target="/media/image9.png" Id="R94bc434beeb04a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 Williams (2205436)</dc:creator>
  <keywords/>
  <dc:description/>
  <lastModifiedBy>Jade Williams (2205436)</lastModifiedBy>
  <revision>46</revision>
  <dcterms:created xsi:type="dcterms:W3CDTF">2025-04-01T11:15:00.0000000Z</dcterms:created>
  <dcterms:modified xsi:type="dcterms:W3CDTF">2025-05-12T10:00:25.8166186Z</dcterms:modified>
</coreProperties>
</file>