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712EF5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B7AA1">
              <w:rPr>
                <w:rFonts w:ascii="Times New Roman" w:hAnsi="Times New Roman" w:cs="Times New Roman"/>
                <w:b/>
                <w:color w:val="auto"/>
                <w:sz w:val="48"/>
              </w:rPr>
              <w:t>Christine Ritter-Peake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F08562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B7AA1">
              <w:t xml:space="preserve"> </w:t>
            </w:r>
            <w:hyperlink r:id="rId11" w:history="1">
              <w:r w:rsidR="007B7AA1" w:rsidRPr="006607FD">
                <w:rPr>
                  <w:rStyle w:val="Hyperlink"/>
                  <w:rFonts w:ascii="Times New Roman" w:hAnsi="Times New Roman" w:cs="Times New Roman"/>
                  <w:b/>
                  <w:color w:val="auto"/>
                  <w:sz w:val="48"/>
                  <w:u w:val="none"/>
                </w:rPr>
                <w:t>2521892@student.uwtsd.ac.uk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AE233C4" w14:textId="22E89423" w:rsidR="007B7AA1" w:rsidRPr="005D3F07" w:rsidRDefault="007B7AA1" w:rsidP="005D3F07">
            <w:pPr>
              <w:overflowPunct/>
              <w:autoSpaceDE/>
              <w:autoSpaceDN/>
              <w:adjustRightInd/>
              <w:ind w:right="-957"/>
              <w:textAlignment w:val="auto"/>
              <w:rPr>
                <w:rFonts w:ascii="Times New Roman" w:hAnsi="Times New Roman" w:cs="Times New Roman"/>
                <w:b/>
                <w:color w:val="auto"/>
                <w:sz w:val="48"/>
              </w:rPr>
            </w:pPr>
            <w:r w:rsidRPr="007B7AA1">
              <w:rPr>
                <w:rFonts w:ascii="Times New Roman" w:hAnsi="Times New Roman" w:cs="Times New Roman"/>
                <w:b/>
                <w:color w:val="auto"/>
                <w:sz w:val="48"/>
              </w:rPr>
              <w:t>2521892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16C4900" w14:textId="77777777" w:rsidR="004A2C6A" w:rsidRDefault="004A2C6A" w:rsidP="004A2C6A">
      <w:pPr>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Adams, R. (2008) </w:t>
      </w:r>
      <w:r w:rsidRPr="00A427C2">
        <w:rPr>
          <w:rFonts w:eastAsiaTheme="minorHAnsi"/>
          <w:i/>
          <w:iCs/>
          <w:color w:val="auto"/>
          <w:kern w:val="2"/>
          <w:sz w:val="24"/>
          <w:szCs w:val="24"/>
          <w:lang w:eastAsia="en-US"/>
          <w14:ligatures w14:val="standardContextual"/>
        </w:rPr>
        <w:t>Empowerment, Participation and Social Work</w:t>
      </w:r>
      <w:r w:rsidRPr="00A427C2">
        <w:rPr>
          <w:rFonts w:eastAsiaTheme="minorHAnsi"/>
          <w:color w:val="auto"/>
          <w:kern w:val="2"/>
          <w:sz w:val="24"/>
          <w:szCs w:val="24"/>
          <w:lang w:eastAsia="en-US"/>
          <w14:ligatures w14:val="standardContextual"/>
        </w:rPr>
        <w:t>. 4th edn. Basingstoke: Palgrave Macmillan.</w:t>
      </w:r>
    </w:p>
    <w:p w14:paraId="423964C2" w14:textId="77777777" w:rsidR="004A2C6A" w:rsidRPr="00A427C2" w:rsidRDefault="004A2C6A" w:rsidP="004A2C6A">
      <w:pPr>
        <w:rPr>
          <w:sz w:val="24"/>
          <w:szCs w:val="24"/>
        </w:rPr>
      </w:pPr>
    </w:p>
    <w:p w14:paraId="2EDB4590" w14:textId="77777777" w:rsidR="004A2C6A" w:rsidRDefault="004A2C6A" w:rsidP="004A2C6A">
      <w:pPr>
        <w:rPr>
          <w:sz w:val="24"/>
          <w:szCs w:val="24"/>
        </w:rPr>
      </w:pPr>
      <w:r w:rsidRPr="00A427C2">
        <w:rPr>
          <w:sz w:val="24"/>
          <w:szCs w:val="24"/>
        </w:rPr>
        <w:t xml:space="preserve">Al Kindi, S., Dwivedi, P.B., Al Subhi, M.A.S., Al Harrasi, S. and Al Balushi, J.M.S. (2024) </w:t>
      </w:r>
      <w:r w:rsidRPr="00A427C2">
        <w:rPr>
          <w:i/>
          <w:iCs/>
          <w:sz w:val="24"/>
          <w:szCs w:val="24"/>
        </w:rPr>
        <w:t>Reflection analysis of resilient and sustainable research and publication activities during COVID-19</w:t>
      </w:r>
      <w:r w:rsidRPr="00A427C2">
        <w:rPr>
          <w:sz w:val="24"/>
          <w:szCs w:val="24"/>
        </w:rPr>
        <w:t>. International Journal of Learning, Teaching and Educational Research, 23(2), pp.1–29.</w:t>
      </w:r>
    </w:p>
    <w:p w14:paraId="2D086C0C" w14:textId="77777777" w:rsidR="004A2C6A" w:rsidRPr="00A427C2" w:rsidRDefault="004A2C6A" w:rsidP="004A2C6A">
      <w:pPr>
        <w:rPr>
          <w:sz w:val="24"/>
          <w:szCs w:val="24"/>
        </w:rPr>
      </w:pPr>
    </w:p>
    <w:p w14:paraId="3725CDD2"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Alderson, P. and Montgomery, J. (1996) </w:t>
      </w:r>
      <w:r w:rsidRPr="00A427C2">
        <w:rPr>
          <w:rFonts w:eastAsiaTheme="minorHAnsi"/>
          <w:i/>
          <w:iCs/>
          <w:color w:val="auto"/>
          <w:kern w:val="2"/>
          <w:sz w:val="24"/>
          <w:szCs w:val="24"/>
          <w:lang w:eastAsia="en-US"/>
          <w14:ligatures w14:val="standardContextual"/>
        </w:rPr>
        <w:t>Health Care Choices: Making Decisions with Children</w:t>
      </w:r>
      <w:r w:rsidRPr="00A427C2">
        <w:rPr>
          <w:rFonts w:eastAsiaTheme="minorHAnsi"/>
          <w:color w:val="auto"/>
          <w:kern w:val="2"/>
          <w:sz w:val="24"/>
          <w:szCs w:val="24"/>
          <w:lang w:eastAsia="en-US"/>
          <w14:ligatures w14:val="standardContextual"/>
        </w:rPr>
        <w:t>. London: Institute for Public Policy Research.</w:t>
      </w:r>
    </w:p>
    <w:p w14:paraId="4055B360" w14:textId="77777777" w:rsidR="004A2C6A" w:rsidRDefault="004A2C6A" w:rsidP="004A2C6A">
      <w:pPr>
        <w:rPr>
          <w:sz w:val="24"/>
          <w:szCs w:val="24"/>
        </w:rPr>
      </w:pPr>
      <w:r w:rsidRPr="00A427C2">
        <w:rPr>
          <w:sz w:val="24"/>
          <w:szCs w:val="24"/>
        </w:rPr>
        <w:t>Alzheimer’s Society (2024) Mental Capacity Act and dementia. Available at: https://www.alzheimers.org.uk (Accessed: 6 October 2026).</w:t>
      </w:r>
    </w:p>
    <w:p w14:paraId="32CF4BA8" w14:textId="77777777" w:rsidR="004A2C6A" w:rsidRPr="00A427C2" w:rsidRDefault="004A2C6A" w:rsidP="004A2C6A">
      <w:pPr>
        <w:rPr>
          <w:sz w:val="24"/>
          <w:szCs w:val="24"/>
        </w:rPr>
      </w:pPr>
    </w:p>
    <w:p w14:paraId="55964771" w14:textId="77777777" w:rsidR="004A2C6A" w:rsidRDefault="004A2C6A" w:rsidP="004A2C6A">
      <w:pPr>
        <w:rPr>
          <w:sz w:val="24"/>
          <w:szCs w:val="24"/>
          <w:lang w:val="cy-GB"/>
        </w:rPr>
      </w:pPr>
      <w:r w:rsidRPr="00A427C2">
        <w:rPr>
          <w:sz w:val="24"/>
          <w:szCs w:val="24"/>
          <w:lang w:val="cy-GB"/>
        </w:rPr>
        <w:t>Amberscript (2023) ‘Open-ended questions in qualitative research: Strategies, examples, and best practices’. Available at: https://www.amberscript.com/en/blog/open-ended-questions-in-qualitative-research/ (Accessed: 3 June 2026).</w:t>
      </w:r>
    </w:p>
    <w:p w14:paraId="013FAAF9" w14:textId="77777777" w:rsidR="004A2C6A" w:rsidRPr="00A427C2" w:rsidRDefault="004A2C6A" w:rsidP="004A2C6A">
      <w:pPr>
        <w:rPr>
          <w:sz w:val="24"/>
          <w:szCs w:val="24"/>
          <w:lang w:val="cy-GB"/>
        </w:rPr>
      </w:pPr>
    </w:p>
    <w:p w14:paraId="028EBBAC"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Banks, S. (2021) </w:t>
      </w:r>
      <w:r w:rsidRPr="00A427C2">
        <w:rPr>
          <w:rFonts w:eastAsiaTheme="minorHAnsi"/>
          <w:i/>
          <w:iCs/>
          <w:color w:val="auto"/>
          <w:kern w:val="2"/>
          <w:sz w:val="24"/>
          <w:szCs w:val="24"/>
          <w:lang w:eastAsia="en-US"/>
          <w14:ligatures w14:val="standardContextual"/>
        </w:rPr>
        <w:t>Ethics and Values in Social Work</w:t>
      </w:r>
      <w:r w:rsidRPr="00A427C2">
        <w:rPr>
          <w:rFonts w:eastAsiaTheme="minorHAnsi"/>
          <w:color w:val="auto"/>
          <w:kern w:val="2"/>
          <w:sz w:val="24"/>
          <w:szCs w:val="24"/>
          <w:lang w:eastAsia="en-US"/>
          <w14:ligatures w14:val="standardContextual"/>
        </w:rPr>
        <w:t>. 5th edn. London: Red Globe Press.</w:t>
      </w:r>
    </w:p>
    <w:p w14:paraId="38C26537" w14:textId="77777777" w:rsidR="004A2C6A" w:rsidRPr="00A427C2" w:rsidRDefault="004A2C6A" w:rsidP="004A2C6A">
      <w:pPr>
        <w:overflowPunct/>
        <w:autoSpaceDE/>
        <w:autoSpaceDN/>
        <w:adjustRightInd/>
        <w:spacing w:after="120" w:line="276" w:lineRule="auto"/>
        <w:textAlignment w:val="auto"/>
        <w:rPr>
          <w:rFonts w:eastAsia="Calibri"/>
          <w:color w:val="auto"/>
          <w:sz w:val="24"/>
          <w:szCs w:val="24"/>
          <w:lang w:eastAsia="en-US"/>
        </w:rPr>
      </w:pPr>
      <w:r w:rsidRPr="00A427C2">
        <w:rPr>
          <w:rFonts w:eastAsia="Calibri"/>
          <w:color w:val="auto"/>
          <w:sz w:val="24"/>
          <w:szCs w:val="24"/>
          <w:lang w:eastAsia="en-US"/>
        </w:rPr>
        <w:t xml:space="preserve">Beckett, C (2006) </w:t>
      </w:r>
      <w:r w:rsidRPr="00A427C2">
        <w:rPr>
          <w:rFonts w:eastAsia="Calibri"/>
          <w:i/>
          <w:iCs/>
          <w:color w:val="auto"/>
          <w:sz w:val="24"/>
          <w:szCs w:val="24"/>
          <w:lang w:eastAsia="en-US"/>
        </w:rPr>
        <w:t>Essential Theory for Social Work Practice</w:t>
      </w:r>
      <w:r w:rsidRPr="00A427C2">
        <w:rPr>
          <w:rFonts w:eastAsia="Calibri"/>
          <w:color w:val="auto"/>
          <w:sz w:val="24"/>
          <w:szCs w:val="24"/>
          <w:lang w:eastAsia="en-US"/>
        </w:rPr>
        <w:t>, London: SAGE Publications.</w:t>
      </w:r>
    </w:p>
    <w:p w14:paraId="14B1C902" w14:textId="77777777" w:rsidR="004A2C6A" w:rsidRDefault="004A2C6A" w:rsidP="004A2C6A">
      <w:pPr>
        <w:rPr>
          <w:sz w:val="24"/>
          <w:szCs w:val="24"/>
        </w:rPr>
      </w:pPr>
      <w:r w:rsidRPr="00A427C2">
        <w:rPr>
          <w:sz w:val="24"/>
          <w:szCs w:val="24"/>
        </w:rPr>
        <w:t xml:space="preserve">Beresford, P. (2012) </w:t>
      </w:r>
      <w:r w:rsidRPr="00A427C2">
        <w:rPr>
          <w:i/>
          <w:iCs/>
          <w:sz w:val="24"/>
          <w:szCs w:val="24"/>
        </w:rPr>
        <w:t>From ‘other’ to involved: User involvement in research and evaluation: Liberation or regulation?</w:t>
      </w:r>
      <w:r w:rsidRPr="00A427C2">
        <w:rPr>
          <w:sz w:val="24"/>
          <w:szCs w:val="24"/>
        </w:rPr>
        <w:t xml:space="preserve"> Social Policy and Society, 11(1), pp. 95-105.</w:t>
      </w:r>
    </w:p>
    <w:p w14:paraId="03790AAD" w14:textId="77777777" w:rsidR="004A2C6A" w:rsidRPr="00A427C2" w:rsidRDefault="004A2C6A" w:rsidP="004A2C6A">
      <w:pPr>
        <w:overflowPunct/>
        <w:autoSpaceDE/>
        <w:autoSpaceDN/>
        <w:adjustRightInd/>
        <w:textAlignment w:val="auto"/>
        <w:rPr>
          <w:sz w:val="24"/>
          <w:szCs w:val="24"/>
        </w:rPr>
      </w:pPr>
    </w:p>
    <w:p w14:paraId="559B441F" w14:textId="77777777" w:rsidR="004A2C6A" w:rsidRDefault="004A2C6A" w:rsidP="004A2C6A">
      <w:pPr>
        <w:rPr>
          <w:sz w:val="24"/>
          <w:szCs w:val="24"/>
        </w:rPr>
      </w:pPr>
      <w:r w:rsidRPr="00A427C2">
        <w:rPr>
          <w:sz w:val="24"/>
          <w:szCs w:val="24"/>
        </w:rPr>
        <w:t>Borton, T. (1970) Reach, Touch and Teach: Student Concerns and Process Education. New York: McGraw-Hill.</w:t>
      </w:r>
    </w:p>
    <w:p w14:paraId="409138B8" w14:textId="77777777" w:rsidR="004A2C6A" w:rsidRPr="00A427C2" w:rsidRDefault="004A2C6A" w:rsidP="004A2C6A">
      <w:pPr>
        <w:rPr>
          <w:sz w:val="24"/>
          <w:szCs w:val="24"/>
        </w:rPr>
      </w:pPr>
    </w:p>
    <w:p w14:paraId="1E39D46C"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Braye, S., Orr, D. and Preston-Shoot, M. (2015) </w:t>
      </w:r>
      <w:r w:rsidRPr="00A427C2">
        <w:rPr>
          <w:rFonts w:eastAsiaTheme="minorHAnsi"/>
          <w:i/>
          <w:iCs/>
          <w:color w:val="auto"/>
          <w:kern w:val="2"/>
          <w:sz w:val="24"/>
          <w:szCs w:val="24"/>
          <w:lang w:eastAsia="en-US"/>
          <w14:ligatures w14:val="standardContextual"/>
        </w:rPr>
        <w:t>Serious Case Review Findings on the Challenges of Self-Neglect: Indicators for Good Practice</w:t>
      </w:r>
      <w:r w:rsidRPr="00A427C2">
        <w:rPr>
          <w:rFonts w:eastAsiaTheme="minorHAnsi"/>
          <w:color w:val="auto"/>
          <w:kern w:val="2"/>
          <w:sz w:val="24"/>
          <w:szCs w:val="24"/>
          <w:lang w:eastAsia="en-US"/>
          <w14:ligatures w14:val="standardContextual"/>
        </w:rPr>
        <w:t>. London: Local Government Association.</w:t>
      </w:r>
    </w:p>
    <w:p w14:paraId="2B96E417"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Bronfenbrenner, U. (1979) </w:t>
      </w:r>
      <w:r w:rsidRPr="00A427C2">
        <w:rPr>
          <w:rFonts w:eastAsiaTheme="minorHAnsi"/>
          <w:i/>
          <w:iCs/>
          <w:color w:val="auto"/>
          <w:kern w:val="2"/>
          <w:sz w:val="24"/>
          <w:szCs w:val="24"/>
          <w:lang w:eastAsia="en-US"/>
          <w14:ligatures w14:val="standardContextual"/>
        </w:rPr>
        <w:t>The Ecology of Human Development: Experiments by Nature and Design</w:t>
      </w:r>
      <w:r w:rsidRPr="00A427C2">
        <w:rPr>
          <w:rFonts w:eastAsiaTheme="minorHAnsi"/>
          <w:color w:val="auto"/>
          <w:kern w:val="2"/>
          <w:sz w:val="24"/>
          <w:szCs w:val="24"/>
          <w:lang w:eastAsia="en-US"/>
          <w14:ligatures w14:val="standardContextual"/>
        </w:rPr>
        <w:t>. Cambridge, MA: Harvard University Press.</w:t>
      </w:r>
    </w:p>
    <w:p w14:paraId="56B90A50"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Cano-Ibáñez, N., Zolfaghari, Y., Amezcua-Prieto, C. and Khan, K.S. (2021) 'Physician-patient language discordance and poor health outcomes: a systematic scoping review', </w:t>
      </w:r>
      <w:r w:rsidRPr="00A427C2">
        <w:rPr>
          <w:rFonts w:eastAsiaTheme="minorHAnsi"/>
          <w:i/>
          <w:iCs/>
          <w:color w:val="auto"/>
          <w:kern w:val="2"/>
          <w:sz w:val="24"/>
          <w:szCs w:val="24"/>
          <w:lang w:eastAsia="en-US"/>
          <w14:ligatures w14:val="standardContextual"/>
        </w:rPr>
        <w:t>Frontiers in Public Health</w:t>
      </w:r>
      <w:r w:rsidRPr="00A427C2">
        <w:rPr>
          <w:rFonts w:eastAsiaTheme="minorHAnsi"/>
          <w:color w:val="auto"/>
          <w:kern w:val="2"/>
          <w:sz w:val="24"/>
          <w:szCs w:val="24"/>
          <w:lang w:eastAsia="en-US"/>
          <w14:ligatures w14:val="standardContextual"/>
        </w:rPr>
        <w:t>, 9, 629041.</w:t>
      </w:r>
    </w:p>
    <w:p w14:paraId="13CD959A" w14:textId="77777777" w:rsidR="004A2C6A" w:rsidRDefault="004A2C6A" w:rsidP="004A2C6A">
      <w:pPr>
        <w:rPr>
          <w:sz w:val="24"/>
          <w:szCs w:val="24"/>
          <w:lang w:val="cy-GB"/>
        </w:rPr>
      </w:pPr>
      <w:r w:rsidRPr="00A427C2">
        <w:rPr>
          <w:sz w:val="24"/>
          <w:szCs w:val="24"/>
          <w:lang w:val="cy-GB"/>
        </w:rPr>
        <w:t>Coulshed, V. and Orme, J. (2018) Social Work Practice. 6th edn. Basingstoke: Palgrave Macmillan.</w:t>
      </w:r>
    </w:p>
    <w:p w14:paraId="50F0F60F" w14:textId="77777777" w:rsidR="004A2C6A" w:rsidRPr="00A427C2" w:rsidRDefault="004A2C6A" w:rsidP="004A2C6A">
      <w:pPr>
        <w:rPr>
          <w:sz w:val="24"/>
          <w:szCs w:val="24"/>
          <w:lang w:val="cy-GB"/>
        </w:rPr>
      </w:pPr>
    </w:p>
    <w:p w14:paraId="471C715E"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Department for Constitutional Affairs. (2007). </w:t>
      </w:r>
      <w:r w:rsidRPr="00A427C2">
        <w:rPr>
          <w:rFonts w:eastAsiaTheme="minorHAnsi"/>
          <w:i/>
          <w:iCs/>
          <w:color w:val="auto"/>
          <w:kern w:val="2"/>
          <w:sz w:val="24"/>
          <w:szCs w:val="24"/>
          <w:lang w:eastAsia="en-US"/>
          <w14:ligatures w14:val="standardContextual"/>
        </w:rPr>
        <w:t>Mental Capacity Act 2005: Code of Practice</w:t>
      </w:r>
      <w:r w:rsidRPr="00A427C2">
        <w:rPr>
          <w:rFonts w:eastAsiaTheme="minorHAnsi"/>
          <w:color w:val="auto"/>
          <w:kern w:val="2"/>
          <w:sz w:val="24"/>
          <w:szCs w:val="24"/>
          <w:lang w:eastAsia="en-US"/>
          <w14:ligatures w14:val="standardContextual"/>
        </w:rPr>
        <w:t xml:space="preserve">. London: The Stationery Office. </w:t>
      </w:r>
    </w:p>
    <w:p w14:paraId="29360DC6" w14:textId="77777777" w:rsidR="004A2C6A" w:rsidRDefault="004A2C6A" w:rsidP="004A2C6A">
      <w:pPr>
        <w:rPr>
          <w:sz w:val="24"/>
          <w:szCs w:val="24"/>
        </w:rPr>
      </w:pPr>
      <w:r w:rsidRPr="00A427C2">
        <w:rPr>
          <w:sz w:val="24"/>
          <w:szCs w:val="24"/>
        </w:rPr>
        <w:t>Dewing, J. (2005) ‘From ritual to relationship: a person-centred approach to consent in qualitative research with older people who have dementia’, Dementia, 4(2), pp. 157-171.</w:t>
      </w:r>
    </w:p>
    <w:p w14:paraId="49A6604E" w14:textId="77777777" w:rsidR="004A2C6A" w:rsidRPr="00A427C2" w:rsidRDefault="004A2C6A" w:rsidP="004A2C6A">
      <w:pPr>
        <w:rPr>
          <w:sz w:val="24"/>
          <w:szCs w:val="24"/>
        </w:rPr>
      </w:pPr>
    </w:p>
    <w:p w14:paraId="19BB2A9E"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Doka, K.J. (1989) </w:t>
      </w:r>
      <w:r w:rsidRPr="00A427C2">
        <w:rPr>
          <w:rFonts w:eastAsiaTheme="minorHAnsi"/>
          <w:i/>
          <w:iCs/>
          <w:color w:val="auto"/>
          <w:kern w:val="2"/>
          <w:sz w:val="24"/>
          <w:szCs w:val="24"/>
          <w:lang w:eastAsia="en-US"/>
          <w14:ligatures w14:val="standardContextual"/>
        </w:rPr>
        <w:t>Disenfranchised Grief: Recognizing Hidden Sorrow</w:t>
      </w:r>
      <w:r w:rsidRPr="00A427C2">
        <w:rPr>
          <w:rFonts w:eastAsiaTheme="minorHAnsi"/>
          <w:color w:val="auto"/>
          <w:kern w:val="2"/>
          <w:sz w:val="24"/>
          <w:szCs w:val="24"/>
          <w:lang w:eastAsia="en-US"/>
          <w14:ligatures w14:val="standardContextual"/>
        </w:rPr>
        <w:t>. Lexington, MA: Lexington Books.</w:t>
      </w:r>
    </w:p>
    <w:p w14:paraId="3C5EA007" w14:textId="77777777" w:rsidR="004A2C6A" w:rsidRDefault="004A2C6A" w:rsidP="004A2C6A">
      <w:pPr>
        <w:rPr>
          <w:sz w:val="24"/>
          <w:szCs w:val="24"/>
        </w:rPr>
      </w:pPr>
      <w:r w:rsidRPr="00A427C2">
        <w:rPr>
          <w:sz w:val="24"/>
          <w:szCs w:val="24"/>
        </w:rPr>
        <w:t xml:space="preserve">Egan, G. (2018) </w:t>
      </w:r>
      <w:r w:rsidRPr="00A427C2">
        <w:rPr>
          <w:i/>
          <w:iCs/>
          <w:sz w:val="24"/>
          <w:szCs w:val="24"/>
        </w:rPr>
        <w:t>The Skilled Helper: A Problem-Management and Opportunity-Development Approach to Helping</w:t>
      </w:r>
      <w:r w:rsidRPr="00A427C2">
        <w:rPr>
          <w:sz w:val="24"/>
          <w:szCs w:val="24"/>
        </w:rPr>
        <w:t>. 11th edn. Boston: Cengage Learning.</w:t>
      </w:r>
    </w:p>
    <w:p w14:paraId="152E01F7" w14:textId="77777777" w:rsidR="004A2C6A" w:rsidRPr="00A427C2" w:rsidRDefault="004A2C6A" w:rsidP="004A2C6A">
      <w:pPr>
        <w:rPr>
          <w:sz w:val="24"/>
          <w:szCs w:val="24"/>
        </w:rPr>
      </w:pPr>
    </w:p>
    <w:p w14:paraId="210E16E8"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Equality Act 2010. (2010) </w:t>
      </w:r>
      <w:r w:rsidRPr="00A427C2">
        <w:rPr>
          <w:rFonts w:eastAsiaTheme="minorHAnsi"/>
          <w:i/>
          <w:iCs/>
          <w:color w:val="auto"/>
          <w:kern w:val="2"/>
          <w:sz w:val="24"/>
          <w:szCs w:val="24"/>
          <w:lang w:eastAsia="en-US"/>
          <w14:ligatures w14:val="standardContextual"/>
        </w:rPr>
        <w:t>c.15</w:t>
      </w:r>
      <w:r w:rsidRPr="00A427C2">
        <w:rPr>
          <w:rFonts w:eastAsiaTheme="minorHAnsi"/>
          <w:color w:val="auto"/>
          <w:kern w:val="2"/>
          <w:sz w:val="24"/>
          <w:szCs w:val="24"/>
          <w:lang w:eastAsia="en-US"/>
          <w14:ligatures w14:val="standardContextual"/>
        </w:rPr>
        <w:t>. London: The Stationery Office. Available at: https://www.legislation.gov.uk/ukpga/2010/15/contents (Accessed: 21 September 2026).</w:t>
      </w:r>
    </w:p>
    <w:p w14:paraId="34918245"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Equality and Human Rights Commission (2023) </w:t>
      </w:r>
      <w:r w:rsidRPr="00A427C2">
        <w:rPr>
          <w:rFonts w:eastAsiaTheme="minorHAnsi"/>
          <w:i/>
          <w:iCs/>
          <w:color w:val="auto"/>
          <w:kern w:val="2"/>
          <w:sz w:val="24"/>
          <w:szCs w:val="24"/>
          <w:lang w:eastAsia="en-US"/>
          <w14:ligatures w14:val="standardContextual"/>
        </w:rPr>
        <w:t>Human Rights Act 1998</w:t>
      </w:r>
      <w:r w:rsidRPr="00A427C2">
        <w:rPr>
          <w:rFonts w:eastAsiaTheme="minorHAnsi"/>
          <w:color w:val="auto"/>
          <w:kern w:val="2"/>
          <w:sz w:val="24"/>
          <w:szCs w:val="24"/>
          <w:lang w:eastAsia="en-US"/>
          <w14:ligatures w14:val="standardContextual"/>
        </w:rPr>
        <w:t>. Available at: https://www.equalityhumanrights.com (Accessed: 8 September 2026).</w:t>
      </w:r>
    </w:p>
    <w:p w14:paraId="4D3F6F8D"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European Union (2016) </w:t>
      </w:r>
      <w:r w:rsidRPr="00A427C2">
        <w:rPr>
          <w:rFonts w:eastAsiaTheme="minorHAnsi"/>
          <w:i/>
          <w:iCs/>
          <w:color w:val="auto"/>
          <w:kern w:val="2"/>
          <w:sz w:val="24"/>
          <w:szCs w:val="24"/>
          <w:lang w:eastAsia="en-US"/>
          <w14:ligatures w14:val="standardContextual"/>
        </w:rPr>
        <w:t>General Data Protection Regulation (GDPR) (EU) 2016/679</w:t>
      </w:r>
      <w:r w:rsidRPr="00A427C2">
        <w:rPr>
          <w:rFonts w:eastAsiaTheme="minorHAnsi"/>
          <w:color w:val="auto"/>
          <w:kern w:val="2"/>
          <w:sz w:val="24"/>
          <w:szCs w:val="24"/>
          <w:lang w:eastAsia="en-US"/>
          <w14:ligatures w14:val="standardContextual"/>
        </w:rPr>
        <w:t>. Brussels: European Union.</w:t>
      </w:r>
    </w:p>
    <w:p w14:paraId="15A74FF0"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Gibbs, G. (1988) </w:t>
      </w:r>
      <w:r w:rsidRPr="00A427C2">
        <w:rPr>
          <w:rFonts w:eastAsiaTheme="minorHAnsi"/>
          <w:i/>
          <w:iCs/>
          <w:color w:val="auto"/>
          <w:kern w:val="2"/>
          <w:sz w:val="24"/>
          <w:szCs w:val="24"/>
          <w:lang w:eastAsia="en-US"/>
          <w14:ligatures w14:val="standardContextual"/>
        </w:rPr>
        <w:t>Learning by Doing: A Guide to Teaching and Learning Methods</w:t>
      </w:r>
      <w:r w:rsidRPr="00A427C2">
        <w:rPr>
          <w:rFonts w:eastAsiaTheme="minorHAnsi"/>
          <w:color w:val="auto"/>
          <w:kern w:val="2"/>
          <w:sz w:val="24"/>
          <w:szCs w:val="24"/>
          <w:lang w:eastAsia="en-US"/>
          <w14:ligatures w14:val="standardContextual"/>
        </w:rPr>
        <w:t>. Oxford: Oxford Polytechnic.</w:t>
      </w:r>
    </w:p>
    <w:p w14:paraId="4EB26A40"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i/>
          <w:iCs/>
          <w:color w:val="auto"/>
          <w:kern w:val="2"/>
          <w:sz w:val="24"/>
          <w:szCs w:val="24"/>
          <w:lang w:eastAsia="en-US"/>
          <w14:ligatures w14:val="standardContextual"/>
        </w:rPr>
        <w:t>Gillick v West Norfolk and Wisbech Area Health Authority</w:t>
      </w:r>
      <w:r w:rsidRPr="00A427C2">
        <w:rPr>
          <w:rFonts w:eastAsiaTheme="minorHAnsi"/>
          <w:color w:val="auto"/>
          <w:kern w:val="2"/>
          <w:sz w:val="24"/>
          <w:szCs w:val="24"/>
          <w:lang w:eastAsia="en-US"/>
          <w14:ligatures w14:val="standardContextual"/>
        </w:rPr>
        <w:t xml:space="preserve"> [1986] AC 112 (HL).</w:t>
      </w:r>
    </w:p>
    <w:p w14:paraId="2DA2FEB4"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Great Britain (2005) </w:t>
      </w:r>
      <w:r w:rsidRPr="00A427C2">
        <w:rPr>
          <w:rFonts w:eastAsiaTheme="minorHAnsi"/>
          <w:i/>
          <w:iCs/>
          <w:color w:val="auto"/>
          <w:kern w:val="2"/>
          <w:sz w:val="24"/>
          <w:szCs w:val="24"/>
          <w:lang w:eastAsia="en-US"/>
          <w14:ligatures w14:val="standardContextual"/>
        </w:rPr>
        <w:t>Mental Capacity Act 2005</w:t>
      </w:r>
      <w:r w:rsidRPr="00A427C2">
        <w:rPr>
          <w:rFonts w:eastAsiaTheme="minorHAnsi"/>
          <w:color w:val="auto"/>
          <w:kern w:val="2"/>
          <w:sz w:val="24"/>
          <w:szCs w:val="24"/>
          <w:lang w:eastAsia="en-US"/>
          <w14:ligatures w14:val="standardContextual"/>
        </w:rPr>
        <w:t>. London: The Stationery Office. Available at: https://www.legislation.gov.uk/ukpga/2005/9/contents (Accessed: 6 September 2026).</w:t>
      </w:r>
    </w:p>
    <w:p w14:paraId="611216FB" w14:textId="77777777" w:rsidR="004A2C6A" w:rsidRDefault="004A2C6A" w:rsidP="004A2C6A">
      <w:pPr>
        <w:rPr>
          <w:sz w:val="24"/>
          <w:szCs w:val="24"/>
        </w:rPr>
      </w:pPr>
      <w:r w:rsidRPr="00A427C2">
        <w:rPr>
          <w:sz w:val="24"/>
          <w:szCs w:val="24"/>
        </w:rPr>
        <w:t xml:space="preserve">Hall, J.A., Puschmann, S. and Thiel, C.M. (2017) 'Audio-visual integration and voice recognition', </w:t>
      </w:r>
      <w:r w:rsidRPr="00A427C2">
        <w:rPr>
          <w:i/>
          <w:iCs/>
          <w:sz w:val="24"/>
          <w:szCs w:val="24"/>
        </w:rPr>
        <w:t>Frontiers in Psychology</w:t>
      </w:r>
      <w:r w:rsidRPr="00A427C2">
        <w:rPr>
          <w:sz w:val="24"/>
          <w:szCs w:val="24"/>
        </w:rPr>
        <w:t>, 8, pp. 1-12.</w:t>
      </w:r>
    </w:p>
    <w:p w14:paraId="0E0881FD" w14:textId="77777777" w:rsidR="004A2C6A" w:rsidRPr="00A427C2" w:rsidRDefault="004A2C6A" w:rsidP="004A2C6A">
      <w:pPr>
        <w:rPr>
          <w:sz w:val="24"/>
          <w:szCs w:val="24"/>
        </w:rPr>
      </w:pPr>
    </w:p>
    <w:p w14:paraId="776F827A"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Hochschild, A.R. (1983) </w:t>
      </w:r>
      <w:r w:rsidRPr="00A427C2">
        <w:rPr>
          <w:rFonts w:eastAsiaTheme="minorHAnsi"/>
          <w:i/>
          <w:iCs/>
          <w:color w:val="auto"/>
          <w:kern w:val="2"/>
          <w:sz w:val="24"/>
          <w:szCs w:val="24"/>
          <w:lang w:eastAsia="en-US"/>
          <w14:ligatures w14:val="standardContextual"/>
        </w:rPr>
        <w:t>The Managed Heart: Commercialization of Human Feeling</w:t>
      </w:r>
      <w:r w:rsidRPr="00A427C2">
        <w:rPr>
          <w:rFonts w:eastAsiaTheme="minorHAnsi"/>
          <w:color w:val="auto"/>
          <w:kern w:val="2"/>
          <w:sz w:val="24"/>
          <w:szCs w:val="24"/>
          <w:lang w:eastAsia="en-US"/>
          <w14:ligatures w14:val="standardContextual"/>
        </w:rPr>
        <w:t>. Berkeley, CA: University of California Press.</w:t>
      </w:r>
    </w:p>
    <w:p w14:paraId="0BED6BAC"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Horwath, J. and Morrison, T. (2007) </w:t>
      </w:r>
      <w:r w:rsidRPr="00A427C2">
        <w:rPr>
          <w:rFonts w:eastAsiaTheme="minorHAnsi"/>
          <w:i/>
          <w:iCs/>
          <w:color w:val="auto"/>
          <w:kern w:val="2"/>
          <w:sz w:val="24"/>
          <w:szCs w:val="24"/>
          <w:lang w:eastAsia="en-US"/>
          <w14:ligatures w14:val="standardContextual"/>
        </w:rPr>
        <w:t>Collaboration, Integration and Change in Children's Services: Critical Issues and Key Ingredients</w:t>
      </w:r>
      <w:r w:rsidRPr="00A427C2">
        <w:rPr>
          <w:rFonts w:eastAsiaTheme="minorHAnsi"/>
          <w:color w:val="auto"/>
          <w:kern w:val="2"/>
          <w:sz w:val="24"/>
          <w:szCs w:val="24"/>
          <w:lang w:eastAsia="en-US"/>
          <w14:ligatures w14:val="standardContextual"/>
        </w:rPr>
        <w:t>. Child Abuse &amp; Neglect, 31(1), pp. 55-69.</w:t>
      </w:r>
    </w:p>
    <w:p w14:paraId="2E4867F2"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Human Rights Act 1998. (1998) </w:t>
      </w:r>
      <w:r w:rsidRPr="00A427C2">
        <w:rPr>
          <w:rFonts w:eastAsiaTheme="minorHAnsi"/>
          <w:i/>
          <w:iCs/>
          <w:color w:val="auto"/>
          <w:kern w:val="2"/>
          <w:sz w:val="24"/>
          <w:szCs w:val="24"/>
          <w:lang w:eastAsia="en-US"/>
          <w14:ligatures w14:val="standardContextual"/>
        </w:rPr>
        <w:t>c.42</w:t>
      </w:r>
      <w:r w:rsidRPr="00A427C2">
        <w:rPr>
          <w:rFonts w:eastAsiaTheme="minorHAnsi"/>
          <w:color w:val="auto"/>
          <w:kern w:val="2"/>
          <w:sz w:val="24"/>
          <w:szCs w:val="24"/>
          <w:lang w:eastAsia="en-US"/>
          <w14:ligatures w14:val="standardContextual"/>
        </w:rPr>
        <w:t>. London: The Stationery Office. Available at: https://www.legislation.gov.uk/ukpga/1998/42/contents (Accessed: 21 September 2026).</w:t>
      </w:r>
    </w:p>
    <w:p w14:paraId="2AC88D2D"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Lawson, J., Lewis, S. and Williams, C. (2014) </w:t>
      </w:r>
      <w:r w:rsidRPr="00A427C2">
        <w:rPr>
          <w:rFonts w:eastAsiaTheme="minorHAnsi"/>
          <w:i/>
          <w:iCs/>
          <w:color w:val="auto"/>
          <w:kern w:val="2"/>
          <w:sz w:val="24"/>
          <w:szCs w:val="24"/>
          <w:lang w:eastAsia="en-US"/>
          <w14:ligatures w14:val="standardContextual"/>
        </w:rPr>
        <w:t>Making Safeguarding Personal Guide 2014</w:t>
      </w:r>
      <w:r w:rsidRPr="00A427C2">
        <w:rPr>
          <w:rFonts w:eastAsiaTheme="minorHAnsi"/>
          <w:color w:val="auto"/>
          <w:kern w:val="2"/>
          <w:sz w:val="24"/>
          <w:szCs w:val="24"/>
          <w:lang w:eastAsia="en-US"/>
          <w14:ligatures w14:val="standardContextual"/>
        </w:rPr>
        <w:t>. London: Local Government Association.</w:t>
      </w:r>
    </w:p>
    <w:p w14:paraId="6ADCBE27"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Maclean, S. (2016) </w:t>
      </w:r>
      <w:r w:rsidRPr="00A427C2">
        <w:rPr>
          <w:rFonts w:eastAsiaTheme="minorHAnsi"/>
          <w:i/>
          <w:iCs/>
          <w:color w:val="auto"/>
          <w:kern w:val="2"/>
          <w:sz w:val="24"/>
          <w:szCs w:val="24"/>
          <w:lang w:eastAsia="en-US"/>
          <w14:ligatures w14:val="standardContextual"/>
        </w:rPr>
        <w:t>The Reflective Journal</w:t>
      </w:r>
      <w:r w:rsidRPr="00A427C2">
        <w:rPr>
          <w:rFonts w:eastAsiaTheme="minorHAnsi"/>
          <w:color w:val="auto"/>
          <w:kern w:val="2"/>
          <w:sz w:val="24"/>
          <w:szCs w:val="24"/>
          <w:lang w:eastAsia="en-US"/>
          <w14:ligatures w14:val="standardContextual"/>
        </w:rPr>
        <w:t>. 2nd edn. St Albans: Kirwin Maclean Associates.</w:t>
      </w:r>
    </w:p>
    <w:p w14:paraId="3177D0F6"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Maclean, S. (2016). </w:t>
      </w:r>
      <w:r w:rsidRPr="00A427C2">
        <w:rPr>
          <w:rFonts w:eastAsiaTheme="minorHAnsi"/>
          <w:i/>
          <w:iCs/>
          <w:color w:val="auto"/>
          <w:kern w:val="2"/>
          <w:sz w:val="24"/>
          <w:szCs w:val="24"/>
          <w:lang w:eastAsia="en-US"/>
          <w14:ligatures w14:val="standardContextual"/>
        </w:rPr>
        <w:t>The Reflective Social Worker</w:t>
      </w:r>
      <w:r w:rsidRPr="00A427C2">
        <w:rPr>
          <w:rFonts w:eastAsiaTheme="minorHAnsi"/>
          <w:color w:val="auto"/>
          <w:kern w:val="2"/>
          <w:sz w:val="24"/>
          <w:szCs w:val="24"/>
          <w:lang w:eastAsia="en-US"/>
          <w14:ligatures w14:val="standardContextual"/>
        </w:rPr>
        <w:t>. Kirwin Maclean Associates.</w:t>
      </w:r>
    </w:p>
    <w:p w14:paraId="5C982B55"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lastRenderedPageBreak/>
        <w:t xml:space="preserve">Madoc-Jones, I. and Dubberley, S. (2005) 'Language and the provision of health and social care in Wales', </w:t>
      </w:r>
      <w:r w:rsidRPr="00A427C2">
        <w:rPr>
          <w:rFonts w:eastAsiaTheme="minorHAnsi"/>
          <w:i/>
          <w:iCs/>
          <w:color w:val="auto"/>
          <w:kern w:val="2"/>
          <w:sz w:val="24"/>
          <w:szCs w:val="24"/>
          <w:lang w:eastAsia="en-US"/>
          <w14:ligatures w14:val="standardContextual"/>
        </w:rPr>
        <w:t>Health and Social Care in the Community</w:t>
      </w:r>
      <w:r w:rsidRPr="00A427C2">
        <w:rPr>
          <w:rFonts w:eastAsiaTheme="minorHAnsi"/>
          <w:color w:val="auto"/>
          <w:kern w:val="2"/>
          <w:sz w:val="24"/>
          <w:szCs w:val="24"/>
          <w:lang w:eastAsia="en-US"/>
          <w14:ligatures w14:val="standardContextual"/>
        </w:rPr>
        <w:t>, 13(1), pp. 1-7.</w:t>
      </w:r>
    </w:p>
    <w:p w14:paraId="54C33E09"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Marie Curie (2022) </w:t>
      </w:r>
      <w:r w:rsidRPr="00A427C2">
        <w:rPr>
          <w:rFonts w:eastAsiaTheme="minorHAnsi"/>
          <w:i/>
          <w:iCs/>
          <w:color w:val="auto"/>
          <w:kern w:val="2"/>
          <w:sz w:val="24"/>
          <w:szCs w:val="24"/>
          <w:lang w:eastAsia="en-US"/>
          <w14:ligatures w14:val="standardContextual"/>
        </w:rPr>
        <w:t>Providing emotional care: Information for professionals</w:t>
      </w:r>
      <w:r w:rsidRPr="00A427C2">
        <w:rPr>
          <w:rFonts w:eastAsiaTheme="minorHAnsi"/>
          <w:color w:val="auto"/>
          <w:kern w:val="2"/>
          <w:sz w:val="24"/>
          <w:szCs w:val="24"/>
          <w:lang w:eastAsia="en-US"/>
          <w14:ligatures w14:val="standardContextual"/>
        </w:rPr>
        <w:t>. Available at: https://www.mariecurie.org.uk/professionals/palliative-care-knowledge-zone/emotional-care (Accessed: 4 September 2026).</w:t>
      </w:r>
    </w:p>
    <w:p w14:paraId="612FB729" w14:textId="77777777" w:rsidR="004A2C6A" w:rsidRDefault="004A2C6A" w:rsidP="004A2C6A">
      <w:pPr>
        <w:rPr>
          <w:sz w:val="24"/>
          <w:szCs w:val="24"/>
        </w:rPr>
      </w:pPr>
      <w:r w:rsidRPr="00A427C2">
        <w:rPr>
          <w:sz w:val="24"/>
          <w:szCs w:val="24"/>
        </w:rPr>
        <w:t xml:space="preserve">McCormack, B. and McCance, T. (2021) </w:t>
      </w:r>
      <w:r w:rsidRPr="00A427C2">
        <w:rPr>
          <w:i/>
          <w:iCs/>
          <w:sz w:val="24"/>
          <w:szCs w:val="24"/>
        </w:rPr>
        <w:t>Person-Centred Practice in Nursing and Health Care: Theory and Practice</w:t>
      </w:r>
      <w:r w:rsidRPr="00A427C2">
        <w:rPr>
          <w:sz w:val="24"/>
          <w:szCs w:val="24"/>
        </w:rPr>
        <w:t>. 3rd edn. Oxford: Wiley-Blackwell.</w:t>
      </w:r>
    </w:p>
    <w:p w14:paraId="7E927C34" w14:textId="77777777" w:rsidR="004A2C6A" w:rsidRPr="00A427C2" w:rsidRDefault="004A2C6A" w:rsidP="004A2C6A">
      <w:pPr>
        <w:rPr>
          <w:sz w:val="24"/>
          <w:szCs w:val="24"/>
        </w:rPr>
      </w:pPr>
    </w:p>
    <w:p w14:paraId="54B3CEB3" w14:textId="77777777" w:rsidR="004A2C6A" w:rsidRDefault="004A2C6A" w:rsidP="004A2C6A">
      <w:pPr>
        <w:rPr>
          <w:sz w:val="24"/>
          <w:szCs w:val="24"/>
        </w:rPr>
      </w:pPr>
      <w:r w:rsidRPr="00A427C2">
        <w:rPr>
          <w:sz w:val="24"/>
          <w:szCs w:val="24"/>
        </w:rPr>
        <w:t>Mental Capacity Act 2005. (2005) c.9. London: The Stationery Office.</w:t>
      </w:r>
    </w:p>
    <w:p w14:paraId="110D93F4" w14:textId="77777777" w:rsidR="004A2C6A" w:rsidRPr="00A427C2" w:rsidRDefault="004A2C6A" w:rsidP="004A2C6A">
      <w:pPr>
        <w:rPr>
          <w:sz w:val="24"/>
          <w:szCs w:val="24"/>
        </w:rPr>
      </w:pPr>
    </w:p>
    <w:p w14:paraId="50F1B2D5"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Miller, E.M., Porter, J.E. and Barbagallo, M.S. (2022) 'The experiences of health professionals, patients, and families with truth disclosure when breaking bad news in palliative care: A qualitative meta-synthesis', </w:t>
      </w:r>
      <w:r w:rsidRPr="00A427C2">
        <w:rPr>
          <w:rFonts w:eastAsiaTheme="minorHAnsi"/>
          <w:i/>
          <w:iCs/>
          <w:color w:val="auto"/>
          <w:kern w:val="2"/>
          <w:sz w:val="24"/>
          <w:szCs w:val="24"/>
          <w:lang w:eastAsia="en-US"/>
          <w14:ligatures w14:val="standardContextual"/>
        </w:rPr>
        <w:t>Palliative &amp; Supportive Care</w:t>
      </w:r>
      <w:r w:rsidRPr="00A427C2">
        <w:rPr>
          <w:rFonts w:eastAsiaTheme="minorHAnsi"/>
          <w:color w:val="auto"/>
          <w:kern w:val="2"/>
          <w:sz w:val="24"/>
          <w:szCs w:val="24"/>
          <w:lang w:eastAsia="en-US"/>
          <w14:ligatures w14:val="standardContextual"/>
        </w:rPr>
        <w:t xml:space="preserve">, 20(3), pp. 433-444. </w:t>
      </w:r>
    </w:p>
    <w:p w14:paraId="6366823F" w14:textId="77777777" w:rsidR="004A2C6A" w:rsidRDefault="004A2C6A" w:rsidP="004A2C6A">
      <w:pPr>
        <w:rPr>
          <w:sz w:val="24"/>
          <w:szCs w:val="24"/>
        </w:rPr>
      </w:pPr>
      <w:r w:rsidRPr="00A427C2">
        <w:rPr>
          <w:sz w:val="24"/>
          <w:szCs w:val="24"/>
        </w:rPr>
        <w:t>Morrison, T. (2005) Staff Supervision in Social Care: Making a Real Difference for Staff and Service Users. 3rd edn. Brighton: Pavilion Publishing.</w:t>
      </w:r>
    </w:p>
    <w:p w14:paraId="6E9FA82A" w14:textId="77777777" w:rsidR="004A2C6A" w:rsidRPr="00A427C2" w:rsidRDefault="004A2C6A" w:rsidP="004A2C6A">
      <w:pPr>
        <w:rPr>
          <w:sz w:val="24"/>
          <w:szCs w:val="24"/>
        </w:rPr>
      </w:pPr>
    </w:p>
    <w:p w14:paraId="7E034811" w14:textId="77777777" w:rsidR="004A2C6A" w:rsidRDefault="004A2C6A" w:rsidP="004A2C6A">
      <w:pPr>
        <w:rPr>
          <w:sz w:val="24"/>
          <w:szCs w:val="24"/>
        </w:rPr>
      </w:pPr>
      <w:r w:rsidRPr="00A427C2">
        <w:rPr>
          <w:sz w:val="24"/>
          <w:szCs w:val="24"/>
        </w:rPr>
        <w:t>Munro, E. (2011) The Munro Review of Child Protection: Final Report. London: Department for Education.</w:t>
      </w:r>
    </w:p>
    <w:p w14:paraId="5EF0BB45" w14:textId="77777777" w:rsidR="004A2C6A" w:rsidRPr="00A427C2" w:rsidRDefault="004A2C6A" w:rsidP="004A2C6A">
      <w:pPr>
        <w:rPr>
          <w:sz w:val="24"/>
          <w:szCs w:val="24"/>
        </w:rPr>
      </w:pPr>
    </w:p>
    <w:p w14:paraId="544D3316"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Older People’s Commissioner for Wales (2019) </w:t>
      </w:r>
      <w:r w:rsidRPr="00A427C2">
        <w:rPr>
          <w:rFonts w:eastAsiaTheme="minorHAnsi"/>
          <w:i/>
          <w:iCs/>
          <w:color w:val="auto"/>
          <w:kern w:val="2"/>
          <w:sz w:val="24"/>
          <w:szCs w:val="24"/>
          <w:lang w:eastAsia="en-US"/>
          <w14:ligatures w14:val="standardContextual"/>
        </w:rPr>
        <w:t>Protection of Older People in Wales: A Guide to the Law</w:t>
      </w:r>
      <w:r w:rsidRPr="00A427C2">
        <w:rPr>
          <w:rFonts w:eastAsiaTheme="minorHAnsi"/>
          <w:color w:val="auto"/>
          <w:kern w:val="2"/>
          <w:sz w:val="24"/>
          <w:szCs w:val="24"/>
          <w:lang w:eastAsia="en-US"/>
          <w14:ligatures w14:val="standardContextual"/>
        </w:rPr>
        <w:t>. 3rd edn. Cardiff: Older People’s Commissioner for Wales. Available at: https://olderpeople.wales/wp-content/uploads/2022/05/Protection-of-Older-People-in-Wales-A-Guide-to-the-Law-2019.pdf (Accessed: 8 September 2026).</w:t>
      </w:r>
    </w:p>
    <w:p w14:paraId="30ADB7D9"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Older People’s Commissioner for Wales (2026) </w:t>
      </w:r>
      <w:r w:rsidRPr="00A427C2">
        <w:rPr>
          <w:rFonts w:eastAsiaTheme="minorHAnsi"/>
          <w:i/>
          <w:iCs/>
          <w:color w:val="auto"/>
          <w:kern w:val="2"/>
          <w:sz w:val="24"/>
          <w:szCs w:val="24"/>
          <w:lang w:eastAsia="en-US"/>
          <w14:ligatures w14:val="standardContextual"/>
        </w:rPr>
        <w:t>Commissioner’s Work Programme 2026-27</w:t>
      </w:r>
      <w:r w:rsidRPr="00A427C2">
        <w:rPr>
          <w:rFonts w:eastAsiaTheme="minorHAnsi"/>
          <w:color w:val="auto"/>
          <w:kern w:val="2"/>
          <w:sz w:val="24"/>
          <w:szCs w:val="24"/>
          <w:lang w:eastAsia="en-US"/>
          <w14:ligatures w14:val="standardContextual"/>
        </w:rPr>
        <w:t>. Available at: https://olderpeople.wales/commissioners-work-programme/ (Accessed: 8 September 2026).</w:t>
      </w:r>
    </w:p>
    <w:p w14:paraId="1372C60B"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Older People’s Commissioner for Wales (2026) </w:t>
      </w:r>
      <w:r w:rsidRPr="00A427C2">
        <w:rPr>
          <w:rFonts w:eastAsiaTheme="minorHAnsi"/>
          <w:i/>
          <w:iCs/>
          <w:color w:val="auto"/>
          <w:kern w:val="2"/>
          <w:sz w:val="24"/>
          <w:szCs w:val="24"/>
          <w:lang w:eastAsia="en-US"/>
          <w14:ligatures w14:val="standardContextual"/>
        </w:rPr>
        <w:t>Home - Older People’s Commissioner for Wales</w:t>
      </w:r>
      <w:r w:rsidRPr="00A427C2">
        <w:rPr>
          <w:rFonts w:eastAsiaTheme="minorHAnsi"/>
          <w:color w:val="auto"/>
          <w:kern w:val="2"/>
          <w:sz w:val="24"/>
          <w:szCs w:val="24"/>
          <w:lang w:eastAsia="en-US"/>
          <w14:ligatures w14:val="standardContextual"/>
        </w:rPr>
        <w:t>. Available at: https://olderpeople.wales/ (Accessed: 8 September 2026).</w:t>
      </w:r>
    </w:p>
    <w:p w14:paraId="35244F0A"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Older People’s Commissioner for Wales (2026) </w:t>
      </w:r>
      <w:r w:rsidRPr="00A427C2">
        <w:rPr>
          <w:rFonts w:eastAsiaTheme="minorHAnsi"/>
          <w:i/>
          <w:iCs/>
          <w:color w:val="auto"/>
          <w:kern w:val="2"/>
          <w:sz w:val="24"/>
          <w:szCs w:val="24"/>
          <w:lang w:eastAsia="en-US"/>
          <w14:ligatures w14:val="standardContextual"/>
        </w:rPr>
        <w:t>Role and Legal Powers</w:t>
      </w:r>
      <w:r w:rsidRPr="00A427C2">
        <w:rPr>
          <w:rFonts w:eastAsiaTheme="minorHAnsi"/>
          <w:color w:val="auto"/>
          <w:kern w:val="2"/>
          <w:sz w:val="24"/>
          <w:szCs w:val="24"/>
          <w:lang w:eastAsia="en-US"/>
          <w14:ligatures w14:val="standardContextual"/>
        </w:rPr>
        <w:t>. Available at: https://olderpeople.wales/about/about-us/legal-powers/ (Accessed: 8 September 2026).</w:t>
      </w:r>
    </w:p>
    <w:p w14:paraId="4CF91191"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Payne, M. (2020) </w:t>
      </w:r>
      <w:r w:rsidRPr="00A427C2">
        <w:rPr>
          <w:rFonts w:eastAsiaTheme="minorHAnsi"/>
          <w:i/>
          <w:iCs/>
          <w:color w:val="auto"/>
          <w:kern w:val="2"/>
          <w:sz w:val="24"/>
          <w:szCs w:val="24"/>
          <w:lang w:eastAsia="en-US"/>
          <w14:ligatures w14:val="standardContextual"/>
        </w:rPr>
        <w:t>Modern Social Work Theory</w:t>
      </w:r>
      <w:r w:rsidRPr="00A427C2">
        <w:rPr>
          <w:rFonts w:eastAsiaTheme="minorHAnsi"/>
          <w:color w:val="auto"/>
          <w:kern w:val="2"/>
          <w:sz w:val="24"/>
          <w:szCs w:val="24"/>
          <w:lang w:eastAsia="en-US"/>
          <w14:ligatures w14:val="standardContextual"/>
        </w:rPr>
        <w:t>. 5th edn. Oxford: Oxford University Press.</w:t>
      </w:r>
    </w:p>
    <w:p w14:paraId="0A23C6D7"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Preston-Shoot, M. (2020) </w:t>
      </w:r>
      <w:r w:rsidRPr="00A427C2">
        <w:rPr>
          <w:rFonts w:eastAsiaTheme="minorHAnsi"/>
          <w:i/>
          <w:iCs/>
          <w:color w:val="auto"/>
          <w:kern w:val="2"/>
          <w:sz w:val="24"/>
          <w:szCs w:val="24"/>
          <w:lang w:eastAsia="en-US"/>
          <w14:ligatures w14:val="standardContextual"/>
        </w:rPr>
        <w:t>Making Good Decisions: Law for Social Work Practice</w:t>
      </w:r>
      <w:r w:rsidRPr="00A427C2">
        <w:rPr>
          <w:rFonts w:eastAsiaTheme="minorHAnsi"/>
          <w:color w:val="auto"/>
          <w:kern w:val="2"/>
          <w:sz w:val="24"/>
          <w:szCs w:val="24"/>
          <w:lang w:eastAsia="en-US"/>
          <w14:ligatures w14:val="standardContextual"/>
        </w:rPr>
        <w:t>. 2nd edn. London: Macmillan International Higher Education.</w:t>
      </w:r>
    </w:p>
    <w:p w14:paraId="198FCD72" w14:textId="77777777" w:rsidR="004A2C6A" w:rsidRDefault="004A2C6A" w:rsidP="004A2C6A">
      <w:pPr>
        <w:rPr>
          <w:sz w:val="24"/>
          <w:szCs w:val="24"/>
          <w:lang w:val="cy-GB"/>
        </w:rPr>
      </w:pPr>
      <w:r w:rsidRPr="00A427C2">
        <w:rPr>
          <w:sz w:val="24"/>
          <w:szCs w:val="24"/>
          <w:lang w:val="cy-GB"/>
        </w:rPr>
        <w:t xml:space="preserve">RNIB (n.d.) </w:t>
      </w:r>
      <w:r w:rsidRPr="00A427C2">
        <w:rPr>
          <w:i/>
          <w:iCs/>
          <w:sz w:val="24"/>
          <w:szCs w:val="24"/>
          <w:lang w:val="cy-GB"/>
        </w:rPr>
        <w:t>Top tips to help you communicate</w:t>
      </w:r>
      <w:r w:rsidRPr="00A427C2">
        <w:rPr>
          <w:sz w:val="24"/>
          <w:szCs w:val="24"/>
          <w:lang w:val="cy-GB"/>
        </w:rPr>
        <w:t>. Available at: https://media.rnib.org.uk/documents/APDF_RNIB_Top_Tip_Cards_Communicate.pdf (Accessed: 20 May 2026).</w:t>
      </w:r>
    </w:p>
    <w:p w14:paraId="3CC94FC1" w14:textId="77777777" w:rsidR="004A2C6A" w:rsidRPr="00A427C2" w:rsidRDefault="004A2C6A" w:rsidP="004A2C6A">
      <w:pPr>
        <w:rPr>
          <w:sz w:val="24"/>
          <w:szCs w:val="24"/>
          <w:lang w:val="cy-GB"/>
        </w:rPr>
      </w:pPr>
    </w:p>
    <w:p w14:paraId="12056194" w14:textId="77777777" w:rsidR="004A2C6A" w:rsidRDefault="004A2C6A" w:rsidP="004A2C6A">
      <w:pPr>
        <w:rPr>
          <w:sz w:val="24"/>
          <w:szCs w:val="24"/>
        </w:rPr>
      </w:pPr>
      <w:r w:rsidRPr="00A427C2">
        <w:rPr>
          <w:sz w:val="24"/>
          <w:szCs w:val="24"/>
        </w:rPr>
        <w:lastRenderedPageBreak/>
        <w:t xml:space="preserve">Röder, B., Teder-Sälejärvi, W., Sterr, A., Rösler, F. and Hillyard, S.A. (1999) 'Improved auditory spatial tuning in blind humans', </w:t>
      </w:r>
      <w:r w:rsidRPr="00A427C2">
        <w:rPr>
          <w:i/>
          <w:iCs/>
          <w:sz w:val="24"/>
          <w:szCs w:val="24"/>
        </w:rPr>
        <w:t>Nature</w:t>
      </w:r>
      <w:r w:rsidRPr="00A427C2">
        <w:rPr>
          <w:sz w:val="24"/>
          <w:szCs w:val="24"/>
        </w:rPr>
        <w:t>, 400(6740), pp. 162-166.</w:t>
      </w:r>
    </w:p>
    <w:p w14:paraId="737D22A9" w14:textId="77777777" w:rsidR="004A2C6A" w:rsidRPr="00A427C2" w:rsidRDefault="004A2C6A" w:rsidP="004A2C6A">
      <w:pPr>
        <w:rPr>
          <w:sz w:val="24"/>
          <w:szCs w:val="24"/>
        </w:rPr>
      </w:pPr>
    </w:p>
    <w:p w14:paraId="22A79A91"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Rogers, C.R. (1951) </w:t>
      </w:r>
      <w:r w:rsidRPr="00A427C2">
        <w:rPr>
          <w:rFonts w:eastAsiaTheme="minorHAnsi"/>
          <w:i/>
          <w:iCs/>
          <w:color w:val="auto"/>
          <w:kern w:val="2"/>
          <w:sz w:val="24"/>
          <w:szCs w:val="24"/>
          <w:lang w:eastAsia="en-US"/>
          <w14:ligatures w14:val="standardContextual"/>
        </w:rPr>
        <w:t>Client-Centered Therapy: Its Current Practice, Implications and Theory</w:t>
      </w:r>
      <w:r w:rsidRPr="00A427C2">
        <w:rPr>
          <w:rFonts w:eastAsiaTheme="minorHAnsi"/>
          <w:color w:val="auto"/>
          <w:kern w:val="2"/>
          <w:sz w:val="24"/>
          <w:szCs w:val="24"/>
          <w:lang w:eastAsia="en-US"/>
          <w14:ligatures w14:val="standardContextual"/>
        </w:rPr>
        <w:t>. Boston: Houghton Mifflin</w:t>
      </w:r>
    </w:p>
    <w:p w14:paraId="12E1792E"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Rosa, E.M. and Tudge, J. (2013) 'Urie Bronfenbrenner's Theory of Human Development: Its Evolution from Ecology to Bioecology', </w:t>
      </w:r>
      <w:r w:rsidRPr="00A427C2">
        <w:rPr>
          <w:rFonts w:eastAsiaTheme="minorHAnsi"/>
          <w:i/>
          <w:iCs/>
          <w:color w:val="auto"/>
          <w:kern w:val="2"/>
          <w:sz w:val="24"/>
          <w:szCs w:val="24"/>
          <w:lang w:eastAsia="en-US"/>
          <w14:ligatures w14:val="standardContextual"/>
        </w:rPr>
        <w:t>Journal of Family Theory and Review</w:t>
      </w:r>
      <w:r w:rsidRPr="00A427C2">
        <w:rPr>
          <w:rFonts w:eastAsiaTheme="minorHAnsi"/>
          <w:color w:val="auto"/>
          <w:kern w:val="2"/>
          <w:sz w:val="24"/>
          <w:szCs w:val="24"/>
          <w:lang w:eastAsia="en-US"/>
          <w14:ligatures w14:val="standardContextual"/>
        </w:rPr>
        <w:t>, 5(4), pp. 243-258.</w:t>
      </w:r>
    </w:p>
    <w:p w14:paraId="6EF29EA4" w14:textId="77777777" w:rsidR="004A2C6A" w:rsidRDefault="004A2C6A" w:rsidP="004A2C6A">
      <w:pPr>
        <w:rPr>
          <w:sz w:val="24"/>
          <w:szCs w:val="24"/>
        </w:rPr>
      </w:pPr>
      <w:r w:rsidRPr="00A427C2">
        <w:rPr>
          <w:sz w:val="24"/>
          <w:szCs w:val="24"/>
        </w:rPr>
        <w:t xml:space="preserve">Saleebey, D. (2013) </w:t>
      </w:r>
      <w:r w:rsidRPr="00A427C2">
        <w:rPr>
          <w:i/>
          <w:iCs/>
          <w:sz w:val="24"/>
          <w:szCs w:val="24"/>
        </w:rPr>
        <w:t>The Strengths Perspective in Social Work Practice</w:t>
      </w:r>
      <w:r w:rsidRPr="00A427C2">
        <w:rPr>
          <w:sz w:val="24"/>
          <w:szCs w:val="24"/>
        </w:rPr>
        <w:t>. 6th edn. Boston: Pearson.</w:t>
      </w:r>
    </w:p>
    <w:p w14:paraId="6CBCFDF9" w14:textId="77777777" w:rsidR="004A2C6A" w:rsidRPr="00A427C2" w:rsidRDefault="004A2C6A" w:rsidP="004A2C6A">
      <w:pPr>
        <w:rPr>
          <w:sz w:val="24"/>
          <w:szCs w:val="24"/>
        </w:rPr>
      </w:pPr>
    </w:p>
    <w:p w14:paraId="2968382A" w14:textId="77777777" w:rsidR="004A2C6A" w:rsidRDefault="004A2C6A" w:rsidP="004A2C6A">
      <w:pPr>
        <w:rPr>
          <w:sz w:val="24"/>
          <w:szCs w:val="24"/>
        </w:rPr>
      </w:pPr>
      <w:r w:rsidRPr="00A427C2">
        <w:rPr>
          <w:sz w:val="24"/>
          <w:szCs w:val="24"/>
        </w:rPr>
        <w:t>Schön, D.A. (1983) The Reflective Practitioner: How Professionals Think in Action. New York: Basic Books.</w:t>
      </w:r>
    </w:p>
    <w:p w14:paraId="1E3F5CBB" w14:textId="77777777" w:rsidR="004A2C6A" w:rsidRPr="00A427C2" w:rsidRDefault="004A2C6A" w:rsidP="004A2C6A">
      <w:pPr>
        <w:rPr>
          <w:sz w:val="24"/>
          <w:szCs w:val="24"/>
        </w:rPr>
      </w:pPr>
    </w:p>
    <w:p w14:paraId="7FD5319E" w14:textId="77777777" w:rsidR="004A2C6A" w:rsidRDefault="004A2C6A" w:rsidP="004A2C6A">
      <w:pPr>
        <w:rPr>
          <w:sz w:val="24"/>
          <w:szCs w:val="24"/>
          <w:lang w:val="cy-GB"/>
        </w:rPr>
      </w:pPr>
      <w:r w:rsidRPr="00A427C2">
        <w:rPr>
          <w:sz w:val="24"/>
          <w:szCs w:val="24"/>
          <w:lang w:val="cy-GB"/>
        </w:rPr>
        <w:t>Scientific Inquiry in Social Work (</w:t>
      </w:r>
      <w:r>
        <w:rPr>
          <w:sz w:val="24"/>
          <w:szCs w:val="24"/>
          <w:lang w:val="cy-GB"/>
        </w:rPr>
        <w:t>2026</w:t>
      </w:r>
      <w:r w:rsidRPr="00A427C2">
        <w:rPr>
          <w:sz w:val="24"/>
          <w:szCs w:val="24"/>
          <w:lang w:val="cy-GB"/>
        </w:rPr>
        <w:t>) ‘Qualitative interview techniques’. Available at: https://pressbooks.pub/scientificinquiryinsocialwork/chapter/13-2-qualitative-interview-techniques/ (Accessed: 3 June 2026).</w:t>
      </w:r>
    </w:p>
    <w:p w14:paraId="30DD89BD" w14:textId="77777777" w:rsidR="004A2C6A" w:rsidRPr="00A427C2" w:rsidRDefault="004A2C6A" w:rsidP="004A2C6A">
      <w:pPr>
        <w:rPr>
          <w:sz w:val="24"/>
          <w:szCs w:val="24"/>
          <w:lang w:val="cy-GB"/>
        </w:rPr>
      </w:pPr>
    </w:p>
    <w:p w14:paraId="3DF9DD92" w14:textId="77777777" w:rsidR="004A2C6A" w:rsidRDefault="004A2C6A" w:rsidP="004A2C6A">
      <w:pPr>
        <w:rPr>
          <w:sz w:val="24"/>
          <w:szCs w:val="24"/>
          <w:lang w:val="cy-GB"/>
        </w:rPr>
      </w:pPr>
      <w:r w:rsidRPr="00A427C2">
        <w:rPr>
          <w:sz w:val="24"/>
          <w:szCs w:val="24"/>
          <w:lang w:val="cy-GB"/>
        </w:rPr>
        <w:t>Social Care Wales (2017) Code of Professional Practice for Social Care. Available at: https://socialcare.wales/resources/code-of-professional-practice-for-social-care (Accessed: 3 June 2026).</w:t>
      </w:r>
    </w:p>
    <w:p w14:paraId="35B5EF93" w14:textId="77777777" w:rsidR="004A2C6A" w:rsidRPr="00A427C2" w:rsidRDefault="004A2C6A" w:rsidP="004A2C6A">
      <w:pPr>
        <w:rPr>
          <w:sz w:val="24"/>
          <w:szCs w:val="24"/>
          <w:lang w:val="cy-GB"/>
        </w:rPr>
      </w:pPr>
    </w:p>
    <w:p w14:paraId="1FB4A376"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Social Care Wales (2019) </w:t>
      </w:r>
      <w:r w:rsidRPr="00A427C2">
        <w:rPr>
          <w:rFonts w:eastAsiaTheme="minorHAnsi"/>
          <w:i/>
          <w:iCs/>
          <w:color w:val="auto"/>
          <w:kern w:val="2"/>
          <w:sz w:val="24"/>
          <w:szCs w:val="24"/>
          <w:lang w:eastAsia="en-US"/>
          <w14:ligatures w14:val="standardContextual"/>
        </w:rPr>
        <w:t>Wales Safeguarding Procedures</w:t>
      </w:r>
      <w:r w:rsidRPr="00A427C2">
        <w:rPr>
          <w:rFonts w:eastAsiaTheme="minorHAnsi"/>
          <w:color w:val="auto"/>
          <w:kern w:val="2"/>
          <w:sz w:val="24"/>
          <w:szCs w:val="24"/>
          <w:lang w:eastAsia="en-US"/>
          <w14:ligatures w14:val="standardContextual"/>
        </w:rPr>
        <w:t>. Cardiff: Social Care Wales. Available at: https://www.safeguarding.wales/en/ (Accessed: 5 September 2026).</w:t>
      </w:r>
    </w:p>
    <w:p w14:paraId="6FEF9D29" w14:textId="77777777" w:rsidR="004A2C6A" w:rsidRDefault="004A2C6A" w:rsidP="004A2C6A">
      <w:pPr>
        <w:rPr>
          <w:sz w:val="24"/>
          <w:szCs w:val="24"/>
        </w:rPr>
      </w:pPr>
      <w:r w:rsidRPr="00A427C2">
        <w:rPr>
          <w:sz w:val="24"/>
          <w:szCs w:val="24"/>
        </w:rPr>
        <w:t>Social Care Wales (2024) Code of Professional Practice for Social Care. Cardiff: Social Care Wales.</w:t>
      </w:r>
    </w:p>
    <w:p w14:paraId="566D300B" w14:textId="77777777" w:rsidR="004A2C6A" w:rsidRPr="00A427C2" w:rsidRDefault="004A2C6A" w:rsidP="004A2C6A">
      <w:pPr>
        <w:rPr>
          <w:sz w:val="24"/>
          <w:szCs w:val="24"/>
        </w:rPr>
      </w:pPr>
    </w:p>
    <w:p w14:paraId="35D90378" w14:textId="77777777" w:rsidR="004A2C6A" w:rsidRDefault="004A2C6A" w:rsidP="004A2C6A">
      <w:pPr>
        <w:rPr>
          <w:sz w:val="24"/>
          <w:szCs w:val="24"/>
        </w:rPr>
      </w:pPr>
      <w:r w:rsidRPr="00A427C2">
        <w:rPr>
          <w:sz w:val="24"/>
          <w:szCs w:val="24"/>
        </w:rPr>
        <w:t xml:space="preserve">Social Care Wales (2026) </w:t>
      </w:r>
      <w:r w:rsidRPr="00A427C2">
        <w:rPr>
          <w:i/>
          <w:iCs/>
          <w:sz w:val="24"/>
          <w:szCs w:val="24"/>
        </w:rPr>
        <w:t>Code of Professional Practice for Social Care Workers</w:t>
      </w:r>
      <w:r w:rsidRPr="00A427C2">
        <w:rPr>
          <w:sz w:val="24"/>
          <w:szCs w:val="24"/>
        </w:rPr>
        <w:t>. Cardiff: Social Care Wales. Available at: https://socialcare.wales/codes-of-practice-and-guidance/code-of-professional-practice-for-social-care-workers (Accessed: 6 August 2026)</w:t>
      </w:r>
    </w:p>
    <w:p w14:paraId="6166D487" w14:textId="77777777" w:rsidR="004A2C6A" w:rsidRPr="00A427C2" w:rsidRDefault="004A2C6A" w:rsidP="004A2C6A">
      <w:pPr>
        <w:rPr>
          <w:sz w:val="24"/>
          <w:szCs w:val="24"/>
        </w:rPr>
      </w:pPr>
    </w:p>
    <w:p w14:paraId="40F43940"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Social Care Wales (2026) </w:t>
      </w:r>
      <w:r w:rsidRPr="00A427C2">
        <w:rPr>
          <w:rFonts w:eastAsiaTheme="minorHAnsi"/>
          <w:i/>
          <w:iCs/>
          <w:color w:val="auto"/>
          <w:kern w:val="2"/>
          <w:sz w:val="24"/>
          <w:szCs w:val="24"/>
          <w:lang w:eastAsia="en-US"/>
          <w14:ligatures w14:val="standardContextual"/>
        </w:rPr>
        <w:t>Code of Professional Practice for Social Care Workers</w:t>
      </w:r>
      <w:r w:rsidRPr="00A427C2">
        <w:rPr>
          <w:rFonts w:eastAsiaTheme="minorHAnsi"/>
          <w:color w:val="auto"/>
          <w:kern w:val="2"/>
          <w:sz w:val="24"/>
          <w:szCs w:val="24"/>
          <w:lang w:eastAsia="en-US"/>
          <w14:ligatures w14:val="standardContextual"/>
        </w:rPr>
        <w:t>. Cardiff: Social Care Wales. Available at: https://socialcare.wales/codes-of-practice-and-guidance/code-of-professional-practice-for-social-care-workers (Accessed: 8 September 2026).</w:t>
      </w:r>
    </w:p>
    <w:p w14:paraId="74452FE7" w14:textId="77777777" w:rsidR="004A2C6A" w:rsidRDefault="004A2C6A" w:rsidP="004A2C6A">
      <w:pPr>
        <w:rPr>
          <w:sz w:val="24"/>
          <w:szCs w:val="24"/>
        </w:rPr>
      </w:pPr>
      <w:r w:rsidRPr="00A427C2">
        <w:rPr>
          <w:sz w:val="24"/>
          <w:szCs w:val="24"/>
        </w:rPr>
        <w:t>Social Services and Well-being (Wales) Act 2014. (2014) anaw 4. Cardiff: The Welsh Government.</w:t>
      </w:r>
    </w:p>
    <w:p w14:paraId="1D4BA117" w14:textId="77777777" w:rsidR="004A2C6A" w:rsidRPr="00A427C2" w:rsidRDefault="004A2C6A" w:rsidP="004A2C6A">
      <w:pPr>
        <w:rPr>
          <w:sz w:val="24"/>
          <w:szCs w:val="24"/>
        </w:rPr>
      </w:pPr>
    </w:p>
    <w:p w14:paraId="796F9FAE" w14:textId="77777777" w:rsidR="004A2C6A" w:rsidRDefault="004A2C6A" w:rsidP="004A2C6A">
      <w:pPr>
        <w:rPr>
          <w:sz w:val="24"/>
          <w:szCs w:val="24"/>
        </w:rPr>
      </w:pPr>
      <w:r w:rsidRPr="00A427C2">
        <w:rPr>
          <w:sz w:val="24"/>
          <w:szCs w:val="24"/>
        </w:rPr>
        <w:t>Taylor, B. (2017) Decision Making, Assessment and Risk in Social Work. 4th edn. London: Learning Matters.</w:t>
      </w:r>
    </w:p>
    <w:p w14:paraId="4A4DDC7B" w14:textId="77777777" w:rsidR="004A2C6A" w:rsidRPr="00A427C2" w:rsidRDefault="004A2C6A" w:rsidP="004A2C6A">
      <w:pPr>
        <w:rPr>
          <w:sz w:val="24"/>
          <w:szCs w:val="24"/>
        </w:rPr>
      </w:pPr>
    </w:p>
    <w:p w14:paraId="281047B5" w14:textId="77777777" w:rsidR="004A2C6A" w:rsidRDefault="004A2C6A" w:rsidP="004A2C6A">
      <w:pPr>
        <w:rPr>
          <w:sz w:val="24"/>
          <w:szCs w:val="24"/>
        </w:rPr>
      </w:pPr>
      <w:r w:rsidRPr="00A427C2">
        <w:rPr>
          <w:sz w:val="24"/>
          <w:szCs w:val="24"/>
        </w:rPr>
        <w:t xml:space="preserve">Thompson, N. (2021) </w:t>
      </w:r>
      <w:r w:rsidRPr="00A427C2">
        <w:rPr>
          <w:i/>
          <w:iCs/>
          <w:sz w:val="24"/>
          <w:szCs w:val="24"/>
        </w:rPr>
        <w:t>People Skills</w:t>
      </w:r>
      <w:r w:rsidRPr="00A427C2">
        <w:rPr>
          <w:sz w:val="24"/>
          <w:szCs w:val="24"/>
        </w:rPr>
        <w:t>. 9th edn. London: Red Globe Press.</w:t>
      </w:r>
    </w:p>
    <w:p w14:paraId="139BA93F" w14:textId="77777777" w:rsidR="004A2C6A" w:rsidRPr="00A427C2" w:rsidRDefault="004A2C6A" w:rsidP="004A2C6A">
      <w:pPr>
        <w:rPr>
          <w:sz w:val="24"/>
          <w:szCs w:val="24"/>
        </w:rPr>
      </w:pPr>
    </w:p>
    <w:p w14:paraId="55B89C18" w14:textId="77777777" w:rsidR="004A2C6A" w:rsidRPr="00A427C2" w:rsidRDefault="004A2C6A" w:rsidP="004A2C6A">
      <w:pPr>
        <w:rPr>
          <w:sz w:val="24"/>
          <w:szCs w:val="24"/>
        </w:rPr>
      </w:pPr>
    </w:p>
    <w:p w14:paraId="26492621"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lastRenderedPageBreak/>
        <w:t xml:space="preserve">Trevithick, P. (2012). </w:t>
      </w:r>
      <w:r w:rsidRPr="00A427C2">
        <w:rPr>
          <w:rFonts w:eastAsiaTheme="minorHAnsi"/>
          <w:i/>
          <w:iCs/>
          <w:color w:val="auto"/>
          <w:kern w:val="2"/>
          <w:sz w:val="24"/>
          <w:szCs w:val="24"/>
          <w:lang w:eastAsia="en-US"/>
          <w14:ligatures w14:val="standardContextual"/>
        </w:rPr>
        <w:t>Social Work Skills and Knowledge: A Practice Handbook</w:t>
      </w:r>
      <w:r w:rsidRPr="00A427C2">
        <w:rPr>
          <w:rFonts w:eastAsiaTheme="minorHAnsi"/>
          <w:color w:val="auto"/>
          <w:kern w:val="2"/>
          <w:sz w:val="24"/>
          <w:szCs w:val="24"/>
          <w:lang w:eastAsia="en-US"/>
          <w14:ligatures w14:val="standardContextual"/>
        </w:rPr>
        <w:t xml:space="preserve"> (3rd ed.). Maidenhead: Open University Press.</w:t>
      </w:r>
    </w:p>
    <w:p w14:paraId="5F48788F"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Tudge, J.R.H., Mokrova, I., Hatfield, B.E. and Karnik, R.B. (2009) 'Uses and Misuses of Bronfenbrenner's Bioecological Theory of Human Development', </w:t>
      </w:r>
      <w:r w:rsidRPr="00A427C2">
        <w:rPr>
          <w:rFonts w:eastAsiaTheme="minorHAnsi"/>
          <w:i/>
          <w:iCs/>
          <w:color w:val="auto"/>
          <w:kern w:val="2"/>
          <w:sz w:val="24"/>
          <w:szCs w:val="24"/>
          <w:lang w:eastAsia="en-US"/>
          <w14:ligatures w14:val="standardContextual"/>
        </w:rPr>
        <w:t>Journal of Family Theory and Review</w:t>
      </w:r>
      <w:r w:rsidRPr="00A427C2">
        <w:rPr>
          <w:rFonts w:eastAsiaTheme="minorHAnsi"/>
          <w:color w:val="auto"/>
          <w:kern w:val="2"/>
          <w:sz w:val="24"/>
          <w:szCs w:val="24"/>
          <w:lang w:eastAsia="en-US"/>
          <w14:ligatures w14:val="standardContextual"/>
        </w:rPr>
        <w:t>, 1(4), pp. 198-210.</w:t>
      </w:r>
    </w:p>
    <w:p w14:paraId="7A45E51B"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UK Government (1989) </w:t>
      </w:r>
      <w:r w:rsidRPr="00A427C2">
        <w:rPr>
          <w:rFonts w:eastAsiaTheme="minorHAnsi"/>
          <w:i/>
          <w:iCs/>
          <w:color w:val="auto"/>
          <w:kern w:val="2"/>
          <w:sz w:val="24"/>
          <w:szCs w:val="24"/>
          <w:lang w:eastAsia="en-US"/>
          <w14:ligatures w14:val="standardContextual"/>
        </w:rPr>
        <w:t>Children Act 1989</w:t>
      </w:r>
      <w:r w:rsidRPr="00A427C2">
        <w:rPr>
          <w:rFonts w:eastAsiaTheme="minorHAnsi"/>
          <w:color w:val="auto"/>
          <w:kern w:val="2"/>
          <w:sz w:val="24"/>
          <w:szCs w:val="24"/>
          <w:lang w:eastAsia="en-US"/>
          <w14:ligatures w14:val="standardContextual"/>
        </w:rPr>
        <w:t>. London: HMSO. Available at: https://www.legislation.gov.uk/ukpga/1989/41/contents (Accessed: 23 September 2026)</w:t>
      </w:r>
    </w:p>
    <w:p w14:paraId="667330DF"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United Nations (1948) </w:t>
      </w:r>
      <w:r w:rsidRPr="00A427C2">
        <w:rPr>
          <w:rFonts w:eastAsiaTheme="minorHAnsi"/>
          <w:i/>
          <w:iCs/>
          <w:color w:val="auto"/>
          <w:kern w:val="2"/>
          <w:sz w:val="24"/>
          <w:szCs w:val="24"/>
          <w:lang w:eastAsia="en-US"/>
          <w14:ligatures w14:val="standardContextual"/>
        </w:rPr>
        <w:t>Universal Declaration of Human Rights</w:t>
      </w:r>
      <w:r w:rsidRPr="00A427C2">
        <w:rPr>
          <w:rFonts w:eastAsiaTheme="minorHAnsi"/>
          <w:color w:val="auto"/>
          <w:kern w:val="2"/>
          <w:sz w:val="24"/>
          <w:szCs w:val="24"/>
          <w:lang w:eastAsia="en-US"/>
          <w14:ligatures w14:val="standardContextual"/>
        </w:rPr>
        <w:t>. New York: United Nations. Available at: https://www.un.org/en/about-us/universal-declaration-of-human-rights (Accessed: 8 September 2026).</w:t>
      </w:r>
    </w:p>
    <w:p w14:paraId="6C26C2C9"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United Nations (2006) </w:t>
      </w:r>
      <w:r w:rsidRPr="00A427C2">
        <w:rPr>
          <w:rFonts w:eastAsiaTheme="minorHAnsi"/>
          <w:i/>
          <w:iCs/>
          <w:color w:val="auto"/>
          <w:kern w:val="2"/>
          <w:sz w:val="24"/>
          <w:szCs w:val="24"/>
          <w:lang w:eastAsia="en-US"/>
          <w14:ligatures w14:val="standardContextual"/>
        </w:rPr>
        <w:t>Convention on the Rights of Persons with Disabilities</w:t>
      </w:r>
      <w:r w:rsidRPr="00A427C2">
        <w:rPr>
          <w:rFonts w:eastAsiaTheme="minorHAnsi"/>
          <w:color w:val="auto"/>
          <w:kern w:val="2"/>
          <w:sz w:val="24"/>
          <w:szCs w:val="24"/>
          <w:lang w:eastAsia="en-US"/>
          <w14:ligatures w14:val="standardContextual"/>
        </w:rPr>
        <w:t>. New York: United Nations. Available at: https://www.un.org/development/desa/disabilities/convention-on-the-rights-of-persons-with-disabilities.html (Accessed: 8 September 2026).</w:t>
      </w:r>
    </w:p>
    <w:p w14:paraId="260B88D0" w14:textId="77777777" w:rsidR="004A2C6A" w:rsidRPr="00A427C2" w:rsidRDefault="004A2C6A" w:rsidP="004A2C6A">
      <w:pPr>
        <w:spacing w:after="120" w:line="276" w:lineRule="auto"/>
        <w:rPr>
          <w:rFonts w:eastAsia="Calibri"/>
          <w:color w:val="auto"/>
          <w:sz w:val="24"/>
          <w:szCs w:val="24"/>
          <w:lang w:eastAsia="en-US"/>
        </w:rPr>
      </w:pPr>
      <w:r w:rsidRPr="00A427C2">
        <w:rPr>
          <w:rFonts w:eastAsia="Calibri"/>
          <w:color w:val="auto"/>
          <w:sz w:val="24"/>
          <w:szCs w:val="24"/>
          <w:lang w:eastAsia="en-US"/>
        </w:rPr>
        <w:t xml:space="preserve">Welsh Government (2011) (Wales) The Welsh Language Measure 2011. www.legislation.gov.uk/mwa/2011/2/pdfs/mwa_2010002_en.pdf. (Accessed -03/06/26). </w:t>
      </w:r>
    </w:p>
    <w:p w14:paraId="238C6DB4"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Welsh Government (2012) </w:t>
      </w:r>
      <w:r w:rsidRPr="00A427C2">
        <w:rPr>
          <w:rFonts w:eastAsiaTheme="minorHAnsi"/>
          <w:i/>
          <w:iCs/>
          <w:color w:val="auto"/>
          <w:kern w:val="2"/>
          <w:sz w:val="24"/>
          <w:szCs w:val="24"/>
          <w:lang w:eastAsia="en-US"/>
          <w14:ligatures w14:val="standardContextual"/>
        </w:rPr>
        <w:t>More than just words... Strategic Framework for Welsh Language Services in Health, Social Services and Social Care</w:t>
      </w:r>
      <w:r w:rsidRPr="00A427C2">
        <w:rPr>
          <w:rFonts w:eastAsiaTheme="minorHAnsi"/>
          <w:color w:val="auto"/>
          <w:kern w:val="2"/>
          <w:sz w:val="24"/>
          <w:szCs w:val="24"/>
          <w:lang w:eastAsia="en-US"/>
          <w14:ligatures w14:val="standardContextual"/>
        </w:rPr>
        <w:t>. Cardiff: Welsh Government.</w:t>
      </w:r>
    </w:p>
    <w:p w14:paraId="5D595992" w14:textId="77777777" w:rsidR="004A2C6A" w:rsidRDefault="004A2C6A" w:rsidP="004A2C6A">
      <w:pPr>
        <w:rPr>
          <w:sz w:val="24"/>
          <w:szCs w:val="24"/>
          <w:lang w:val="cy-GB"/>
        </w:rPr>
      </w:pPr>
      <w:r w:rsidRPr="00A427C2">
        <w:rPr>
          <w:sz w:val="24"/>
          <w:szCs w:val="24"/>
          <w:lang w:val="cy-GB"/>
        </w:rPr>
        <w:t>Welsh Government (2014) Social Services and Well-being (Wales) Act 2014. Available at: https://www.legislation.gov.uk/anaw/2014/4/contents (Accessed: 3 June 2026).</w:t>
      </w:r>
    </w:p>
    <w:p w14:paraId="47CE254F" w14:textId="77777777" w:rsidR="004A2C6A" w:rsidRPr="00A427C2" w:rsidRDefault="004A2C6A" w:rsidP="004A2C6A">
      <w:pPr>
        <w:rPr>
          <w:sz w:val="24"/>
          <w:szCs w:val="24"/>
          <w:lang w:val="cy-GB"/>
        </w:rPr>
      </w:pPr>
    </w:p>
    <w:p w14:paraId="4A7A176C" w14:textId="77777777" w:rsidR="004A2C6A" w:rsidRDefault="004A2C6A" w:rsidP="004A2C6A">
      <w:pPr>
        <w:rPr>
          <w:sz w:val="24"/>
          <w:szCs w:val="24"/>
        </w:rPr>
      </w:pPr>
      <w:r w:rsidRPr="00A427C2">
        <w:rPr>
          <w:sz w:val="24"/>
          <w:szCs w:val="24"/>
        </w:rPr>
        <w:t>Welsh Government (2015) Social Services and Well-being (Wales) Act 2014: Part 3 Code of Practice (Assessing the Needs of Individuals). Cardiff: Welsh Government.</w:t>
      </w:r>
    </w:p>
    <w:p w14:paraId="48E16E43" w14:textId="77777777" w:rsidR="004A2C6A" w:rsidRPr="00A427C2" w:rsidRDefault="004A2C6A" w:rsidP="004A2C6A">
      <w:pPr>
        <w:rPr>
          <w:sz w:val="24"/>
          <w:szCs w:val="24"/>
        </w:rPr>
      </w:pPr>
    </w:p>
    <w:p w14:paraId="0B4FECFD" w14:textId="77777777" w:rsidR="004A2C6A" w:rsidRDefault="004A2C6A" w:rsidP="004A2C6A">
      <w:pPr>
        <w:rPr>
          <w:sz w:val="24"/>
          <w:szCs w:val="24"/>
        </w:rPr>
      </w:pPr>
      <w:r w:rsidRPr="00A427C2">
        <w:rPr>
          <w:sz w:val="24"/>
          <w:szCs w:val="24"/>
        </w:rPr>
        <w:t>Welsh Government (2015) Social Services and Well-being (Wales) Act 2014: Part 9 Code of Practice (Co-operation and Partnership). Cardiff: Welsh Government.</w:t>
      </w:r>
    </w:p>
    <w:p w14:paraId="144367ED" w14:textId="77777777" w:rsidR="004A2C6A" w:rsidRPr="00A427C2" w:rsidRDefault="004A2C6A" w:rsidP="004A2C6A">
      <w:pPr>
        <w:rPr>
          <w:sz w:val="24"/>
          <w:szCs w:val="24"/>
        </w:rPr>
      </w:pPr>
    </w:p>
    <w:p w14:paraId="78F6A38B"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Welsh Government (2015) </w:t>
      </w:r>
      <w:r w:rsidRPr="00A427C2">
        <w:rPr>
          <w:rFonts w:eastAsiaTheme="minorHAnsi"/>
          <w:i/>
          <w:iCs/>
          <w:color w:val="auto"/>
          <w:kern w:val="2"/>
          <w:sz w:val="24"/>
          <w:szCs w:val="24"/>
          <w:lang w:eastAsia="en-US"/>
          <w14:ligatures w14:val="standardContextual"/>
        </w:rPr>
        <w:t>Violence against Women, Domestic Abuse and Sexual Violence (Wales) Act 2015</w:t>
      </w:r>
      <w:r w:rsidRPr="00A427C2">
        <w:rPr>
          <w:rFonts w:eastAsiaTheme="minorHAnsi"/>
          <w:color w:val="auto"/>
          <w:kern w:val="2"/>
          <w:sz w:val="24"/>
          <w:szCs w:val="24"/>
          <w:lang w:eastAsia="en-US"/>
          <w14:ligatures w14:val="standardContextual"/>
        </w:rPr>
        <w:t>. Cardiff: Welsh Government.</w:t>
      </w:r>
    </w:p>
    <w:p w14:paraId="28ED1165"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Welsh Government (2026) </w:t>
      </w:r>
      <w:r w:rsidRPr="00A427C2">
        <w:rPr>
          <w:rFonts w:eastAsiaTheme="minorHAnsi"/>
          <w:i/>
          <w:iCs/>
          <w:color w:val="auto"/>
          <w:kern w:val="2"/>
          <w:sz w:val="24"/>
          <w:szCs w:val="24"/>
          <w:lang w:eastAsia="en-US"/>
          <w14:ligatures w14:val="standardContextual"/>
        </w:rPr>
        <w:t>Older People’s Commissioner for Wales</w:t>
      </w:r>
      <w:r w:rsidRPr="00A427C2">
        <w:rPr>
          <w:rFonts w:eastAsiaTheme="minorHAnsi"/>
          <w:color w:val="auto"/>
          <w:kern w:val="2"/>
          <w:sz w:val="24"/>
          <w:szCs w:val="24"/>
          <w:lang w:eastAsia="en-US"/>
          <w14:ligatures w14:val="standardContextual"/>
        </w:rPr>
        <w:t>. Available at: https://www.gov.wales/older-peoples-commissioner-wales (Accessed: 8 September 2026).</w:t>
      </w:r>
    </w:p>
    <w:p w14:paraId="29C119F2" w14:textId="77777777" w:rsidR="004A2C6A" w:rsidRPr="00A427C2" w:rsidRDefault="004A2C6A" w:rsidP="004A2C6A">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A427C2">
        <w:rPr>
          <w:rFonts w:eastAsiaTheme="minorHAnsi"/>
          <w:color w:val="auto"/>
          <w:kern w:val="2"/>
          <w:sz w:val="24"/>
          <w:szCs w:val="24"/>
          <w:lang w:eastAsia="en-US"/>
          <w14:ligatures w14:val="standardContextual"/>
        </w:rPr>
        <w:t xml:space="preserve">Welsh Parliament (2014) </w:t>
      </w:r>
      <w:r w:rsidRPr="00A427C2">
        <w:rPr>
          <w:rFonts w:eastAsiaTheme="minorHAnsi"/>
          <w:i/>
          <w:iCs/>
          <w:color w:val="auto"/>
          <w:kern w:val="2"/>
          <w:sz w:val="24"/>
          <w:szCs w:val="24"/>
          <w:lang w:eastAsia="en-US"/>
          <w14:ligatures w14:val="standardContextual"/>
        </w:rPr>
        <w:t>Social Services and Well-being (Wales) Act 2014</w:t>
      </w:r>
      <w:r w:rsidRPr="00A427C2">
        <w:rPr>
          <w:rFonts w:eastAsiaTheme="minorHAnsi"/>
          <w:color w:val="auto"/>
          <w:kern w:val="2"/>
          <w:sz w:val="24"/>
          <w:szCs w:val="24"/>
          <w:lang w:eastAsia="en-US"/>
          <w14:ligatures w14:val="standardContextual"/>
        </w:rPr>
        <w:t>. Cardiff: Welsh Parliament. Available at: https://www.legislation.gov.uk/anaw/2014/4/contents (Accessed: 19 August 2026).</w:t>
      </w:r>
    </w:p>
    <w:p w14:paraId="700D32FA" w14:textId="77777777" w:rsidR="004A2C6A" w:rsidRPr="00A427C2" w:rsidRDefault="004A2C6A" w:rsidP="004A2C6A">
      <w:pPr>
        <w:rPr>
          <w:sz w:val="24"/>
          <w:szCs w:val="24"/>
        </w:rPr>
      </w:pPr>
      <w:r w:rsidRPr="00A427C2">
        <w:rPr>
          <w:sz w:val="24"/>
          <w:szCs w:val="24"/>
        </w:rPr>
        <w:t xml:space="preserve">Zou, X. and Zhou, Y. (2023) </w:t>
      </w:r>
      <w:r w:rsidRPr="00A427C2">
        <w:rPr>
          <w:i/>
          <w:iCs/>
          <w:sz w:val="24"/>
          <w:szCs w:val="24"/>
        </w:rPr>
        <w:t>Spatial cognition of the visually impaired in a familiar environment</w:t>
      </w:r>
      <w:r w:rsidRPr="00A427C2">
        <w:rPr>
          <w:sz w:val="24"/>
          <w:szCs w:val="24"/>
        </w:rPr>
        <w:t xml:space="preserve">. </w:t>
      </w:r>
      <w:r w:rsidRPr="00A427C2">
        <w:rPr>
          <w:i/>
          <w:iCs/>
          <w:sz w:val="24"/>
          <w:szCs w:val="24"/>
        </w:rPr>
        <w:t>International Journal of Environmental Research and Public Health</w:t>
      </w:r>
      <w:r w:rsidRPr="00A427C2">
        <w:rPr>
          <w:sz w:val="24"/>
          <w:szCs w:val="24"/>
        </w:rPr>
        <w:t>, 20(3), p.1753.</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047BA81" w14:textId="77777777" w:rsidR="002A1A44" w:rsidRPr="00EE5BC3" w:rsidRDefault="002A1A44" w:rsidP="004A2C6A">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F057870" w:rsidR="00E559CE" w:rsidRPr="00B17FA0" w:rsidRDefault="00A315DE" w:rsidP="00B94443">
            <w:pPr>
              <w:jc w:val="both"/>
              <w:rPr>
                <w:sz w:val="24"/>
                <w:szCs w:val="24"/>
              </w:rPr>
            </w:pPr>
            <w:r>
              <w:rPr>
                <w:sz w:val="24"/>
                <w:szCs w:val="24"/>
              </w:rPr>
              <w:t>25/11/2025</w:t>
            </w:r>
          </w:p>
        </w:tc>
      </w:tr>
      <w:tr w:rsidR="00E559CE" w:rsidRPr="00B17FA0" w14:paraId="05C1FAE9" w14:textId="77777777" w:rsidTr="00B94443">
        <w:tc>
          <w:tcPr>
            <w:tcW w:w="5094" w:type="dxa"/>
          </w:tcPr>
          <w:p w14:paraId="2BDB6661" w14:textId="30933243" w:rsidR="00E559CE" w:rsidRPr="00B17FA0" w:rsidRDefault="00E559CE" w:rsidP="00B94443">
            <w:pPr>
              <w:jc w:val="both"/>
              <w:rPr>
                <w:sz w:val="24"/>
                <w:szCs w:val="24"/>
              </w:rPr>
            </w:pPr>
            <w:r w:rsidRPr="00B17FA0">
              <w:rPr>
                <w:sz w:val="24"/>
                <w:szCs w:val="24"/>
              </w:rPr>
              <w:t>2</w:t>
            </w:r>
          </w:p>
        </w:tc>
        <w:tc>
          <w:tcPr>
            <w:tcW w:w="5094" w:type="dxa"/>
          </w:tcPr>
          <w:p w14:paraId="1AF3604C" w14:textId="734DB284" w:rsidR="00E559CE" w:rsidRPr="00B17FA0" w:rsidRDefault="007B7AA1" w:rsidP="00B94443">
            <w:pPr>
              <w:jc w:val="both"/>
              <w:rPr>
                <w:sz w:val="24"/>
                <w:szCs w:val="24"/>
              </w:rPr>
            </w:pPr>
            <w:r>
              <w:rPr>
                <w:sz w:val="24"/>
                <w:szCs w:val="24"/>
              </w:rPr>
              <w:t>24/02/2026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078D1A7" w:rsidR="00E559CE" w:rsidRPr="00B17FA0" w:rsidRDefault="007B7AA1" w:rsidP="00B94443">
            <w:pPr>
              <w:jc w:val="both"/>
              <w:rPr>
                <w:sz w:val="24"/>
                <w:szCs w:val="24"/>
              </w:rPr>
            </w:pPr>
            <w:r>
              <w:rPr>
                <w:sz w:val="24"/>
                <w:szCs w:val="24"/>
              </w:rPr>
              <w:t>19/05/2026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0AB1E7B" w:rsidR="00E559CE" w:rsidRPr="00B17FA0" w:rsidRDefault="00A315DE" w:rsidP="00B94443">
            <w:pPr>
              <w:jc w:val="both"/>
              <w:rPr>
                <w:sz w:val="24"/>
                <w:szCs w:val="24"/>
              </w:rPr>
            </w:pPr>
            <w:r>
              <w:rPr>
                <w:sz w:val="24"/>
                <w:szCs w:val="24"/>
              </w:rPr>
              <w:t>03/09/2026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AA8E54A" w14:textId="77777777" w:rsidR="00BE5C1B" w:rsidRPr="00BE5C1B" w:rsidRDefault="00BE5C1B" w:rsidP="00BE5C1B">
            <w:pPr>
              <w:overflowPunct/>
              <w:autoSpaceDE/>
              <w:autoSpaceDN/>
              <w:adjustRightInd/>
              <w:spacing w:after="160" w:line="259" w:lineRule="auto"/>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 xml:space="preserve">Over the past year I have observed the student to have developed into a confident and competent social worker. She is conscientious and goes the extra mile for the individuals and their families. She is an asset to the team, proving to be reliable and supportive of her colleagues. </w:t>
            </w:r>
          </w:p>
          <w:p w14:paraId="0C710E65" w14:textId="77777777" w:rsidR="00BE5C1B" w:rsidRPr="00BE5C1B" w:rsidRDefault="00BE5C1B" w:rsidP="00BE5C1B">
            <w:pPr>
              <w:overflowPunct/>
              <w:autoSpaceDE/>
              <w:autoSpaceDN/>
              <w:adjustRightInd/>
              <w:spacing w:after="160" w:line="259" w:lineRule="auto"/>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 xml:space="preserve">I have observed the student to demonstrate excellent collaborative communication skills with the individuals she supports as well as a variety of professional services. The student can adapt her communication style appropriately and with ease depending on the situation and audience. She demonstrates genuine warmth and empathy during direct work with the individuals and their families. This is an invaluable skill in social work as by investing time and demonstrating commitment to individuals – the student has successfully established trusting relationships and able to have meaningful what matters conversations / assessments. This all contributes to achieving better outcomes for the individual.  </w:t>
            </w:r>
          </w:p>
          <w:p w14:paraId="6841E93E" w14:textId="77777777" w:rsidR="00BE5C1B" w:rsidRPr="00BE5C1B" w:rsidRDefault="00BE5C1B" w:rsidP="00BE5C1B">
            <w:pPr>
              <w:overflowPunct/>
              <w:autoSpaceDE/>
              <w:autoSpaceDN/>
              <w:adjustRightInd/>
              <w:spacing w:after="160" w:line="259" w:lineRule="auto"/>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 xml:space="preserve">The student works well with other professionals, her role requires daily involvement with agencies including; health, police and housing for example. She has established good working relationships in multidisciplinary settings. This includes confidence to challenge other professionals when needed and appropriate. The student has worked complex cases requiring hospital admission and subsequent multidisciplinary discharge planning. During discharge meetings she has demonstrated skills in assertiveness and advocacy on behalf of individuals to ensure all aspects of care are in place to </w:t>
            </w:r>
            <w:r w:rsidRPr="00BE5C1B">
              <w:rPr>
                <w:rFonts w:ascii="Aptos" w:eastAsia="Aptos" w:hAnsi="Aptos"/>
                <w:color w:val="auto"/>
                <w:sz w:val="22"/>
                <w:szCs w:val="22"/>
                <w:lang w:eastAsia="en-US"/>
                <w14:ligatures w14:val="standardContextual"/>
              </w:rPr>
              <w:lastRenderedPageBreak/>
              <w:t xml:space="preserve">facilitate timely and safe discharge. The student has been spending 1 day per week based in a large hospital, coordinating discharges. Through this experience the student has developed an in-depth knowledge of the challenges faced within hospital settings. The student has been a credit to the team in this hospital-based role; improving communication between health and social services as well as improving outcomes for individuals.  </w:t>
            </w:r>
          </w:p>
          <w:p w14:paraId="439DE456" w14:textId="77777777" w:rsidR="00BE5C1B" w:rsidRPr="00BE5C1B" w:rsidRDefault="00BE5C1B" w:rsidP="00BE5C1B">
            <w:pPr>
              <w:overflowPunct/>
              <w:autoSpaceDE/>
              <w:autoSpaceDN/>
              <w:adjustRightInd/>
              <w:spacing w:after="160" w:line="259" w:lineRule="auto"/>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 xml:space="preserve">Another key skill the student has demonstrated good application of is professional curiosity, particularly in cases with any element of safeguarding.  The student’s assessments are consistently thorough and in-depth, delving beyond the superficial and avoiding assumptions. The student is eager to take on complex cases, whilst continuing to take full advantage of supervision and guidance from more experienced workers in the team. The student will appropriately seek out support from senior social workers or the team manager for joints visits – for example in cases where there is uncertainty with regards assessing capacity under the Mental Capacity Act 2005. The ability to seek out support is crucial as a newly qualified social worker, it demonstrates awareness of the student’s areas for development as well as a clear wish to ensure the best outcomes for the individual. This links in with the student’s use of reflection and ability to identify areas of her practice that require further development. </w:t>
            </w:r>
          </w:p>
          <w:p w14:paraId="1B4D97E7" w14:textId="77777777" w:rsidR="00BE5C1B" w:rsidRPr="00BE5C1B" w:rsidRDefault="00BE5C1B" w:rsidP="00BE5C1B">
            <w:pPr>
              <w:overflowPunct/>
              <w:autoSpaceDE/>
              <w:autoSpaceDN/>
              <w:adjustRightInd/>
              <w:spacing w:after="160" w:line="259" w:lineRule="auto"/>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The student has demonstrated insight into the ever-changing nature of social work practice; in that situations can change/deteriorate rapidly, and social workers must be prepared to adapt and react efficiently. The student has demonstrated confidence in responding to crisis, balancing the management of risk with the wishes and feelings of the individual i.e. understanding of The Human Rights Act 1998; the right to liberty /safety (Article 5) and the right to family life/privacy (Article 8).</w:t>
            </w:r>
          </w:p>
          <w:p w14:paraId="0AC93889" w14:textId="77777777" w:rsidR="00BE5C1B" w:rsidRPr="00BE5C1B" w:rsidRDefault="00BE5C1B" w:rsidP="00BE5C1B">
            <w:pPr>
              <w:overflowPunct/>
              <w:autoSpaceDE/>
              <w:autoSpaceDN/>
              <w:adjustRightInd/>
              <w:spacing w:after="160" w:line="259" w:lineRule="auto"/>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Overall, the student is eager to achieve the best outcomes for the individuals she supports. Her work is consistently person-centred; this is reflected in her detailed assessments and clear rapport with individuals. Positive feedback from individuals and their families demonstrates her ability to build trust, communicate openly, and create a supportive environment.</w:t>
            </w:r>
          </w:p>
          <w:p w14:paraId="648A9B69" w14:textId="77777777" w:rsidR="00BE5C1B" w:rsidRPr="00BE5C1B" w:rsidRDefault="00BE5C1B" w:rsidP="00BE5C1B">
            <w:pPr>
              <w:overflowPunct/>
              <w:autoSpaceDE/>
              <w:autoSpaceDN/>
              <w:adjustRightInd/>
              <w:spacing w:after="160" w:line="259" w:lineRule="auto"/>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For future development, I recommend:</w:t>
            </w:r>
          </w:p>
          <w:p w14:paraId="3478FB77" w14:textId="77777777" w:rsidR="00BE5C1B" w:rsidRPr="00BE5C1B" w:rsidRDefault="00BE5C1B" w:rsidP="00BE5C1B">
            <w:pPr>
              <w:numPr>
                <w:ilvl w:val="0"/>
                <w:numId w:val="54"/>
              </w:numPr>
              <w:overflowPunct/>
              <w:autoSpaceDE/>
              <w:autoSpaceDN/>
              <w:adjustRightInd/>
              <w:spacing w:after="160" w:line="259" w:lineRule="auto"/>
              <w:contextualSpacing/>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 xml:space="preserve">Continued commitment to attend regular training opportunities – for example any training available around the Menta Capacity Act 2005. Regular attendance at training ensures development of knowledge and reaffirms understanding and the ability to apply the Act / assess capacity with confidence. </w:t>
            </w:r>
          </w:p>
          <w:p w14:paraId="2053C26C" w14:textId="77777777" w:rsidR="00BE5C1B" w:rsidRPr="00BE5C1B" w:rsidRDefault="00BE5C1B" w:rsidP="00BE5C1B">
            <w:pPr>
              <w:numPr>
                <w:ilvl w:val="0"/>
                <w:numId w:val="54"/>
              </w:numPr>
              <w:overflowPunct/>
              <w:autoSpaceDE/>
              <w:autoSpaceDN/>
              <w:adjustRightInd/>
              <w:spacing w:after="160" w:line="259" w:lineRule="auto"/>
              <w:contextualSpacing/>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 xml:space="preserve">Continued application of reflective practice and use of supervision. Reflection is a crucial skill in identifying where practice can be improved / actions be undertaken differently in the future. </w:t>
            </w:r>
          </w:p>
          <w:p w14:paraId="485679EF" w14:textId="77777777" w:rsidR="00BE5C1B" w:rsidRPr="00BE5C1B" w:rsidRDefault="00BE5C1B" w:rsidP="00BE5C1B">
            <w:pPr>
              <w:numPr>
                <w:ilvl w:val="0"/>
                <w:numId w:val="54"/>
              </w:numPr>
              <w:overflowPunct/>
              <w:autoSpaceDE/>
              <w:autoSpaceDN/>
              <w:adjustRightInd/>
              <w:spacing w:after="160" w:line="259" w:lineRule="auto"/>
              <w:contextualSpacing/>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 xml:space="preserve">Continued development of analytical skills. Being able to analyse and draw meaning from information allows for proportionate and justifiable professional decision making.   </w:t>
            </w:r>
          </w:p>
          <w:p w14:paraId="3890915A" w14:textId="77777777" w:rsidR="00BE5C1B" w:rsidRPr="00BE5C1B" w:rsidRDefault="00BE5C1B" w:rsidP="00BE5C1B">
            <w:pPr>
              <w:numPr>
                <w:ilvl w:val="0"/>
                <w:numId w:val="54"/>
              </w:numPr>
              <w:overflowPunct/>
              <w:autoSpaceDE/>
              <w:autoSpaceDN/>
              <w:adjustRightInd/>
              <w:spacing w:after="160" w:line="259" w:lineRule="auto"/>
              <w:contextualSpacing/>
              <w:textAlignment w:val="auto"/>
              <w:rPr>
                <w:rFonts w:ascii="Aptos" w:eastAsia="Aptos" w:hAnsi="Aptos"/>
                <w:color w:val="auto"/>
                <w:sz w:val="22"/>
                <w:szCs w:val="22"/>
                <w:lang w:eastAsia="en-US"/>
                <w14:ligatures w14:val="standardContextual"/>
              </w:rPr>
            </w:pPr>
            <w:r w:rsidRPr="00BE5C1B">
              <w:rPr>
                <w:rFonts w:ascii="Aptos" w:eastAsia="Aptos" w:hAnsi="Aptos"/>
                <w:color w:val="auto"/>
                <w:sz w:val="22"/>
                <w:szCs w:val="22"/>
                <w:lang w:eastAsia="en-US"/>
                <w14:ligatures w14:val="standardContextual"/>
              </w:rPr>
              <w:t xml:space="preserve">Consideration of undertaking further training such as Approved Mental Health Professional. </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2D775D9A" w14:textId="1E5DABF8" w:rsidR="00500748" w:rsidRPr="00EE5BC3" w:rsidRDefault="00064063" w:rsidP="00BE5C1B">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0A303C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315DE">
        <w:rPr>
          <w:b/>
          <w:sz w:val="24"/>
          <w:szCs w:val="24"/>
        </w:rPr>
        <w:t>Christine Ritter-Peake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2B9ACF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315DE">
        <w:rPr>
          <w:b/>
          <w:sz w:val="24"/>
          <w:szCs w:val="24"/>
        </w:rPr>
        <w:t xml:space="preserve"> </w:t>
      </w:r>
      <w:r w:rsidR="00A315DE" w:rsidRPr="00A315DE">
        <w:rPr>
          <w:bCs/>
          <w:color w:val="auto"/>
          <w:sz w:val="24"/>
          <w:szCs w:val="24"/>
        </w:rPr>
        <w:t>2521892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FBE88A8" w14:textId="77777777" w:rsidR="00A315D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315DE">
        <w:rPr>
          <w:b/>
          <w:sz w:val="24"/>
          <w:szCs w:val="24"/>
        </w:rPr>
        <w:t xml:space="preserve"> </w:t>
      </w:r>
    </w:p>
    <w:p w14:paraId="2A43FFE7" w14:textId="77777777" w:rsidR="00A315DE" w:rsidRDefault="00A315DE" w:rsidP="00A315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Cyngor Gwynedd, </w:t>
      </w:r>
    </w:p>
    <w:p w14:paraId="0DBCF91E" w14:textId="77777777" w:rsidR="00A315DE" w:rsidRDefault="00A315DE" w:rsidP="00A315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Ffordd y Cob, </w:t>
      </w:r>
    </w:p>
    <w:p w14:paraId="6828935B" w14:textId="080B267B" w:rsidR="009E6B87" w:rsidRDefault="009E6B87" w:rsidP="00A315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Pwllheli</w:t>
      </w:r>
    </w:p>
    <w:p w14:paraId="25ADB038" w14:textId="77777777" w:rsidR="00A315DE" w:rsidRDefault="00A315DE" w:rsidP="00A315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LL53 5AA</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3A742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315DE">
        <w:rPr>
          <w:b/>
          <w:sz w:val="24"/>
          <w:szCs w:val="24"/>
        </w:rPr>
        <w:t xml:space="preserve"> 0</w:t>
      </w:r>
      <w:r w:rsidR="009E6B87">
        <w:rPr>
          <w:b/>
          <w:sz w:val="24"/>
          <w:szCs w:val="24"/>
        </w:rPr>
        <w:t>1758 704099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94D7C0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315DE">
        <w:rPr>
          <w:b/>
          <w:sz w:val="24"/>
          <w:szCs w:val="24"/>
        </w:rPr>
        <w:t xml:space="preserve"> christineritterpeake@gwynedd.llyw.cymru</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7F7D98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315DE">
        <w:rPr>
          <w:b/>
          <w:sz w:val="24"/>
          <w:szCs w:val="24"/>
        </w:rPr>
        <w:t>28/09/2020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7609F4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315DE">
        <w:rPr>
          <w:b/>
          <w:sz w:val="24"/>
          <w:szCs w:val="24"/>
        </w:rPr>
        <w:t xml:space="preserve"> 23/12/2022</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0BCD1F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315DE">
        <w:rPr>
          <w:b/>
          <w:sz w:val="24"/>
          <w:szCs w:val="24"/>
        </w:rPr>
        <w:t xml:space="preserve"> Cyngor Gwynedd</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FEC0A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315DE">
        <w:rPr>
          <w:b/>
          <w:sz w:val="24"/>
          <w:szCs w:val="24"/>
        </w:rPr>
        <w:t xml:space="preserve"> Lea Merian Jones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4C8B813E" w:rsidR="004923DA" w:rsidRDefault="00A315D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Cyngor Gwynedd, </w:t>
      </w:r>
    </w:p>
    <w:p w14:paraId="17BBCDDA" w14:textId="24F8B583" w:rsidR="00A315DE" w:rsidRDefault="00A315D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Ffordd y Cob, </w:t>
      </w:r>
    </w:p>
    <w:p w14:paraId="5AD637C3" w14:textId="7C19439B" w:rsidR="009E6B87" w:rsidRDefault="009E6B8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Pwllheli</w:t>
      </w:r>
    </w:p>
    <w:p w14:paraId="749801B9" w14:textId="593A4B2A" w:rsidR="00A315DE" w:rsidRDefault="00A315D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LL53 5AA</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B0C33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E6B87">
        <w:rPr>
          <w:b/>
          <w:sz w:val="24"/>
          <w:szCs w:val="24"/>
        </w:rPr>
        <w:t xml:space="preserve"> 01758 704099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4DF994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E-Mail address: </w:t>
      </w:r>
      <w:r w:rsidR="00A315DE">
        <w:rPr>
          <w:b/>
          <w:sz w:val="24"/>
          <w:szCs w:val="24"/>
        </w:rPr>
        <w:t>leamerianjones@gwynedd.llyw.cymru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96866A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E6B87">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4ECF5F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E6B87">
        <w:rPr>
          <w:b/>
          <w:sz w:val="24"/>
          <w:szCs w:val="24"/>
        </w:rPr>
        <w:t xml:space="preserve"> Sarah Pozzi</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FB8CA39" w14:textId="77777777" w:rsidR="009E6B87" w:rsidRDefault="009E6B87" w:rsidP="009E6B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Cyngor Gwynedd, </w:t>
      </w:r>
    </w:p>
    <w:p w14:paraId="7F32C21F" w14:textId="77777777" w:rsidR="009E6B87" w:rsidRDefault="009E6B87" w:rsidP="009E6B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Ffordd y Cob, </w:t>
      </w:r>
    </w:p>
    <w:p w14:paraId="1BCF6D78" w14:textId="11F24352" w:rsidR="009E6B87" w:rsidRDefault="009E6B87" w:rsidP="009E6B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Pwllheli</w:t>
      </w:r>
    </w:p>
    <w:p w14:paraId="594E2229" w14:textId="77777777" w:rsidR="009E6B87" w:rsidRDefault="009E6B87" w:rsidP="009E6B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LL53 5AA</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B1444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E6B87">
        <w:rPr>
          <w:b/>
          <w:sz w:val="24"/>
          <w:szCs w:val="24"/>
        </w:rPr>
        <w:t xml:space="preserve"> 01758 704099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CBE771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E6B87">
        <w:rPr>
          <w:b/>
          <w:sz w:val="24"/>
          <w:szCs w:val="24"/>
        </w:rPr>
        <w:t xml:space="preserve"> sarahpozzi@gwynedd.llyw.cymru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164B7BC" w:rsidR="004923DA" w:rsidRDefault="004923DA" w:rsidP="00FF7EBB">
            <w:pPr>
              <w:jc w:val="both"/>
              <w:rPr>
                <w:b/>
                <w:sz w:val="24"/>
                <w:szCs w:val="24"/>
              </w:rPr>
            </w:pPr>
            <w:r w:rsidRPr="008B28E7">
              <w:rPr>
                <w:b/>
                <w:sz w:val="24"/>
                <w:szCs w:val="24"/>
              </w:rPr>
              <w:t>Name:</w:t>
            </w:r>
            <w:r w:rsidR="009E6B87">
              <w:rPr>
                <w:b/>
                <w:sz w:val="24"/>
                <w:szCs w:val="24"/>
              </w:rPr>
              <w:t xml:space="preserve"> Helen Gwent Dobson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7E17D5F" w14:textId="51BEDCD9" w:rsidR="009E6B87" w:rsidRDefault="009E6B87" w:rsidP="00FF7EBB">
            <w:pPr>
              <w:jc w:val="both"/>
              <w:rPr>
                <w:b/>
                <w:sz w:val="24"/>
                <w:szCs w:val="24"/>
              </w:rPr>
            </w:pPr>
            <w:r>
              <w:rPr>
                <w:b/>
                <w:sz w:val="24"/>
                <w:szCs w:val="24"/>
              </w:rPr>
              <w:t xml:space="preserve">Cyngor Gwynedd, </w:t>
            </w:r>
          </w:p>
          <w:p w14:paraId="71106356" w14:textId="1116FA21" w:rsidR="009E6B87" w:rsidRDefault="009E6B87" w:rsidP="00FF7EBB">
            <w:pPr>
              <w:jc w:val="both"/>
              <w:rPr>
                <w:b/>
                <w:sz w:val="24"/>
                <w:szCs w:val="24"/>
              </w:rPr>
            </w:pPr>
            <w:r>
              <w:rPr>
                <w:b/>
                <w:sz w:val="24"/>
                <w:szCs w:val="24"/>
              </w:rPr>
              <w:t xml:space="preserve">Ffordd y Cob, </w:t>
            </w:r>
          </w:p>
          <w:p w14:paraId="7765591B" w14:textId="2E87AAA9" w:rsidR="009E6B87" w:rsidRDefault="009E6B87" w:rsidP="00FF7EBB">
            <w:pPr>
              <w:jc w:val="both"/>
              <w:rPr>
                <w:b/>
                <w:sz w:val="24"/>
                <w:szCs w:val="24"/>
              </w:rPr>
            </w:pPr>
            <w:r>
              <w:rPr>
                <w:b/>
                <w:sz w:val="24"/>
                <w:szCs w:val="24"/>
              </w:rPr>
              <w:t xml:space="preserve">Pwllheli, </w:t>
            </w:r>
          </w:p>
          <w:p w14:paraId="2960C5B4" w14:textId="16DE849F" w:rsidR="009E6B87" w:rsidRDefault="009E6B87" w:rsidP="00FF7EBB">
            <w:pPr>
              <w:jc w:val="both"/>
              <w:rPr>
                <w:b/>
                <w:sz w:val="24"/>
                <w:szCs w:val="24"/>
              </w:rPr>
            </w:pPr>
            <w:r>
              <w:rPr>
                <w:b/>
                <w:sz w:val="24"/>
                <w:szCs w:val="24"/>
              </w:rPr>
              <w:t>LL57 5AA</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47F21F4" w:rsidR="004923DA" w:rsidRPr="008B28E7" w:rsidRDefault="004923DA" w:rsidP="00FF7EBB">
            <w:pPr>
              <w:jc w:val="both"/>
              <w:rPr>
                <w:b/>
                <w:sz w:val="24"/>
                <w:szCs w:val="24"/>
              </w:rPr>
            </w:pPr>
            <w:r w:rsidRPr="008B28E7">
              <w:rPr>
                <w:b/>
                <w:sz w:val="24"/>
                <w:szCs w:val="24"/>
              </w:rPr>
              <w:t>Professional Qualification and date of qualification:</w:t>
            </w:r>
            <w:r w:rsidR="009E6B87">
              <w:rPr>
                <w:b/>
                <w:sz w:val="24"/>
                <w:szCs w:val="24"/>
              </w:rPr>
              <w:t xml:space="preserve"> Social Worker, qualified</w:t>
            </w:r>
            <w:r w:rsidR="00B21F9B">
              <w:rPr>
                <w:b/>
                <w:sz w:val="24"/>
                <w:szCs w:val="24"/>
              </w:rPr>
              <w:t xml:space="preserve"> 23/02/2016</w:t>
            </w:r>
            <w:r w:rsidR="009E6B87">
              <w:rPr>
                <w:b/>
                <w:sz w:val="24"/>
                <w:szCs w:val="24"/>
              </w:rPr>
              <w:t xml:space="preserve"> </w:t>
            </w:r>
          </w:p>
          <w:p w14:paraId="5F68A3CF" w14:textId="77777777" w:rsidR="004923DA" w:rsidRDefault="004923DA" w:rsidP="00FF7EBB">
            <w:pPr>
              <w:jc w:val="both"/>
              <w:rPr>
                <w:b/>
                <w:sz w:val="24"/>
                <w:szCs w:val="24"/>
              </w:rPr>
            </w:pPr>
          </w:p>
          <w:p w14:paraId="4C6113F1" w14:textId="3126B850" w:rsidR="004923DA" w:rsidRDefault="009D59C2" w:rsidP="00FF7EBB">
            <w:pPr>
              <w:jc w:val="both"/>
              <w:rPr>
                <w:b/>
                <w:sz w:val="24"/>
                <w:szCs w:val="24"/>
              </w:rPr>
            </w:pPr>
            <w:r>
              <w:rPr>
                <w:b/>
                <w:sz w:val="24"/>
                <w:szCs w:val="24"/>
              </w:rPr>
              <w:t>T</w:t>
            </w:r>
            <w:r w:rsidR="004923DA" w:rsidRPr="008B28E7">
              <w:rPr>
                <w:b/>
                <w:sz w:val="24"/>
                <w:szCs w:val="24"/>
              </w:rPr>
              <w:t>elephone number:</w:t>
            </w:r>
            <w:r w:rsidR="009E6B87">
              <w:rPr>
                <w:b/>
                <w:sz w:val="24"/>
                <w:szCs w:val="24"/>
              </w:rPr>
              <w:t xml:space="preserve"> 01758 704099</w:t>
            </w:r>
          </w:p>
          <w:p w14:paraId="0BB87919" w14:textId="548A11EF" w:rsidR="009D59C2" w:rsidRDefault="009D59C2" w:rsidP="00FF7EBB">
            <w:pPr>
              <w:jc w:val="both"/>
              <w:rPr>
                <w:b/>
                <w:sz w:val="24"/>
                <w:szCs w:val="24"/>
              </w:rPr>
            </w:pPr>
          </w:p>
          <w:p w14:paraId="4FDEE73F" w14:textId="2F1F379C" w:rsidR="009D59C2" w:rsidRPr="008B28E7" w:rsidRDefault="009D59C2" w:rsidP="00FF7EBB">
            <w:pPr>
              <w:jc w:val="both"/>
              <w:rPr>
                <w:b/>
                <w:sz w:val="24"/>
                <w:szCs w:val="24"/>
              </w:rPr>
            </w:pPr>
            <w:r>
              <w:rPr>
                <w:b/>
                <w:sz w:val="24"/>
                <w:szCs w:val="24"/>
              </w:rPr>
              <w:t>Email address:</w:t>
            </w:r>
            <w:r w:rsidR="009E6B87">
              <w:rPr>
                <w:b/>
                <w:sz w:val="24"/>
                <w:szCs w:val="24"/>
              </w:rPr>
              <w:t xml:space="preserve"> oedolionllyn@gwynedd.llyw.cymru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5A663A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9E6B87" w:rsidRPr="009E6B87">
        <w:rPr>
          <w:rFonts w:ascii="Bradley Hand ITC" w:hAnsi="Bradley Hand ITC"/>
          <w:b/>
          <w:bCs/>
          <w:sz w:val="24"/>
          <w:szCs w:val="24"/>
        </w:rPr>
        <w:t>Christine Ritter-Peake</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0D36E7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E6B87">
        <w:rPr>
          <w:sz w:val="24"/>
          <w:szCs w:val="24"/>
        </w:rPr>
        <w:t>06/10/2026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AC0612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9E6B87">
        <w:rPr>
          <w:rFonts w:ascii="Bradley Hand ITC" w:hAnsi="Bradley Hand ITC"/>
          <w:b/>
          <w:bCs/>
          <w:sz w:val="24"/>
          <w:szCs w:val="24"/>
        </w:rPr>
        <w:t>Helen Gwent Dobson</w:t>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57F9039" w14:textId="2982525C" w:rsidR="009E6B87" w:rsidRPr="00972522" w:rsidRDefault="00B577D3" w:rsidP="00972522">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5493D">
        <w:rPr>
          <w:sz w:val="24"/>
          <w:szCs w:val="24"/>
        </w:rPr>
        <w:t>31/03/2026</w:t>
      </w: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2AD613B" w:rsidR="00335C41" w:rsidRPr="00D3203C" w:rsidRDefault="00335C41" w:rsidP="00335C41">
            <w:pPr>
              <w:ind w:right="180"/>
              <w:jc w:val="both"/>
              <w:rPr>
                <w:sz w:val="24"/>
                <w:szCs w:val="24"/>
              </w:rPr>
            </w:pPr>
            <w:r w:rsidRPr="00D3203C">
              <w:rPr>
                <w:sz w:val="24"/>
                <w:szCs w:val="24"/>
              </w:rPr>
              <w:t>Signed</w:t>
            </w:r>
            <w:r w:rsidR="0025493D">
              <w:rPr>
                <w:sz w:val="24"/>
                <w:szCs w:val="24"/>
              </w:rPr>
              <w:t xml:space="preserve">: </w:t>
            </w:r>
            <w:r w:rsidR="0025493D" w:rsidRPr="0025493D">
              <w:rPr>
                <w:rFonts w:ascii="Bradley Hand ITC" w:hAnsi="Bradley Hand ITC"/>
                <w:b/>
                <w:bCs/>
                <w:sz w:val="24"/>
                <w:szCs w:val="24"/>
              </w:rPr>
              <w:t>Sarah Pozzi</w:t>
            </w:r>
            <w:r w:rsidR="0025493D">
              <w:rPr>
                <w:rFonts w:ascii="Bradley Hand ITC" w:hAnsi="Bradley Hand ITC"/>
                <w:sz w:val="24"/>
                <w:szCs w:val="24"/>
              </w:rPr>
              <w:t xml:space="preserve"> </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37A8C69C" w:rsidR="00335C41" w:rsidRPr="00D3203C" w:rsidRDefault="00335C41" w:rsidP="00335C41">
            <w:pPr>
              <w:ind w:right="180"/>
              <w:jc w:val="both"/>
              <w:rPr>
                <w:sz w:val="24"/>
                <w:szCs w:val="24"/>
              </w:rPr>
            </w:pPr>
            <w:r w:rsidRPr="00D3203C">
              <w:rPr>
                <w:sz w:val="24"/>
                <w:szCs w:val="24"/>
              </w:rPr>
              <w:t>Date ____</w:t>
            </w:r>
            <w:r w:rsidR="00BE5C1B">
              <w:rPr>
                <w:sz w:val="24"/>
                <w:szCs w:val="24"/>
              </w:rPr>
              <w:t>09/09/2026</w:t>
            </w:r>
            <w:r w:rsidRPr="00D3203C">
              <w:rPr>
                <w:sz w:val="24"/>
                <w:szCs w:val="24"/>
              </w:rPr>
              <w:t>_______________</w:t>
            </w:r>
          </w:p>
          <w:p w14:paraId="21FFCE4E" w14:textId="13153E0B" w:rsidR="00335C41" w:rsidRPr="00706BB5" w:rsidRDefault="00335C41" w:rsidP="00972522">
            <w:pPr>
              <w:keepNext/>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628DA3A0" w14:textId="77777777" w:rsidR="00972522" w:rsidRDefault="00972522" w:rsidP="00FF7EBB">
      <w:pPr>
        <w:overflowPunct/>
        <w:autoSpaceDE/>
        <w:autoSpaceDN/>
        <w:adjustRightInd/>
        <w:jc w:val="both"/>
        <w:textAlignment w:val="auto"/>
        <w:rPr>
          <w:color w:val="auto"/>
          <w:sz w:val="24"/>
          <w:szCs w:val="24"/>
        </w:rPr>
      </w:pPr>
    </w:p>
    <w:p w14:paraId="7F2B4EFE" w14:textId="77777777" w:rsidR="00972522" w:rsidRDefault="00972522" w:rsidP="00FF7EBB">
      <w:pPr>
        <w:overflowPunct/>
        <w:autoSpaceDE/>
        <w:autoSpaceDN/>
        <w:adjustRightInd/>
        <w:jc w:val="both"/>
        <w:textAlignment w:val="auto"/>
        <w:rPr>
          <w:color w:val="auto"/>
          <w:sz w:val="24"/>
          <w:szCs w:val="24"/>
        </w:rPr>
      </w:pPr>
    </w:p>
    <w:p w14:paraId="14ADA78E" w14:textId="77777777" w:rsidR="00972522" w:rsidRDefault="00972522" w:rsidP="00FF7EBB">
      <w:pPr>
        <w:overflowPunct/>
        <w:autoSpaceDE/>
        <w:autoSpaceDN/>
        <w:adjustRightInd/>
        <w:jc w:val="both"/>
        <w:textAlignment w:val="auto"/>
        <w:rPr>
          <w:color w:val="auto"/>
          <w:sz w:val="24"/>
          <w:szCs w:val="24"/>
        </w:rPr>
      </w:pPr>
    </w:p>
    <w:p w14:paraId="09CE36B0" w14:textId="77777777" w:rsidR="00972522" w:rsidRDefault="00972522" w:rsidP="00FF7EBB">
      <w:pPr>
        <w:overflowPunct/>
        <w:autoSpaceDE/>
        <w:autoSpaceDN/>
        <w:adjustRightInd/>
        <w:jc w:val="both"/>
        <w:textAlignment w:val="auto"/>
        <w:rPr>
          <w:color w:val="auto"/>
          <w:sz w:val="24"/>
          <w:szCs w:val="24"/>
        </w:rPr>
      </w:pPr>
    </w:p>
    <w:p w14:paraId="017C4EF3" w14:textId="77777777" w:rsidR="00972522" w:rsidRDefault="00972522" w:rsidP="00FF7EBB">
      <w:pPr>
        <w:overflowPunct/>
        <w:autoSpaceDE/>
        <w:autoSpaceDN/>
        <w:adjustRightInd/>
        <w:jc w:val="both"/>
        <w:textAlignment w:val="auto"/>
        <w:rPr>
          <w:color w:val="auto"/>
          <w:sz w:val="24"/>
          <w:szCs w:val="24"/>
        </w:rPr>
      </w:pPr>
    </w:p>
    <w:p w14:paraId="6795AF42" w14:textId="77777777" w:rsidR="00972522" w:rsidRDefault="00972522" w:rsidP="00FF7EBB">
      <w:pPr>
        <w:overflowPunct/>
        <w:autoSpaceDE/>
        <w:autoSpaceDN/>
        <w:adjustRightInd/>
        <w:jc w:val="both"/>
        <w:textAlignment w:val="auto"/>
        <w:rPr>
          <w:color w:val="auto"/>
          <w:sz w:val="24"/>
          <w:szCs w:val="24"/>
        </w:rPr>
      </w:pPr>
    </w:p>
    <w:p w14:paraId="3FE6220F" w14:textId="77777777" w:rsidR="00972522" w:rsidRDefault="00972522" w:rsidP="00FF7EBB">
      <w:pPr>
        <w:overflowPunct/>
        <w:autoSpaceDE/>
        <w:autoSpaceDN/>
        <w:adjustRightInd/>
        <w:jc w:val="both"/>
        <w:textAlignment w:val="auto"/>
        <w:rPr>
          <w:color w:val="auto"/>
          <w:sz w:val="24"/>
          <w:szCs w:val="24"/>
        </w:rPr>
      </w:pPr>
    </w:p>
    <w:p w14:paraId="1B29512F" w14:textId="77777777" w:rsidR="00972522" w:rsidRDefault="00972522" w:rsidP="00FF7EBB">
      <w:pPr>
        <w:overflowPunct/>
        <w:autoSpaceDE/>
        <w:autoSpaceDN/>
        <w:adjustRightInd/>
        <w:jc w:val="both"/>
        <w:textAlignment w:val="auto"/>
        <w:rPr>
          <w:color w:val="auto"/>
          <w:sz w:val="24"/>
          <w:szCs w:val="24"/>
        </w:rPr>
      </w:pPr>
    </w:p>
    <w:p w14:paraId="224C9712" w14:textId="77777777" w:rsidR="00972522" w:rsidRDefault="00972522" w:rsidP="00FF7EBB">
      <w:pPr>
        <w:overflowPunct/>
        <w:autoSpaceDE/>
        <w:autoSpaceDN/>
        <w:adjustRightInd/>
        <w:jc w:val="both"/>
        <w:textAlignment w:val="auto"/>
        <w:rPr>
          <w:color w:val="auto"/>
          <w:sz w:val="24"/>
          <w:szCs w:val="24"/>
        </w:rPr>
      </w:pPr>
    </w:p>
    <w:p w14:paraId="5D0AB53E" w14:textId="77777777" w:rsidR="00972522" w:rsidRDefault="00972522" w:rsidP="00FF7EBB">
      <w:pPr>
        <w:overflowPunct/>
        <w:autoSpaceDE/>
        <w:autoSpaceDN/>
        <w:adjustRightInd/>
        <w:jc w:val="both"/>
        <w:textAlignment w:val="auto"/>
        <w:rPr>
          <w:color w:val="auto"/>
          <w:sz w:val="24"/>
          <w:szCs w:val="24"/>
        </w:rPr>
      </w:pPr>
    </w:p>
    <w:p w14:paraId="3D475E48" w14:textId="77777777" w:rsidR="00972522" w:rsidRDefault="00972522" w:rsidP="00FF7EBB">
      <w:pPr>
        <w:overflowPunct/>
        <w:autoSpaceDE/>
        <w:autoSpaceDN/>
        <w:adjustRightInd/>
        <w:jc w:val="both"/>
        <w:textAlignment w:val="auto"/>
        <w:rPr>
          <w:color w:val="auto"/>
          <w:sz w:val="24"/>
          <w:szCs w:val="24"/>
        </w:rPr>
      </w:pPr>
    </w:p>
    <w:p w14:paraId="65C2FDCA" w14:textId="77777777" w:rsidR="00972522" w:rsidRDefault="00972522" w:rsidP="00FF7EBB">
      <w:pPr>
        <w:overflowPunct/>
        <w:autoSpaceDE/>
        <w:autoSpaceDN/>
        <w:adjustRightInd/>
        <w:jc w:val="both"/>
        <w:textAlignment w:val="auto"/>
        <w:rPr>
          <w:color w:val="auto"/>
          <w:sz w:val="24"/>
          <w:szCs w:val="24"/>
        </w:rPr>
      </w:pPr>
    </w:p>
    <w:p w14:paraId="7ED0BDA7" w14:textId="77777777" w:rsidR="00972522" w:rsidRDefault="00972522" w:rsidP="00FF7EBB">
      <w:pPr>
        <w:overflowPunct/>
        <w:autoSpaceDE/>
        <w:autoSpaceDN/>
        <w:adjustRightInd/>
        <w:jc w:val="both"/>
        <w:textAlignment w:val="auto"/>
        <w:rPr>
          <w:color w:val="auto"/>
          <w:sz w:val="24"/>
          <w:szCs w:val="24"/>
        </w:rPr>
      </w:pPr>
    </w:p>
    <w:p w14:paraId="7074C08A" w14:textId="048F0C1F"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A739B6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25493D">
        <w:rPr>
          <w:caps/>
          <w:sz w:val="24"/>
          <w:szCs w:val="24"/>
        </w:rPr>
        <w:t>Sarah pozzi</w:t>
      </w:r>
    </w:p>
    <w:p w14:paraId="7C11F360" w14:textId="4DDF831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25493D" w:rsidRPr="0025493D">
        <w:rPr>
          <w:rFonts w:ascii="Bradley Hand ITC" w:hAnsi="Bradley Hand ITC"/>
          <w:b/>
          <w:bCs/>
          <w:sz w:val="24"/>
          <w:szCs w:val="24"/>
        </w:rPr>
        <w:t>Sarah Pozzi</w:t>
      </w:r>
    </w:p>
    <w:p w14:paraId="57B2A00A" w14:textId="4B4A219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157251">
        <w:rPr>
          <w:sz w:val="24"/>
          <w:szCs w:val="24"/>
        </w:rPr>
        <w:t>09/09/2026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D1BF7BD" w:rsidR="00D05A5D" w:rsidRPr="00DA5682" w:rsidRDefault="0025493D" w:rsidP="00CC14B6">
            <w:pPr>
              <w:rPr>
                <w:sz w:val="24"/>
                <w:szCs w:val="24"/>
              </w:rPr>
            </w:pPr>
            <w:r>
              <w:rPr>
                <w:sz w:val="24"/>
                <w:szCs w:val="24"/>
              </w:rPr>
              <w:t>Christine Ritter-Peake</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1CDD334F" w:rsidR="00D05A5D" w:rsidRPr="00DA5682" w:rsidRDefault="0025493D" w:rsidP="00CC14B6">
            <w:pPr>
              <w:rPr>
                <w:sz w:val="24"/>
                <w:szCs w:val="24"/>
              </w:rPr>
            </w:pPr>
            <w:r>
              <w:rPr>
                <w:sz w:val="24"/>
                <w:szCs w:val="24"/>
              </w:rPr>
              <w:t>Oedolion Llŷn</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4F27D91C" w:rsidR="00D05A5D" w:rsidRPr="00DA5682" w:rsidRDefault="0025493D" w:rsidP="0025493D">
            <w:pPr>
              <w:rPr>
                <w:sz w:val="24"/>
                <w:szCs w:val="24"/>
              </w:rPr>
            </w:pPr>
            <w:r>
              <w:rPr>
                <w:sz w:val="24"/>
                <w:szCs w:val="24"/>
              </w:rPr>
              <w:t>Sarah Pozzi</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AAF24D7" w:rsidR="00D05A5D" w:rsidRPr="00DA5682" w:rsidRDefault="0025493D" w:rsidP="00CC14B6">
            <w:pPr>
              <w:rPr>
                <w:sz w:val="24"/>
                <w:szCs w:val="24"/>
              </w:rPr>
            </w:pPr>
            <w:r>
              <w:rPr>
                <w:sz w:val="24"/>
                <w:szCs w:val="24"/>
              </w:rPr>
              <w:t>Sarah Pozzi</w:t>
            </w:r>
            <w:r w:rsidR="00972522">
              <w:rPr>
                <w:sz w:val="24"/>
                <w:szCs w:val="24"/>
              </w:rPr>
              <w:t>/ Helen Gwent-Dobson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5936A03" w:rsidR="00D05A5D" w:rsidRPr="00DA5682" w:rsidRDefault="00D05A5D" w:rsidP="00D05A5D">
      <w:pPr>
        <w:rPr>
          <w:sz w:val="24"/>
          <w:szCs w:val="24"/>
        </w:rPr>
      </w:pPr>
      <w:r w:rsidRPr="00DA5682">
        <w:rPr>
          <w:sz w:val="24"/>
          <w:szCs w:val="24"/>
        </w:rPr>
        <w:t>Signed:</w:t>
      </w:r>
      <w:r w:rsidR="00972522">
        <w:rPr>
          <w:rFonts w:ascii="Bradley Hand ITC" w:hAnsi="Bradley Hand ITC"/>
          <w:sz w:val="24"/>
          <w:szCs w:val="24"/>
        </w:rPr>
        <w:t>Christine Ritter-Peake</w:t>
      </w:r>
      <w:r w:rsidRPr="00DA5682">
        <w:rPr>
          <w:sz w:val="24"/>
          <w:szCs w:val="24"/>
        </w:rPr>
        <w:t xml:space="preserve"> Print Name</w:t>
      </w:r>
      <w:r w:rsidR="00972522">
        <w:rPr>
          <w:sz w:val="24"/>
          <w:szCs w:val="24"/>
        </w:rPr>
        <w:t>: CHRISTINE RITTER-PEAKE</w:t>
      </w:r>
      <w:r w:rsidRPr="00DA5682">
        <w:rPr>
          <w:sz w:val="24"/>
          <w:szCs w:val="24"/>
        </w:rPr>
        <w:t xml:space="preserve"> Date</w:t>
      </w:r>
      <w:r w:rsidR="00972522">
        <w:rPr>
          <w:sz w:val="24"/>
          <w:szCs w:val="24"/>
        </w:rPr>
        <w:t>: 06/11/2025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27A051F" w:rsidR="00D05A5D" w:rsidRPr="00DA5682" w:rsidRDefault="00D05A5D" w:rsidP="00D05A5D">
      <w:pPr>
        <w:rPr>
          <w:sz w:val="24"/>
          <w:szCs w:val="24"/>
        </w:rPr>
      </w:pPr>
      <w:r w:rsidRPr="00DA5682">
        <w:rPr>
          <w:sz w:val="24"/>
          <w:szCs w:val="24"/>
        </w:rPr>
        <w:t>Signed:</w:t>
      </w:r>
      <w:r w:rsidR="00972522">
        <w:rPr>
          <w:sz w:val="24"/>
          <w:szCs w:val="24"/>
        </w:rPr>
        <w:t xml:space="preserve"> </w:t>
      </w:r>
      <w:r w:rsidR="00972522">
        <w:rPr>
          <w:rFonts w:ascii="Bradley Hand ITC" w:hAnsi="Bradley Hand ITC"/>
          <w:sz w:val="24"/>
          <w:szCs w:val="24"/>
        </w:rPr>
        <w:t>Helen Gwent Dobson</w:t>
      </w:r>
      <w:r w:rsidRPr="00DA5682">
        <w:rPr>
          <w:sz w:val="24"/>
          <w:szCs w:val="24"/>
        </w:rPr>
        <w:t xml:space="preserve"> Print Name:</w:t>
      </w:r>
      <w:r w:rsidR="00972522">
        <w:rPr>
          <w:sz w:val="24"/>
          <w:szCs w:val="24"/>
        </w:rPr>
        <w:t xml:space="preserve"> HELEN GWENT DOBSON </w:t>
      </w:r>
      <w:r w:rsidRPr="00DA5682">
        <w:rPr>
          <w:sz w:val="24"/>
          <w:szCs w:val="24"/>
        </w:rPr>
        <w:t>Date</w:t>
      </w:r>
      <w:r w:rsidR="00972522">
        <w:rPr>
          <w:sz w:val="24"/>
          <w:szCs w:val="24"/>
        </w:rPr>
        <w:t>: 06/11/2025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633F2556" w:rsidR="00D05A5D" w:rsidRPr="00DA5682" w:rsidRDefault="00D05A5D" w:rsidP="00D05A5D">
      <w:pPr>
        <w:rPr>
          <w:sz w:val="24"/>
          <w:szCs w:val="24"/>
        </w:rPr>
      </w:pPr>
      <w:r w:rsidRPr="00DA5682">
        <w:rPr>
          <w:sz w:val="24"/>
          <w:szCs w:val="24"/>
        </w:rPr>
        <w:t>Signed</w:t>
      </w:r>
      <w:r w:rsidR="00972522">
        <w:rPr>
          <w:sz w:val="24"/>
          <w:szCs w:val="24"/>
        </w:rPr>
        <w:t xml:space="preserve">: </w:t>
      </w:r>
      <w:r w:rsidR="00972522">
        <w:rPr>
          <w:rFonts w:ascii="Bradley Hand ITC" w:hAnsi="Bradley Hand ITC"/>
          <w:sz w:val="24"/>
          <w:szCs w:val="24"/>
        </w:rPr>
        <w:t>Sarah Pozzi</w:t>
      </w:r>
      <w:r w:rsidRPr="00DA5682">
        <w:rPr>
          <w:sz w:val="24"/>
          <w:szCs w:val="24"/>
        </w:rPr>
        <w:t xml:space="preserve"> </w:t>
      </w:r>
      <w:r w:rsidR="00972522">
        <w:rPr>
          <w:sz w:val="24"/>
          <w:szCs w:val="24"/>
        </w:rPr>
        <w:tab/>
      </w:r>
      <w:r w:rsidRPr="00DA5682">
        <w:rPr>
          <w:sz w:val="24"/>
          <w:szCs w:val="24"/>
        </w:rPr>
        <w:t>Print Name:</w:t>
      </w:r>
      <w:r w:rsidR="00972522">
        <w:rPr>
          <w:sz w:val="24"/>
          <w:szCs w:val="24"/>
        </w:rPr>
        <w:t xml:space="preserve"> SARAH POZZI </w:t>
      </w:r>
      <w:r w:rsidR="00972522">
        <w:rPr>
          <w:sz w:val="24"/>
          <w:szCs w:val="24"/>
        </w:rPr>
        <w:tab/>
      </w:r>
      <w:r w:rsidR="00972522">
        <w:rPr>
          <w:sz w:val="24"/>
          <w:szCs w:val="24"/>
        </w:rPr>
        <w:tab/>
      </w:r>
      <w:r w:rsidR="00972522">
        <w:rPr>
          <w:sz w:val="24"/>
          <w:szCs w:val="24"/>
        </w:rPr>
        <w:tab/>
      </w:r>
      <w:r w:rsidRPr="00DA5682">
        <w:rPr>
          <w:sz w:val="24"/>
          <w:szCs w:val="24"/>
        </w:rPr>
        <w:t>Date:</w:t>
      </w:r>
      <w:r w:rsidR="00972522">
        <w:rPr>
          <w:sz w:val="24"/>
          <w:szCs w:val="24"/>
        </w:rPr>
        <w:t xml:space="preserve"> 06/11/2025</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17670" w14:textId="77777777" w:rsidR="007411F3" w:rsidRDefault="007411F3">
      <w:r>
        <w:separator/>
      </w:r>
    </w:p>
  </w:endnote>
  <w:endnote w:type="continuationSeparator" w:id="0">
    <w:p w14:paraId="37C74114" w14:textId="77777777" w:rsidR="007411F3" w:rsidRDefault="007411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840C8" w14:textId="77777777" w:rsidR="007411F3" w:rsidRDefault="007411F3">
      <w:r>
        <w:separator/>
      </w:r>
    </w:p>
  </w:footnote>
  <w:footnote w:type="continuationSeparator" w:id="0">
    <w:p w14:paraId="52B598A1" w14:textId="77777777" w:rsidR="007411F3" w:rsidRDefault="007411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1A05047"/>
    <w:multiLevelType w:val="hybridMultilevel"/>
    <w:tmpl w:val="1924C24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698234712">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7251"/>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93D"/>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D7A"/>
    <w:rsid w:val="0044482D"/>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2C6A"/>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1F3"/>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121C"/>
    <w:rsid w:val="007872F2"/>
    <w:rsid w:val="007873F9"/>
    <w:rsid w:val="007908E0"/>
    <w:rsid w:val="00793EB3"/>
    <w:rsid w:val="00794205"/>
    <w:rsid w:val="0079422A"/>
    <w:rsid w:val="007A1F6A"/>
    <w:rsid w:val="007A628F"/>
    <w:rsid w:val="007B0DE3"/>
    <w:rsid w:val="007B1BFD"/>
    <w:rsid w:val="007B7191"/>
    <w:rsid w:val="007B7AA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252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B87"/>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15DE"/>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F9B"/>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B96"/>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C1B"/>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52%318%39%32@%73%74ude%6e%74.uw%74s%64%2e%61%63.%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18</Pages>
  <Words>4777</Words>
  <Characters>27232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Christine Ritter-Peake (OEDOLION)</cp:lastModifiedBy>
  <cp:revision>7</cp:revision>
  <cp:lastPrinted>2020-02-11T19:20:00Z</cp:lastPrinted>
  <dcterms:created xsi:type="dcterms:W3CDTF">2026-10-06T13:39:00Z</dcterms:created>
  <dcterms:modified xsi:type="dcterms:W3CDTF">2026-10-06T14:20:00Z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