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pPr>
      <w:r w:rsidDel="00000000" w:rsidR="00000000" w:rsidRPr="00000000">
        <w:rPr/>
        <w:drawing>
          <wp:inline distB="0" distT="0" distL="114300" distR="114300">
            <wp:extent cx="5810250" cy="2543175"/>
            <wp:effectExtent b="0" l="0" r="0" t="0"/>
            <wp:docPr id="625792557"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810250" cy="2543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sz w:val="32"/>
          <w:szCs w:val="32"/>
        </w:rPr>
      </w:pPr>
      <w:r w:rsidDel="00000000" w:rsidR="00000000" w:rsidRPr="00000000">
        <w:rPr>
          <w:rFonts w:ascii="Arial" w:cs="Arial" w:eastAsia="Arial" w:hAnsi="Arial"/>
          <w:b w:val="1"/>
          <w:bCs w:val="1"/>
          <w:sz w:val="32"/>
          <w:szCs w:val="32"/>
          <w:rtl w:val="0"/>
        </w:rPr>
        <w:t xml:space="preserve">Health Inequalities Among Older Adults in the United Kingdom and Epidemiological Analysis of Type 2 Diabetes in Tower Hamlets</w:t>
      </w:r>
      <w:r w:rsidDel="00000000" w:rsidR="00000000" w:rsidRPr="00000000">
        <w:rPr>
          <w:rtl w:val="0"/>
        </w:rPr>
      </w:r>
    </w:p>
    <w:p w:rsidR="00000000" w:rsidDel="00000000" w:rsidP="00000000" w:rsidRDefault="00000000" w:rsidRPr="00000000" w14:paraId="00000004">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Student Name: </w:t>
      </w:r>
      <w:r w:rsidDel="00000000" w:rsidR="00000000" w:rsidRPr="00000000">
        <w:rPr>
          <w:rFonts w:ascii="Arial" w:cs="Arial" w:eastAsia="Arial" w:hAnsi="Arial"/>
          <w:b w:val="0"/>
          <w:bCs w:val="0"/>
          <w:sz w:val="28"/>
          <w:szCs w:val="28"/>
          <w:rtl w:val="0"/>
        </w:rPr>
        <w:t xml:space="preserve">Abdullah Ismail Nana</w:t>
      </w:r>
    </w:p>
    <w:p w:rsidR="00000000" w:rsidDel="00000000" w:rsidP="00000000" w:rsidRDefault="00000000" w:rsidRPr="00000000" w14:paraId="00000005">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b w:val="0"/>
          <w:bCs w:val="0"/>
          <w:sz w:val="28"/>
          <w:szCs w:val="28"/>
          <w:rtl w:val="0"/>
        </w:rPr>
        <w:t xml:space="preserve"> 2526419</w:t>
      </w:r>
    </w:p>
    <w:p w:rsidR="00000000" w:rsidDel="00000000" w:rsidP="00000000" w:rsidRDefault="00000000" w:rsidRPr="00000000" w14:paraId="00000006">
      <w:pPr>
        <w:spacing w:line="360" w:lineRule="auto"/>
        <w:jc w:val="left"/>
        <w:rPr>
          <w:rFonts w:ascii="Arial" w:cs="Arial" w:eastAsia="Arial" w:hAnsi="Arial"/>
          <w:b w:val="0"/>
          <w:bCs w:val="0"/>
          <w:i w:val="0"/>
          <w:iCs w:val="0"/>
          <w:smallCaps w:val="0"/>
          <w:sz w:val="28"/>
          <w:szCs w:val="28"/>
        </w:rPr>
      </w:pPr>
      <w:r w:rsidDel="00000000" w:rsidR="00000000" w:rsidRPr="00000000">
        <w:rPr>
          <w:rFonts w:ascii="Arial" w:cs="Arial" w:eastAsia="Arial" w:hAnsi="Arial"/>
          <w:b w:val="1"/>
          <w:bCs w:val="1"/>
          <w:sz w:val="28"/>
          <w:szCs w:val="28"/>
          <w:rtl w:val="0"/>
        </w:rPr>
        <w:t xml:space="preserve">Module Name: </w:t>
      </w:r>
      <w:r w:rsidDel="00000000" w:rsidR="00000000" w:rsidRPr="00000000">
        <w:rPr>
          <w:rFonts w:ascii="Arial" w:cs="Arial" w:eastAsia="Arial" w:hAnsi="Arial"/>
          <w:b w:val="0"/>
          <w:bCs w:val="0"/>
          <w:i w:val="0"/>
          <w:iCs w:val="0"/>
          <w:smallCaps w:val="0"/>
          <w:sz w:val="28"/>
          <w:szCs w:val="28"/>
          <w:rtl w:val="0"/>
        </w:rPr>
        <w:t xml:space="preserve">Social Epidemiology and Public Health Development (LCHS7000)</w:t>
      </w:r>
    </w:p>
    <w:p w:rsidR="00000000" w:rsidDel="00000000" w:rsidP="00000000" w:rsidRDefault="00000000" w:rsidRPr="00000000" w14:paraId="00000007">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Assignment Title:</w:t>
      </w:r>
      <w:r w:rsidDel="00000000" w:rsidR="00000000" w:rsidRPr="00000000">
        <w:rPr>
          <w:rFonts w:ascii="Arial" w:cs="Arial" w:eastAsia="Arial" w:hAnsi="Arial"/>
          <w:b w:val="0"/>
          <w:bCs w:val="0"/>
          <w:sz w:val="28"/>
          <w:szCs w:val="28"/>
          <w:rtl w:val="0"/>
        </w:rPr>
        <w:t xml:space="preserve"> Health Inequalities and Epidemiological Analysis Report</w:t>
      </w:r>
    </w:p>
    <w:p w:rsidR="00000000" w:rsidDel="00000000" w:rsidP="00000000" w:rsidRDefault="00000000" w:rsidRPr="00000000" w14:paraId="00000008">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Programme/Course:</w:t>
      </w:r>
      <w:r w:rsidDel="00000000" w:rsidR="00000000" w:rsidRPr="00000000">
        <w:rPr>
          <w:rFonts w:ascii="Arial" w:cs="Arial" w:eastAsia="Arial" w:hAnsi="Arial"/>
          <w:b w:val="0"/>
          <w:bCs w:val="0"/>
          <w:sz w:val="28"/>
          <w:szCs w:val="28"/>
          <w:rtl w:val="0"/>
        </w:rPr>
        <w:t xml:space="preserve"> Msc In Public Health And Social Care In Practice</w:t>
      </w:r>
    </w:p>
    <w:p w:rsidR="00000000" w:rsidDel="00000000" w:rsidP="00000000" w:rsidRDefault="00000000" w:rsidRPr="00000000" w14:paraId="00000009">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Instructor/Supervisor:</w:t>
      </w:r>
      <w:r w:rsidDel="00000000" w:rsidR="00000000" w:rsidRPr="00000000">
        <w:rPr>
          <w:rFonts w:ascii="Arial" w:cs="Arial" w:eastAsia="Arial" w:hAnsi="Arial"/>
          <w:b w:val="0"/>
          <w:bCs w:val="0"/>
          <w:sz w:val="28"/>
          <w:szCs w:val="28"/>
          <w:rtl w:val="0"/>
        </w:rPr>
        <w:t xml:space="preserve"> Dr. Hamdi Hussain</w:t>
      </w:r>
    </w:p>
    <w:p w:rsidR="00000000" w:rsidDel="00000000" w:rsidP="00000000" w:rsidRDefault="00000000" w:rsidRPr="00000000" w14:paraId="0000000A">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Date of Submission:</w:t>
      </w:r>
      <w:r w:rsidDel="00000000" w:rsidR="00000000" w:rsidRPr="00000000">
        <w:rPr>
          <w:rFonts w:ascii="Arial" w:cs="Arial" w:eastAsia="Arial" w:hAnsi="Arial"/>
          <w:b w:val="0"/>
          <w:bCs w:val="0"/>
          <w:sz w:val="28"/>
          <w:szCs w:val="28"/>
          <w:rtl w:val="0"/>
        </w:rPr>
        <w:t xml:space="preserve"> 23/03/2026</w:t>
      </w:r>
    </w:p>
    <w:p w:rsidR="00000000" w:rsidDel="00000000" w:rsidP="00000000" w:rsidRDefault="00000000" w:rsidRPr="00000000" w14:paraId="0000000B">
      <w:pPr>
        <w:spacing w:line="360" w:lineRule="auto"/>
        <w:jc w:val="left"/>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D">
      <w:pPr>
        <w:pStyle w:val="Heading1"/>
        <w:spacing w:line="360" w:lineRule="auto"/>
        <w:rPr>
          <w:b w:val="1"/>
          <w:bCs w:val="1"/>
          <w:sz w:val="32"/>
          <w:szCs w:val="32"/>
        </w:rPr>
      </w:pPr>
      <w:bookmarkStart w:colFirst="0" w:colLast="0" w:name="_heading=h.qjj9q4koc7u1" w:id="0"/>
      <w:bookmarkEnd w:id="0"/>
      <w:r w:rsidDel="00000000" w:rsidR="00000000" w:rsidRPr="00000000">
        <w:rPr>
          <w:rtl w:val="0"/>
        </w:rPr>
      </w:r>
    </w:p>
    <w:p w:rsidR="00000000" w:rsidDel="00000000" w:rsidP="00000000" w:rsidRDefault="00000000" w:rsidRPr="00000000" w14:paraId="0000000E">
      <w:pPr>
        <w:pStyle w:val="Heading1"/>
        <w:jc w:val="center"/>
        <w:rPr>
          <w:sz w:val="32"/>
          <w:szCs w:val="32"/>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Heading1"/>
        <w:jc w:val="center"/>
        <w:rPr>
          <w:rFonts w:ascii="Arial" w:cs="Arial" w:eastAsia="Arial" w:hAnsi="Arial"/>
          <w:sz w:val="32"/>
          <w:szCs w:val="32"/>
        </w:rPr>
      </w:pPr>
      <w:bookmarkStart w:colFirst="0" w:colLast="0" w:name="_heading=h.jtj5zqffhz0u" w:id="1"/>
      <w:bookmarkEnd w:id="1"/>
      <w:r w:rsidDel="00000000" w:rsidR="00000000" w:rsidRPr="00000000">
        <w:rPr>
          <w:rFonts w:ascii="Arial" w:cs="Arial" w:eastAsia="Arial" w:hAnsi="Arial"/>
          <w:sz w:val="32"/>
          <w:szCs w:val="32"/>
          <w:rtl w:val="0"/>
        </w:rPr>
        <w:t xml:space="preserve">TASK 1: AGE-RELATED HEALTH INEQUALITIES AMONG OLDER ADULTS IN THE UNITED KINGDOM</w:t>
      </w:r>
    </w:p>
    <w:p w:rsidR="00000000" w:rsidDel="00000000" w:rsidP="00000000" w:rsidRDefault="00000000" w:rsidRPr="00000000" w14:paraId="00000018">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19">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A">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B">
      <w:pPr>
        <w:spacing w:line="360" w:lineRule="auto"/>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bCs w:val="1"/>
          <w:i w:val="0"/>
          <w:iCs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2f5496"/>
          <w:sz w:val="24"/>
          <w:szCs w:val="24"/>
          <w:u w:val="none"/>
          <w:shd w:fill="auto" w:val="clear"/>
          <w:vertAlign w:val="baseline"/>
          <w:rtl w:val="0"/>
        </w:rPr>
        <w:t xml:space="preserve">Table of Contents</w:t>
      </w:r>
    </w:p>
    <w:sdt>
      <w:sdtPr>
        <w:id w:val="-874981184"/>
        <w:docPartObj>
          <w:docPartGallery w:val="Table of Contents"/>
          <w:docPartUnique w:val="1"/>
        </w:docPartObj>
      </w:sdtPr>
      <w:sdtContent>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2f5496"/>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alhk27txqw8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x0r9l8v6mhv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Disease Condition 1: Cardiovascular Disease</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fmw8s61gkas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Disease Condition 2: Diabetes</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odxi4ju78f7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Disease Condition 3: Mental Health Conditions</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j64lr2sbb7o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Condition 1: Social Isolation and Loneliness</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q7wwawm9kzu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Condition 2: Poverty among Older Adults</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p3oh36hx89k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Condition 3: Housing and Living Conditions</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mu09rgwdofk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National Policies Addressing Health Inequalities among Older Adults</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ghzbo8h4vym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Organisation Supporting Older Adults</w:t>
              <w:tab/>
              <w:t xml:space="preserve">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vchvdy3sajq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563c1"/>
              <w:sz w:val="24"/>
              <w:szCs w:val="24"/>
              <w:u w:val="none"/>
              <w:shd w:fill="auto" w:val="clear"/>
              <w:vertAlign w:val="baseline"/>
              <w:rtl w:val="0"/>
            </w:rPr>
            <w:t xml:space="preserve">    </w:t>
          </w:r>
          <w:hyperlink w:anchor="_heading=h.2i3nfn9aimf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29">
          <w:pPr>
            <w:spacing w:line="360" w:lineRule="auto"/>
            <w:jc w:val="cente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spacing w:line="360" w:lineRule="auto"/>
        <w:jc w:val="center"/>
        <w:rPr/>
      </w:pPr>
      <w:r w:rsidDel="00000000" w:rsidR="00000000" w:rsidRPr="00000000">
        <w:br w:type="page"/>
      </w: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b w:val="1"/>
          <w:bCs w:val="1"/>
        </w:rPr>
      </w:pPr>
      <w:bookmarkStart w:colFirst="0" w:colLast="0" w:name="_heading=h.2i3nfn9aimfn" w:id="2"/>
      <w:bookmarkEnd w:id="2"/>
      <w:r w:rsidDel="00000000" w:rsidR="00000000" w:rsidRPr="00000000">
        <w:rPr>
          <w:rFonts w:ascii="Arial" w:cs="Arial" w:eastAsia="Arial" w:hAnsi="Arial"/>
          <w:b w:val="1"/>
          <w:bCs w:val="1"/>
          <w:rtl w:val="0"/>
        </w:rPr>
        <w:t xml:space="preserve">Introduction</w:t>
      </w:r>
    </w:p>
    <w:p w:rsidR="00000000" w:rsidDel="00000000" w:rsidP="00000000" w:rsidRDefault="00000000" w:rsidRPr="00000000" w14:paraId="0000002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Older adults who are typically considered as individuals over the age of 65 years are a fast-growing population segment in the United Kingdom, with over 12 million people aged 65 and above, accounting for approximately 18% of the total population (ONS, 2024). Health inequalities denote systematic differences in health outcomes between groups of the population caused by unequal social and economic conditions (World Health Organization, 2020b). These inequalities are especially evident in older adults because health risks accumulate over the life course and are influenced by social determinants such as income, housing and access to healthcare (World Health Organization, 2023a). As a result, addressing health inequalities among older adults has become an important public health priority.</w:t>
      </w:r>
    </w:p>
    <w:p w:rsidR="00000000" w:rsidDel="00000000" w:rsidP="00000000" w:rsidRDefault="00000000" w:rsidRPr="00000000" w14:paraId="0000002D">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Disease Condition 1: Cardiovascular Disease</w:t>
      </w:r>
    </w:p>
    <w:p w:rsidR="00000000" w:rsidDel="00000000" w:rsidP="00000000" w:rsidRDefault="00000000" w:rsidRPr="00000000" w14:paraId="0000002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Older persons have high levels of chronic diseases as compared to a younger population that leads to inequalities in health. Cardiovascular disease is one of the most prevalent chronic diseases of older persons and is a rate-limiting cause of mortality and morbidity. In the United Kingdom cardiovascular disease causes around 27% of all deaths of which more than 7.6 million people are living with heart and circulatory diseases (British Heart Foundation, 2024) and most cases occur in those over 65 years of age. Socioeconomic inequalities also impact on the outcome of diseases because the lower income or the lower level of education in an individual means that they have less access to preventive healthcare services and opportunities for a healthy lifestyle (Khan, 2024). Furthermore, inequalities in long-term care services can restrict treatment and aid for older adults with complicated health conditions (Hasseler, 2024). Addressing cardiovascular disease therefore needs better access to healthcare services, early detection programmes and public health programmes for healthy lifestyle approaches.</w:t>
      </w:r>
    </w:p>
    <w:p w:rsidR="00000000" w:rsidDel="00000000" w:rsidP="00000000" w:rsidRDefault="00000000" w:rsidRPr="00000000" w14:paraId="0000002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Disease Condition 2: Diabetes</w:t>
      </w:r>
    </w:p>
    <w:p w:rsidR="00000000" w:rsidDel="00000000" w:rsidP="00000000" w:rsidRDefault="00000000" w:rsidRPr="00000000" w14:paraId="0000003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Diabetes is another important chronic disease among older people that contributes to health inequalities among ageing populations. The prevalence of diabetes is on the rise with ageing because of changes in metabolism, decreased physical activity and obesity. In the United Kingdom, around 4.3 million people have diabetes and about 1 in 10 people over 65 years of age have the condition (Diabetes UK, 2024).</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Older persons in socioeconomically disadvantaged communities are more likely to have poor access to healthcare services and preventive interventions. These inequalities can result in delayed diagnosis and poor management of disease which increases risk of complications such as cardiovascular disease and kidney disease. Effective strategies include lifestyle interventions, frequent screening and better access to healthcare services.</w:t>
      </w:r>
    </w:p>
    <w:p w:rsidR="00000000" w:rsidDel="00000000" w:rsidP="00000000" w:rsidRDefault="00000000" w:rsidRPr="00000000" w14:paraId="0000003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Disease Condition 3: Mental Health Conditions</w:t>
      </w:r>
    </w:p>
    <w:p w:rsidR="00000000" w:rsidDel="00000000" w:rsidP="00000000" w:rsidRDefault="00000000" w:rsidRPr="00000000" w14:paraId="0000003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Mental health conditions are another critical part of age-related health inequalities. Older people can often suffer from depression, anxiety and loss of mental function as a result of chronic illness, bereavement and loss of independence. In England, it is estimated that approximately 22% of men and 28% of women over the age of 65 experience the symptoms of depression (NHS Digital, 2023). Loneliness and social isolation are key risk factors for poor mental health in older people and are associated with higher risk of developing depression and mortality (World Health Organization, 2021b). Addressing inequalities in mental health requires community-based support programmes and better access to services.</w:t>
      </w:r>
    </w:p>
    <w:p w:rsidR="00000000" w:rsidDel="00000000" w:rsidP="00000000" w:rsidRDefault="00000000" w:rsidRPr="00000000" w14:paraId="00000033">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Social Condition 1: Social Isolation and Loneliness</w:t>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Social isolation is a major social determinant of inequalities in health for old people. Retirement, decreased mobility and loss of social network can add up to feelings of loneliness. In the UK, about 1.4 million older people are estimated to be chronically lonely (Age UK, 2023). Older people who are isolated tend to have poorer physical and mental health outcomes and healthcare services. Community programmes and social support services therefore play an important role in reducing loneliness and increasing wellbeing.</w:t>
      </w:r>
    </w:p>
    <w:p w:rsidR="00000000" w:rsidDel="00000000" w:rsidP="00000000" w:rsidRDefault="00000000" w:rsidRPr="00000000" w14:paraId="0000003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Social Condition 2: Poverty among Older Adults</w:t>
      </w:r>
    </w:p>
    <w:p w:rsidR="00000000" w:rsidDel="00000000" w:rsidP="00000000" w:rsidRDefault="00000000" w:rsidRPr="00000000" w14:paraId="0000003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Economic disadvantage is a key contributor to older population health inequalities. Many older people rely on fixed incomes such as pensions, and increased living and healthcare costs might not be met. In the UK about 18% of pensioners are in relative poverty (ONS, 2024). Socioeconomic disadvantages accumulated across the life course is related to health outcomes in later life. Research indicates that inequalities impact the capability of older individuals to maintaining independence and having healthy lifestyles (Bolster-Foucault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Addressing poverty by providing</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income support and better access to healthcare can contribute to reducing health inequalities.</w:t>
      </w:r>
    </w:p>
    <w:p w:rsidR="00000000" w:rsidDel="00000000" w:rsidP="00000000" w:rsidRDefault="00000000" w:rsidRPr="00000000" w14:paraId="0000003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Social Condition 3: Housing and Living Conditions</w:t>
      </w:r>
    </w:p>
    <w:p w:rsidR="00000000" w:rsidDel="00000000" w:rsidP="00000000" w:rsidRDefault="00000000" w:rsidRPr="00000000" w14:paraId="0000003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Housing conditions are an important determinant of health status among older people. Poor housing quality and unsafe environments can raise the odds for injury and illness. In England more than 2 million older people are living in homes that do not meet basic living standards (Centre for Ageing Better, 2023). Improving housing conditions and creating safer environments are key to enrolment of improvement to independence and the reduction of health inequalities amongst older people.</w:t>
      </w:r>
    </w:p>
    <w:p w:rsidR="00000000" w:rsidDel="00000000" w:rsidP="00000000" w:rsidRDefault="00000000" w:rsidRPr="00000000" w14:paraId="0000003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National Policies Addressing Health Inequalities among Older Adults</w:t>
      </w:r>
    </w:p>
    <w:p w:rsidR="00000000" w:rsidDel="00000000" w:rsidP="00000000" w:rsidRDefault="00000000" w:rsidRPr="00000000" w14:paraId="0000003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Governments have introduced policies to make up to health inequalities associated to ageing population. The Long-Term Plan for NHS has the aims of enhancing healthcare services, strengthening disease prevention and supporting better management of chronic diseases (NHS England, 2019).</w:t>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strategy, to be followed, is Adding Life to Years: The Government's Vision for Healthy Ageing, which focuses on the promotion of healthy lifestyles and improvements in living conditions (Department of Health and Social Care, 2021). These policies are aimed at bringing down health inequalities and well-being of the elderly.</w:t>
      </w:r>
    </w:p>
    <w:p w:rsidR="00000000" w:rsidDel="00000000" w:rsidP="00000000" w:rsidRDefault="00000000" w:rsidRPr="00000000" w14:paraId="0000003C">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Organisation Supporting Older Adults</w:t>
      </w:r>
    </w:p>
    <w:p w:rsidR="00000000" w:rsidDel="00000000" w:rsidP="00000000" w:rsidRDefault="00000000" w:rsidRPr="00000000" w14:paraId="0000003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Charitable organisations also play an important role in supporting older people and addressing health inequalities. Age UK is one of the largest charities in United Kingdom that offers a wide range of services for older people, from advice and social support programmes and community initiatives (Age UK 2023). The organisation works to lower loneliness, improve access to services and lobby for better healthcare and social policies for older people. Such initiatives play a role in improving health outcomes for, and encouraging healthy ageing in, communities.</w:t>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04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Age-related health inequalities represent a major public health challenge as the population continues to age. Older adults are more likely to experience chronic diseases, mental health problems, disability and reduced life expectancy due to the influence of social determinants such as poverty, housing conditions and social isolation. Addressing these inequalities requires comprehensive public health policies, improved access to healthcare services and stronger social support systems that promote healthy ageing and wellbein</w:t>
      </w:r>
      <w:r w:rsidDel="00000000" w:rsidR="00000000" w:rsidRPr="00000000">
        <w:rPr>
          <w:sz w:val="22"/>
          <w:szCs w:val="22"/>
          <w:rtl w:val="0"/>
        </w:rPr>
        <w:t xml:space="preserve">g </w:t>
      </w:r>
      <w:r w:rsidDel="00000000" w:rsidR="00000000" w:rsidRPr="00000000">
        <w:rPr>
          <w:rFonts w:ascii="Arial" w:cs="Arial" w:eastAsia="Arial" w:hAnsi="Arial"/>
          <w:sz w:val="22"/>
          <w:szCs w:val="22"/>
          <w:rtl w:val="0"/>
        </w:rPr>
        <w:t xml:space="preserve">among older populations.</w:t>
      </w:r>
    </w:p>
    <w:p w:rsidR="00000000" w:rsidDel="00000000" w:rsidP="00000000" w:rsidRDefault="00000000" w:rsidRPr="00000000" w14:paraId="00000041">
      <w:pPr>
        <w:spacing w:line="360" w:lineRule="auto"/>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b w:val="1"/>
          <w:bCs w:val="1"/>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References </w:t>
      </w:r>
    </w:p>
    <w:p w:rsidR="00000000" w:rsidDel="00000000" w:rsidP="00000000" w:rsidRDefault="00000000" w:rsidRPr="00000000" w14:paraId="00000043">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Age UK, 2023. </w:t>
      </w:r>
      <w:r w:rsidDel="00000000" w:rsidR="00000000" w:rsidRPr="00000000">
        <w:rPr>
          <w:rFonts w:ascii="Arial" w:cs="Arial" w:eastAsia="Arial" w:hAnsi="Arial"/>
          <w:b w:val="0"/>
          <w:bCs w:val="0"/>
          <w:i w:val="1"/>
          <w:iCs w:val="1"/>
          <w:smallCaps w:val="0"/>
          <w:color w:val="000000"/>
          <w:sz w:val="22"/>
          <w:szCs w:val="22"/>
          <w:rtl w:val="0"/>
        </w:rPr>
        <w:t xml:space="preserve">Loneliness and isolation – evidence review.</w:t>
      </w:r>
      <w:r w:rsidDel="00000000" w:rsidR="00000000" w:rsidRPr="00000000">
        <w:rPr>
          <w:rFonts w:ascii="Arial" w:cs="Arial" w:eastAsia="Arial" w:hAnsi="Arial"/>
          <w:b w:val="0"/>
          <w:bCs w:val="0"/>
          <w:i w:val="0"/>
          <w:iCs w:val="0"/>
          <w:smallCaps w:val="0"/>
          <w:color w:val="000000"/>
          <w:sz w:val="22"/>
          <w:szCs w:val="22"/>
          <w:rtl w:val="0"/>
        </w:rPr>
        <w:t xml:space="preserve"> London: Age UK. Available at: </w:t>
      </w:r>
      <w:hyperlink r:id="rId8">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https://www.ageuk.org.uk/our-impact/policy-research/loneliness-research-and-resources/</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4">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Bolster-Foucault, C., Vedel, I., Busa, G., Hacker, G., Sourial, N. and Quesnel-Vallée, A., 2024. </w:t>
      </w:r>
      <w:r w:rsidDel="00000000" w:rsidR="00000000" w:rsidRPr="00000000">
        <w:rPr>
          <w:rFonts w:ascii="Arial" w:cs="Arial" w:eastAsia="Arial" w:hAnsi="Arial"/>
          <w:b w:val="0"/>
          <w:bCs w:val="0"/>
          <w:i w:val="1"/>
          <w:iCs w:val="1"/>
          <w:smallCaps w:val="0"/>
          <w:color w:val="000000"/>
          <w:sz w:val="22"/>
          <w:szCs w:val="22"/>
          <w:rtl w:val="0"/>
        </w:rPr>
        <w:t xml:space="preserve">Social inequity in ageing in place among older adults in Organisation for Economic Cooperation and Development countries: a mixed studies systematic review.</w:t>
      </w:r>
      <w:r w:rsidDel="00000000" w:rsidR="00000000" w:rsidRPr="00000000">
        <w:rPr>
          <w:rFonts w:ascii="Arial" w:cs="Arial" w:eastAsia="Arial" w:hAnsi="Arial"/>
          <w:b w:val="0"/>
          <w:bCs w:val="0"/>
          <w:i w:val="0"/>
          <w:iCs w:val="0"/>
          <w:smallCaps w:val="0"/>
          <w:color w:val="000000"/>
          <w:sz w:val="22"/>
          <w:szCs w:val="22"/>
          <w:rtl w:val="0"/>
        </w:rPr>
        <w:t xml:space="preserve"> Age and Ageing, 53(8), p.afae166. Available at: </w:t>
      </w:r>
      <w:hyperlink r:id="rId9">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https://academic.oup.com/ageing/article-pdf/53/8/afae166/59001774/afae166.pdf</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5">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Department of Health and Social Care, 2021. </w:t>
      </w:r>
      <w:r w:rsidDel="00000000" w:rsidR="00000000" w:rsidRPr="00000000">
        <w:rPr>
          <w:rFonts w:ascii="Arial" w:cs="Arial" w:eastAsia="Arial" w:hAnsi="Arial"/>
          <w:b w:val="0"/>
          <w:bCs w:val="0"/>
          <w:i w:val="1"/>
          <w:iCs w:val="1"/>
          <w:smallCaps w:val="0"/>
          <w:color w:val="000000"/>
          <w:sz w:val="22"/>
          <w:szCs w:val="22"/>
          <w:rtl w:val="0"/>
        </w:rPr>
        <w:t xml:space="preserve">Adding life to years: the government’s vision for healthy ageing.</w:t>
      </w:r>
      <w:r w:rsidDel="00000000" w:rsidR="00000000" w:rsidRPr="00000000">
        <w:rPr>
          <w:rFonts w:ascii="Arial" w:cs="Arial" w:eastAsia="Arial" w:hAnsi="Arial"/>
          <w:b w:val="0"/>
          <w:bCs w:val="0"/>
          <w:i w:val="0"/>
          <w:iCs w:val="0"/>
          <w:smallCaps w:val="0"/>
          <w:color w:val="000000"/>
          <w:sz w:val="22"/>
          <w:szCs w:val="22"/>
          <w:rtl w:val="0"/>
        </w:rPr>
        <w:t xml:space="preserve"> London: DHSC. Available at: </w:t>
      </w:r>
      <w:hyperlink r:id="rId10">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https://www.gov.uk/government/publications/adding-life-to-years-the-governments-vision-for-healthy-ageing</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6">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Hasseler, M., 2024. </w:t>
      </w:r>
      <w:r w:rsidDel="00000000" w:rsidR="00000000" w:rsidRPr="00000000">
        <w:rPr>
          <w:rFonts w:ascii="Arial" w:cs="Arial" w:eastAsia="Arial" w:hAnsi="Arial"/>
          <w:b w:val="0"/>
          <w:bCs w:val="0"/>
          <w:i w:val="1"/>
          <w:iCs w:val="1"/>
          <w:smallCaps w:val="0"/>
          <w:color w:val="000000"/>
          <w:sz w:val="22"/>
          <w:szCs w:val="22"/>
          <w:rtl w:val="0"/>
        </w:rPr>
        <w:t xml:space="preserve">Social inequalities in health care and long-term care for the very old: a scoping review.</w:t>
      </w:r>
      <w:r w:rsidDel="00000000" w:rsidR="00000000" w:rsidRPr="00000000">
        <w:rPr>
          <w:rFonts w:ascii="Arial" w:cs="Arial" w:eastAsia="Arial" w:hAnsi="Arial"/>
          <w:b w:val="0"/>
          <w:bCs w:val="0"/>
          <w:i w:val="0"/>
          <w:iCs w:val="0"/>
          <w:smallCaps w:val="0"/>
          <w:color w:val="000000"/>
          <w:sz w:val="22"/>
          <w:szCs w:val="22"/>
          <w:rtl w:val="0"/>
        </w:rPr>
        <w:t xml:space="preserve"> Journal of Public Health. Available at: </w:t>
      </w:r>
      <w:hyperlink r:id="rId11">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https://link.springer.com/article/10.1007/s10389-024-02370-4</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7">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Khan, H.T.A., 2024. </w:t>
      </w:r>
      <w:r w:rsidDel="00000000" w:rsidR="00000000" w:rsidRPr="00000000">
        <w:rPr>
          <w:rFonts w:ascii="Arial" w:cs="Arial" w:eastAsia="Arial" w:hAnsi="Arial"/>
          <w:b w:val="0"/>
          <w:bCs w:val="0"/>
          <w:i w:val="1"/>
          <w:iCs w:val="1"/>
          <w:smallCaps w:val="0"/>
          <w:color w:val="000000"/>
          <w:sz w:val="22"/>
          <w:szCs w:val="22"/>
          <w:rtl w:val="0"/>
        </w:rPr>
        <w:t xml:space="preserve">Public health challenges and responses to the growing ageing population.</w:t>
      </w:r>
      <w:r w:rsidDel="00000000" w:rsidR="00000000" w:rsidRPr="00000000">
        <w:rPr>
          <w:rFonts w:ascii="Arial" w:cs="Arial" w:eastAsia="Arial" w:hAnsi="Arial"/>
          <w:b w:val="0"/>
          <w:bCs w:val="0"/>
          <w:i w:val="0"/>
          <w:iCs w:val="0"/>
          <w:smallCaps w:val="0"/>
          <w:color w:val="000000"/>
          <w:sz w:val="22"/>
          <w:szCs w:val="22"/>
          <w:rtl w:val="0"/>
        </w:rPr>
        <w:t xml:space="preserve"> Public Health Challenges, 3(1), p.e213. Available at: </w:t>
      </w:r>
      <w:hyperlink r:id="rId12">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https://onlinelibrary.wiley.com/doi/10.1002/puh2.213</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8">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Malkowski, O.S., Leatherdale, S.T. and Faulkner, G., 2023. </w:t>
      </w:r>
      <w:r w:rsidDel="00000000" w:rsidR="00000000" w:rsidRPr="00000000">
        <w:rPr>
          <w:rFonts w:ascii="Arial" w:cs="Arial" w:eastAsia="Arial" w:hAnsi="Arial"/>
          <w:b w:val="0"/>
          <w:bCs w:val="0"/>
          <w:i w:val="1"/>
          <w:iCs w:val="1"/>
          <w:smallCaps w:val="0"/>
          <w:color w:val="000000"/>
          <w:sz w:val="22"/>
          <w:szCs w:val="22"/>
          <w:rtl w:val="0"/>
        </w:rPr>
        <w:t xml:space="preserve">Socioeconomic inequalities in physical activity among older adults in England: a cross-sectional analysis.</w:t>
      </w:r>
      <w:r w:rsidDel="00000000" w:rsidR="00000000" w:rsidRPr="00000000">
        <w:rPr>
          <w:rFonts w:ascii="Arial" w:cs="Arial" w:eastAsia="Arial" w:hAnsi="Arial"/>
          <w:b w:val="0"/>
          <w:bCs w:val="0"/>
          <w:i w:val="0"/>
          <w:iCs w:val="0"/>
          <w:smallCaps w:val="0"/>
          <w:color w:val="000000"/>
          <w:sz w:val="22"/>
          <w:szCs w:val="22"/>
          <w:rtl w:val="0"/>
        </w:rPr>
        <w:t xml:space="preserve"> BMJ Public Health, 1(1), p.e000100. Available at: </w:t>
      </w:r>
      <w:hyperlink r:id="rId13">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https://bmjpublichealth.bmj.com/content/1/1/e000100</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9">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NHS England, 2019. </w:t>
      </w:r>
      <w:r w:rsidDel="00000000" w:rsidR="00000000" w:rsidRPr="00000000">
        <w:rPr>
          <w:rFonts w:ascii="Arial" w:cs="Arial" w:eastAsia="Arial" w:hAnsi="Arial"/>
          <w:b w:val="0"/>
          <w:bCs w:val="0"/>
          <w:i w:val="1"/>
          <w:iCs w:val="1"/>
          <w:smallCaps w:val="0"/>
          <w:color w:val="000000"/>
          <w:sz w:val="22"/>
          <w:szCs w:val="22"/>
          <w:rtl w:val="0"/>
        </w:rPr>
        <w:t xml:space="preserve">The NHS Long Term Plan.</w:t>
      </w:r>
      <w:r w:rsidDel="00000000" w:rsidR="00000000" w:rsidRPr="00000000">
        <w:rPr>
          <w:rFonts w:ascii="Arial" w:cs="Arial" w:eastAsia="Arial" w:hAnsi="Arial"/>
          <w:b w:val="0"/>
          <w:bCs w:val="0"/>
          <w:i w:val="0"/>
          <w:iCs w:val="0"/>
          <w:smallCaps w:val="0"/>
          <w:color w:val="000000"/>
          <w:sz w:val="22"/>
          <w:szCs w:val="22"/>
          <w:rtl w:val="0"/>
        </w:rPr>
        <w:t xml:space="preserve"> London: NHS England. Available at: </w:t>
      </w:r>
      <w:hyperlink r:id="rId14">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https://www.longtermplan.nhs.uk/</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A">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Saeedi, P., Petersohn, I., Salpea, P., Malanda, B., Karuranga, S., Unwin, N., Colagiuri, S., Guariguata, L., Motala, A.A., Ogurtsova, K. and Shaw, J.E., 2020. </w:t>
      </w:r>
      <w:r w:rsidDel="00000000" w:rsidR="00000000" w:rsidRPr="00000000">
        <w:rPr>
          <w:rFonts w:ascii="Arial" w:cs="Arial" w:eastAsia="Arial" w:hAnsi="Arial"/>
          <w:b w:val="0"/>
          <w:bCs w:val="0"/>
          <w:i w:val="1"/>
          <w:iCs w:val="1"/>
          <w:smallCaps w:val="0"/>
          <w:color w:val="000000"/>
          <w:sz w:val="22"/>
          <w:szCs w:val="22"/>
          <w:rtl w:val="0"/>
        </w:rPr>
        <w:t xml:space="preserve">Global and regional diabetes prevalence estimates for 2019 and projections for 2030 and 2045.</w:t>
      </w:r>
      <w:r w:rsidDel="00000000" w:rsidR="00000000" w:rsidRPr="00000000">
        <w:rPr>
          <w:rFonts w:ascii="Arial" w:cs="Arial" w:eastAsia="Arial" w:hAnsi="Arial"/>
          <w:b w:val="0"/>
          <w:bCs w:val="0"/>
          <w:i w:val="0"/>
          <w:iCs w:val="0"/>
          <w:smallCaps w:val="0"/>
          <w:color w:val="000000"/>
          <w:sz w:val="22"/>
          <w:szCs w:val="22"/>
          <w:rtl w:val="0"/>
        </w:rPr>
        <w:t xml:space="preserve"> Diabetes Research and Clinical Practice, 157, p.107843. Available at: </w:t>
      </w:r>
      <w:hyperlink r:id="rId15">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https://www.sciencedirect.com/science/article/pii/S0168822719312306</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B">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Watkinson, R.E., Sutton, M., Turner, A.J., Whitehead, M. and Morris, S., 2021. </w:t>
      </w:r>
      <w:r w:rsidDel="00000000" w:rsidR="00000000" w:rsidRPr="00000000">
        <w:rPr>
          <w:rFonts w:ascii="Arial" w:cs="Arial" w:eastAsia="Arial" w:hAnsi="Arial"/>
          <w:b w:val="0"/>
          <w:bCs w:val="0"/>
          <w:i w:val="1"/>
          <w:iCs w:val="1"/>
          <w:smallCaps w:val="0"/>
          <w:color w:val="000000"/>
          <w:sz w:val="22"/>
          <w:szCs w:val="22"/>
          <w:rtl w:val="0"/>
        </w:rPr>
        <w:t xml:space="preserve">Ethnic inequalities in health-related quality of life among older adults in England: secondary analysis of a national cross-sectional survey.</w:t>
      </w:r>
      <w:r w:rsidDel="00000000" w:rsidR="00000000" w:rsidRPr="00000000">
        <w:rPr>
          <w:rFonts w:ascii="Arial" w:cs="Arial" w:eastAsia="Arial" w:hAnsi="Arial"/>
          <w:b w:val="0"/>
          <w:bCs w:val="0"/>
          <w:i w:val="0"/>
          <w:iCs w:val="0"/>
          <w:smallCaps w:val="0"/>
          <w:color w:val="000000"/>
          <w:sz w:val="22"/>
          <w:szCs w:val="22"/>
          <w:rtl w:val="0"/>
        </w:rPr>
        <w:t xml:space="preserve"> The Lancet Public Health, 6(3), pp.e145–e154. Available at: </w:t>
      </w:r>
      <w:hyperlink r:id="rId16">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https://www.sciencedirect.com/science/article/pii/S2468266720302875</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C">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2020a. </w:t>
      </w:r>
      <w:r w:rsidDel="00000000" w:rsidR="00000000" w:rsidRPr="00000000">
        <w:rPr>
          <w:rFonts w:ascii="Arial" w:cs="Arial" w:eastAsia="Arial" w:hAnsi="Arial"/>
          <w:b w:val="0"/>
          <w:bCs w:val="0"/>
          <w:i w:val="1"/>
          <w:iCs w:val="1"/>
          <w:smallCaps w:val="0"/>
          <w:color w:val="000000"/>
          <w:sz w:val="22"/>
          <w:szCs w:val="22"/>
          <w:rtl w:val="0"/>
        </w:rPr>
        <w:t xml:space="preserve">Decade of healthy ageing: baseline report.</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17">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https://www.who.int/publications/i/item/9789240017900</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D">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2020b. </w:t>
      </w:r>
      <w:r w:rsidDel="00000000" w:rsidR="00000000" w:rsidRPr="00000000">
        <w:rPr>
          <w:rFonts w:ascii="Arial" w:cs="Arial" w:eastAsia="Arial" w:hAnsi="Arial"/>
          <w:b w:val="0"/>
          <w:bCs w:val="0"/>
          <w:i w:val="1"/>
          <w:iCs w:val="1"/>
          <w:smallCaps w:val="0"/>
          <w:color w:val="000000"/>
          <w:sz w:val="22"/>
          <w:szCs w:val="22"/>
          <w:rtl w:val="0"/>
        </w:rPr>
        <w:t xml:space="preserve">Health inequities and their causes.</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18">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https://www.who.int/news-room/facts-in-pictures/detail/health-inequities-and-their-causes</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E">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2021a. </w:t>
      </w:r>
      <w:r w:rsidDel="00000000" w:rsidR="00000000" w:rsidRPr="00000000">
        <w:rPr>
          <w:rFonts w:ascii="Arial" w:cs="Arial" w:eastAsia="Arial" w:hAnsi="Arial"/>
          <w:b w:val="0"/>
          <w:bCs w:val="0"/>
          <w:i w:val="1"/>
          <w:iCs w:val="1"/>
          <w:smallCaps w:val="0"/>
          <w:color w:val="000000"/>
          <w:sz w:val="22"/>
          <w:szCs w:val="22"/>
          <w:rtl w:val="0"/>
        </w:rPr>
        <w:t xml:space="preserve">Age-friendly environments in Europe: a handbook of domains for policy action.</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19">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https://www.who.int/europe/publications/i/item/9789289052887</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F">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2021b. </w:t>
      </w:r>
      <w:r w:rsidDel="00000000" w:rsidR="00000000" w:rsidRPr="00000000">
        <w:rPr>
          <w:rFonts w:ascii="Arial" w:cs="Arial" w:eastAsia="Arial" w:hAnsi="Arial"/>
          <w:b w:val="0"/>
          <w:bCs w:val="0"/>
          <w:i w:val="1"/>
          <w:iCs w:val="1"/>
          <w:smallCaps w:val="0"/>
          <w:color w:val="000000"/>
          <w:sz w:val="22"/>
          <w:szCs w:val="22"/>
          <w:rtl w:val="0"/>
        </w:rPr>
        <w:t xml:space="preserve">Social isolation and loneliness among older people: advocacy brief.</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20">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https://www.who.int/publications/i/item/9789240030749</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50">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2023a. </w:t>
      </w:r>
      <w:r w:rsidDel="00000000" w:rsidR="00000000" w:rsidRPr="00000000">
        <w:rPr>
          <w:rFonts w:ascii="Arial" w:cs="Arial" w:eastAsia="Arial" w:hAnsi="Arial"/>
          <w:b w:val="0"/>
          <w:bCs w:val="0"/>
          <w:i w:val="1"/>
          <w:iCs w:val="1"/>
          <w:smallCaps w:val="0"/>
          <w:color w:val="000000"/>
          <w:sz w:val="22"/>
          <w:szCs w:val="22"/>
          <w:rtl w:val="0"/>
        </w:rPr>
        <w:t xml:space="preserve">Ageing and health.</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21">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https://www.who.int/news-room/fact-sheets/detail/ageing-and-health</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51">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2023b. </w:t>
      </w:r>
      <w:r w:rsidDel="00000000" w:rsidR="00000000" w:rsidRPr="00000000">
        <w:rPr>
          <w:rFonts w:ascii="Arial" w:cs="Arial" w:eastAsia="Arial" w:hAnsi="Arial"/>
          <w:b w:val="0"/>
          <w:bCs w:val="0"/>
          <w:i w:val="1"/>
          <w:iCs w:val="1"/>
          <w:smallCaps w:val="0"/>
          <w:color w:val="000000"/>
          <w:sz w:val="22"/>
          <w:szCs w:val="22"/>
          <w:rtl w:val="0"/>
        </w:rPr>
        <w:t xml:space="preserve">Noncommunicable diseases.</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22">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https://www.who.int/news-room/fact-sheets/detail/noncommunicable-diseases</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52">
      <w:pPr>
        <w:spacing w:line="360" w:lineRule="auto"/>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b w:val="0"/>
          <w:bCs w:val="0"/>
        </w:rPr>
      </w:pPr>
      <w:r w:rsidDel="00000000" w:rsidR="00000000" w:rsidRPr="00000000">
        <w:rPr>
          <w:rtl w:val="0"/>
        </w:rPr>
      </w:r>
    </w:p>
    <w:p w:rsidR="00000000" w:rsidDel="00000000" w:rsidP="00000000" w:rsidRDefault="00000000" w:rsidRPr="00000000" w14:paraId="00000054">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5">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6">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7">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8">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9">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A">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B">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C">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D">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E">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F">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TASK 2: EPIDEMIOLOGICAL ANALYSIS OF TYPE 2 DIABETES AMONG OLDER ADULTS IN THE LONDON BOROUGH OF TOWER HAMLETS</w:t>
      </w:r>
    </w:p>
    <w:p w:rsidR="00000000" w:rsidDel="00000000" w:rsidP="00000000" w:rsidRDefault="00000000" w:rsidRPr="00000000" w14:paraId="00000060">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61">
      <w:pPr>
        <w:spacing w:line="360" w:lineRule="auto"/>
        <w:jc w:val="center"/>
        <w:rPr>
          <w:b w:val="1"/>
          <w:bCs w:val="1"/>
        </w:rPr>
      </w:pPr>
      <w:r w:rsidDel="00000000" w:rsidR="00000000" w:rsidRPr="00000000">
        <w:rPr>
          <w:b w:val="1"/>
          <w:bCs w:val="1"/>
          <w:rtl w:val="0"/>
        </w:rPr>
        <w:t xml:space="preserve">Table of Contents</w:t>
      </w:r>
    </w:p>
    <w:tbl>
      <w:tblPr>
        <w:tblStyle w:val="Table1"/>
        <w:tblW w:w="9015.0" w:type="dxa"/>
        <w:jc w:val="left"/>
        <w:tblLayout w:type="fixed"/>
        <w:tblLook w:val="06A0"/>
      </w:tblPr>
      <w:tblGrid>
        <w:gridCol w:w="8295"/>
        <w:gridCol w:w="720"/>
        <w:tblGridChange w:id="0">
          <w:tblGrid>
            <w:gridCol w:w="8295"/>
            <w:gridCol w:w="720"/>
          </w:tblGrid>
        </w:tblGridChange>
      </w:tblGrid>
      <w:tr>
        <w:trPr>
          <w:cantSplit w:val="0"/>
          <w:trHeight w:val="300" w:hRule="atLeast"/>
          <w:tblHeader w:val="0"/>
        </w:trPr>
        <w:tc>
          <w:tcPr/>
          <w:p w:rsidR="00000000" w:rsidDel="00000000" w:rsidP="00000000" w:rsidRDefault="00000000" w:rsidRPr="00000000" w14:paraId="00000062">
            <w:pPr>
              <w:rPr>
                <w:rFonts w:ascii="Arial" w:cs="Arial" w:eastAsia="Arial" w:hAnsi="Arial"/>
                <w:b w:val="0"/>
                <w:bCs w:val="0"/>
              </w:rPr>
            </w:pPr>
            <w:r w:rsidDel="00000000" w:rsidR="00000000" w:rsidRPr="00000000">
              <w:rPr>
                <w:rFonts w:ascii="Arial" w:cs="Arial" w:eastAsia="Arial" w:hAnsi="Arial"/>
                <w:b w:val="0"/>
                <w:bCs w:val="0"/>
                <w:rtl w:val="0"/>
              </w:rPr>
              <w:t xml:space="preserve">Introduction.....................................................................................................</w:t>
            </w:r>
          </w:p>
        </w:tc>
        <w:tc>
          <w:tcPr/>
          <w:p w:rsidR="00000000" w:rsidDel="00000000" w:rsidP="00000000" w:rsidRDefault="00000000" w:rsidRPr="00000000" w14:paraId="00000063">
            <w:pPr>
              <w:rPr>
                <w:rFonts w:ascii="Arial" w:cs="Arial" w:eastAsia="Arial" w:hAnsi="Arial"/>
                <w:b w:val="0"/>
                <w:bCs w:val="0"/>
              </w:rPr>
            </w:pPr>
            <w:r w:rsidDel="00000000" w:rsidR="00000000" w:rsidRPr="00000000">
              <w:rPr>
                <w:rFonts w:ascii="Arial" w:cs="Arial" w:eastAsia="Arial" w:hAnsi="Arial"/>
                <w:b w:val="0"/>
                <w:bCs w:val="0"/>
                <w:rtl w:val="0"/>
              </w:rPr>
              <w:t xml:space="preserve">11</w:t>
            </w:r>
          </w:p>
        </w:tc>
      </w:tr>
      <w:tr>
        <w:trPr>
          <w:cantSplit w:val="0"/>
          <w:trHeight w:val="300" w:hRule="atLeast"/>
          <w:tblHeader w:val="0"/>
        </w:trPr>
        <w:tc>
          <w:tcPr/>
          <w:p w:rsidR="00000000" w:rsidDel="00000000" w:rsidP="00000000" w:rsidRDefault="00000000" w:rsidRPr="00000000" w14:paraId="00000064">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65">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Public Health Measures Using Prevention.....................................................</w:t>
            </w:r>
          </w:p>
        </w:tc>
        <w:tc>
          <w:tcPr/>
          <w:p w:rsidR="00000000" w:rsidDel="00000000" w:rsidP="00000000" w:rsidRDefault="00000000" w:rsidRPr="00000000" w14:paraId="00000066">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7">
            <w:pPr>
              <w:rPr>
                <w:rFonts w:ascii="Arial" w:cs="Arial" w:eastAsia="Arial" w:hAnsi="Arial"/>
                <w:b w:val="0"/>
                <w:bCs w:val="0"/>
              </w:rPr>
            </w:pPr>
            <w:r w:rsidDel="00000000" w:rsidR="00000000" w:rsidRPr="00000000">
              <w:rPr>
                <w:rFonts w:ascii="Arial" w:cs="Arial" w:eastAsia="Arial" w:hAnsi="Arial"/>
                <w:b w:val="0"/>
                <w:bCs w:val="0"/>
                <w:rtl w:val="0"/>
              </w:rPr>
              <w:t xml:space="preserve">11</w:t>
            </w:r>
          </w:p>
        </w:tc>
      </w:tr>
      <w:tr>
        <w:trPr>
          <w:cantSplit w:val="0"/>
          <w:trHeight w:val="300" w:hRule="atLeast"/>
          <w:tblHeader w:val="0"/>
        </w:trPr>
        <w:tc>
          <w:tcPr/>
          <w:p w:rsidR="00000000" w:rsidDel="00000000" w:rsidP="00000000" w:rsidRDefault="00000000" w:rsidRPr="00000000" w14:paraId="00000068">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9">
            <w:pPr>
              <w:rPr>
                <w:rFonts w:ascii="Arial" w:cs="Arial" w:eastAsia="Arial" w:hAnsi="Arial"/>
                <w:b w:val="0"/>
                <w:bCs w:val="0"/>
              </w:rPr>
            </w:pPr>
            <w:r w:rsidDel="00000000" w:rsidR="00000000" w:rsidRPr="00000000">
              <w:rPr>
                <w:rFonts w:ascii="Arial" w:cs="Arial" w:eastAsia="Arial" w:hAnsi="Arial"/>
                <w:b w:val="0"/>
                <w:bCs w:val="0"/>
                <w:rtl w:val="0"/>
              </w:rPr>
              <w:t xml:space="preserve">Protection........................................................................................................</w:t>
            </w:r>
          </w:p>
        </w:tc>
        <w:tc>
          <w:tcPr/>
          <w:p w:rsidR="00000000" w:rsidDel="00000000" w:rsidP="00000000" w:rsidRDefault="00000000" w:rsidRPr="00000000" w14:paraId="0000006A">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B">
            <w:pPr>
              <w:rPr>
                <w:rFonts w:ascii="Arial" w:cs="Arial" w:eastAsia="Arial" w:hAnsi="Arial"/>
                <w:b w:val="0"/>
                <w:bCs w:val="0"/>
              </w:rPr>
            </w:pPr>
            <w:r w:rsidDel="00000000" w:rsidR="00000000" w:rsidRPr="00000000">
              <w:rPr>
                <w:rFonts w:ascii="Arial" w:cs="Arial" w:eastAsia="Arial" w:hAnsi="Arial"/>
                <w:b w:val="0"/>
                <w:bCs w:val="0"/>
                <w:rtl w:val="0"/>
              </w:rPr>
              <w:t xml:space="preserve">12</w:t>
            </w:r>
          </w:p>
        </w:tc>
      </w:tr>
      <w:tr>
        <w:trPr>
          <w:cantSplit w:val="0"/>
          <w:trHeight w:val="300" w:hRule="atLeast"/>
          <w:tblHeader w:val="0"/>
        </w:trPr>
        <w:tc>
          <w:tcPr/>
          <w:p w:rsidR="00000000" w:rsidDel="00000000" w:rsidP="00000000" w:rsidRDefault="00000000" w:rsidRPr="00000000" w14:paraId="0000006C">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D">
            <w:pPr>
              <w:rPr>
                <w:rFonts w:ascii="Arial" w:cs="Arial" w:eastAsia="Arial" w:hAnsi="Arial"/>
                <w:b w:val="0"/>
                <w:bCs w:val="0"/>
              </w:rPr>
            </w:pPr>
            <w:r w:rsidDel="00000000" w:rsidR="00000000" w:rsidRPr="00000000">
              <w:rPr>
                <w:rFonts w:ascii="Arial" w:cs="Arial" w:eastAsia="Arial" w:hAnsi="Arial"/>
                <w:b w:val="0"/>
                <w:bCs w:val="0"/>
                <w:rtl w:val="0"/>
              </w:rPr>
              <w:t xml:space="preserve">Promotion.......................................................................................................</w:t>
            </w:r>
          </w:p>
        </w:tc>
        <w:tc>
          <w:tcPr/>
          <w:p w:rsidR="00000000" w:rsidDel="00000000" w:rsidP="00000000" w:rsidRDefault="00000000" w:rsidRPr="00000000" w14:paraId="0000006E">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F">
            <w:pPr>
              <w:rPr>
                <w:rFonts w:ascii="Arial" w:cs="Arial" w:eastAsia="Arial" w:hAnsi="Arial"/>
                <w:b w:val="0"/>
                <w:bCs w:val="0"/>
              </w:rPr>
            </w:pPr>
            <w:r w:rsidDel="00000000" w:rsidR="00000000" w:rsidRPr="00000000">
              <w:rPr>
                <w:rFonts w:ascii="Arial" w:cs="Arial" w:eastAsia="Arial" w:hAnsi="Arial"/>
                <w:b w:val="0"/>
                <w:bCs w:val="0"/>
                <w:rtl w:val="0"/>
              </w:rPr>
              <w:t xml:space="preserve">12</w:t>
            </w:r>
          </w:p>
        </w:tc>
      </w:tr>
      <w:tr>
        <w:trPr>
          <w:cantSplit w:val="0"/>
          <w:trHeight w:val="300" w:hRule="atLeast"/>
          <w:tblHeader w:val="0"/>
        </w:trPr>
        <w:tc>
          <w:tcPr/>
          <w:p w:rsidR="00000000" w:rsidDel="00000000" w:rsidP="00000000" w:rsidRDefault="00000000" w:rsidRPr="00000000" w14:paraId="00000070">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1">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Key Determinants and Risk Factors...............................................................</w:t>
            </w:r>
          </w:p>
        </w:tc>
        <w:tc>
          <w:tcPr/>
          <w:p w:rsidR="00000000" w:rsidDel="00000000" w:rsidP="00000000" w:rsidRDefault="00000000" w:rsidRPr="00000000" w14:paraId="00000072">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3">
            <w:pPr>
              <w:rPr>
                <w:rFonts w:ascii="Arial" w:cs="Arial" w:eastAsia="Arial" w:hAnsi="Arial"/>
                <w:b w:val="0"/>
                <w:bCs w:val="0"/>
              </w:rPr>
            </w:pPr>
            <w:r w:rsidDel="00000000" w:rsidR="00000000" w:rsidRPr="00000000">
              <w:rPr>
                <w:rFonts w:ascii="Arial" w:cs="Arial" w:eastAsia="Arial" w:hAnsi="Arial"/>
                <w:b w:val="0"/>
                <w:bCs w:val="0"/>
                <w:rtl w:val="0"/>
              </w:rPr>
              <w:t xml:space="preserve">12</w:t>
            </w:r>
          </w:p>
        </w:tc>
      </w:tr>
      <w:tr>
        <w:trPr>
          <w:cantSplit w:val="0"/>
          <w:trHeight w:val="300" w:hRule="atLeast"/>
          <w:tblHeader w:val="0"/>
        </w:trPr>
        <w:tc>
          <w:tcPr/>
          <w:p w:rsidR="00000000" w:rsidDel="00000000" w:rsidP="00000000" w:rsidRDefault="00000000" w:rsidRPr="00000000" w14:paraId="00000074">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5">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Population at Risk...........................................................................................</w:t>
            </w:r>
          </w:p>
        </w:tc>
        <w:tc>
          <w:tcPr/>
          <w:p w:rsidR="00000000" w:rsidDel="00000000" w:rsidP="00000000" w:rsidRDefault="00000000" w:rsidRPr="00000000" w14:paraId="00000076">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7">
            <w:pPr>
              <w:rPr>
                <w:rFonts w:ascii="Arial" w:cs="Arial" w:eastAsia="Arial" w:hAnsi="Arial"/>
                <w:b w:val="0"/>
                <w:bCs w:val="0"/>
              </w:rPr>
            </w:pPr>
            <w:r w:rsidDel="00000000" w:rsidR="00000000" w:rsidRPr="00000000">
              <w:rPr>
                <w:rFonts w:ascii="Arial" w:cs="Arial" w:eastAsia="Arial" w:hAnsi="Arial"/>
                <w:b w:val="0"/>
                <w:bCs w:val="0"/>
                <w:rtl w:val="0"/>
              </w:rPr>
              <w:t xml:space="preserve">13</w:t>
            </w:r>
          </w:p>
        </w:tc>
      </w:tr>
      <w:tr>
        <w:trPr>
          <w:cantSplit w:val="0"/>
          <w:trHeight w:val="300" w:hRule="atLeast"/>
          <w:tblHeader w:val="0"/>
        </w:trPr>
        <w:tc>
          <w:tcPr/>
          <w:p w:rsidR="00000000" w:rsidDel="00000000" w:rsidP="00000000" w:rsidRDefault="00000000" w:rsidRPr="00000000" w14:paraId="00000078">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9">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Epidemiological Surveillance and Monitoring.................................................</w:t>
            </w:r>
          </w:p>
        </w:tc>
        <w:tc>
          <w:tcPr/>
          <w:p w:rsidR="00000000" w:rsidDel="00000000" w:rsidP="00000000" w:rsidRDefault="00000000" w:rsidRPr="00000000" w14:paraId="0000007A">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B">
            <w:pPr>
              <w:rPr>
                <w:rFonts w:ascii="Arial" w:cs="Arial" w:eastAsia="Arial" w:hAnsi="Arial"/>
                <w:b w:val="0"/>
                <w:bCs w:val="0"/>
              </w:rPr>
            </w:pPr>
            <w:r w:rsidDel="00000000" w:rsidR="00000000" w:rsidRPr="00000000">
              <w:rPr>
                <w:rFonts w:ascii="Arial" w:cs="Arial" w:eastAsia="Arial" w:hAnsi="Arial"/>
                <w:b w:val="0"/>
                <w:bCs w:val="0"/>
                <w:rtl w:val="0"/>
              </w:rPr>
              <w:t xml:space="preserve">13</w:t>
            </w:r>
          </w:p>
        </w:tc>
      </w:tr>
      <w:tr>
        <w:trPr>
          <w:cantSplit w:val="0"/>
          <w:trHeight w:val="300" w:hRule="atLeast"/>
          <w:tblHeader w:val="0"/>
        </w:trPr>
        <w:tc>
          <w:tcPr/>
          <w:p w:rsidR="00000000" w:rsidDel="00000000" w:rsidP="00000000" w:rsidRDefault="00000000" w:rsidRPr="00000000" w14:paraId="0000007C">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D">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Public Health Impact of Type 2 Diabetes........................................................</w:t>
            </w:r>
          </w:p>
        </w:tc>
        <w:tc>
          <w:tcPr/>
          <w:p w:rsidR="00000000" w:rsidDel="00000000" w:rsidP="00000000" w:rsidRDefault="00000000" w:rsidRPr="00000000" w14:paraId="0000007E">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F">
            <w:pPr>
              <w:rPr>
                <w:rFonts w:ascii="Arial" w:cs="Arial" w:eastAsia="Arial" w:hAnsi="Arial"/>
                <w:b w:val="0"/>
                <w:bCs w:val="0"/>
              </w:rPr>
            </w:pPr>
            <w:r w:rsidDel="00000000" w:rsidR="00000000" w:rsidRPr="00000000">
              <w:rPr>
                <w:rFonts w:ascii="Arial" w:cs="Arial" w:eastAsia="Arial" w:hAnsi="Arial"/>
                <w:b w:val="0"/>
                <w:bCs w:val="0"/>
                <w:rtl w:val="0"/>
              </w:rPr>
              <w:t xml:space="preserve">13</w:t>
            </w:r>
          </w:p>
        </w:tc>
      </w:tr>
      <w:tr>
        <w:trPr>
          <w:cantSplit w:val="0"/>
          <w:trHeight w:val="300" w:hRule="atLeast"/>
          <w:tblHeader w:val="0"/>
        </w:trPr>
        <w:tc>
          <w:tcPr/>
          <w:p w:rsidR="00000000" w:rsidDel="00000000" w:rsidP="00000000" w:rsidRDefault="00000000" w:rsidRPr="00000000" w14:paraId="00000080">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81">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Intervention Programme.................................................................................</w:t>
            </w:r>
          </w:p>
        </w:tc>
        <w:tc>
          <w:tcPr/>
          <w:p w:rsidR="00000000" w:rsidDel="00000000" w:rsidP="00000000" w:rsidRDefault="00000000" w:rsidRPr="00000000" w14:paraId="00000082">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3">
            <w:pPr>
              <w:rPr>
                <w:rFonts w:ascii="Arial" w:cs="Arial" w:eastAsia="Arial" w:hAnsi="Arial"/>
                <w:b w:val="0"/>
                <w:bCs w:val="0"/>
              </w:rPr>
            </w:pPr>
            <w:r w:rsidDel="00000000" w:rsidR="00000000" w:rsidRPr="00000000">
              <w:rPr>
                <w:rFonts w:ascii="Arial" w:cs="Arial" w:eastAsia="Arial" w:hAnsi="Arial"/>
                <w:b w:val="0"/>
                <w:bCs w:val="0"/>
                <w:rtl w:val="0"/>
              </w:rPr>
              <w:t xml:space="preserve">14</w:t>
            </w:r>
          </w:p>
        </w:tc>
      </w:tr>
      <w:tr>
        <w:trPr>
          <w:cantSplit w:val="0"/>
          <w:trHeight w:val="300" w:hRule="atLeast"/>
          <w:tblHeader w:val="0"/>
        </w:trPr>
        <w:tc>
          <w:tcPr/>
          <w:p w:rsidR="00000000" w:rsidDel="00000000" w:rsidP="00000000" w:rsidRDefault="00000000" w:rsidRPr="00000000" w14:paraId="00000084">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85">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Evaluation of the Intervention Programme.....................................................</w:t>
            </w:r>
          </w:p>
        </w:tc>
        <w:tc>
          <w:tcPr/>
          <w:p w:rsidR="00000000" w:rsidDel="00000000" w:rsidP="00000000" w:rsidRDefault="00000000" w:rsidRPr="00000000" w14:paraId="00000086">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7">
            <w:pPr>
              <w:rPr>
                <w:rFonts w:ascii="Arial" w:cs="Arial" w:eastAsia="Arial" w:hAnsi="Arial"/>
                <w:b w:val="0"/>
                <w:bCs w:val="0"/>
              </w:rPr>
            </w:pPr>
            <w:r w:rsidDel="00000000" w:rsidR="00000000" w:rsidRPr="00000000">
              <w:rPr>
                <w:rFonts w:ascii="Arial" w:cs="Arial" w:eastAsia="Arial" w:hAnsi="Arial"/>
                <w:b w:val="0"/>
                <w:bCs w:val="0"/>
                <w:rtl w:val="0"/>
              </w:rPr>
              <w:t xml:space="preserve">14</w:t>
            </w:r>
          </w:p>
        </w:tc>
      </w:tr>
      <w:tr>
        <w:trPr>
          <w:cantSplit w:val="0"/>
          <w:trHeight w:val="300" w:hRule="atLeast"/>
          <w:tblHeader w:val="0"/>
        </w:trPr>
        <w:tc>
          <w:tcPr/>
          <w:p w:rsidR="00000000" w:rsidDel="00000000" w:rsidP="00000000" w:rsidRDefault="00000000" w:rsidRPr="00000000" w14:paraId="00000088">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9">
            <w:pPr>
              <w:rPr>
                <w:rFonts w:ascii="Arial" w:cs="Arial" w:eastAsia="Arial" w:hAnsi="Arial"/>
                <w:b w:val="0"/>
                <w:bCs w:val="0"/>
              </w:rPr>
            </w:pPr>
            <w:r w:rsidDel="00000000" w:rsidR="00000000" w:rsidRPr="00000000">
              <w:rPr>
                <w:rFonts w:ascii="Arial" w:cs="Arial" w:eastAsia="Arial" w:hAnsi="Arial"/>
                <w:b w:val="0"/>
                <w:bCs w:val="0"/>
                <w:rtl w:val="0"/>
              </w:rPr>
              <w:t xml:space="preserve">Conclusion......................................................................................................</w:t>
            </w:r>
          </w:p>
        </w:tc>
        <w:tc>
          <w:tcPr/>
          <w:p w:rsidR="00000000" w:rsidDel="00000000" w:rsidP="00000000" w:rsidRDefault="00000000" w:rsidRPr="00000000" w14:paraId="0000008A">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B">
            <w:pPr>
              <w:rPr>
                <w:rFonts w:ascii="Arial" w:cs="Arial" w:eastAsia="Arial" w:hAnsi="Arial"/>
                <w:b w:val="0"/>
                <w:bCs w:val="0"/>
              </w:rPr>
            </w:pPr>
            <w:r w:rsidDel="00000000" w:rsidR="00000000" w:rsidRPr="00000000">
              <w:rPr>
                <w:rFonts w:ascii="Arial" w:cs="Arial" w:eastAsia="Arial" w:hAnsi="Arial"/>
                <w:b w:val="0"/>
                <w:bCs w:val="0"/>
                <w:rtl w:val="0"/>
              </w:rPr>
              <w:t xml:space="preserve">15</w:t>
            </w:r>
          </w:p>
        </w:tc>
      </w:tr>
      <w:tr>
        <w:trPr>
          <w:cantSplit w:val="0"/>
          <w:trHeight w:val="300" w:hRule="atLeast"/>
          <w:tblHeader w:val="0"/>
        </w:trPr>
        <w:tc>
          <w:tcPr/>
          <w:p w:rsidR="00000000" w:rsidDel="00000000" w:rsidP="00000000" w:rsidRDefault="00000000" w:rsidRPr="00000000" w14:paraId="0000008C">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D">
            <w:pPr>
              <w:rPr>
                <w:rFonts w:ascii="Arial" w:cs="Arial" w:eastAsia="Arial" w:hAnsi="Arial"/>
                <w:b w:val="0"/>
                <w:bCs w:val="0"/>
              </w:rPr>
            </w:pPr>
            <w:r w:rsidDel="00000000" w:rsidR="00000000" w:rsidRPr="00000000">
              <w:rPr>
                <w:rFonts w:ascii="Arial" w:cs="Arial" w:eastAsia="Arial" w:hAnsi="Arial"/>
                <w:b w:val="0"/>
                <w:bCs w:val="0"/>
                <w:rtl w:val="0"/>
              </w:rPr>
              <w:t xml:space="preserve">Reference list..................................................................................................</w:t>
            </w:r>
          </w:p>
        </w:tc>
        <w:tc>
          <w:tcPr/>
          <w:p w:rsidR="00000000" w:rsidDel="00000000" w:rsidP="00000000" w:rsidRDefault="00000000" w:rsidRPr="00000000" w14:paraId="0000008E">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F">
            <w:pPr>
              <w:rPr>
                <w:rFonts w:ascii="Arial" w:cs="Arial" w:eastAsia="Arial" w:hAnsi="Arial"/>
                <w:b w:val="0"/>
                <w:bCs w:val="0"/>
              </w:rPr>
            </w:pPr>
            <w:r w:rsidDel="00000000" w:rsidR="00000000" w:rsidRPr="00000000">
              <w:rPr>
                <w:rFonts w:ascii="Arial" w:cs="Arial" w:eastAsia="Arial" w:hAnsi="Arial"/>
                <w:b w:val="0"/>
                <w:bCs w:val="0"/>
                <w:rtl w:val="0"/>
              </w:rPr>
              <w:t xml:space="preserve">16</w:t>
            </w:r>
          </w:p>
        </w:tc>
      </w:tr>
    </w:tbl>
    <w:p w:rsidR="00000000" w:rsidDel="00000000" w:rsidP="00000000" w:rsidRDefault="00000000" w:rsidRPr="00000000" w14:paraId="00000090">
      <w:pPr>
        <w:spacing w:after="160" w:before="0" w:line="360" w:lineRule="auto"/>
        <w:ind w:left="0" w:right="0" w:firstLine="0"/>
        <w:jc w:val="left"/>
        <w:rPr>
          <w:rFonts w:ascii="Arial" w:cs="Arial" w:eastAsia="Arial" w:hAnsi="Arial"/>
          <w:b w:val="0"/>
          <w:bCs w:val="0"/>
        </w:rPr>
      </w:pPr>
      <w:r w:rsidDel="00000000" w:rsidR="00000000" w:rsidRPr="00000000">
        <w:rPr>
          <w:rtl w:val="0"/>
        </w:rPr>
      </w:r>
    </w:p>
    <w:p w:rsidR="00000000" w:rsidDel="00000000" w:rsidP="00000000" w:rsidRDefault="00000000" w:rsidRPr="00000000" w14:paraId="00000091">
      <w:pPr>
        <w:spacing w:line="360" w:lineRule="auto"/>
        <w:ind w:left="0" w:firstLine="0"/>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Introduction</w:t>
      </w:r>
    </w:p>
    <w:p w:rsidR="00000000" w:rsidDel="00000000" w:rsidP="00000000" w:rsidRDefault="00000000" w:rsidRPr="00000000" w14:paraId="0000009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a significant non-communicable disease and a growing public health issue worldwide. The condition is characterised by elevated blood glucose levels due to insulin resistance and reduced insulin production. It can lead to serious complications such as cardiovascular disease, kidney failure, blindness and nerve damage, which significantly reduce quality of life and increase mortality risk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9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prevalence of diabetes in the world has grown rapidly due to ageing populations, urbanisation and lifestyle changes. In 2019, there were an estimated 463 million adults with diabetes worldwide, and this is expected to increase to almost 700 million by 2045 (Saeedi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2020). In the United Kingdom, more than 4.3 million people are living with diabetes, with a higher prevalence rate in deprived areas such as Tower Hamlets (Diabetes UK, 2024). It is estimated that one in ten people over 65 years of age are affected, indicating the substantial burden among older adults (Diabetes UK, 2024).</w:t>
      </w:r>
    </w:p>
    <w:p w:rsidR="00000000" w:rsidDel="00000000" w:rsidP="00000000" w:rsidRDefault="00000000" w:rsidRPr="00000000" w14:paraId="0000009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Tower Hamlets has one of the highest rates of diabetes prevalence in England owing to high levels of socioeconomic deprivation and a large South Asian population (Public Health England, 2021). The aim of this report is to analyse the epidemiology of Type 2 diabetes among older adults in Tower Hamlets and evaluate public health measures used in preventing and managing the condition.</w:t>
      </w:r>
    </w:p>
    <w:p w:rsidR="00000000" w:rsidDel="00000000" w:rsidP="00000000" w:rsidRDefault="00000000" w:rsidRPr="00000000" w14:paraId="0000009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Public Health Measures Using Prevention, Protection and Promotion</w:t>
      </w:r>
    </w:p>
    <w:p w:rsidR="00000000" w:rsidDel="00000000" w:rsidP="00000000" w:rsidRDefault="00000000" w:rsidRPr="00000000" w14:paraId="0000009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strategies to manage Type 2 diabetes are based on prevention, protection and health promotion, which aim to reduce disease incidence, minimise complications and improve population health outcomes (World Health Organization, 2023).</w:t>
      </w:r>
    </w:p>
    <w:p w:rsidR="00000000" w:rsidDel="00000000" w:rsidP="00000000" w:rsidRDefault="00000000" w:rsidRPr="00000000" w14:paraId="0000009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Prevention</w:t>
      </w:r>
    </w:p>
    <w:p w:rsidR="00000000" w:rsidDel="00000000" w:rsidP="00000000" w:rsidRDefault="00000000" w:rsidRPr="00000000" w14:paraId="0000009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Prevention focuses on reducing risk factors associated with diabetes. Lifestyle interventions such as healthy diet, increased physical activity and weight management are important in decreasing the likelihood of developing the condition. There is strong evidence that lifestyle interventions can reduce the risk of developing Type 2 diabetes by up to 58% among high-risk individuals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9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United Kingdom, the NHS Diabetes Prevention Programme is a key example of a preventive strategy. It identifies individuals at high risk and provides structured support, including dietary advice, physical activity programmes and behavioural change interventions (Public Health England, 2021). Community-based exercise programmes and public health campaigns promoting healthy eating are also widely implemented, particularly in deprived areas such as Tower Hamlets (NHS England, 2019).</w:t>
      </w:r>
    </w:p>
    <w:p w:rsidR="00000000" w:rsidDel="00000000" w:rsidP="00000000" w:rsidRDefault="00000000" w:rsidRPr="00000000" w14:paraId="0000009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Protection</w:t>
      </w:r>
    </w:p>
    <w:p w:rsidR="00000000" w:rsidDel="00000000" w:rsidP="00000000" w:rsidRDefault="00000000" w:rsidRPr="00000000" w14:paraId="0000009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Protection strategies are aimed at reducing complications and improving management among individuals already diagnosed with diabetes. The NHS provides routine screening, monitoring and treatment services, including regular blood glucose checks and medication management, to prevent complications such as cardiovascular disease and kidney failure (NHS England, 2019).</w:t>
      </w:r>
    </w:p>
    <w:p w:rsidR="00000000" w:rsidDel="00000000" w:rsidP="00000000" w:rsidRDefault="00000000" w:rsidRPr="00000000" w14:paraId="0000009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National Diabetes Audit is a crucial protective measure that collects data on diabetes care and outcomes across England. It allows healthcare providers to monitor disease trends, identify gaps in care and improve service delivery (NHS Digital, 2023).</w:t>
      </w:r>
    </w:p>
    <w:p w:rsidR="00000000" w:rsidDel="00000000" w:rsidP="00000000" w:rsidRDefault="00000000" w:rsidRPr="00000000" w14:paraId="0000009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Promotion</w:t>
      </w:r>
    </w:p>
    <w:p w:rsidR="00000000" w:rsidDel="00000000" w:rsidP="00000000" w:rsidRDefault="00000000" w:rsidRPr="00000000" w14:paraId="0000009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Health promotion focuses on increasing awareness and encouraging behavioural change. Public health campaigns educate individuals about diabetes risk factors, symptoms and prevention strategies (World Health Organization, 2021). Community education programmes and culturally appropriate interventions are particularly important in areas such as Tower Hamlets, where ethnic diversity influences lifestyle behaviours (Public Health England, 2021).</w:t>
      </w:r>
    </w:p>
    <w:p w:rsidR="00000000" w:rsidDel="00000000" w:rsidP="00000000" w:rsidRDefault="00000000" w:rsidRPr="00000000" w14:paraId="000000A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Health promotion initiatives aim to empower individuals to take responsibility for their health and adopt healthier lifestyles, thereby reducing the overall burden of diabetes (World Health Organization, 2023).</w:t>
      </w:r>
    </w:p>
    <w:p w:rsidR="00000000" w:rsidDel="00000000" w:rsidP="00000000" w:rsidRDefault="00000000" w:rsidRPr="00000000" w14:paraId="000000A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Key Determinants and Risk Factors</w:t>
      </w:r>
    </w:p>
    <w:p w:rsidR="00000000" w:rsidDel="00000000" w:rsidP="00000000" w:rsidRDefault="00000000" w:rsidRPr="00000000" w14:paraId="000000A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development of Type 2 diabetes is influenced by a combination of biological, behavioural and social factors. Age is a major risk factor, as metabolic changes and reduced physical activity increase insulin resistance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A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Obesity is one of the most significant risk factors. Excess body fat interferes with insulin function and increases disease risk. Studies show that individuals with obesity are up to three times more likely to develop Type 2 diabetes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A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Socioeconomic factors are also critical determinants. Individuals living in deprived areas often have limited access to healthy food, safe environments for physical activity and healthcare services, contributing to higher rates of diabetes in areas such as Tower Hamlets (Conduah and Ofoe, 2025). Lifestyle behaviours, including poor diet and physical inactivity, further increase the risk (Malkowski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A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Population at Risk</w:t>
      </w:r>
    </w:p>
    <w:p w:rsidR="00000000" w:rsidDel="00000000" w:rsidP="00000000" w:rsidRDefault="00000000" w:rsidRPr="00000000" w14:paraId="000000A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Certain population groups are more susceptible to Type 2 diabetes. Older adults are particularly vulnerable due to physiological ageing and increased exposure to risk factors such as obesity and reduced physical activity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A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Ethnic minority groups are also disproportionately affected. In Tower Hamlets, the large South Asian population has a higher genetic predisposition to diabetes. Research shows that South Asians in the UK are two to four times more likely to develop Type 2 diabetes compared to the white British population (Watkinson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w:t>
      </w:r>
    </w:p>
    <w:p w:rsidR="00000000" w:rsidDel="00000000" w:rsidP="00000000" w:rsidRDefault="00000000" w:rsidRPr="00000000" w14:paraId="000000A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Individuals living in socioeconomically deprived communities are also at higher risk due to barriers in accessing healthcare and preventive services. These inequalities contribute to delayed diagnosis and poorer disease outcomes (Bukova-Žideļūna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w:t>
      </w:r>
    </w:p>
    <w:p w:rsidR="00000000" w:rsidDel="00000000" w:rsidP="00000000" w:rsidRDefault="00000000" w:rsidRPr="00000000" w14:paraId="000000A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Epidemiological Surveillance and Monitoring</w:t>
      </w:r>
    </w:p>
    <w:p w:rsidR="00000000" w:rsidDel="00000000" w:rsidP="00000000" w:rsidRDefault="00000000" w:rsidRPr="00000000" w14:paraId="000000A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Epidemiological surveillance is essential for monitoring disease patterns and evaluating public health interventions. In the United Kingdom, surveillance systems such as the National Diabetes Audit provide comprehensive data on diabetes prevalence, management and outcomes (NHS Digital, 2023).</w:t>
      </w:r>
    </w:p>
    <w:p w:rsidR="00000000" w:rsidDel="00000000" w:rsidP="00000000" w:rsidRDefault="00000000" w:rsidRPr="00000000" w14:paraId="000000A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Both passive and active surveillance methods are used. Passive surveillance involves analysing routine healthcare records, while active surveillance includes screening programmes and population-based studies (World Health Organization,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2023). These approaches allow public health authorities to identify trends, monitor inequalities and plan healthcare services effectively.</w:t>
      </w:r>
    </w:p>
    <w:p w:rsidR="00000000" w:rsidDel="00000000" w:rsidP="00000000" w:rsidRDefault="00000000" w:rsidRPr="00000000" w14:paraId="000000A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Large-scale cohort studies and national surveys also provide valuable insights into the distribution of diabetes and its risk factors across different populations (Goodwin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AD">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Public Health Impact of Type 2 Diabetes</w:t>
      </w:r>
    </w:p>
    <w:p w:rsidR="00000000" w:rsidDel="00000000" w:rsidP="00000000" w:rsidRDefault="00000000" w:rsidRPr="00000000" w14:paraId="000000A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has significant short-term and long-term impacts on individuals and healthcare systems. In the short term, it increases demand for healthcare services such as primary care, hospital admissions and medication use (NHS England, 2019).</w:t>
      </w:r>
    </w:p>
    <w:p w:rsidR="00000000" w:rsidDel="00000000" w:rsidP="00000000" w:rsidRDefault="00000000" w:rsidRPr="00000000" w14:paraId="000000A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long term, diabetes can lead to serious complications including cardiovascular disease, kidney failure and neuropathy, which reduce life expectancy and quality of life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The economic burden is also substantial, with diabetes treatment and its complications costing the NHS billions of pounds annually (Diabetes UK, 2024).</w:t>
      </w:r>
    </w:p>
    <w:p w:rsidR="00000000" w:rsidDel="00000000" w:rsidP="00000000" w:rsidRDefault="00000000" w:rsidRPr="00000000" w14:paraId="000000B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increasing prevalence of diabetes highlights the need for effective public health strategies to reduce disease burden and improve health outcomes (Saeedi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2020).</w:t>
      </w:r>
    </w:p>
    <w:p w:rsidR="00000000" w:rsidDel="00000000" w:rsidP="00000000" w:rsidRDefault="00000000" w:rsidRPr="00000000" w14:paraId="000000B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Intervention Programme</w:t>
      </w:r>
    </w:p>
    <w:p w:rsidR="00000000" w:rsidDel="00000000" w:rsidP="00000000" w:rsidRDefault="00000000" w:rsidRPr="00000000" w14:paraId="000000B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Tower Hamlets, one of the key interventions to address Type 2 diabetes among older adults is the Community Diabetes Lifestyle Support Programme. This programme focuses on promoting healthy behaviours through community-based education, physical activity sessions and nutritional guidance (Public Health England, 2021).</w:t>
      </w:r>
    </w:p>
    <w:p w:rsidR="00000000" w:rsidDel="00000000" w:rsidP="00000000" w:rsidRDefault="00000000" w:rsidRPr="00000000" w14:paraId="000000B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programme aims to improve awareness of diabetes risk factors and encourage lifestyle changes among older adults. It also provides culturally appropriate support tailored to the local population, particularly South Asian communities where dietary habits influence diabetes risk (Watkinson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w:t>
      </w:r>
    </w:p>
    <w:p w:rsidR="00000000" w:rsidDel="00000000" w:rsidP="00000000" w:rsidRDefault="00000000" w:rsidRPr="00000000" w14:paraId="000000B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By delivering services within community settings, the programme improves accessibility and engagement among older adults, particularly those from socioeconomically disadvantaged backgrounds (Conduah and Ofoe, 2025).</w:t>
      </w:r>
    </w:p>
    <w:p w:rsidR="00000000" w:rsidDel="00000000" w:rsidP="00000000" w:rsidRDefault="00000000" w:rsidRPr="00000000" w14:paraId="000000B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Evaluation of the Intervention Programme</w:t>
      </w:r>
    </w:p>
    <w:p w:rsidR="00000000" w:rsidDel="00000000" w:rsidP="00000000" w:rsidRDefault="00000000" w:rsidRPr="00000000" w14:paraId="000000B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Community Diabetes Lifestyle Support Programme has several strengths. Firstly, it promotes behavioural change by encouraging healthier lifestyles, which can reduce the risk of developing diabetes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Secondly, it improves accessibility by delivering services within local communities, making participation easier for older adults (Public Health England, 2021). Thirdly, it enhances social engagement, which can positively impact mental wellbeing (World Health Organization, 2021).</w:t>
      </w:r>
    </w:p>
    <w:p w:rsidR="00000000" w:rsidDel="00000000" w:rsidP="00000000" w:rsidRDefault="00000000" w:rsidRPr="00000000" w14:paraId="000000B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However, there are also limitations. The programme requires significant financial and human resources for implementation and sustainability (NHS England, 2019). Participation may be limited among individuals with mobility issues or low motivation (Chadwick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Additionally, maintaining long-term behavioural change can be challenging, which may reduce the effectiveness of the intervention over time (Chadwick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w:t>
      </w:r>
    </w:p>
    <w:p w:rsidR="00000000" w:rsidDel="00000000" w:rsidP="00000000" w:rsidRDefault="00000000" w:rsidRPr="00000000" w14:paraId="000000B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0B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a serious health policy issue that disproportionately burdened the elderly and socioeconomically disadvantaged people. The epidemiological analysis illuminates the role of factors including ageing, obesity, socioeconomic inequalities and lifestyle behaviours on the prevalence of diseases.</w:t>
      </w:r>
    </w:p>
    <w:p w:rsidR="00000000" w:rsidDel="00000000" w:rsidP="00000000" w:rsidRDefault="00000000" w:rsidRPr="00000000" w14:paraId="000000B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strategies based on prevention protection and promotion are needed if the burden of diabetes is to be reduced. The Community Diabetes Lifestyle Support Programme shows the importance of targeted interventions in improving health outcomes, but where there are challenges in ensuring the long-term effectiveness of the program.</w:t>
      </w:r>
    </w:p>
    <w:p w:rsidR="00000000" w:rsidDel="00000000" w:rsidP="00000000" w:rsidRDefault="00000000" w:rsidRPr="00000000" w14:paraId="000000B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Addressing social determinants of health, ensuring access to healthcare and through effective intervention is critical if health inequalities and the wellbeing of older adults in Tower Hamlets are to improve.</w:t>
      </w:r>
    </w:p>
    <w:p w:rsidR="00000000" w:rsidDel="00000000" w:rsidP="00000000" w:rsidRDefault="00000000" w:rsidRPr="00000000" w14:paraId="000000BE">
      <w:pPr>
        <w:spacing w:line="360" w:lineRule="auto"/>
        <w:jc w:val="both"/>
        <w:rPr>
          <w:b w:val="1"/>
          <w:bCs w:val="1"/>
        </w:rPr>
      </w:pPr>
      <w:bookmarkStart w:colFirst="0" w:colLast="0" w:name="_heading=h.jcuc0hxsvmvq" w:id="3"/>
      <w:bookmarkEnd w:id="3"/>
      <w:r w:rsidDel="00000000" w:rsidR="00000000" w:rsidRPr="00000000">
        <w:br w:type="page"/>
      </w:r>
      <w:r w:rsidDel="00000000" w:rsidR="00000000" w:rsidRPr="00000000">
        <w:rPr>
          <w:rtl w:val="0"/>
        </w:rPr>
      </w:r>
    </w:p>
    <w:p w:rsidR="00000000" w:rsidDel="00000000" w:rsidP="00000000" w:rsidRDefault="00000000" w:rsidRPr="00000000" w14:paraId="000000BF">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 </w:t>
      </w:r>
    </w:p>
    <w:p w:rsidR="00000000" w:rsidDel="00000000" w:rsidP="00000000" w:rsidRDefault="00000000" w:rsidRPr="00000000" w14:paraId="000000C0">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Bukova-Žideļūna, A., Ķīvīte-Urtāne, A., Sprinģe, L., Priedīte, I., Baltmane, D. and Smolič, Š., 2025. </w:t>
      </w:r>
      <w:r w:rsidDel="00000000" w:rsidR="00000000" w:rsidRPr="00000000">
        <w:rPr>
          <w:rFonts w:ascii="Arial" w:cs="Arial" w:eastAsia="Arial" w:hAnsi="Arial"/>
          <w:b w:val="0"/>
          <w:bCs w:val="0"/>
          <w:i w:val="1"/>
          <w:iCs w:val="1"/>
          <w:sz w:val="22"/>
          <w:szCs w:val="22"/>
          <w:rtl w:val="0"/>
        </w:rPr>
        <w:t xml:space="preserve">Inequities in health service needs among older adults during COVID-19: a gender-stratified analysis using longitudinal SHARE data.</w:t>
      </w:r>
      <w:r w:rsidDel="00000000" w:rsidR="00000000" w:rsidRPr="00000000">
        <w:rPr>
          <w:rFonts w:ascii="Arial" w:cs="Arial" w:eastAsia="Arial" w:hAnsi="Arial"/>
          <w:b w:val="0"/>
          <w:bCs w:val="0"/>
          <w:sz w:val="22"/>
          <w:szCs w:val="22"/>
          <w:rtl w:val="0"/>
        </w:rPr>
        <w:t xml:space="preserve"> INQUIRY: The Journal of Health Care Organization, Provision, and Financing, 62, p.00469580251371425. Available at: </w:t>
      </w:r>
      <w:hyperlink r:id="rId23">
        <w:r w:rsidDel="00000000" w:rsidR="00000000" w:rsidRPr="00000000">
          <w:rPr>
            <w:rFonts w:ascii="Arial" w:cs="Arial" w:eastAsia="Arial" w:hAnsi="Arial"/>
            <w:b w:val="0"/>
            <w:bCs w:val="0"/>
            <w:color w:val="0563c1"/>
            <w:sz w:val="22"/>
            <w:szCs w:val="22"/>
            <w:u w:val="single"/>
            <w:rtl w:val="0"/>
          </w:rPr>
          <w:t xml:space="preserve">https://journals.sagepub.com/doi/10.1177/00469580251371425</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1">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Chadwick, H., Laverty, L., Finnigan, R., Elias, R., Farrington, K., Caskey, F.J. and van der Veer, S.N., 2024. </w:t>
      </w:r>
      <w:r w:rsidDel="00000000" w:rsidR="00000000" w:rsidRPr="00000000">
        <w:rPr>
          <w:rFonts w:ascii="Arial" w:cs="Arial" w:eastAsia="Arial" w:hAnsi="Arial"/>
          <w:b w:val="0"/>
          <w:bCs w:val="0"/>
          <w:i w:val="1"/>
          <w:iCs w:val="1"/>
          <w:sz w:val="22"/>
          <w:szCs w:val="22"/>
          <w:rtl w:val="0"/>
        </w:rPr>
        <w:t xml:space="preserve">Engagement with digital health technologies among older people living in socially deprived areas: qualitative study of influencing factors.</w:t>
      </w:r>
      <w:r w:rsidDel="00000000" w:rsidR="00000000" w:rsidRPr="00000000">
        <w:rPr>
          <w:rFonts w:ascii="Arial" w:cs="Arial" w:eastAsia="Arial" w:hAnsi="Arial"/>
          <w:b w:val="0"/>
          <w:bCs w:val="0"/>
          <w:sz w:val="22"/>
          <w:szCs w:val="22"/>
          <w:rtl w:val="0"/>
        </w:rPr>
        <w:t xml:space="preserve"> JMIR Formative Research, 8, p.e60483. Available at: </w:t>
      </w:r>
      <w:hyperlink r:id="rId24">
        <w:r w:rsidDel="00000000" w:rsidR="00000000" w:rsidRPr="00000000">
          <w:rPr>
            <w:rFonts w:ascii="Arial" w:cs="Arial" w:eastAsia="Arial" w:hAnsi="Arial"/>
            <w:b w:val="0"/>
            <w:bCs w:val="0"/>
            <w:color w:val="0563c1"/>
            <w:sz w:val="22"/>
            <w:szCs w:val="22"/>
            <w:u w:val="single"/>
            <w:rtl w:val="0"/>
          </w:rPr>
          <w:t xml:space="preserve">https://formative.jmir.org/2024/1/e60483</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2">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Conduah, A.K. and Ofoe, S.H., 2025. </w:t>
      </w:r>
      <w:r w:rsidDel="00000000" w:rsidR="00000000" w:rsidRPr="00000000">
        <w:rPr>
          <w:rFonts w:ascii="Arial" w:cs="Arial" w:eastAsia="Arial" w:hAnsi="Arial"/>
          <w:b w:val="0"/>
          <w:bCs w:val="0"/>
          <w:i w:val="1"/>
          <w:iCs w:val="1"/>
          <w:sz w:val="22"/>
          <w:szCs w:val="22"/>
          <w:rtl w:val="0"/>
        </w:rPr>
        <w:t xml:space="preserve">Intersecting impacts of ageing, migration, and socioeconomic disparities on health equity: a post-pandemic policy review.</w:t>
      </w:r>
      <w:r w:rsidDel="00000000" w:rsidR="00000000" w:rsidRPr="00000000">
        <w:rPr>
          <w:rFonts w:ascii="Arial" w:cs="Arial" w:eastAsia="Arial" w:hAnsi="Arial"/>
          <w:b w:val="0"/>
          <w:bCs w:val="0"/>
          <w:sz w:val="22"/>
          <w:szCs w:val="22"/>
          <w:rtl w:val="0"/>
        </w:rPr>
        <w:t xml:space="preserve"> International Journal for Equity in Health, 24(1), p.304. Available at: </w:t>
      </w:r>
      <w:hyperlink r:id="rId25">
        <w:r w:rsidDel="00000000" w:rsidR="00000000" w:rsidRPr="00000000">
          <w:rPr>
            <w:rFonts w:ascii="Arial" w:cs="Arial" w:eastAsia="Arial" w:hAnsi="Arial"/>
            <w:b w:val="0"/>
            <w:bCs w:val="0"/>
            <w:color w:val="0563c1"/>
            <w:sz w:val="22"/>
            <w:szCs w:val="22"/>
            <w:u w:val="single"/>
            <w:rtl w:val="0"/>
          </w:rPr>
          <w:t xml:space="preserve">https://link.springer.com/article/10.1186/s12939-025-02683-0</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3">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Diabetes UK, 2024. </w:t>
      </w:r>
      <w:r w:rsidDel="00000000" w:rsidR="00000000" w:rsidRPr="00000000">
        <w:rPr>
          <w:rFonts w:ascii="Arial" w:cs="Arial" w:eastAsia="Arial" w:hAnsi="Arial"/>
          <w:b w:val="0"/>
          <w:bCs w:val="0"/>
          <w:i w:val="1"/>
          <w:iCs w:val="1"/>
          <w:sz w:val="22"/>
          <w:szCs w:val="22"/>
          <w:rtl w:val="0"/>
        </w:rPr>
        <w:t xml:space="preserve">Diabetes prevalence 2024.</w:t>
      </w:r>
      <w:r w:rsidDel="00000000" w:rsidR="00000000" w:rsidRPr="00000000">
        <w:rPr>
          <w:rFonts w:ascii="Arial" w:cs="Arial" w:eastAsia="Arial" w:hAnsi="Arial"/>
          <w:b w:val="0"/>
          <w:bCs w:val="0"/>
          <w:sz w:val="22"/>
          <w:szCs w:val="22"/>
          <w:rtl w:val="0"/>
        </w:rPr>
        <w:t xml:space="preserve"> London: Diabetes UK. Available at: </w:t>
      </w:r>
      <w:hyperlink r:id="rId26">
        <w:r w:rsidDel="00000000" w:rsidR="00000000" w:rsidRPr="00000000">
          <w:rPr>
            <w:rFonts w:ascii="Arial" w:cs="Arial" w:eastAsia="Arial" w:hAnsi="Arial"/>
            <w:b w:val="0"/>
            <w:bCs w:val="0"/>
            <w:color w:val="0563c1"/>
            <w:sz w:val="22"/>
            <w:szCs w:val="22"/>
            <w:u w:val="single"/>
            <w:rtl w:val="0"/>
          </w:rPr>
          <w:t xml:space="preserve">https://www.diabetes.org.uk/about-us/about-the-charity/our-strategy/statistics-about-diabetes</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4">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Goodwin, V.A., Low, M.S., Quinn, T.J., Cockcroft, E.J., Shepherd, V., Evans, P.H., Henderson, E.J., Mahmood, F., Ni Lochlainn, M., Needham, C. and Underwood, B.R., 2023. </w:t>
      </w:r>
      <w:r w:rsidDel="00000000" w:rsidR="00000000" w:rsidRPr="00000000">
        <w:rPr>
          <w:rFonts w:ascii="Arial" w:cs="Arial" w:eastAsia="Arial" w:hAnsi="Arial"/>
          <w:b w:val="0"/>
          <w:bCs w:val="0"/>
          <w:i w:val="1"/>
          <w:iCs w:val="1"/>
          <w:sz w:val="22"/>
          <w:szCs w:val="22"/>
          <w:rtl w:val="0"/>
        </w:rPr>
        <w:t xml:space="preserve">Including older people in health and social care research: best practice recommendations based on the INCLUDE framework.</w:t>
      </w:r>
      <w:r w:rsidDel="00000000" w:rsidR="00000000" w:rsidRPr="00000000">
        <w:rPr>
          <w:rFonts w:ascii="Arial" w:cs="Arial" w:eastAsia="Arial" w:hAnsi="Arial"/>
          <w:b w:val="0"/>
          <w:bCs w:val="0"/>
          <w:sz w:val="22"/>
          <w:szCs w:val="22"/>
          <w:rtl w:val="0"/>
        </w:rPr>
        <w:t xml:space="preserve"> Age and Ageing, 52(6), p.afad082. Available at: </w:t>
      </w:r>
      <w:hyperlink r:id="rId27">
        <w:r w:rsidDel="00000000" w:rsidR="00000000" w:rsidRPr="00000000">
          <w:rPr>
            <w:rFonts w:ascii="Arial" w:cs="Arial" w:eastAsia="Arial" w:hAnsi="Arial"/>
            <w:b w:val="0"/>
            <w:bCs w:val="0"/>
            <w:color w:val="0563c1"/>
            <w:sz w:val="22"/>
            <w:szCs w:val="22"/>
            <w:u w:val="single"/>
            <w:rtl w:val="0"/>
          </w:rPr>
          <w:t xml:space="preserve">https://academic.oup.com/ageing/article/52/6/afad082/7187125</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5">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Lingvay, I., Sumithran, P., Cohen, R.V. and le Roux, C.W., 2022. </w:t>
      </w:r>
      <w:r w:rsidDel="00000000" w:rsidR="00000000" w:rsidRPr="00000000">
        <w:rPr>
          <w:rFonts w:ascii="Arial" w:cs="Arial" w:eastAsia="Arial" w:hAnsi="Arial"/>
          <w:b w:val="0"/>
          <w:bCs w:val="0"/>
          <w:i w:val="1"/>
          <w:iCs w:val="1"/>
          <w:sz w:val="22"/>
          <w:szCs w:val="22"/>
          <w:rtl w:val="0"/>
        </w:rPr>
        <w:t xml:space="preserve">Obesity management as a primary treatment goal for type 2 diabetes.</w:t>
      </w:r>
      <w:r w:rsidDel="00000000" w:rsidR="00000000" w:rsidRPr="00000000">
        <w:rPr>
          <w:rFonts w:ascii="Arial" w:cs="Arial" w:eastAsia="Arial" w:hAnsi="Arial"/>
          <w:b w:val="0"/>
          <w:bCs w:val="0"/>
          <w:sz w:val="22"/>
          <w:szCs w:val="22"/>
          <w:rtl w:val="0"/>
        </w:rPr>
        <w:t xml:space="preserve"> The Lancet, 399(10336), pp.394–405. Available at: </w:t>
      </w:r>
      <w:hyperlink r:id="rId28">
        <w:r w:rsidDel="00000000" w:rsidR="00000000" w:rsidRPr="00000000">
          <w:rPr>
            <w:rFonts w:ascii="Arial" w:cs="Arial" w:eastAsia="Arial" w:hAnsi="Arial"/>
            <w:b w:val="0"/>
            <w:bCs w:val="0"/>
            <w:color w:val="0563c1"/>
            <w:sz w:val="22"/>
            <w:szCs w:val="22"/>
            <w:u w:val="single"/>
            <w:rtl w:val="0"/>
          </w:rPr>
          <w:t xml:space="preserve">https://www.sciencedirect.com/science/article/pii/S0140673621022246</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6">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Malkowski, O.S., Leatherdale, S.T. and Faulkner, G., 2023. </w:t>
      </w:r>
      <w:r w:rsidDel="00000000" w:rsidR="00000000" w:rsidRPr="00000000">
        <w:rPr>
          <w:rFonts w:ascii="Arial" w:cs="Arial" w:eastAsia="Arial" w:hAnsi="Arial"/>
          <w:b w:val="0"/>
          <w:bCs w:val="0"/>
          <w:i w:val="1"/>
          <w:iCs w:val="1"/>
          <w:sz w:val="22"/>
          <w:szCs w:val="22"/>
          <w:rtl w:val="0"/>
        </w:rPr>
        <w:t xml:space="preserve">Socioeconomic inequalities in physical activity among older adults in England: a cross-sectional analysis.</w:t>
      </w:r>
      <w:r w:rsidDel="00000000" w:rsidR="00000000" w:rsidRPr="00000000">
        <w:rPr>
          <w:rFonts w:ascii="Arial" w:cs="Arial" w:eastAsia="Arial" w:hAnsi="Arial"/>
          <w:b w:val="0"/>
          <w:bCs w:val="0"/>
          <w:sz w:val="22"/>
          <w:szCs w:val="22"/>
          <w:rtl w:val="0"/>
        </w:rPr>
        <w:t xml:space="preserve"> BMJ Public</w:t>
      </w:r>
    </w:p>
    <w:p w:rsidR="00000000" w:rsidDel="00000000" w:rsidP="00000000" w:rsidRDefault="00000000" w:rsidRPr="00000000" w14:paraId="000000C7">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 Health, 1(1), p.e000100. Available at: </w:t>
      </w:r>
      <w:hyperlink r:id="rId29">
        <w:r w:rsidDel="00000000" w:rsidR="00000000" w:rsidRPr="00000000">
          <w:rPr>
            <w:rFonts w:ascii="Arial" w:cs="Arial" w:eastAsia="Arial" w:hAnsi="Arial"/>
            <w:b w:val="0"/>
            <w:bCs w:val="0"/>
            <w:color w:val="0563c1"/>
            <w:sz w:val="22"/>
            <w:szCs w:val="22"/>
            <w:u w:val="single"/>
            <w:rtl w:val="0"/>
          </w:rPr>
          <w:t xml:space="preserve">https://bmjpublichealth.bmj.com/content/1/1/e000100</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8">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NHS Digital, 2023. </w:t>
      </w:r>
      <w:r w:rsidDel="00000000" w:rsidR="00000000" w:rsidRPr="00000000">
        <w:rPr>
          <w:rFonts w:ascii="Arial" w:cs="Arial" w:eastAsia="Arial" w:hAnsi="Arial"/>
          <w:b w:val="0"/>
          <w:bCs w:val="0"/>
          <w:i w:val="1"/>
          <w:iCs w:val="1"/>
          <w:sz w:val="22"/>
          <w:szCs w:val="22"/>
          <w:rtl w:val="0"/>
        </w:rPr>
        <w:t xml:space="preserve">National Diabetes Audit 2022–23.</w:t>
      </w:r>
      <w:r w:rsidDel="00000000" w:rsidR="00000000" w:rsidRPr="00000000">
        <w:rPr>
          <w:rFonts w:ascii="Arial" w:cs="Arial" w:eastAsia="Arial" w:hAnsi="Arial"/>
          <w:b w:val="0"/>
          <w:bCs w:val="0"/>
          <w:sz w:val="22"/>
          <w:szCs w:val="22"/>
          <w:rtl w:val="0"/>
        </w:rPr>
        <w:t xml:space="preserve"> Leeds: NHS Digital. Available at: </w:t>
      </w:r>
      <w:hyperlink r:id="rId30">
        <w:r w:rsidDel="00000000" w:rsidR="00000000" w:rsidRPr="00000000">
          <w:rPr>
            <w:rFonts w:ascii="Arial" w:cs="Arial" w:eastAsia="Arial" w:hAnsi="Arial"/>
            <w:b w:val="0"/>
            <w:bCs w:val="0"/>
            <w:color w:val="0563c1"/>
            <w:sz w:val="22"/>
            <w:szCs w:val="22"/>
            <w:u w:val="single"/>
            <w:rtl w:val="0"/>
          </w:rPr>
          <w:t xml:space="preserve">https://digital.nhs.uk/data-and-information/publications/statistical/national-diabetes-audit</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9">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Public Health England, 2021. </w:t>
      </w:r>
      <w:r w:rsidDel="00000000" w:rsidR="00000000" w:rsidRPr="00000000">
        <w:rPr>
          <w:rFonts w:ascii="Arial" w:cs="Arial" w:eastAsia="Arial" w:hAnsi="Arial"/>
          <w:b w:val="0"/>
          <w:bCs w:val="0"/>
          <w:i w:val="1"/>
          <w:iCs w:val="1"/>
          <w:sz w:val="22"/>
          <w:szCs w:val="22"/>
          <w:rtl w:val="0"/>
        </w:rPr>
        <w:t xml:space="preserve">NHS Diabetes Prevention Programme progress report.</w:t>
      </w:r>
      <w:r w:rsidDel="00000000" w:rsidR="00000000" w:rsidRPr="00000000">
        <w:rPr>
          <w:rFonts w:ascii="Arial" w:cs="Arial" w:eastAsia="Arial" w:hAnsi="Arial"/>
          <w:b w:val="0"/>
          <w:bCs w:val="0"/>
          <w:sz w:val="22"/>
          <w:szCs w:val="22"/>
          <w:rtl w:val="0"/>
        </w:rPr>
        <w:t xml:space="preserve"> London: Public Health England. Available at: </w:t>
      </w:r>
      <w:hyperlink r:id="rId31">
        <w:r w:rsidDel="00000000" w:rsidR="00000000" w:rsidRPr="00000000">
          <w:rPr>
            <w:rFonts w:ascii="Arial" w:cs="Arial" w:eastAsia="Arial" w:hAnsi="Arial"/>
            <w:b w:val="0"/>
            <w:bCs w:val="0"/>
            <w:color w:val="0563c1"/>
            <w:sz w:val="22"/>
            <w:szCs w:val="22"/>
            <w:u w:val="single"/>
            <w:rtl w:val="0"/>
          </w:rPr>
          <w:t xml:space="preserve">https://www.gov.uk/government/publications/nhs-diabetes-prevention-programme-progress-report</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A">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Saeedi, P., Petersohn, I., Salpea, P., Malanda, B., Karuranga, S., Unwin, N., Colagiuri, S., Guariguata, L., Motala, A.A., Ogurtsova, K. and Shaw, J.E., 2020. </w:t>
      </w:r>
      <w:r w:rsidDel="00000000" w:rsidR="00000000" w:rsidRPr="00000000">
        <w:rPr>
          <w:rFonts w:ascii="Arial" w:cs="Arial" w:eastAsia="Arial" w:hAnsi="Arial"/>
          <w:b w:val="0"/>
          <w:bCs w:val="0"/>
          <w:i w:val="1"/>
          <w:iCs w:val="1"/>
          <w:sz w:val="22"/>
          <w:szCs w:val="22"/>
          <w:rtl w:val="0"/>
        </w:rPr>
        <w:t xml:space="preserve">Global and regional diabetes prevalence estimates for 2019 and projections for 2030 and 2045.</w:t>
      </w:r>
      <w:r w:rsidDel="00000000" w:rsidR="00000000" w:rsidRPr="00000000">
        <w:rPr>
          <w:rFonts w:ascii="Arial" w:cs="Arial" w:eastAsia="Arial" w:hAnsi="Arial"/>
          <w:b w:val="0"/>
          <w:bCs w:val="0"/>
          <w:sz w:val="22"/>
          <w:szCs w:val="22"/>
          <w:rtl w:val="0"/>
        </w:rPr>
        <w:t xml:space="preserve"> Diabetes Research and Clinical Practice, 157, p.107843. Available at: </w:t>
      </w:r>
      <w:hyperlink r:id="rId32">
        <w:r w:rsidDel="00000000" w:rsidR="00000000" w:rsidRPr="00000000">
          <w:rPr>
            <w:rFonts w:ascii="Arial" w:cs="Arial" w:eastAsia="Arial" w:hAnsi="Arial"/>
            <w:b w:val="0"/>
            <w:bCs w:val="0"/>
            <w:color w:val="0563c1"/>
            <w:sz w:val="22"/>
            <w:szCs w:val="22"/>
            <w:u w:val="single"/>
            <w:rtl w:val="0"/>
          </w:rPr>
          <w:t xml:space="preserve">https://www.sciencedirect.com/science/article/pii/S0168822719312306</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B">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Watkinson, R.E., Sutton, M., Turner, A.J., Whitehead, M. and Morris, S., 2021. </w:t>
      </w:r>
      <w:r w:rsidDel="00000000" w:rsidR="00000000" w:rsidRPr="00000000">
        <w:rPr>
          <w:rFonts w:ascii="Arial" w:cs="Arial" w:eastAsia="Arial" w:hAnsi="Arial"/>
          <w:b w:val="0"/>
          <w:bCs w:val="0"/>
          <w:i w:val="1"/>
          <w:iCs w:val="1"/>
          <w:sz w:val="22"/>
          <w:szCs w:val="22"/>
          <w:rtl w:val="0"/>
        </w:rPr>
        <w:t xml:space="preserve">Ethnic inequalities in health-related quality of life among older adults in England: secondary analysis of a national cross-sectional survey.</w:t>
      </w:r>
      <w:r w:rsidDel="00000000" w:rsidR="00000000" w:rsidRPr="00000000">
        <w:rPr>
          <w:rFonts w:ascii="Arial" w:cs="Arial" w:eastAsia="Arial" w:hAnsi="Arial"/>
          <w:b w:val="0"/>
          <w:bCs w:val="0"/>
          <w:sz w:val="22"/>
          <w:szCs w:val="22"/>
          <w:rtl w:val="0"/>
        </w:rPr>
        <w:t xml:space="preserve"> The Lancet Public Health, 6(3), pp.e145–e154. Available at: </w:t>
      </w:r>
      <w:hyperlink r:id="rId33">
        <w:r w:rsidDel="00000000" w:rsidR="00000000" w:rsidRPr="00000000">
          <w:rPr>
            <w:rFonts w:ascii="Arial" w:cs="Arial" w:eastAsia="Arial" w:hAnsi="Arial"/>
            <w:b w:val="0"/>
            <w:bCs w:val="0"/>
            <w:color w:val="0563c1"/>
            <w:sz w:val="22"/>
            <w:szCs w:val="22"/>
            <w:u w:val="single"/>
            <w:rtl w:val="0"/>
          </w:rPr>
          <w:t xml:space="preserve">https://www.sciencedirect.com/science/article/pii/S2468266720302875</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C">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Tipaldo, J.F., Balk, D. and Hunter, L.M., 2024. </w:t>
      </w:r>
      <w:r w:rsidDel="00000000" w:rsidR="00000000" w:rsidRPr="00000000">
        <w:rPr>
          <w:rFonts w:ascii="Arial" w:cs="Arial" w:eastAsia="Arial" w:hAnsi="Arial"/>
          <w:b w:val="0"/>
          <w:bCs w:val="0"/>
          <w:i w:val="1"/>
          <w:iCs w:val="1"/>
          <w:sz w:val="22"/>
          <w:szCs w:val="22"/>
          <w:rtl w:val="0"/>
        </w:rPr>
        <w:t xml:space="preserve">A framework for ageing and health vulnerabilities in a changing climate.</w:t>
      </w:r>
      <w:r w:rsidDel="00000000" w:rsidR="00000000" w:rsidRPr="00000000">
        <w:rPr>
          <w:rFonts w:ascii="Arial" w:cs="Arial" w:eastAsia="Arial" w:hAnsi="Arial"/>
          <w:b w:val="0"/>
          <w:bCs w:val="0"/>
          <w:sz w:val="22"/>
          <w:szCs w:val="22"/>
          <w:rtl w:val="0"/>
        </w:rPr>
        <w:t xml:space="preserve"> Nature Climate Change, 14(11), pp.1125–1135. Available at: </w:t>
      </w:r>
      <w:hyperlink r:id="rId34">
        <w:r w:rsidDel="00000000" w:rsidR="00000000" w:rsidRPr="00000000">
          <w:rPr>
            <w:rFonts w:ascii="Arial" w:cs="Arial" w:eastAsia="Arial" w:hAnsi="Arial"/>
            <w:b w:val="0"/>
            <w:bCs w:val="0"/>
            <w:color w:val="0563c1"/>
            <w:sz w:val="22"/>
            <w:szCs w:val="22"/>
            <w:u w:val="single"/>
            <w:rtl w:val="0"/>
          </w:rPr>
          <w:t xml:space="preserve">https://pmc.ncbi.nlm.nih.gov/articles/PMC12419541/</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D">
      <w:pPr>
        <w:spacing w:line="360" w:lineRule="auto"/>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0CE">
      <w:pPr>
        <w:spacing w:line="360" w:lineRule="auto"/>
        <w:rPr>
          <w:rFonts w:ascii="Arial" w:cs="Arial" w:eastAsia="Arial" w:hAnsi="Arial"/>
          <w:b w:val="0"/>
          <w:bCs w:val="0"/>
          <w:sz w:val="22"/>
          <w:szCs w:val="22"/>
        </w:rPr>
      </w:pPr>
      <w:r w:rsidDel="00000000" w:rsidR="00000000" w:rsidRPr="00000000">
        <w:rPr>
          <w:rtl w:val="0"/>
        </w:rPr>
      </w:r>
    </w:p>
    <w:sectPr>
      <w:headerReference r:id="rId35" w:type="default"/>
      <w:footerReference r:id="rId3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sz w:val="22"/>
        <w:szCs w:val="22"/>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115"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360" w:lineRule="auto"/>
      <w:jc w:val="both"/>
    </w:pPr>
    <w:rPr>
      <w:b w:val="1"/>
      <w:bCs w:val="1"/>
    </w:rPr>
  </w:style>
  <w:style w:type="paragraph" w:styleId="Heading2">
    <w:name w:val="heading 2"/>
    <w:basedOn w:val="Normal"/>
    <w:next w:val="Normal"/>
    <w:pPr/>
    <w:rPr>
      <w:b w:val="1"/>
      <w:bCs w:val="1"/>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2C3E13"/>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2C3E13"/>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C3E13"/>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905EB"/>
    <w:rPr>
      <w:rFonts w:ascii="Times New Roman" w:cs="Times New Roman" w:hAnsi="Times New Roman"/>
      <w:b w:val="1"/>
      <w:bCs w:val="1"/>
      <w:sz w:val="24"/>
      <w:szCs w:val="24"/>
    </w:rPr>
  </w:style>
  <w:style w:type="character" w:styleId="Heading2Char" w:customStyle="1">
    <w:name w:val="Heading 2 Char"/>
    <w:basedOn w:val="DefaultParagraphFont"/>
    <w:link w:val="Heading2"/>
    <w:uiPriority w:val="9"/>
    <w:rsid w:val="00A51F35"/>
    <w:rPr>
      <w:rFonts w:ascii="Times New Roman" w:cs="Times New Roman" w:hAnsi="Times New Roman"/>
      <w:b w:val="1"/>
      <w:bCs w:val="1"/>
      <w:sz w:val="24"/>
      <w:szCs w:val="24"/>
    </w:rPr>
  </w:style>
  <w:style w:type="character" w:styleId="Heading3Char" w:customStyle="1">
    <w:name w:val="Heading 3 Char"/>
    <w:basedOn w:val="DefaultParagraphFont"/>
    <w:link w:val="Heading3"/>
    <w:uiPriority w:val="9"/>
    <w:semiHidden w:val="1"/>
    <w:rsid w:val="002C3E13"/>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2C3E13"/>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2C3E13"/>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2C3E1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2C3E1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2C3E1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2C3E13"/>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2C3E13"/>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2C3E1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2C3E1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2C3E13"/>
    <w:rPr>
      <w:i w:val="1"/>
      <w:iCs w:val="1"/>
      <w:color w:val="404040" w:themeColor="text1" w:themeTint="0000BF"/>
    </w:rPr>
  </w:style>
  <w:style w:type="paragraph" w:styleId="ListParagraph">
    <w:name w:val="List Paragraph"/>
    <w:basedOn w:val="Normal"/>
    <w:uiPriority w:val="34"/>
    <w:qFormat w:val="1"/>
    <w:rsid w:val="002C3E13"/>
    <w:pPr>
      <w:ind w:left="720"/>
      <w:contextualSpacing w:val="1"/>
    </w:pPr>
  </w:style>
  <w:style w:type="character" w:styleId="IntenseEmphasis">
    <w:name w:val="Intense Emphasis"/>
    <w:basedOn w:val="DefaultParagraphFont"/>
    <w:uiPriority w:val="21"/>
    <w:qFormat w:val="1"/>
    <w:rsid w:val="002C3E13"/>
    <w:rPr>
      <w:i w:val="1"/>
      <w:iCs w:val="1"/>
      <w:color w:val="2f5496" w:themeColor="accent1" w:themeShade="0000BF"/>
    </w:rPr>
  </w:style>
  <w:style w:type="paragraph" w:styleId="IntenseQuote">
    <w:name w:val="Intense Quote"/>
    <w:basedOn w:val="Normal"/>
    <w:next w:val="Normal"/>
    <w:link w:val="IntenseQuoteChar"/>
    <w:uiPriority w:val="30"/>
    <w:qFormat w:val="1"/>
    <w:rsid w:val="002C3E13"/>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2C3E13"/>
    <w:rPr>
      <w:i w:val="1"/>
      <w:iCs w:val="1"/>
      <w:color w:val="2f5496" w:themeColor="accent1" w:themeShade="0000BF"/>
    </w:rPr>
  </w:style>
  <w:style w:type="character" w:styleId="IntenseReference">
    <w:name w:val="Intense Reference"/>
    <w:basedOn w:val="DefaultParagraphFont"/>
    <w:uiPriority w:val="32"/>
    <w:qFormat w:val="1"/>
    <w:rsid w:val="002C3E13"/>
    <w:rPr>
      <w:b w:val="1"/>
      <w:bCs w:val="1"/>
      <w:smallCaps w:val="1"/>
      <w:color w:val="2f5496" w:themeColor="accent1" w:themeShade="0000BF"/>
      <w:spacing w:val="5"/>
    </w:rPr>
  </w:style>
  <w:style w:type="character" w:styleId="Hyperlink">
    <w:name w:val="Hyperlink"/>
    <w:basedOn w:val="DefaultParagraphFont"/>
    <w:uiPriority w:val="99"/>
    <w:unhideWhenUsed w:val="1"/>
    <w:rsid w:val="009852D0"/>
    <w:rPr>
      <w:color w:val="0563c1" w:themeColor="hyperlink"/>
      <w:u w:val="single"/>
    </w:rPr>
  </w:style>
  <w:style w:type="paragraph" w:styleId="TOCHeading">
    <w:name w:val="TOC Heading"/>
    <w:basedOn w:val="Heading1"/>
    <w:next w:val="Normal"/>
    <w:uiPriority w:val="39"/>
    <w:unhideWhenUsed w:val="1"/>
    <w:qFormat w:val="1"/>
    <w:rsid w:val="00A905EB"/>
    <w:pPr>
      <w:keepNext w:val="1"/>
      <w:keepLines w:val="1"/>
      <w:spacing w:after="0" w:before="240" w:line="259" w:lineRule="auto"/>
      <w:jc w:val="left"/>
      <w:outlineLvl w:val="9"/>
    </w:pPr>
    <w:rPr>
      <w:rFonts w:asciiTheme="majorHAnsi" w:cstheme="majorBidi" w:eastAsiaTheme="majorEastAsia" w:hAnsiTheme="majorHAnsi"/>
      <w:b w:val="0"/>
      <w:bCs w:val="0"/>
      <w:color w:val="2f5496" w:themeColor="accent1" w:themeShade="0000BF"/>
      <w:kern w:val="0"/>
      <w:sz w:val="32"/>
      <w:szCs w:val="32"/>
      <w:lang w:val="en-US"/>
    </w:rPr>
  </w:style>
  <w:style w:type="paragraph" w:styleId="TOC1">
    <w:name w:val="toc 1"/>
    <w:basedOn w:val="Normal"/>
    <w:next w:val="Normal"/>
    <w:autoRedefine w:val="1"/>
    <w:uiPriority w:val="39"/>
    <w:unhideWhenUsed w:val="1"/>
    <w:rsid w:val="00A905EB"/>
    <w:pPr>
      <w:spacing w:after="100"/>
    </w:pPr>
  </w:style>
  <w:style w:type="paragraph" w:styleId="Header">
    <w:name w:val="header"/>
    <w:basedOn w:val="Normal"/>
    <w:link w:val="HeaderChar"/>
    <w:uiPriority w:val="99"/>
    <w:unhideWhenUsed w:val="1"/>
    <w:rsid w:val="000D2D8F"/>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8F"/>
    <w:rPr>
      <w:rFonts w:ascii="Times New Roman" w:cs="Times New Roman" w:hAnsi="Times New Roman"/>
      <w:sz w:val="24"/>
      <w:szCs w:val="24"/>
    </w:rPr>
  </w:style>
  <w:style w:type="paragraph" w:styleId="Footer">
    <w:name w:val="footer"/>
    <w:basedOn w:val="Normal"/>
    <w:link w:val="FooterChar"/>
    <w:uiPriority w:val="99"/>
    <w:unhideWhenUsed w:val="1"/>
    <w:rsid w:val="000D2D8F"/>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8F"/>
    <w:rPr>
      <w:rFonts w:ascii="Times New Roman" w:cs="Times New Roman" w:hAnsi="Times New Roman"/>
      <w:sz w:val="24"/>
      <w:szCs w:val="24"/>
    </w:rPr>
  </w:style>
  <w:style w:type="paragraph" w:styleId="TOC2">
    <w:name w:val="toc 2"/>
    <w:basedOn w:val="Normal"/>
    <w:next w:val="Normal"/>
    <w:autoRedefine w:val="1"/>
    <w:uiPriority w:val="39"/>
    <w:unhideWhenUsed w:val="1"/>
    <w:rsid w:val="00A51F35"/>
    <w:pPr>
      <w:spacing w:after="100"/>
      <w:ind w:left="240"/>
    </w:pPr>
  </w:style>
  <w:style w:type="character" w:styleId="UnresolvedMention">
    <w:name w:val="Unresolved Mention"/>
    <w:basedOn w:val="DefaultParagraphFont"/>
    <w:uiPriority w:val="99"/>
    <w:semiHidden w:val="1"/>
    <w:unhideWhenUsed w:val="1"/>
    <w:rsid w:val="00A51F35"/>
    <w:rPr>
      <w:color w:val="605e5c"/>
      <w:shd w:color="auto" w:fill="e1dfdd" w:val="clear"/>
    </w:rPr>
  </w:style>
  <w:style w:type="character" w:styleId="FollowedHyperlink">
    <w:name w:val="FollowedHyperlink"/>
    <w:basedOn w:val="DefaultParagraphFont"/>
    <w:uiPriority w:val="99"/>
    <w:semiHidden w:val="1"/>
    <w:unhideWhenUsed w:val="1"/>
    <w:rsid w:val="006F59F3"/>
    <w:rPr>
      <w:color w:val="954f72" w:themeColor="followedHyperlink"/>
      <w:u w:val="single"/>
    </w:r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table" w:styleId="PlainTable4">
    <w:name w:val="Plain Table 4"/>
    <w:basedOn w:val="TableNormal"/>
    <w:uiPriority w:val="44"/>
    <w:pPr>
      <w:spacing w:after="0" w:line="240" w:lineRule="auto"/>
    </w:pPr>
    <w:tblPr>
      <w:tblStyleRowBandSize w:val="1"/>
      <w:tblStyleColBandSize w:val="1"/>
      <w:tblInd w:w="0.0" w:type="dxa"/>
      <w:tblCellMar>
        <w:top w:w="0.0" w:type="dxa"/>
        <w:left w:w="108.0" w:type="dxa"/>
        <w:bottom w:w="0.0" w:type="dxa"/>
        <w:right w:w="108.0" w:type="dxa"/>
      </w:tblCellMar>
    </w:tblPr>
    <w:tblStylePr w:type="firstRow">
      <w:rPr>
        <w:b w:val="1"/>
        <w:bCs w:val="1"/>
      </w:rPr>
    </w:tblStylePr>
    <w:tblStylePr w:type="lastRow">
      <w:rPr>
        <w:b w:val="1"/>
        <w:bCs w:val="1"/>
      </w:r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blStyle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who.int/publications/i/item/9789240030749" TargetMode="External"/><Relationship Id="rId22" Type="http://schemas.openxmlformats.org/officeDocument/2006/relationships/hyperlink" Target="https://www.who.int/news-room/fact-sheets/detail/noncommunicable-diseases" TargetMode="External"/><Relationship Id="rId21" Type="http://schemas.openxmlformats.org/officeDocument/2006/relationships/hyperlink" Target="https://www.who.int/news-room/fact-sheets/detail/ageing-and-health" TargetMode="External"/><Relationship Id="rId24" Type="http://schemas.openxmlformats.org/officeDocument/2006/relationships/hyperlink" Target="https://formative.jmir.org/2024/1/e60483" TargetMode="External"/><Relationship Id="rId23" Type="http://schemas.openxmlformats.org/officeDocument/2006/relationships/hyperlink" Target="https://journals.sagepub.com/doi/10.1177/004695802513714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ademic.oup.com/ageing/article-pdf/53/8/afae166/59001774/afae166.pdf" TargetMode="External"/><Relationship Id="rId26" Type="http://schemas.openxmlformats.org/officeDocument/2006/relationships/hyperlink" Target="https://www.diabetes.org.uk/about-us/about-the-charity/our-strategy/statistics-about-diabetes" TargetMode="External"/><Relationship Id="rId25" Type="http://schemas.openxmlformats.org/officeDocument/2006/relationships/hyperlink" Target="https://link.springer.com/article/10.1186/s12939-025-02683-0" TargetMode="External"/><Relationship Id="rId28" Type="http://schemas.openxmlformats.org/officeDocument/2006/relationships/hyperlink" Target="https://www.sciencedirect.com/science/article/pii/S0140673621022246" TargetMode="External"/><Relationship Id="rId27" Type="http://schemas.openxmlformats.org/officeDocument/2006/relationships/hyperlink" Target="https://academic.oup.com/ageing/article/52/6/afad082/7187125"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bmjpublichealth.bmj.com/content/1/1/e000100" TargetMode="External"/><Relationship Id="rId7" Type="http://schemas.openxmlformats.org/officeDocument/2006/relationships/image" Target="media/image1.png"/><Relationship Id="rId8" Type="http://schemas.openxmlformats.org/officeDocument/2006/relationships/hyperlink" Target="https://www.ageuk.org.uk/our-impact/policy-research/loneliness-research-and-resources/" TargetMode="External"/><Relationship Id="rId31" Type="http://schemas.openxmlformats.org/officeDocument/2006/relationships/hyperlink" Target="https://www.gov.uk/government/publications/nhs-diabetes-prevention-programme-progress-report" TargetMode="External"/><Relationship Id="rId30" Type="http://schemas.openxmlformats.org/officeDocument/2006/relationships/hyperlink" Target="https://digital.nhs.uk/data-and-information/publications/statistical/national-diabetes-audit" TargetMode="External"/><Relationship Id="rId11" Type="http://schemas.openxmlformats.org/officeDocument/2006/relationships/hyperlink" Target="https://link.springer.com/article/10.1007/s10389-024-02370-4" TargetMode="External"/><Relationship Id="rId33" Type="http://schemas.openxmlformats.org/officeDocument/2006/relationships/hyperlink" Target="https://www.sciencedirect.com/science/article/pii/S2468266720302875" TargetMode="External"/><Relationship Id="rId10" Type="http://schemas.openxmlformats.org/officeDocument/2006/relationships/hyperlink" Target="https://www.gov.uk/government/publications/adding-life-to-years-the-governments-vision-for-healthy-ageing" TargetMode="External"/><Relationship Id="rId32" Type="http://schemas.openxmlformats.org/officeDocument/2006/relationships/hyperlink" Target="https://www.sciencedirect.com/science/article/pii/S0168822719312306" TargetMode="External"/><Relationship Id="rId13" Type="http://schemas.openxmlformats.org/officeDocument/2006/relationships/hyperlink" Target="https://bmjpublichealth.bmj.com/content/1/1/e000100" TargetMode="External"/><Relationship Id="rId35" Type="http://schemas.openxmlformats.org/officeDocument/2006/relationships/header" Target="header1.xml"/><Relationship Id="rId12" Type="http://schemas.openxmlformats.org/officeDocument/2006/relationships/hyperlink" Target="https://onlinelibrary.wiley.com/doi/10.1002/puh2.213" TargetMode="External"/><Relationship Id="rId34" Type="http://schemas.openxmlformats.org/officeDocument/2006/relationships/hyperlink" Target="https://pmc.ncbi.nlm.nih.gov/articles/PMC12419541/" TargetMode="External"/><Relationship Id="rId15" Type="http://schemas.openxmlformats.org/officeDocument/2006/relationships/hyperlink" Target="https://www.sciencedirect.com/science/article/pii/S0168822719312306" TargetMode="External"/><Relationship Id="rId14" Type="http://schemas.openxmlformats.org/officeDocument/2006/relationships/hyperlink" Target="https://www.longtermplan.nhs.uk/" TargetMode="External"/><Relationship Id="rId36" Type="http://schemas.openxmlformats.org/officeDocument/2006/relationships/footer" Target="footer1.xml"/><Relationship Id="rId17" Type="http://schemas.openxmlformats.org/officeDocument/2006/relationships/hyperlink" Target="https://www.who.int/publications/i/item/9789240017900" TargetMode="External"/><Relationship Id="rId16" Type="http://schemas.openxmlformats.org/officeDocument/2006/relationships/hyperlink" Target="https://www.sciencedirect.com/science/article/pii/S2468266720302875" TargetMode="External"/><Relationship Id="rId19" Type="http://schemas.openxmlformats.org/officeDocument/2006/relationships/hyperlink" Target="https://www.who.int/europe/publications/i/item/9789289052887" TargetMode="External"/><Relationship Id="rId18" Type="http://schemas.openxmlformats.org/officeDocument/2006/relationships/hyperlink" Target="https://www.who.int/news-room/facts-in-pictures/detail/health-inequities-and-their-causes"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Lg7usULD3oTiOqpwX4rejRlnyw==">CgMxLjAyDmgucWpqOXE0a29jN3UxMg5oLmp0ajV6cWZmaHowdTIOaC4yaTNuZm45YWltZm4yDmguamN1YzBoeHN2bXZxOAByITFDOXVPMC13eEN1RktzajV6WUxYMEFhWU1sUXhleEpZWg==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2026-03-09T10:26:00.0000000Z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8d7240d1-f4e6-4268-bbac-f5e2d08b5ecb</vt:lpwstr>
  </property>
</Properties>
</file>