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83A53" w:rsidR="00646406" w:rsidP="004C696C" w:rsidRDefault="00C57D61" w14:paraId="1C4A58E1" w14:textId="4609A214">
      <w:pPr>
        <w:jc w:val="center"/>
        <w:rPr>
          <w:rFonts w:cs="Arial"/>
        </w:rPr>
      </w:pPr>
      <w:r w:rsidRPr="00083A53">
        <w:rPr>
          <w:rFonts w:cs="Arial"/>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083A53" w:rsidR="00646406">
        <w:rPr>
          <w:rFonts w:cs="Arial"/>
        </w:rPr>
        <w:fldChar w:fldCharType="begin"/>
      </w:r>
      <w:r w:rsidRPr="00083A53">
        <w:rPr>
          <w:rFonts w:cs="Arial"/>
        </w:rPr>
        <w:instrText xml:space="preserve"> INCLUDEPICTURE "C:\\Users\\AzZedin01\\Library\\Group Containers\\UBF8T346G9.ms\\WebArchiveCopyPasteTempFiles\\com.microsoft.Word\\8P2xdp3q1g646AAAAAElFTkSuQmCC" \* MERGEFORMAT </w:instrText>
      </w:r>
      <w:r w:rsidRPr="00083A53" w:rsidR="00646406">
        <w:rPr>
          <w:rFonts w:cs="Arial"/>
        </w:rPr>
        <w:fldChar w:fldCharType="separate"/>
      </w:r>
      <w:r w:rsidRPr="00083A53" w:rsidR="00646406">
        <w:rPr>
          <w:rFonts w:cs="Arial"/>
        </w:rPr>
        <w:fldChar w:fldCharType="end"/>
      </w:r>
    </w:p>
    <w:p w:rsidRPr="004135F3" w:rsidR="00646406" w:rsidP="003933F8" w:rsidRDefault="00646406" w14:paraId="21811744" w14:textId="77777777">
      <w:pPr>
        <w:jc w:val="center"/>
        <w:rPr>
          <w:rFonts w:cs="Arial"/>
          <w:b/>
          <w:bCs/>
          <w:sz w:val="36"/>
          <w:szCs w:val="36"/>
        </w:rPr>
      </w:pPr>
    </w:p>
    <w:p w:rsidR="00646406" w:rsidP="003933F8" w:rsidRDefault="004135F3" w14:paraId="1EC34BAD" w14:textId="5230B14B">
      <w:pPr>
        <w:jc w:val="center"/>
        <w:rPr>
          <w:rFonts w:cs="Arial"/>
          <w:b/>
          <w:bCs/>
          <w:sz w:val="36"/>
          <w:szCs w:val="36"/>
        </w:rPr>
      </w:pPr>
      <w:r w:rsidRPr="004135F3">
        <w:rPr>
          <w:rFonts w:cs="Arial"/>
          <w:b/>
          <w:bCs/>
          <w:sz w:val="36"/>
          <w:szCs w:val="36"/>
        </w:rPr>
        <w:t>Macro Marketing Environment and Competitive Strategy in the Electric Vehicle Industry: Comparative Insights from Tesla and BYD</w:t>
      </w:r>
    </w:p>
    <w:p w:rsidRPr="004135F3" w:rsidR="004135F3" w:rsidP="003933F8" w:rsidRDefault="004135F3" w14:paraId="02BD7C0E" w14:textId="77777777">
      <w:pPr>
        <w:jc w:val="center"/>
        <w:rPr>
          <w:rFonts w:cs="Arial"/>
          <w:b/>
          <w:bCs/>
          <w:sz w:val="36"/>
          <w:szCs w:val="36"/>
        </w:rPr>
      </w:pPr>
    </w:p>
    <w:p w:rsidRPr="00870677" w:rsidR="00646406" w:rsidP="003933F8" w:rsidRDefault="00646406" w14:paraId="020B9CFF" w14:textId="47920CB6">
      <w:pPr>
        <w:jc w:val="center"/>
        <w:rPr>
          <w:rFonts w:cs="Arial"/>
          <w:b w:val="1"/>
          <w:bCs w:val="1"/>
          <w:sz w:val="28"/>
          <w:szCs w:val="28"/>
        </w:rPr>
      </w:pPr>
      <w:r w:rsidRPr="3E0EF2BB" w:rsidR="7140B9AE">
        <w:rPr>
          <w:rFonts w:cs="Arial"/>
          <w:b w:val="1"/>
          <w:bCs w:val="1"/>
          <w:sz w:val="28"/>
          <w:szCs w:val="28"/>
        </w:rPr>
        <w:t>Student Name:</w:t>
      </w:r>
      <w:r w:rsidRPr="3E0EF2BB" w:rsidR="1DF5BC1F">
        <w:rPr>
          <w:rFonts w:cs="Arial"/>
          <w:b w:val="1"/>
          <w:bCs w:val="1"/>
          <w:sz w:val="28"/>
          <w:szCs w:val="28"/>
        </w:rPr>
        <w:t xml:space="preserve"> </w:t>
      </w:r>
      <w:r w:rsidRPr="3E0EF2BB" w:rsidR="1DF5BC1F">
        <w:rPr>
          <w:rFonts w:cs="Arial"/>
          <w:b w:val="1"/>
          <w:bCs w:val="1"/>
          <w:sz w:val="28"/>
          <w:szCs w:val="28"/>
        </w:rPr>
        <w:t>Godhani</w:t>
      </w:r>
      <w:r w:rsidRPr="3E0EF2BB" w:rsidR="1DF5BC1F">
        <w:rPr>
          <w:rFonts w:cs="Arial"/>
          <w:b w:val="1"/>
          <w:bCs w:val="1"/>
          <w:sz w:val="28"/>
          <w:szCs w:val="28"/>
        </w:rPr>
        <w:t xml:space="preserve"> Hevin Ashvinbhai</w:t>
      </w:r>
    </w:p>
    <w:p w:rsidRPr="00870677" w:rsidR="00646406" w:rsidP="003933F8" w:rsidRDefault="00646406" w14:paraId="2AAC98E7" w14:textId="77777777">
      <w:pPr>
        <w:jc w:val="center"/>
        <w:rPr>
          <w:rFonts w:cs="Arial"/>
          <w:b/>
          <w:bCs/>
          <w:sz w:val="28"/>
          <w:szCs w:val="28"/>
        </w:rPr>
      </w:pPr>
    </w:p>
    <w:p w:rsidRPr="00870677" w:rsidR="00646406" w:rsidP="004135F3" w:rsidRDefault="00646406" w14:paraId="63080C9E" w14:textId="10034019">
      <w:pPr>
        <w:jc w:val="center"/>
        <w:rPr>
          <w:rFonts w:cs="Arial"/>
          <w:b w:val="1"/>
          <w:bCs w:val="1"/>
          <w:sz w:val="28"/>
          <w:szCs w:val="28"/>
        </w:rPr>
      </w:pPr>
      <w:r w:rsidRPr="3E0EF2BB" w:rsidR="7140B9AE">
        <w:rPr>
          <w:rFonts w:cs="Arial"/>
          <w:b w:val="1"/>
          <w:bCs w:val="1"/>
          <w:sz w:val="28"/>
          <w:szCs w:val="28"/>
        </w:rPr>
        <w:t>Student ID:</w:t>
      </w:r>
      <w:r w:rsidRPr="3E0EF2BB" w:rsidR="595A6F3C">
        <w:rPr>
          <w:rFonts w:cs="Arial"/>
          <w:b w:val="1"/>
          <w:bCs w:val="1"/>
          <w:sz w:val="28"/>
          <w:szCs w:val="28"/>
        </w:rPr>
        <w:t xml:space="preserve"> 2519666</w:t>
      </w:r>
    </w:p>
    <w:p w:rsidRPr="00870677" w:rsidR="00646406" w:rsidP="003933F8" w:rsidRDefault="00646406" w14:paraId="3D7751B6" w14:textId="77777777">
      <w:pPr>
        <w:jc w:val="center"/>
        <w:rPr>
          <w:rFonts w:cs="Arial"/>
          <w:sz w:val="28"/>
          <w:szCs w:val="28"/>
        </w:rPr>
      </w:pPr>
    </w:p>
    <w:p w:rsidRPr="00870677" w:rsidR="00646406" w:rsidP="003933F8" w:rsidRDefault="00646406" w14:paraId="37F10C9F" w14:textId="2FF0D0FD">
      <w:pPr>
        <w:jc w:val="center"/>
        <w:rPr>
          <w:rFonts w:cs="Arial"/>
          <w:b/>
          <w:bCs/>
          <w:sz w:val="28"/>
          <w:szCs w:val="28"/>
        </w:rPr>
      </w:pPr>
      <w:r w:rsidRPr="00870677">
        <w:rPr>
          <w:rFonts w:cs="Arial"/>
          <w:b/>
          <w:bCs/>
          <w:sz w:val="28"/>
          <w:szCs w:val="28"/>
        </w:rPr>
        <w:t>Module Name: Marketing Management</w:t>
      </w:r>
    </w:p>
    <w:p w:rsidRPr="00870677" w:rsidR="00646406" w:rsidP="003933F8" w:rsidRDefault="00646406" w14:paraId="1F614A44" w14:textId="77777777">
      <w:pPr>
        <w:jc w:val="center"/>
        <w:rPr>
          <w:rFonts w:cs="Arial"/>
          <w:b/>
          <w:bCs/>
          <w:sz w:val="28"/>
          <w:szCs w:val="28"/>
        </w:rPr>
      </w:pPr>
    </w:p>
    <w:p w:rsidRPr="00870677" w:rsidR="00646406" w:rsidP="003933F8" w:rsidRDefault="00646406" w14:paraId="0794A99E" w14:textId="33486F0B">
      <w:pPr>
        <w:jc w:val="center"/>
        <w:rPr>
          <w:rFonts w:cs="Arial"/>
          <w:b/>
          <w:bCs/>
          <w:sz w:val="28"/>
          <w:szCs w:val="28"/>
        </w:rPr>
      </w:pPr>
      <w:r w:rsidRPr="00870677">
        <w:rPr>
          <w:rFonts w:cs="Arial"/>
          <w:b/>
          <w:bCs/>
          <w:sz w:val="28"/>
          <w:szCs w:val="28"/>
        </w:rPr>
        <w:t>Module Code: LCMB7024</w:t>
      </w:r>
    </w:p>
    <w:p w:rsidRPr="00870677" w:rsidR="00646406" w:rsidP="004135F3" w:rsidRDefault="00646406" w14:paraId="38F1A035" w14:textId="77777777">
      <w:pPr>
        <w:rPr>
          <w:rFonts w:cs="Arial"/>
          <w:b/>
          <w:bCs/>
          <w:sz w:val="28"/>
          <w:szCs w:val="28"/>
        </w:rPr>
      </w:pPr>
    </w:p>
    <w:p w:rsidRPr="00870677" w:rsidR="00646406" w:rsidP="003933F8" w:rsidRDefault="00646406" w14:paraId="7E74A1F6" w14:textId="77777777">
      <w:pPr>
        <w:jc w:val="center"/>
        <w:rPr>
          <w:rFonts w:cs="Arial"/>
          <w:b/>
          <w:bCs/>
          <w:sz w:val="28"/>
          <w:szCs w:val="28"/>
        </w:rPr>
      </w:pPr>
    </w:p>
    <w:p w:rsidRPr="00870677" w:rsidR="00646406" w:rsidP="004135F3" w:rsidRDefault="00646406" w14:paraId="55B10977" w14:textId="77777777">
      <w:pPr>
        <w:rPr>
          <w:rFonts w:cs="Arial"/>
          <w:b/>
          <w:bCs/>
          <w:sz w:val="28"/>
          <w:szCs w:val="28"/>
        </w:rPr>
      </w:pPr>
    </w:p>
    <w:p w:rsidRPr="00870677" w:rsidR="00646406" w:rsidP="004C696C" w:rsidRDefault="00646406" w14:paraId="102B9D5E" w14:textId="1776260D">
      <w:pPr>
        <w:jc w:val="center"/>
        <w:rPr>
          <w:rFonts w:cs="Arial"/>
          <w:b/>
          <w:bCs/>
          <w:sz w:val="28"/>
          <w:szCs w:val="28"/>
        </w:rPr>
      </w:pPr>
      <w:r w:rsidRPr="00870677">
        <w:rPr>
          <w:rFonts w:cs="Arial"/>
          <w:b/>
          <w:bCs/>
          <w:sz w:val="28"/>
          <w:szCs w:val="28"/>
        </w:rPr>
        <w:t>Work Count:</w:t>
      </w:r>
      <w:r w:rsidRPr="00870677" w:rsidR="00727D26">
        <w:rPr>
          <w:rFonts w:cs="Arial"/>
          <w:b/>
          <w:bCs/>
          <w:sz w:val="28"/>
          <w:szCs w:val="28"/>
        </w:rPr>
        <w:t xml:space="preserve"> 27</w:t>
      </w:r>
      <w:r w:rsidR="003605D1">
        <w:rPr>
          <w:rFonts w:cs="Arial"/>
          <w:b/>
          <w:bCs/>
          <w:sz w:val="28"/>
          <w:szCs w:val="28"/>
        </w:rPr>
        <w:t>32</w:t>
      </w:r>
    </w:p>
    <w:p w:rsidRPr="00870677" w:rsidR="00646406" w:rsidP="003933F8" w:rsidRDefault="00646406" w14:paraId="76B4AC18" w14:textId="77777777">
      <w:pPr>
        <w:jc w:val="center"/>
        <w:rPr>
          <w:rFonts w:cs="Arial"/>
          <w:b/>
          <w:bCs/>
          <w:sz w:val="28"/>
          <w:szCs w:val="28"/>
        </w:rPr>
      </w:pPr>
    </w:p>
    <w:p w:rsidRPr="00870677" w:rsidR="00646406" w:rsidP="003933F8" w:rsidRDefault="00646406" w14:paraId="3D7042D2" w14:textId="7440D83E">
      <w:pPr>
        <w:jc w:val="center"/>
        <w:rPr>
          <w:rFonts w:cs="Arial"/>
          <w:b/>
          <w:bCs/>
          <w:sz w:val="28"/>
          <w:szCs w:val="28"/>
        </w:rPr>
      </w:pPr>
      <w:r w:rsidRPr="00870677">
        <w:rPr>
          <w:rFonts w:cs="Arial"/>
          <w:b/>
          <w:bCs/>
          <w:sz w:val="28"/>
          <w:szCs w:val="28"/>
        </w:rPr>
        <w:t>Term 1</w:t>
      </w:r>
    </w:p>
    <w:p w:rsidRPr="00083A53" w:rsidR="00646406" w:rsidP="00F433AF" w:rsidRDefault="00646406" w14:paraId="795BE6E7" w14:textId="16C05007">
      <w:pPr>
        <w:rPr>
          <w:rFonts w:cs="Arial"/>
          <w:b/>
          <w:bCs/>
        </w:rPr>
      </w:pPr>
      <w:r w:rsidRPr="00083A53">
        <w:rPr>
          <w:rFonts w:cs="Arial"/>
          <w:b/>
          <w:bCs/>
        </w:rPr>
        <w:br w:type="page"/>
      </w:r>
    </w:p>
    <w:sdt>
      <w:sdtPr>
        <w:id w:val="1783610020"/>
        <w:docPartObj>
          <w:docPartGallery w:val="Table of Contents"/>
          <w:docPartUnique/>
        </w:docPartObj>
        <w:rPr>
          <w:rFonts w:eastAsia="Aptos" w:cs="Arial" w:eastAsiaTheme="minorAscii" w:cstheme="minorBidi"/>
          <w:kern w:val="2"/>
          <w:sz w:val="24"/>
          <w:szCs w:val="24"/>
          <w:lang w:val="en-GB"/>
          <w14:ligatures w14:val="standardContextual"/>
        </w:rPr>
      </w:sdtPr>
      <w:sdtEndPr>
        <w:rPr>
          <w:rFonts w:eastAsia="Aptos" w:cs="Arial" w:eastAsiaTheme="minorAscii" w:cstheme="minorBidi"/>
          <w:b w:val="1"/>
          <w:bCs w:val="1"/>
          <w:noProof/>
          <w:sz w:val="24"/>
          <w:szCs w:val="24"/>
          <w:lang w:val="en-GB"/>
        </w:rPr>
      </w:sdtEndPr>
      <w:sdtContent>
        <w:p w:rsidRPr="003933F8" w:rsidR="003933F8" w:rsidP="003933F8" w:rsidRDefault="003933F8" w14:paraId="6242103C" w14:textId="05D41B4D">
          <w:pPr>
            <w:pStyle w:val="TOCHeading"/>
            <w:jc w:val="center"/>
            <w:rPr>
              <w:rFonts w:cs="Arial"/>
              <w:b/>
              <w:bCs w:val="0"/>
              <w:sz w:val="24"/>
              <w:szCs w:val="24"/>
            </w:rPr>
          </w:pPr>
          <w:r w:rsidRPr="003933F8">
            <w:rPr>
              <w:rFonts w:cs="Arial"/>
              <w:b/>
              <w:bCs w:val="0"/>
              <w:sz w:val="24"/>
              <w:szCs w:val="24"/>
            </w:rPr>
            <w:t>Table of Contents</w:t>
          </w:r>
        </w:p>
        <w:p w:rsidRPr="003933F8" w:rsidR="003933F8" w:rsidP="00073DCC" w:rsidRDefault="003933F8" w14:paraId="4C20DD11" w14:textId="714D1A88">
          <w:pPr>
            <w:pStyle w:val="TOC1"/>
            <w:tabs>
              <w:tab w:val="left" w:pos="480"/>
              <w:tab w:val="right" w:leader="dot" w:pos="8931"/>
            </w:tabs>
            <w:rPr>
              <w:rFonts w:ascii="Arial" w:hAnsi="Arial" w:cs="Arial" w:eastAsiaTheme="minorEastAsia"/>
              <w:b w:val="0"/>
              <w:i w:val="0"/>
              <w:iCs w:val="0"/>
              <w:caps/>
              <w:noProof/>
              <w:lang w:val="en-IN" w:eastAsia="en-GB"/>
            </w:rPr>
          </w:pPr>
          <w:r w:rsidRPr="003933F8">
            <w:rPr>
              <w:rFonts w:ascii="Arial" w:hAnsi="Arial" w:cs="Arial"/>
              <w:b w:val="0"/>
              <w:i w:val="0"/>
              <w:iCs w:val="0"/>
            </w:rPr>
            <w:fldChar w:fldCharType="begin"/>
          </w:r>
          <w:r w:rsidRPr="003933F8">
            <w:rPr>
              <w:rFonts w:ascii="Arial" w:hAnsi="Arial" w:cs="Arial"/>
              <w:b w:val="0"/>
              <w:i w:val="0"/>
              <w:iCs w:val="0"/>
            </w:rPr>
            <w:instrText xml:space="preserve"> TOC \o "1-3" \h \z \u </w:instrText>
          </w:r>
          <w:r w:rsidRPr="003933F8">
            <w:rPr>
              <w:rFonts w:ascii="Arial" w:hAnsi="Arial" w:cs="Arial"/>
              <w:b w:val="0"/>
              <w:i w:val="0"/>
              <w:iCs w:val="0"/>
            </w:rPr>
            <w:fldChar w:fldCharType="separate"/>
          </w:r>
          <w:hyperlink w:history="1" w:anchor="_Toc225281904">
            <w:r w:rsidRPr="003933F8">
              <w:rPr>
                <w:rStyle w:val="Hyperlink"/>
                <w:rFonts w:ascii="Arial" w:hAnsi="Arial" w:cs="Arial"/>
                <w:b w:val="0"/>
                <w:i w:val="0"/>
                <w:iCs w:val="0"/>
                <w:noProof/>
                <w:color w:val="auto"/>
                <w:lang w:eastAsia="zh-CN"/>
              </w:rPr>
              <w:t>1.</w:t>
            </w:r>
            <w:r w:rsidR="00073DCC">
              <w:rPr>
                <w:rFonts w:ascii="Arial" w:hAnsi="Arial" w:cs="Arial" w:eastAsiaTheme="minorEastAsia"/>
                <w:b w:val="0"/>
                <w:i w:val="0"/>
                <w:iCs w:val="0"/>
                <w:caps/>
                <w:noProof/>
                <w:lang w:val="en-IN" w:eastAsia="en-GB"/>
              </w:rPr>
              <w:t xml:space="preserve"> </w:t>
            </w:r>
            <w:r w:rsidRPr="003933F8">
              <w:rPr>
                <w:rStyle w:val="Hyperlink"/>
                <w:rFonts w:ascii="Arial" w:hAnsi="Arial" w:cs="Arial"/>
                <w:b w:val="0"/>
                <w:i w:val="0"/>
                <w:iCs w:val="0"/>
                <w:noProof/>
                <w:color w:val="auto"/>
              </w:rPr>
              <w:t>Introduction</w:t>
            </w:r>
            <w:r w:rsidRPr="003933F8">
              <w:rPr>
                <w:rFonts w:ascii="Arial" w:hAnsi="Arial" w:cs="Arial"/>
                <w:b w:val="0"/>
                <w:i w:val="0"/>
                <w:iCs w:val="0"/>
                <w:noProof/>
                <w:webHidden/>
              </w:rPr>
              <w:tab/>
            </w:r>
            <w:r w:rsidRPr="003933F8">
              <w:rPr>
                <w:rFonts w:ascii="Arial" w:hAnsi="Arial" w:cs="Arial"/>
                <w:b w:val="0"/>
                <w:i w:val="0"/>
                <w:iCs w:val="0"/>
                <w:noProof/>
                <w:webHidden/>
              </w:rPr>
              <w:fldChar w:fldCharType="begin"/>
            </w:r>
            <w:r w:rsidRPr="003933F8">
              <w:rPr>
                <w:rFonts w:ascii="Arial" w:hAnsi="Arial" w:cs="Arial"/>
                <w:b w:val="0"/>
                <w:i w:val="0"/>
                <w:iCs w:val="0"/>
                <w:noProof/>
                <w:webHidden/>
              </w:rPr>
              <w:instrText xml:space="preserve"> PAGEREF _Toc225281904 \h </w:instrText>
            </w:r>
            <w:r w:rsidRPr="003933F8">
              <w:rPr>
                <w:rFonts w:ascii="Arial" w:hAnsi="Arial" w:cs="Arial"/>
                <w:b w:val="0"/>
                <w:i w:val="0"/>
                <w:iCs w:val="0"/>
                <w:noProof/>
                <w:webHidden/>
              </w:rPr>
            </w:r>
            <w:r w:rsidRPr="003933F8">
              <w:rPr>
                <w:rFonts w:ascii="Arial" w:hAnsi="Arial" w:cs="Arial"/>
                <w:b w:val="0"/>
                <w:i w:val="0"/>
                <w:iCs w:val="0"/>
                <w:noProof/>
                <w:webHidden/>
              </w:rPr>
              <w:fldChar w:fldCharType="separate"/>
            </w:r>
            <w:r w:rsidRPr="003933F8">
              <w:rPr>
                <w:rFonts w:ascii="Arial" w:hAnsi="Arial" w:cs="Arial"/>
                <w:b w:val="0"/>
                <w:i w:val="0"/>
                <w:iCs w:val="0"/>
                <w:noProof/>
                <w:webHidden/>
              </w:rPr>
              <w:t>3</w:t>
            </w:r>
            <w:r w:rsidRPr="003933F8">
              <w:rPr>
                <w:rFonts w:ascii="Arial" w:hAnsi="Arial" w:cs="Arial"/>
                <w:b w:val="0"/>
                <w:i w:val="0"/>
                <w:iCs w:val="0"/>
                <w:noProof/>
                <w:webHidden/>
              </w:rPr>
              <w:fldChar w:fldCharType="end"/>
            </w:r>
          </w:hyperlink>
        </w:p>
        <w:p w:rsidRPr="003933F8" w:rsidR="003933F8" w:rsidP="00073DCC" w:rsidRDefault="003933F8" w14:paraId="23CDB084" w14:textId="125C409C">
          <w:pPr>
            <w:pStyle w:val="TOC1"/>
            <w:tabs>
              <w:tab w:val="right" w:leader="dot" w:pos="8931"/>
            </w:tabs>
            <w:rPr>
              <w:rFonts w:ascii="Arial" w:hAnsi="Arial" w:cs="Arial" w:eastAsiaTheme="minorEastAsia"/>
              <w:b w:val="0"/>
              <w:i w:val="0"/>
              <w:iCs w:val="0"/>
              <w:caps/>
              <w:noProof/>
              <w:lang w:val="en-IN" w:eastAsia="en-GB"/>
            </w:rPr>
          </w:pPr>
          <w:hyperlink w:history="1" w:anchor="_Toc225281905">
            <w:r w:rsidRPr="003933F8">
              <w:rPr>
                <w:rStyle w:val="Hyperlink"/>
                <w:rFonts w:ascii="Arial" w:hAnsi="Arial" w:cs="Arial"/>
                <w:b w:val="0"/>
                <w:i w:val="0"/>
                <w:iCs w:val="0"/>
                <w:noProof/>
                <w:color w:val="auto"/>
              </w:rPr>
              <w:t>2. Task 1: Critical Analysis of the Macro Marketing Environment</w:t>
            </w:r>
            <w:r w:rsidRPr="003933F8">
              <w:rPr>
                <w:rFonts w:ascii="Arial" w:hAnsi="Arial" w:cs="Arial"/>
                <w:b w:val="0"/>
                <w:i w:val="0"/>
                <w:iCs w:val="0"/>
                <w:noProof/>
                <w:webHidden/>
              </w:rPr>
              <w:tab/>
            </w:r>
            <w:r w:rsidRPr="003933F8">
              <w:rPr>
                <w:rFonts w:ascii="Arial" w:hAnsi="Arial" w:cs="Arial"/>
                <w:b w:val="0"/>
                <w:i w:val="0"/>
                <w:iCs w:val="0"/>
                <w:noProof/>
                <w:webHidden/>
              </w:rPr>
              <w:fldChar w:fldCharType="begin"/>
            </w:r>
            <w:r w:rsidRPr="003933F8">
              <w:rPr>
                <w:rFonts w:ascii="Arial" w:hAnsi="Arial" w:cs="Arial"/>
                <w:b w:val="0"/>
                <w:i w:val="0"/>
                <w:iCs w:val="0"/>
                <w:noProof/>
                <w:webHidden/>
              </w:rPr>
              <w:instrText xml:space="preserve"> PAGEREF _Toc225281905 \h </w:instrText>
            </w:r>
            <w:r w:rsidRPr="003933F8">
              <w:rPr>
                <w:rFonts w:ascii="Arial" w:hAnsi="Arial" w:cs="Arial"/>
                <w:b w:val="0"/>
                <w:i w:val="0"/>
                <w:iCs w:val="0"/>
                <w:noProof/>
                <w:webHidden/>
              </w:rPr>
            </w:r>
            <w:r w:rsidRPr="003933F8">
              <w:rPr>
                <w:rFonts w:ascii="Arial" w:hAnsi="Arial" w:cs="Arial"/>
                <w:b w:val="0"/>
                <w:i w:val="0"/>
                <w:iCs w:val="0"/>
                <w:noProof/>
                <w:webHidden/>
              </w:rPr>
              <w:fldChar w:fldCharType="separate"/>
            </w:r>
            <w:r w:rsidRPr="003933F8">
              <w:rPr>
                <w:rFonts w:ascii="Arial" w:hAnsi="Arial" w:cs="Arial"/>
                <w:b w:val="0"/>
                <w:i w:val="0"/>
                <w:iCs w:val="0"/>
                <w:noProof/>
                <w:webHidden/>
              </w:rPr>
              <w:t>3</w:t>
            </w:r>
            <w:r w:rsidRPr="003933F8">
              <w:rPr>
                <w:rFonts w:ascii="Arial" w:hAnsi="Arial" w:cs="Arial"/>
                <w:b w:val="0"/>
                <w:i w:val="0"/>
                <w:iCs w:val="0"/>
                <w:noProof/>
                <w:webHidden/>
              </w:rPr>
              <w:fldChar w:fldCharType="end"/>
            </w:r>
          </w:hyperlink>
        </w:p>
        <w:p w:rsidRPr="003933F8" w:rsidR="003933F8" w:rsidP="00073DCC" w:rsidRDefault="003933F8" w14:paraId="24F97B8A" w14:textId="10472491">
          <w:pPr>
            <w:pStyle w:val="TOC2"/>
            <w:tabs>
              <w:tab w:val="right" w:leader="dot" w:pos="8931"/>
            </w:tabs>
            <w:rPr>
              <w:rFonts w:ascii="Arial" w:hAnsi="Arial" w:cs="Arial" w:eastAsiaTheme="minorEastAsia"/>
              <w:b w:val="0"/>
              <w:smallCaps/>
              <w:noProof/>
              <w:sz w:val="24"/>
              <w:szCs w:val="24"/>
              <w:lang w:val="en-IN" w:eastAsia="en-GB"/>
            </w:rPr>
          </w:pPr>
          <w:hyperlink w:history="1" w:anchor="_Toc225281906">
            <w:r w:rsidRPr="003933F8">
              <w:rPr>
                <w:rStyle w:val="Hyperlink"/>
                <w:rFonts w:ascii="Arial" w:hAnsi="Arial" w:cs="Arial"/>
                <w:b w:val="0"/>
                <w:noProof/>
                <w:color w:val="auto"/>
                <w:sz w:val="24"/>
                <w:szCs w:val="24"/>
              </w:rPr>
              <w:t>2.1 Macro Marketing Environment</w:t>
            </w:r>
            <w:r w:rsidRPr="003933F8">
              <w:rPr>
                <w:rFonts w:ascii="Arial" w:hAnsi="Arial" w:cs="Arial"/>
                <w:b w:val="0"/>
                <w:noProof/>
                <w:webHidden/>
                <w:sz w:val="24"/>
                <w:szCs w:val="24"/>
              </w:rPr>
              <w:tab/>
            </w:r>
            <w:r w:rsidRPr="003933F8">
              <w:rPr>
                <w:rFonts w:ascii="Arial" w:hAnsi="Arial" w:cs="Arial"/>
                <w:b w:val="0"/>
                <w:noProof/>
                <w:webHidden/>
                <w:sz w:val="24"/>
                <w:szCs w:val="24"/>
              </w:rPr>
              <w:fldChar w:fldCharType="begin"/>
            </w:r>
            <w:r w:rsidRPr="003933F8">
              <w:rPr>
                <w:rFonts w:ascii="Arial" w:hAnsi="Arial" w:cs="Arial"/>
                <w:b w:val="0"/>
                <w:noProof/>
                <w:webHidden/>
                <w:sz w:val="24"/>
                <w:szCs w:val="24"/>
              </w:rPr>
              <w:instrText xml:space="preserve"> PAGEREF _Toc225281906 \h </w:instrText>
            </w:r>
            <w:r w:rsidRPr="003933F8">
              <w:rPr>
                <w:rFonts w:ascii="Arial" w:hAnsi="Arial" w:cs="Arial"/>
                <w:b w:val="0"/>
                <w:noProof/>
                <w:webHidden/>
                <w:sz w:val="24"/>
                <w:szCs w:val="24"/>
              </w:rPr>
            </w:r>
            <w:r w:rsidRPr="003933F8">
              <w:rPr>
                <w:rFonts w:ascii="Arial" w:hAnsi="Arial" w:cs="Arial"/>
                <w:b w:val="0"/>
                <w:noProof/>
                <w:webHidden/>
                <w:sz w:val="24"/>
                <w:szCs w:val="24"/>
              </w:rPr>
              <w:fldChar w:fldCharType="separate"/>
            </w:r>
            <w:r w:rsidRPr="003933F8">
              <w:rPr>
                <w:rFonts w:ascii="Arial" w:hAnsi="Arial" w:cs="Arial"/>
                <w:b w:val="0"/>
                <w:noProof/>
                <w:webHidden/>
                <w:sz w:val="24"/>
                <w:szCs w:val="24"/>
              </w:rPr>
              <w:t>3</w:t>
            </w:r>
            <w:r w:rsidRPr="003933F8">
              <w:rPr>
                <w:rFonts w:ascii="Arial" w:hAnsi="Arial" w:cs="Arial"/>
                <w:b w:val="0"/>
                <w:noProof/>
                <w:webHidden/>
                <w:sz w:val="24"/>
                <w:szCs w:val="24"/>
              </w:rPr>
              <w:fldChar w:fldCharType="end"/>
            </w:r>
          </w:hyperlink>
        </w:p>
        <w:p w:rsidRPr="003933F8" w:rsidR="003933F8" w:rsidP="00073DCC" w:rsidRDefault="003933F8" w14:paraId="120530D5" w14:textId="5BB8E21A">
          <w:pPr>
            <w:pStyle w:val="TOC2"/>
            <w:tabs>
              <w:tab w:val="right" w:leader="dot" w:pos="8931"/>
            </w:tabs>
            <w:rPr>
              <w:rFonts w:ascii="Arial" w:hAnsi="Arial" w:cs="Arial" w:eastAsiaTheme="minorEastAsia"/>
              <w:b w:val="0"/>
              <w:smallCaps/>
              <w:noProof/>
              <w:sz w:val="24"/>
              <w:szCs w:val="24"/>
              <w:lang w:val="en-IN" w:eastAsia="en-GB"/>
            </w:rPr>
          </w:pPr>
          <w:hyperlink w:history="1" w:anchor="_Toc225281907">
            <w:r w:rsidRPr="003933F8">
              <w:rPr>
                <w:rStyle w:val="Hyperlink"/>
                <w:rFonts w:ascii="Arial" w:hAnsi="Arial" w:cs="Arial"/>
                <w:b w:val="0"/>
                <w:noProof/>
                <w:color w:val="auto"/>
                <w:sz w:val="24"/>
                <w:szCs w:val="24"/>
              </w:rPr>
              <w:t>2.2 Analysis of Macro Factor 1: Political</w:t>
            </w:r>
            <w:r w:rsidRPr="003933F8">
              <w:rPr>
                <w:rFonts w:ascii="Arial" w:hAnsi="Arial" w:cs="Arial"/>
                <w:b w:val="0"/>
                <w:noProof/>
                <w:webHidden/>
                <w:sz w:val="24"/>
                <w:szCs w:val="24"/>
              </w:rPr>
              <w:tab/>
            </w:r>
            <w:r w:rsidRPr="003933F8">
              <w:rPr>
                <w:rFonts w:ascii="Arial" w:hAnsi="Arial" w:cs="Arial"/>
                <w:b w:val="0"/>
                <w:noProof/>
                <w:webHidden/>
                <w:sz w:val="24"/>
                <w:szCs w:val="24"/>
              </w:rPr>
              <w:fldChar w:fldCharType="begin"/>
            </w:r>
            <w:r w:rsidRPr="003933F8">
              <w:rPr>
                <w:rFonts w:ascii="Arial" w:hAnsi="Arial" w:cs="Arial"/>
                <w:b w:val="0"/>
                <w:noProof/>
                <w:webHidden/>
                <w:sz w:val="24"/>
                <w:szCs w:val="24"/>
              </w:rPr>
              <w:instrText xml:space="preserve"> PAGEREF _Toc225281907 \h </w:instrText>
            </w:r>
            <w:r w:rsidRPr="003933F8">
              <w:rPr>
                <w:rFonts w:ascii="Arial" w:hAnsi="Arial" w:cs="Arial"/>
                <w:b w:val="0"/>
                <w:noProof/>
                <w:webHidden/>
                <w:sz w:val="24"/>
                <w:szCs w:val="24"/>
              </w:rPr>
            </w:r>
            <w:r w:rsidRPr="003933F8">
              <w:rPr>
                <w:rFonts w:ascii="Arial" w:hAnsi="Arial" w:cs="Arial"/>
                <w:b w:val="0"/>
                <w:noProof/>
                <w:webHidden/>
                <w:sz w:val="24"/>
                <w:szCs w:val="24"/>
              </w:rPr>
              <w:fldChar w:fldCharType="separate"/>
            </w:r>
            <w:r w:rsidRPr="003933F8">
              <w:rPr>
                <w:rFonts w:ascii="Arial" w:hAnsi="Arial" w:cs="Arial"/>
                <w:b w:val="0"/>
                <w:noProof/>
                <w:webHidden/>
                <w:sz w:val="24"/>
                <w:szCs w:val="24"/>
              </w:rPr>
              <w:t>4</w:t>
            </w:r>
            <w:r w:rsidRPr="003933F8">
              <w:rPr>
                <w:rFonts w:ascii="Arial" w:hAnsi="Arial" w:cs="Arial"/>
                <w:b w:val="0"/>
                <w:noProof/>
                <w:webHidden/>
                <w:sz w:val="24"/>
                <w:szCs w:val="24"/>
              </w:rPr>
              <w:fldChar w:fldCharType="end"/>
            </w:r>
          </w:hyperlink>
        </w:p>
        <w:p w:rsidRPr="003933F8" w:rsidR="003933F8" w:rsidP="00073DCC" w:rsidRDefault="003933F8" w14:paraId="6C2F0ABB" w14:textId="4DA67732">
          <w:pPr>
            <w:pStyle w:val="TOC3"/>
            <w:tabs>
              <w:tab w:val="right" w:leader="dot" w:pos="8931"/>
            </w:tabs>
            <w:rPr>
              <w:rFonts w:ascii="Arial" w:hAnsi="Arial" w:cs="Arial" w:eastAsiaTheme="minorEastAsia"/>
              <w:bCs/>
              <w:noProof/>
              <w:sz w:val="24"/>
              <w:szCs w:val="24"/>
              <w:lang w:val="en-IN" w:eastAsia="en-GB"/>
            </w:rPr>
          </w:pPr>
          <w:hyperlink w:history="1" w:anchor="_Toc225281908">
            <w:r w:rsidRPr="003933F8">
              <w:rPr>
                <w:rStyle w:val="Hyperlink"/>
                <w:rFonts w:ascii="Arial" w:hAnsi="Arial" w:cs="Arial"/>
                <w:bCs/>
                <w:noProof/>
                <w:color w:val="auto"/>
                <w:sz w:val="24"/>
                <w:szCs w:val="24"/>
              </w:rPr>
              <w:t>2.2.1 Impact on Pioneer Organisation (Tesla)</w:t>
            </w:r>
            <w:r w:rsidRPr="003933F8">
              <w:rPr>
                <w:rFonts w:ascii="Arial" w:hAnsi="Arial" w:cs="Arial"/>
                <w:bCs/>
                <w:noProof/>
                <w:webHidden/>
                <w:sz w:val="24"/>
                <w:szCs w:val="24"/>
              </w:rPr>
              <w:tab/>
            </w:r>
            <w:r w:rsidRPr="003933F8">
              <w:rPr>
                <w:rFonts w:ascii="Arial" w:hAnsi="Arial" w:cs="Arial"/>
                <w:bCs/>
                <w:noProof/>
                <w:webHidden/>
                <w:sz w:val="24"/>
                <w:szCs w:val="24"/>
              </w:rPr>
              <w:fldChar w:fldCharType="begin"/>
            </w:r>
            <w:r w:rsidRPr="003933F8">
              <w:rPr>
                <w:rFonts w:ascii="Arial" w:hAnsi="Arial" w:cs="Arial"/>
                <w:bCs/>
                <w:noProof/>
                <w:webHidden/>
                <w:sz w:val="24"/>
                <w:szCs w:val="24"/>
              </w:rPr>
              <w:instrText xml:space="preserve"> PAGEREF _Toc225281908 \h </w:instrText>
            </w:r>
            <w:r w:rsidRPr="003933F8">
              <w:rPr>
                <w:rFonts w:ascii="Arial" w:hAnsi="Arial" w:cs="Arial"/>
                <w:bCs/>
                <w:noProof/>
                <w:webHidden/>
                <w:sz w:val="24"/>
                <w:szCs w:val="24"/>
              </w:rPr>
            </w:r>
            <w:r w:rsidRPr="003933F8">
              <w:rPr>
                <w:rFonts w:ascii="Arial" w:hAnsi="Arial" w:cs="Arial"/>
                <w:bCs/>
                <w:noProof/>
                <w:webHidden/>
                <w:sz w:val="24"/>
                <w:szCs w:val="24"/>
              </w:rPr>
              <w:fldChar w:fldCharType="separate"/>
            </w:r>
            <w:r w:rsidRPr="003933F8">
              <w:rPr>
                <w:rFonts w:ascii="Arial" w:hAnsi="Arial" w:cs="Arial"/>
                <w:bCs/>
                <w:noProof/>
                <w:webHidden/>
                <w:sz w:val="24"/>
                <w:szCs w:val="24"/>
              </w:rPr>
              <w:t>4</w:t>
            </w:r>
            <w:r w:rsidRPr="003933F8">
              <w:rPr>
                <w:rFonts w:ascii="Arial" w:hAnsi="Arial" w:cs="Arial"/>
                <w:bCs/>
                <w:noProof/>
                <w:webHidden/>
                <w:sz w:val="24"/>
                <w:szCs w:val="24"/>
              </w:rPr>
              <w:fldChar w:fldCharType="end"/>
            </w:r>
          </w:hyperlink>
        </w:p>
        <w:p w:rsidRPr="003933F8" w:rsidR="003933F8" w:rsidP="00073DCC" w:rsidRDefault="003933F8" w14:paraId="63BBA057" w14:textId="2854E7A0">
          <w:pPr>
            <w:pStyle w:val="TOC3"/>
            <w:tabs>
              <w:tab w:val="right" w:leader="dot" w:pos="8931"/>
            </w:tabs>
            <w:rPr>
              <w:rFonts w:ascii="Arial" w:hAnsi="Arial" w:cs="Arial" w:eastAsiaTheme="minorEastAsia"/>
              <w:bCs/>
              <w:noProof/>
              <w:sz w:val="24"/>
              <w:szCs w:val="24"/>
              <w:lang w:val="en-IN" w:eastAsia="en-GB"/>
            </w:rPr>
          </w:pPr>
          <w:hyperlink w:history="1" w:anchor="_Toc225281909">
            <w:r w:rsidRPr="003933F8">
              <w:rPr>
                <w:rStyle w:val="Hyperlink"/>
                <w:rFonts w:ascii="Arial" w:hAnsi="Arial" w:cs="Arial"/>
                <w:bCs/>
                <w:noProof/>
                <w:color w:val="auto"/>
                <w:sz w:val="24"/>
                <w:szCs w:val="24"/>
              </w:rPr>
              <w:t>2.2.2 Impact on Follower Organisation (BYD)</w:t>
            </w:r>
            <w:r w:rsidRPr="003933F8">
              <w:rPr>
                <w:rFonts w:ascii="Arial" w:hAnsi="Arial" w:cs="Arial"/>
                <w:bCs/>
                <w:noProof/>
                <w:webHidden/>
                <w:sz w:val="24"/>
                <w:szCs w:val="24"/>
              </w:rPr>
              <w:tab/>
            </w:r>
            <w:r w:rsidRPr="003933F8">
              <w:rPr>
                <w:rFonts w:ascii="Arial" w:hAnsi="Arial" w:cs="Arial"/>
                <w:bCs/>
                <w:noProof/>
                <w:webHidden/>
                <w:sz w:val="24"/>
                <w:szCs w:val="24"/>
              </w:rPr>
              <w:fldChar w:fldCharType="begin"/>
            </w:r>
            <w:r w:rsidRPr="003933F8">
              <w:rPr>
                <w:rFonts w:ascii="Arial" w:hAnsi="Arial" w:cs="Arial"/>
                <w:bCs/>
                <w:noProof/>
                <w:webHidden/>
                <w:sz w:val="24"/>
                <w:szCs w:val="24"/>
              </w:rPr>
              <w:instrText xml:space="preserve"> PAGEREF _Toc225281909 \h </w:instrText>
            </w:r>
            <w:r w:rsidRPr="003933F8">
              <w:rPr>
                <w:rFonts w:ascii="Arial" w:hAnsi="Arial" w:cs="Arial"/>
                <w:bCs/>
                <w:noProof/>
                <w:webHidden/>
                <w:sz w:val="24"/>
                <w:szCs w:val="24"/>
              </w:rPr>
            </w:r>
            <w:r w:rsidRPr="003933F8">
              <w:rPr>
                <w:rFonts w:ascii="Arial" w:hAnsi="Arial" w:cs="Arial"/>
                <w:bCs/>
                <w:noProof/>
                <w:webHidden/>
                <w:sz w:val="24"/>
                <w:szCs w:val="24"/>
              </w:rPr>
              <w:fldChar w:fldCharType="separate"/>
            </w:r>
            <w:r w:rsidRPr="003933F8">
              <w:rPr>
                <w:rFonts w:ascii="Arial" w:hAnsi="Arial" w:cs="Arial"/>
                <w:bCs/>
                <w:noProof/>
                <w:webHidden/>
                <w:sz w:val="24"/>
                <w:szCs w:val="24"/>
              </w:rPr>
              <w:t>5</w:t>
            </w:r>
            <w:r w:rsidRPr="003933F8">
              <w:rPr>
                <w:rFonts w:ascii="Arial" w:hAnsi="Arial" w:cs="Arial"/>
                <w:bCs/>
                <w:noProof/>
                <w:webHidden/>
                <w:sz w:val="24"/>
                <w:szCs w:val="24"/>
              </w:rPr>
              <w:fldChar w:fldCharType="end"/>
            </w:r>
          </w:hyperlink>
        </w:p>
        <w:p w:rsidRPr="003933F8" w:rsidR="003933F8" w:rsidP="00073DCC" w:rsidRDefault="003933F8" w14:paraId="300325EA" w14:textId="777C5C84">
          <w:pPr>
            <w:pStyle w:val="TOC2"/>
            <w:tabs>
              <w:tab w:val="right" w:leader="dot" w:pos="8931"/>
            </w:tabs>
            <w:rPr>
              <w:rFonts w:ascii="Arial" w:hAnsi="Arial" w:cs="Arial" w:eastAsiaTheme="minorEastAsia"/>
              <w:b w:val="0"/>
              <w:smallCaps/>
              <w:noProof/>
              <w:sz w:val="24"/>
              <w:szCs w:val="24"/>
              <w:lang w:val="en-IN" w:eastAsia="en-GB"/>
            </w:rPr>
          </w:pPr>
          <w:hyperlink w:history="1" w:anchor="_Toc225281910">
            <w:r w:rsidRPr="003933F8">
              <w:rPr>
                <w:rStyle w:val="Hyperlink"/>
                <w:rFonts w:ascii="Arial" w:hAnsi="Arial" w:cs="Arial"/>
                <w:b w:val="0"/>
                <w:noProof/>
                <w:color w:val="auto"/>
                <w:sz w:val="24"/>
                <w:szCs w:val="24"/>
              </w:rPr>
              <w:t>2.3 Analysis of Macro Factor 2: Technological</w:t>
            </w:r>
            <w:r w:rsidRPr="003933F8">
              <w:rPr>
                <w:rFonts w:ascii="Arial" w:hAnsi="Arial" w:cs="Arial"/>
                <w:b w:val="0"/>
                <w:noProof/>
                <w:webHidden/>
                <w:sz w:val="24"/>
                <w:szCs w:val="24"/>
              </w:rPr>
              <w:tab/>
            </w:r>
            <w:r w:rsidRPr="003933F8">
              <w:rPr>
                <w:rFonts w:ascii="Arial" w:hAnsi="Arial" w:cs="Arial"/>
                <w:b w:val="0"/>
                <w:noProof/>
                <w:webHidden/>
                <w:sz w:val="24"/>
                <w:szCs w:val="24"/>
              </w:rPr>
              <w:fldChar w:fldCharType="begin"/>
            </w:r>
            <w:r w:rsidRPr="003933F8">
              <w:rPr>
                <w:rFonts w:ascii="Arial" w:hAnsi="Arial" w:cs="Arial"/>
                <w:b w:val="0"/>
                <w:noProof/>
                <w:webHidden/>
                <w:sz w:val="24"/>
                <w:szCs w:val="24"/>
              </w:rPr>
              <w:instrText xml:space="preserve"> PAGEREF _Toc225281910 \h </w:instrText>
            </w:r>
            <w:r w:rsidRPr="003933F8">
              <w:rPr>
                <w:rFonts w:ascii="Arial" w:hAnsi="Arial" w:cs="Arial"/>
                <w:b w:val="0"/>
                <w:noProof/>
                <w:webHidden/>
                <w:sz w:val="24"/>
                <w:szCs w:val="24"/>
              </w:rPr>
            </w:r>
            <w:r w:rsidRPr="003933F8">
              <w:rPr>
                <w:rFonts w:ascii="Arial" w:hAnsi="Arial" w:cs="Arial"/>
                <w:b w:val="0"/>
                <w:noProof/>
                <w:webHidden/>
                <w:sz w:val="24"/>
                <w:szCs w:val="24"/>
              </w:rPr>
              <w:fldChar w:fldCharType="separate"/>
            </w:r>
            <w:r w:rsidRPr="003933F8">
              <w:rPr>
                <w:rFonts w:ascii="Arial" w:hAnsi="Arial" w:cs="Arial"/>
                <w:b w:val="0"/>
                <w:noProof/>
                <w:webHidden/>
                <w:sz w:val="24"/>
                <w:szCs w:val="24"/>
              </w:rPr>
              <w:t>6</w:t>
            </w:r>
            <w:r w:rsidRPr="003933F8">
              <w:rPr>
                <w:rFonts w:ascii="Arial" w:hAnsi="Arial" w:cs="Arial"/>
                <w:b w:val="0"/>
                <w:noProof/>
                <w:webHidden/>
                <w:sz w:val="24"/>
                <w:szCs w:val="24"/>
              </w:rPr>
              <w:fldChar w:fldCharType="end"/>
            </w:r>
          </w:hyperlink>
        </w:p>
        <w:p w:rsidRPr="003933F8" w:rsidR="003933F8" w:rsidP="00073DCC" w:rsidRDefault="003933F8" w14:paraId="03D2429A" w14:textId="57B312E4">
          <w:pPr>
            <w:pStyle w:val="TOC3"/>
            <w:tabs>
              <w:tab w:val="right" w:leader="dot" w:pos="8931"/>
            </w:tabs>
            <w:rPr>
              <w:rFonts w:ascii="Arial" w:hAnsi="Arial" w:cs="Arial" w:eastAsiaTheme="minorEastAsia"/>
              <w:bCs/>
              <w:noProof/>
              <w:sz w:val="24"/>
              <w:szCs w:val="24"/>
              <w:lang w:val="en-IN" w:eastAsia="en-GB"/>
            </w:rPr>
          </w:pPr>
          <w:hyperlink w:history="1" w:anchor="_Toc225281911">
            <w:r w:rsidRPr="003933F8">
              <w:rPr>
                <w:rStyle w:val="Hyperlink"/>
                <w:rFonts w:ascii="Arial" w:hAnsi="Arial" w:cs="Arial"/>
                <w:bCs/>
                <w:noProof/>
                <w:color w:val="auto"/>
                <w:sz w:val="24"/>
                <w:szCs w:val="24"/>
              </w:rPr>
              <w:t>2.3.1 Impact on Pioneer Organisation (Tesla)</w:t>
            </w:r>
            <w:r w:rsidRPr="003933F8">
              <w:rPr>
                <w:rFonts w:ascii="Arial" w:hAnsi="Arial" w:cs="Arial"/>
                <w:bCs/>
                <w:noProof/>
                <w:webHidden/>
                <w:sz w:val="24"/>
                <w:szCs w:val="24"/>
              </w:rPr>
              <w:tab/>
            </w:r>
            <w:r w:rsidRPr="003933F8">
              <w:rPr>
                <w:rFonts w:ascii="Arial" w:hAnsi="Arial" w:cs="Arial"/>
                <w:bCs/>
                <w:noProof/>
                <w:webHidden/>
                <w:sz w:val="24"/>
                <w:szCs w:val="24"/>
              </w:rPr>
              <w:fldChar w:fldCharType="begin"/>
            </w:r>
            <w:r w:rsidRPr="003933F8">
              <w:rPr>
                <w:rFonts w:ascii="Arial" w:hAnsi="Arial" w:cs="Arial"/>
                <w:bCs/>
                <w:noProof/>
                <w:webHidden/>
                <w:sz w:val="24"/>
                <w:szCs w:val="24"/>
              </w:rPr>
              <w:instrText xml:space="preserve"> PAGEREF _Toc225281911 \h </w:instrText>
            </w:r>
            <w:r w:rsidRPr="003933F8">
              <w:rPr>
                <w:rFonts w:ascii="Arial" w:hAnsi="Arial" w:cs="Arial"/>
                <w:bCs/>
                <w:noProof/>
                <w:webHidden/>
                <w:sz w:val="24"/>
                <w:szCs w:val="24"/>
              </w:rPr>
            </w:r>
            <w:r w:rsidRPr="003933F8">
              <w:rPr>
                <w:rFonts w:ascii="Arial" w:hAnsi="Arial" w:cs="Arial"/>
                <w:bCs/>
                <w:noProof/>
                <w:webHidden/>
                <w:sz w:val="24"/>
                <w:szCs w:val="24"/>
              </w:rPr>
              <w:fldChar w:fldCharType="separate"/>
            </w:r>
            <w:r w:rsidRPr="003933F8">
              <w:rPr>
                <w:rFonts w:ascii="Arial" w:hAnsi="Arial" w:cs="Arial"/>
                <w:bCs/>
                <w:noProof/>
                <w:webHidden/>
                <w:sz w:val="24"/>
                <w:szCs w:val="24"/>
              </w:rPr>
              <w:t>6</w:t>
            </w:r>
            <w:r w:rsidRPr="003933F8">
              <w:rPr>
                <w:rFonts w:ascii="Arial" w:hAnsi="Arial" w:cs="Arial"/>
                <w:bCs/>
                <w:noProof/>
                <w:webHidden/>
                <w:sz w:val="24"/>
                <w:szCs w:val="24"/>
              </w:rPr>
              <w:fldChar w:fldCharType="end"/>
            </w:r>
          </w:hyperlink>
        </w:p>
        <w:p w:rsidRPr="003933F8" w:rsidR="003933F8" w:rsidP="00073DCC" w:rsidRDefault="003933F8" w14:paraId="3451B116" w14:textId="75D1B7A8">
          <w:pPr>
            <w:pStyle w:val="TOC3"/>
            <w:tabs>
              <w:tab w:val="right" w:leader="dot" w:pos="8931"/>
            </w:tabs>
            <w:rPr>
              <w:rFonts w:ascii="Arial" w:hAnsi="Arial" w:cs="Arial" w:eastAsiaTheme="minorEastAsia"/>
              <w:bCs/>
              <w:noProof/>
              <w:sz w:val="24"/>
              <w:szCs w:val="24"/>
              <w:lang w:val="en-IN" w:eastAsia="en-GB"/>
            </w:rPr>
          </w:pPr>
          <w:hyperlink w:history="1" w:anchor="_Toc225281912">
            <w:r w:rsidRPr="003933F8">
              <w:rPr>
                <w:rStyle w:val="Hyperlink"/>
                <w:rFonts w:ascii="Arial" w:hAnsi="Arial" w:cs="Arial"/>
                <w:bCs/>
                <w:noProof/>
                <w:color w:val="auto"/>
                <w:sz w:val="24"/>
                <w:szCs w:val="24"/>
              </w:rPr>
              <w:t>2.3.2 Impact on Follower Organisation (BYD)</w:t>
            </w:r>
            <w:r w:rsidRPr="003933F8">
              <w:rPr>
                <w:rFonts w:ascii="Arial" w:hAnsi="Arial" w:cs="Arial"/>
                <w:bCs/>
                <w:noProof/>
                <w:webHidden/>
                <w:sz w:val="24"/>
                <w:szCs w:val="24"/>
              </w:rPr>
              <w:tab/>
            </w:r>
            <w:r w:rsidRPr="003933F8">
              <w:rPr>
                <w:rFonts w:ascii="Arial" w:hAnsi="Arial" w:cs="Arial"/>
                <w:bCs/>
                <w:noProof/>
                <w:webHidden/>
                <w:sz w:val="24"/>
                <w:szCs w:val="24"/>
              </w:rPr>
              <w:fldChar w:fldCharType="begin"/>
            </w:r>
            <w:r w:rsidRPr="003933F8">
              <w:rPr>
                <w:rFonts w:ascii="Arial" w:hAnsi="Arial" w:cs="Arial"/>
                <w:bCs/>
                <w:noProof/>
                <w:webHidden/>
                <w:sz w:val="24"/>
                <w:szCs w:val="24"/>
              </w:rPr>
              <w:instrText xml:space="preserve"> PAGEREF _Toc225281912 \h </w:instrText>
            </w:r>
            <w:r w:rsidRPr="003933F8">
              <w:rPr>
                <w:rFonts w:ascii="Arial" w:hAnsi="Arial" w:cs="Arial"/>
                <w:bCs/>
                <w:noProof/>
                <w:webHidden/>
                <w:sz w:val="24"/>
                <w:szCs w:val="24"/>
              </w:rPr>
            </w:r>
            <w:r w:rsidRPr="003933F8">
              <w:rPr>
                <w:rFonts w:ascii="Arial" w:hAnsi="Arial" w:cs="Arial"/>
                <w:bCs/>
                <w:noProof/>
                <w:webHidden/>
                <w:sz w:val="24"/>
                <w:szCs w:val="24"/>
              </w:rPr>
              <w:fldChar w:fldCharType="separate"/>
            </w:r>
            <w:r w:rsidRPr="003933F8">
              <w:rPr>
                <w:rFonts w:ascii="Arial" w:hAnsi="Arial" w:cs="Arial"/>
                <w:bCs/>
                <w:noProof/>
                <w:webHidden/>
                <w:sz w:val="24"/>
                <w:szCs w:val="24"/>
              </w:rPr>
              <w:t>7</w:t>
            </w:r>
            <w:r w:rsidRPr="003933F8">
              <w:rPr>
                <w:rFonts w:ascii="Arial" w:hAnsi="Arial" w:cs="Arial"/>
                <w:bCs/>
                <w:noProof/>
                <w:webHidden/>
                <w:sz w:val="24"/>
                <w:szCs w:val="24"/>
              </w:rPr>
              <w:fldChar w:fldCharType="end"/>
            </w:r>
          </w:hyperlink>
        </w:p>
        <w:p w:rsidRPr="003933F8" w:rsidR="003933F8" w:rsidP="00073DCC" w:rsidRDefault="003933F8" w14:paraId="3D037A1A" w14:textId="5B2CA85F">
          <w:pPr>
            <w:pStyle w:val="TOC1"/>
            <w:tabs>
              <w:tab w:val="right" w:leader="dot" w:pos="8931"/>
            </w:tabs>
            <w:rPr>
              <w:rFonts w:ascii="Arial" w:hAnsi="Arial" w:cs="Arial" w:eastAsiaTheme="minorEastAsia"/>
              <w:b w:val="0"/>
              <w:i w:val="0"/>
              <w:iCs w:val="0"/>
              <w:caps/>
              <w:noProof/>
              <w:lang w:val="en-IN" w:eastAsia="en-GB"/>
            </w:rPr>
          </w:pPr>
          <w:hyperlink w:history="1" w:anchor="_Toc225281913">
            <w:r w:rsidRPr="003933F8">
              <w:rPr>
                <w:rStyle w:val="Hyperlink"/>
                <w:rFonts w:ascii="Arial" w:hAnsi="Arial" w:cs="Arial"/>
                <w:b w:val="0"/>
                <w:i w:val="0"/>
                <w:iCs w:val="0"/>
                <w:noProof/>
                <w:color w:val="auto"/>
              </w:rPr>
              <w:t>3. Task 2: Strategic Responses of Pioneering and Follower Organisations</w:t>
            </w:r>
            <w:r w:rsidRPr="003933F8">
              <w:rPr>
                <w:rFonts w:ascii="Arial" w:hAnsi="Arial" w:cs="Arial"/>
                <w:b w:val="0"/>
                <w:i w:val="0"/>
                <w:iCs w:val="0"/>
                <w:noProof/>
                <w:webHidden/>
              </w:rPr>
              <w:tab/>
            </w:r>
            <w:r w:rsidRPr="003933F8">
              <w:rPr>
                <w:rFonts w:ascii="Arial" w:hAnsi="Arial" w:cs="Arial"/>
                <w:b w:val="0"/>
                <w:i w:val="0"/>
                <w:iCs w:val="0"/>
                <w:noProof/>
                <w:webHidden/>
              </w:rPr>
              <w:fldChar w:fldCharType="begin"/>
            </w:r>
            <w:r w:rsidRPr="003933F8">
              <w:rPr>
                <w:rFonts w:ascii="Arial" w:hAnsi="Arial" w:cs="Arial"/>
                <w:b w:val="0"/>
                <w:i w:val="0"/>
                <w:iCs w:val="0"/>
                <w:noProof/>
                <w:webHidden/>
              </w:rPr>
              <w:instrText xml:space="preserve"> PAGEREF _Toc225281913 \h </w:instrText>
            </w:r>
            <w:r w:rsidRPr="003933F8">
              <w:rPr>
                <w:rFonts w:ascii="Arial" w:hAnsi="Arial" w:cs="Arial"/>
                <w:b w:val="0"/>
                <w:i w:val="0"/>
                <w:iCs w:val="0"/>
                <w:noProof/>
                <w:webHidden/>
              </w:rPr>
            </w:r>
            <w:r w:rsidRPr="003933F8">
              <w:rPr>
                <w:rFonts w:ascii="Arial" w:hAnsi="Arial" w:cs="Arial"/>
                <w:b w:val="0"/>
                <w:i w:val="0"/>
                <w:iCs w:val="0"/>
                <w:noProof/>
                <w:webHidden/>
              </w:rPr>
              <w:fldChar w:fldCharType="separate"/>
            </w:r>
            <w:r w:rsidRPr="003933F8">
              <w:rPr>
                <w:rFonts w:ascii="Arial" w:hAnsi="Arial" w:cs="Arial"/>
                <w:b w:val="0"/>
                <w:i w:val="0"/>
                <w:iCs w:val="0"/>
                <w:noProof/>
                <w:webHidden/>
              </w:rPr>
              <w:t>7</w:t>
            </w:r>
            <w:r w:rsidRPr="003933F8">
              <w:rPr>
                <w:rFonts w:ascii="Arial" w:hAnsi="Arial" w:cs="Arial"/>
                <w:b w:val="0"/>
                <w:i w:val="0"/>
                <w:iCs w:val="0"/>
                <w:noProof/>
                <w:webHidden/>
              </w:rPr>
              <w:fldChar w:fldCharType="end"/>
            </w:r>
          </w:hyperlink>
        </w:p>
        <w:p w:rsidRPr="003933F8" w:rsidR="003933F8" w:rsidP="00073DCC" w:rsidRDefault="003933F8" w14:paraId="496FFA82" w14:textId="0E14512C">
          <w:pPr>
            <w:pStyle w:val="TOC2"/>
            <w:tabs>
              <w:tab w:val="right" w:leader="dot" w:pos="8931"/>
            </w:tabs>
            <w:rPr>
              <w:rFonts w:ascii="Arial" w:hAnsi="Arial" w:cs="Arial" w:eastAsiaTheme="minorEastAsia"/>
              <w:b w:val="0"/>
              <w:smallCaps/>
              <w:noProof/>
              <w:sz w:val="24"/>
              <w:szCs w:val="24"/>
              <w:lang w:val="en-IN" w:eastAsia="en-GB"/>
            </w:rPr>
          </w:pPr>
          <w:hyperlink w:history="1" w:anchor="_Toc225281914">
            <w:r w:rsidRPr="003933F8">
              <w:rPr>
                <w:rStyle w:val="Hyperlink"/>
                <w:rFonts w:ascii="Arial" w:hAnsi="Arial" w:cs="Arial"/>
                <w:b w:val="0"/>
                <w:noProof/>
                <w:color w:val="auto"/>
                <w:sz w:val="24"/>
                <w:szCs w:val="24"/>
              </w:rPr>
              <w:t>3.1 Strategic Responses of the Pioneering Organisation (Tesla)</w:t>
            </w:r>
            <w:r w:rsidRPr="003933F8">
              <w:rPr>
                <w:rFonts w:ascii="Arial" w:hAnsi="Arial" w:cs="Arial"/>
                <w:b w:val="0"/>
                <w:noProof/>
                <w:webHidden/>
                <w:sz w:val="24"/>
                <w:szCs w:val="24"/>
              </w:rPr>
              <w:tab/>
            </w:r>
            <w:r w:rsidRPr="003933F8">
              <w:rPr>
                <w:rFonts w:ascii="Arial" w:hAnsi="Arial" w:cs="Arial"/>
                <w:b w:val="0"/>
                <w:noProof/>
                <w:webHidden/>
                <w:sz w:val="24"/>
                <w:szCs w:val="24"/>
              </w:rPr>
              <w:fldChar w:fldCharType="begin"/>
            </w:r>
            <w:r w:rsidRPr="003933F8">
              <w:rPr>
                <w:rFonts w:ascii="Arial" w:hAnsi="Arial" w:cs="Arial"/>
                <w:b w:val="0"/>
                <w:noProof/>
                <w:webHidden/>
                <w:sz w:val="24"/>
                <w:szCs w:val="24"/>
              </w:rPr>
              <w:instrText xml:space="preserve"> PAGEREF _Toc225281914 \h </w:instrText>
            </w:r>
            <w:r w:rsidRPr="003933F8">
              <w:rPr>
                <w:rFonts w:ascii="Arial" w:hAnsi="Arial" w:cs="Arial"/>
                <w:b w:val="0"/>
                <w:noProof/>
                <w:webHidden/>
                <w:sz w:val="24"/>
                <w:szCs w:val="24"/>
              </w:rPr>
            </w:r>
            <w:r w:rsidRPr="003933F8">
              <w:rPr>
                <w:rFonts w:ascii="Arial" w:hAnsi="Arial" w:cs="Arial"/>
                <w:b w:val="0"/>
                <w:noProof/>
                <w:webHidden/>
                <w:sz w:val="24"/>
                <w:szCs w:val="24"/>
              </w:rPr>
              <w:fldChar w:fldCharType="separate"/>
            </w:r>
            <w:r w:rsidRPr="003933F8">
              <w:rPr>
                <w:rFonts w:ascii="Arial" w:hAnsi="Arial" w:cs="Arial"/>
                <w:b w:val="0"/>
                <w:noProof/>
                <w:webHidden/>
                <w:sz w:val="24"/>
                <w:szCs w:val="24"/>
              </w:rPr>
              <w:t>7</w:t>
            </w:r>
            <w:r w:rsidRPr="003933F8">
              <w:rPr>
                <w:rFonts w:ascii="Arial" w:hAnsi="Arial" w:cs="Arial"/>
                <w:b w:val="0"/>
                <w:noProof/>
                <w:webHidden/>
                <w:sz w:val="24"/>
                <w:szCs w:val="24"/>
              </w:rPr>
              <w:fldChar w:fldCharType="end"/>
            </w:r>
          </w:hyperlink>
        </w:p>
        <w:p w:rsidRPr="003933F8" w:rsidR="003933F8" w:rsidP="00073DCC" w:rsidRDefault="003933F8" w14:paraId="67EA1681" w14:textId="5FFE0E9B">
          <w:pPr>
            <w:pStyle w:val="TOC2"/>
            <w:tabs>
              <w:tab w:val="right" w:leader="dot" w:pos="8931"/>
            </w:tabs>
            <w:rPr>
              <w:rFonts w:ascii="Arial" w:hAnsi="Arial" w:cs="Arial" w:eastAsiaTheme="minorEastAsia"/>
              <w:b w:val="0"/>
              <w:smallCaps/>
              <w:noProof/>
              <w:sz w:val="24"/>
              <w:szCs w:val="24"/>
              <w:lang w:val="en-IN" w:eastAsia="en-GB"/>
            </w:rPr>
          </w:pPr>
          <w:hyperlink w:history="1" w:anchor="_Toc225281915">
            <w:r w:rsidRPr="003933F8">
              <w:rPr>
                <w:rStyle w:val="Hyperlink"/>
                <w:rFonts w:ascii="Arial" w:hAnsi="Arial" w:cs="Arial"/>
                <w:b w:val="0"/>
                <w:noProof/>
                <w:color w:val="auto"/>
                <w:sz w:val="24"/>
                <w:szCs w:val="24"/>
              </w:rPr>
              <w:t>3.2 Strategic Responses of the Follower Organisation (BYD)</w:t>
            </w:r>
            <w:r w:rsidRPr="003933F8">
              <w:rPr>
                <w:rFonts w:ascii="Arial" w:hAnsi="Arial" w:cs="Arial"/>
                <w:b w:val="0"/>
                <w:noProof/>
                <w:webHidden/>
                <w:sz w:val="24"/>
                <w:szCs w:val="24"/>
              </w:rPr>
              <w:tab/>
            </w:r>
            <w:r w:rsidRPr="003933F8">
              <w:rPr>
                <w:rFonts w:ascii="Arial" w:hAnsi="Arial" w:cs="Arial"/>
                <w:b w:val="0"/>
                <w:noProof/>
                <w:webHidden/>
                <w:sz w:val="24"/>
                <w:szCs w:val="24"/>
              </w:rPr>
              <w:fldChar w:fldCharType="begin"/>
            </w:r>
            <w:r w:rsidRPr="003933F8">
              <w:rPr>
                <w:rFonts w:ascii="Arial" w:hAnsi="Arial" w:cs="Arial"/>
                <w:b w:val="0"/>
                <w:noProof/>
                <w:webHidden/>
                <w:sz w:val="24"/>
                <w:szCs w:val="24"/>
              </w:rPr>
              <w:instrText xml:space="preserve"> PAGEREF _Toc225281915 \h </w:instrText>
            </w:r>
            <w:r w:rsidRPr="003933F8">
              <w:rPr>
                <w:rFonts w:ascii="Arial" w:hAnsi="Arial" w:cs="Arial"/>
                <w:b w:val="0"/>
                <w:noProof/>
                <w:webHidden/>
                <w:sz w:val="24"/>
                <w:szCs w:val="24"/>
              </w:rPr>
            </w:r>
            <w:r w:rsidRPr="003933F8">
              <w:rPr>
                <w:rFonts w:ascii="Arial" w:hAnsi="Arial" w:cs="Arial"/>
                <w:b w:val="0"/>
                <w:noProof/>
                <w:webHidden/>
                <w:sz w:val="24"/>
                <w:szCs w:val="24"/>
              </w:rPr>
              <w:fldChar w:fldCharType="separate"/>
            </w:r>
            <w:r w:rsidRPr="003933F8">
              <w:rPr>
                <w:rFonts w:ascii="Arial" w:hAnsi="Arial" w:cs="Arial"/>
                <w:b w:val="0"/>
                <w:noProof/>
                <w:webHidden/>
                <w:sz w:val="24"/>
                <w:szCs w:val="24"/>
              </w:rPr>
              <w:t>9</w:t>
            </w:r>
            <w:r w:rsidRPr="003933F8">
              <w:rPr>
                <w:rFonts w:ascii="Arial" w:hAnsi="Arial" w:cs="Arial"/>
                <w:b w:val="0"/>
                <w:noProof/>
                <w:webHidden/>
                <w:sz w:val="24"/>
                <w:szCs w:val="24"/>
              </w:rPr>
              <w:fldChar w:fldCharType="end"/>
            </w:r>
          </w:hyperlink>
        </w:p>
        <w:p w:rsidRPr="003933F8" w:rsidR="003933F8" w:rsidP="00073DCC" w:rsidRDefault="003933F8" w14:paraId="1A6E456E" w14:textId="3DBE9910">
          <w:pPr>
            <w:pStyle w:val="TOC1"/>
            <w:tabs>
              <w:tab w:val="right" w:leader="dot" w:pos="8931"/>
            </w:tabs>
            <w:rPr>
              <w:rFonts w:ascii="Arial" w:hAnsi="Arial" w:cs="Arial" w:eastAsiaTheme="minorEastAsia"/>
              <w:b w:val="0"/>
              <w:i w:val="0"/>
              <w:iCs w:val="0"/>
              <w:caps/>
              <w:noProof/>
              <w:lang w:val="en-IN" w:eastAsia="en-GB"/>
            </w:rPr>
          </w:pPr>
          <w:hyperlink w:history="1" w:anchor="_Toc225281916">
            <w:r w:rsidRPr="003933F8">
              <w:rPr>
                <w:rStyle w:val="Hyperlink"/>
                <w:rFonts w:ascii="Arial" w:hAnsi="Arial" w:cs="Arial"/>
                <w:b w:val="0"/>
                <w:i w:val="0"/>
                <w:iCs w:val="0"/>
                <w:noProof/>
                <w:color w:val="auto"/>
                <w:lang w:eastAsia="zh-CN"/>
              </w:rPr>
              <w:t>4. Conclusion</w:t>
            </w:r>
            <w:r w:rsidRPr="003933F8">
              <w:rPr>
                <w:rFonts w:ascii="Arial" w:hAnsi="Arial" w:cs="Arial"/>
                <w:b w:val="0"/>
                <w:i w:val="0"/>
                <w:iCs w:val="0"/>
                <w:noProof/>
                <w:webHidden/>
              </w:rPr>
              <w:tab/>
            </w:r>
            <w:r w:rsidRPr="003933F8">
              <w:rPr>
                <w:rFonts w:ascii="Arial" w:hAnsi="Arial" w:cs="Arial"/>
                <w:b w:val="0"/>
                <w:i w:val="0"/>
                <w:iCs w:val="0"/>
                <w:noProof/>
                <w:webHidden/>
              </w:rPr>
              <w:fldChar w:fldCharType="begin"/>
            </w:r>
            <w:r w:rsidRPr="003933F8">
              <w:rPr>
                <w:rFonts w:ascii="Arial" w:hAnsi="Arial" w:cs="Arial"/>
                <w:b w:val="0"/>
                <w:i w:val="0"/>
                <w:iCs w:val="0"/>
                <w:noProof/>
                <w:webHidden/>
              </w:rPr>
              <w:instrText xml:space="preserve"> PAGEREF _Toc225281916 \h </w:instrText>
            </w:r>
            <w:r w:rsidRPr="003933F8">
              <w:rPr>
                <w:rFonts w:ascii="Arial" w:hAnsi="Arial" w:cs="Arial"/>
                <w:b w:val="0"/>
                <w:i w:val="0"/>
                <w:iCs w:val="0"/>
                <w:noProof/>
                <w:webHidden/>
              </w:rPr>
            </w:r>
            <w:r w:rsidRPr="003933F8">
              <w:rPr>
                <w:rFonts w:ascii="Arial" w:hAnsi="Arial" w:cs="Arial"/>
                <w:b w:val="0"/>
                <w:i w:val="0"/>
                <w:iCs w:val="0"/>
                <w:noProof/>
                <w:webHidden/>
              </w:rPr>
              <w:fldChar w:fldCharType="separate"/>
            </w:r>
            <w:r w:rsidRPr="003933F8">
              <w:rPr>
                <w:rFonts w:ascii="Arial" w:hAnsi="Arial" w:cs="Arial"/>
                <w:b w:val="0"/>
                <w:i w:val="0"/>
                <w:iCs w:val="0"/>
                <w:noProof/>
                <w:webHidden/>
              </w:rPr>
              <w:t>10</w:t>
            </w:r>
            <w:r w:rsidRPr="003933F8">
              <w:rPr>
                <w:rFonts w:ascii="Arial" w:hAnsi="Arial" w:cs="Arial"/>
                <w:b w:val="0"/>
                <w:i w:val="0"/>
                <w:iCs w:val="0"/>
                <w:noProof/>
                <w:webHidden/>
              </w:rPr>
              <w:fldChar w:fldCharType="end"/>
            </w:r>
          </w:hyperlink>
        </w:p>
        <w:p w:rsidRPr="003933F8" w:rsidR="003933F8" w:rsidP="00073DCC" w:rsidRDefault="003933F8" w14:paraId="136A5C63" w14:textId="64A9A1A8">
          <w:pPr>
            <w:pStyle w:val="TOC1"/>
            <w:tabs>
              <w:tab w:val="right" w:leader="dot" w:pos="8931"/>
            </w:tabs>
            <w:rPr>
              <w:rFonts w:ascii="Arial" w:hAnsi="Arial" w:cs="Arial" w:eastAsiaTheme="minorEastAsia"/>
              <w:b w:val="0"/>
              <w:i w:val="0"/>
              <w:iCs w:val="0"/>
              <w:caps/>
              <w:noProof/>
              <w:lang w:val="en-IN" w:eastAsia="en-GB"/>
            </w:rPr>
          </w:pPr>
          <w:hyperlink w:history="1" w:anchor="_Toc225281917">
            <w:r w:rsidRPr="003933F8">
              <w:rPr>
                <w:rStyle w:val="Hyperlink"/>
                <w:rFonts w:ascii="Arial" w:hAnsi="Arial" w:cs="Arial"/>
                <w:b w:val="0"/>
                <w:i w:val="0"/>
                <w:iCs w:val="0"/>
                <w:noProof/>
                <w:color w:val="auto"/>
                <w:lang w:eastAsia="zh-CN"/>
              </w:rPr>
              <w:t>5. References</w:t>
            </w:r>
            <w:r w:rsidRPr="003933F8">
              <w:rPr>
                <w:rFonts w:ascii="Arial" w:hAnsi="Arial" w:cs="Arial"/>
                <w:b w:val="0"/>
                <w:i w:val="0"/>
                <w:iCs w:val="0"/>
                <w:noProof/>
                <w:webHidden/>
              </w:rPr>
              <w:tab/>
            </w:r>
            <w:r w:rsidRPr="003933F8">
              <w:rPr>
                <w:rFonts w:ascii="Arial" w:hAnsi="Arial" w:cs="Arial"/>
                <w:b w:val="0"/>
                <w:i w:val="0"/>
                <w:iCs w:val="0"/>
                <w:noProof/>
                <w:webHidden/>
              </w:rPr>
              <w:fldChar w:fldCharType="begin"/>
            </w:r>
            <w:r w:rsidRPr="003933F8">
              <w:rPr>
                <w:rFonts w:ascii="Arial" w:hAnsi="Arial" w:cs="Arial"/>
                <w:b w:val="0"/>
                <w:i w:val="0"/>
                <w:iCs w:val="0"/>
                <w:noProof/>
                <w:webHidden/>
              </w:rPr>
              <w:instrText xml:space="preserve"> PAGEREF _Toc225281917 \h </w:instrText>
            </w:r>
            <w:r w:rsidRPr="003933F8">
              <w:rPr>
                <w:rFonts w:ascii="Arial" w:hAnsi="Arial" w:cs="Arial"/>
                <w:b w:val="0"/>
                <w:i w:val="0"/>
                <w:iCs w:val="0"/>
                <w:noProof/>
                <w:webHidden/>
              </w:rPr>
            </w:r>
            <w:r w:rsidRPr="003933F8">
              <w:rPr>
                <w:rFonts w:ascii="Arial" w:hAnsi="Arial" w:cs="Arial"/>
                <w:b w:val="0"/>
                <w:i w:val="0"/>
                <w:iCs w:val="0"/>
                <w:noProof/>
                <w:webHidden/>
              </w:rPr>
              <w:fldChar w:fldCharType="separate"/>
            </w:r>
            <w:r w:rsidRPr="003933F8">
              <w:rPr>
                <w:rFonts w:ascii="Arial" w:hAnsi="Arial" w:cs="Arial"/>
                <w:b w:val="0"/>
                <w:i w:val="0"/>
                <w:iCs w:val="0"/>
                <w:noProof/>
                <w:webHidden/>
              </w:rPr>
              <w:t>12</w:t>
            </w:r>
            <w:r w:rsidRPr="003933F8">
              <w:rPr>
                <w:rFonts w:ascii="Arial" w:hAnsi="Arial" w:cs="Arial"/>
                <w:b w:val="0"/>
                <w:i w:val="0"/>
                <w:iCs w:val="0"/>
                <w:noProof/>
                <w:webHidden/>
              </w:rPr>
              <w:fldChar w:fldCharType="end"/>
            </w:r>
          </w:hyperlink>
        </w:p>
        <w:p w:rsidR="003933F8" w:rsidP="00073DCC" w:rsidRDefault="003933F8" w14:paraId="1B75C5E9" w14:textId="5AABA48A">
          <w:pPr>
            <w:tabs>
              <w:tab w:val="right" w:leader="dot" w:pos="8931"/>
            </w:tabs>
          </w:pPr>
          <w:r w:rsidRPr="003933F8">
            <w:rPr>
              <w:rFonts w:cs="Arial"/>
              <w:bCs/>
              <w:noProof/>
            </w:rPr>
            <w:fldChar w:fldCharType="end"/>
          </w:r>
        </w:p>
      </w:sdtContent>
    </w:sdt>
    <w:p w:rsidRPr="00083A53" w:rsidR="00CB01F0" w:rsidP="00F433AF" w:rsidRDefault="00CB01F0" w14:paraId="2DCCDEE9" w14:textId="0AA2534E">
      <w:pPr>
        <w:pStyle w:val="TOCHeading"/>
        <w:spacing w:line="360" w:lineRule="auto"/>
        <w:rPr>
          <w:rFonts w:cs="Arial"/>
          <w:sz w:val="24"/>
          <w:szCs w:val="24"/>
        </w:rPr>
      </w:pPr>
    </w:p>
    <w:p w:rsidR="00F4799C" w:rsidP="003933F8" w:rsidRDefault="00CB01F0" w14:paraId="2004AA6C" w14:textId="1B592E94">
      <w:pPr>
        <w:pStyle w:val="Heading1"/>
        <w:numPr>
          <w:ilvl w:val="0"/>
          <w:numId w:val="46"/>
        </w:numPr>
        <w:ind w:left="284"/>
      </w:pPr>
      <w:r w:rsidRPr="00083A53">
        <w:rPr>
          <w:highlight w:val="yellow"/>
        </w:rPr>
        <w:br w:type="page"/>
      </w:r>
      <w:bookmarkStart w:name="_Toc222732273" w:id="0"/>
      <w:bookmarkStart w:name="_Toc225281904" w:id="1"/>
      <w:r w:rsidRPr="003933F8" w:rsidR="00F4799C">
        <w:lastRenderedPageBreak/>
        <w:t>Introduction</w:t>
      </w:r>
      <w:bookmarkEnd w:id="0"/>
      <w:bookmarkEnd w:id="1"/>
    </w:p>
    <w:p w:rsidR="004C696C" w:rsidP="004C696C" w:rsidRDefault="004C696C" w14:paraId="2F2EE806" w14:textId="06DFE26B">
      <w:r>
        <w:t>This report discusses the impact of macro- environmental factors on strategic positioning and marketing reactions in the electric vehicle (EV) industry. The comparison of Tesla as a pioneering organisation and BYD as a follower is an analysis of how to influence the competitiveness and the long-term performance of a technology-driven and policy sensitive market-environment depending on their strategic orientation.</w:t>
      </w:r>
    </w:p>
    <w:p w:rsidR="004C696C" w:rsidP="004C696C" w:rsidRDefault="004C696C" w14:paraId="68AD1B08" w14:textId="0DE0BE4A">
      <w:r>
        <w:t>EV sector is one of the most radical divisions of the international car industry featuring technological upset, environmental friendliness, and the growing competition. Electric mobility transition, as Ajanovic and Haas (2020) discuss, is based on the need to address the environmental issue and the potential of firms to grow strategically. Recent market developments indicate a faster adoption rate fuelled by falling battery prices and government backing, with the world EV market growing rapidly based on the International Energy Agency (2024) and Statista (2025) projections.</w:t>
      </w:r>
      <w:r w:rsidR="003605D1">
        <w:t xml:space="preserve"> </w:t>
      </w:r>
      <w:r>
        <w:t xml:space="preserve">The macro marketing environment is simply the environment in which organisations are able to strategically make decisions since they are surrounded by very complex external forces that determine opportunities, risks and market structures. </w:t>
      </w:r>
    </w:p>
    <w:p w:rsidRPr="004C696C" w:rsidR="004C696C" w:rsidP="004C696C" w:rsidRDefault="004C696C" w14:paraId="63AE18F7" w14:textId="53F2F538">
      <w:r>
        <w:t>The report is divided into 2 important sections that deal with macro-environmental analysis and organisational strategic responses. The former task is a critical assessment of the political and technological factors of competitiveness in the industry and the latter one is the adaptation of the strategies of pioneering firms and their followers to these factors. The scope is concerned with measurement of strategic fit of organisational capabilities to external environmental dynamics.</w:t>
      </w:r>
    </w:p>
    <w:p w:rsidRPr="00083A53" w:rsidR="00FB3E7A" w:rsidP="00F433AF" w:rsidRDefault="00FB3E7A" w14:paraId="4CB80537" w14:textId="77777777">
      <w:pPr>
        <w:pStyle w:val="Heading1"/>
        <w:rPr>
          <w:rFonts w:cs="Arial"/>
          <w:sz w:val="24"/>
          <w:szCs w:val="24"/>
        </w:rPr>
      </w:pPr>
      <w:bookmarkStart w:name="_Toc225281905" w:id="2"/>
      <w:r w:rsidRPr="00083A53">
        <w:rPr>
          <w:rFonts w:cs="Arial"/>
          <w:sz w:val="24"/>
          <w:szCs w:val="24"/>
        </w:rPr>
        <w:t>2. Task 1: Critical Analysis of the Macro Marketing Environment</w:t>
      </w:r>
      <w:bookmarkEnd w:id="2"/>
    </w:p>
    <w:p w:rsidR="00FB3E7A" w:rsidP="00CF1D64" w:rsidRDefault="00FB3E7A" w14:paraId="4AACF51B" w14:textId="77777777">
      <w:pPr>
        <w:pStyle w:val="Heading2"/>
        <w:rPr>
          <w:rFonts w:cs="Arial"/>
        </w:rPr>
      </w:pPr>
      <w:bookmarkStart w:name="_Toc225281906" w:id="3"/>
      <w:r w:rsidRPr="00083A53">
        <w:rPr>
          <w:rFonts w:cs="Arial"/>
        </w:rPr>
        <w:t>2.1 Macro Marketing Environment</w:t>
      </w:r>
      <w:bookmarkEnd w:id="3"/>
    </w:p>
    <w:p w:rsidR="009000CD" w:rsidP="009000CD" w:rsidRDefault="009000CD" w14:paraId="25D1F534" w14:textId="1B7ACFFC">
      <w:r>
        <w:t>Macro marketing environment is those external factors that influence organisational competitiveness and which are beyond the control of managers. In order to foresee strategic opportunities and threats, the PESTLE framework offers a formal framework homing in on the analysis of these forces in the political environmental sphere, in the economic one, in the social environment, in the technological sphere, in the legal sphere, and in the environmental sphere. In the electric vehicle (EV) sector, macro-</w:t>
      </w:r>
      <w:r>
        <w:lastRenderedPageBreak/>
        <w:t xml:space="preserve">environmental forces have a powerful impact on market growth and expansion, the level of innovation and competitive stance. </w:t>
      </w:r>
    </w:p>
    <w:p w:rsidR="009000CD" w:rsidP="009000CD" w:rsidRDefault="009000CD" w14:paraId="7CCCB5DE" w14:textId="3363C6B5">
      <w:r>
        <w:t xml:space="preserve">Of all PESTLE dimensions, political and technological ones have the greatest impact on EV competitiveness. Emission regulations and government incentives directly speed up the rate of adoption and growth of the industry. Subsidies and demonstrated to boost EV adoption by more than 1520 percent at initial stages: Hardman et al. (2021) show that financial assistance can enhance the competitiveness of the EV market. </w:t>
      </w:r>
    </w:p>
    <w:p w:rsidRPr="009000CD" w:rsidR="009000CD" w:rsidP="009000CD" w:rsidRDefault="009000CD" w14:paraId="1C3F6AFA" w14:textId="5469F5F8">
      <w:r>
        <w:t>The strategic importance of these forces is also evidenced by the industry. In 2023, or over 18 percent of new vehicle sales, the world sold more than 14 million EVs, equivalent to more than 18 percent of the spanking new vehicle sales (International Energy Agency, 2024), and market revenues and projections indicate that the sales will exceed USD 900 billion by 2028 (Statista, 2025). As a result, macro environmental forces present opportunity and competitive threats to first mover companies like Tesla and second movers like BYD.</w:t>
      </w:r>
    </w:p>
    <w:p w:rsidRPr="00083A53" w:rsidR="00FB3E7A" w:rsidP="00F433AF" w:rsidRDefault="00FB3E7A" w14:paraId="1A457E16" w14:textId="77777777">
      <w:pPr>
        <w:pStyle w:val="Heading2"/>
        <w:rPr>
          <w:rFonts w:cs="Arial"/>
          <w:szCs w:val="24"/>
        </w:rPr>
      </w:pPr>
      <w:bookmarkStart w:name="_Toc225281907" w:id="4"/>
      <w:r w:rsidRPr="00083A53">
        <w:rPr>
          <w:rFonts w:cs="Arial"/>
          <w:szCs w:val="24"/>
        </w:rPr>
        <w:t>2.2 Analysis of Macro Factor 1: Political</w:t>
      </w:r>
      <w:bookmarkEnd w:id="4"/>
    </w:p>
    <w:p w:rsidRPr="00083A53" w:rsidR="00FB3E7A" w:rsidP="00F433AF" w:rsidRDefault="00FB3E7A" w14:paraId="7702DC18" w14:textId="77777777">
      <w:pPr>
        <w:pStyle w:val="Heading3"/>
        <w:rPr>
          <w:rFonts w:cs="Arial"/>
          <w:sz w:val="24"/>
          <w:szCs w:val="24"/>
        </w:rPr>
      </w:pPr>
      <w:bookmarkStart w:name="_Toc225281908" w:id="5"/>
      <w:r w:rsidRPr="00083A53">
        <w:rPr>
          <w:rFonts w:cs="Arial"/>
          <w:sz w:val="24"/>
          <w:szCs w:val="24"/>
        </w:rPr>
        <w:t>2.2.1 Impact on Pioneer Organisation (Tesla)</w:t>
      </w:r>
      <w:bookmarkEnd w:id="5"/>
    </w:p>
    <w:p w:rsidRPr="00083A53" w:rsidR="00FB3E7A" w:rsidP="00F433AF" w:rsidRDefault="00FB3E7A" w14:paraId="43C27736" w14:textId="77777777">
      <w:pPr>
        <w:pStyle w:val="NormalWeb"/>
        <w:rPr>
          <w:rFonts w:ascii="Arial" w:hAnsi="Arial" w:cs="Arial"/>
        </w:rPr>
      </w:pPr>
      <w:r w:rsidRPr="00083A53">
        <w:rPr>
          <w:rFonts w:ascii="Arial" w:hAnsi="Arial" w:cs="Arial"/>
        </w:rPr>
        <w:t>Political intervention presents maximal opportunities to Tesla in terms of certainty in demand and expansion of regional markets. Ever-increasing emission laws and government subsidies have merely increased the popularity of EVs, particularly in North America and Europe. According to Hardman et al. (2021), financial incentives are included among those which are vital in reducing the consumer buy barriers which improves early mover advantages. Tesla has focused on innovation and this has assisted it in its differentiation positioning even though the strategic alignment between the Tesla and its sustainability policies has assisted it in its positioning.</w:t>
      </w:r>
    </w:p>
    <w:p w:rsidR="00FB3E7A" w:rsidP="00F433AF" w:rsidRDefault="00FB3E7A" w14:paraId="16641B13" w14:textId="77777777">
      <w:pPr>
        <w:pStyle w:val="NormalWeb"/>
        <w:rPr>
          <w:rFonts w:ascii="Arial" w:hAnsi="Arial" w:cs="Arial"/>
        </w:rPr>
      </w:pPr>
      <w:r w:rsidRPr="00083A53">
        <w:rPr>
          <w:rFonts w:ascii="Arial" w:hAnsi="Arial" w:cs="Arial"/>
        </w:rPr>
        <w:t xml:space="preserve">Based on the investor disclosures by Tesla, regulatory incentives had a role to play in higher levels of global production that is, the utilization of strategies to grow gigafactories (Tesla Inc., 2024). This political alignment is increasing level of competitive advantage since Tesla can overcome the first-mover advantage in emerging EV markets. Besides, Sovacool et al. (2021) state that the policy-based </w:t>
      </w:r>
      <w:r w:rsidRPr="00083A53">
        <w:rPr>
          <w:rFonts w:ascii="Arial" w:hAnsi="Arial" w:cs="Arial"/>
        </w:rPr>
        <w:lastRenderedPageBreak/>
        <w:t>ecosystems of innovation will favor established companies that have an advanced technological foundation.</w:t>
      </w:r>
    </w:p>
    <w:p w:rsidR="00E45667" w:rsidP="00F433AF" w:rsidRDefault="00E45667" w14:paraId="3572B118" w14:textId="70742EBC">
      <w:pPr>
        <w:pStyle w:val="NormalWeb"/>
        <w:rPr>
          <w:rFonts w:ascii="Arial" w:hAnsi="Arial" w:cs="Arial"/>
        </w:rPr>
      </w:pPr>
      <w:r>
        <w:rPr>
          <w:rFonts w:ascii="Arial" w:hAnsi="Arial" w:cs="Arial"/>
          <w:noProof/>
          <w14:ligatures w14:val="standardContextual"/>
        </w:rPr>
        <w:drawing>
          <wp:inline distT="0" distB="0" distL="0" distR="0" wp14:anchorId="3431D0BE" wp14:editId="07044225">
            <wp:extent cx="5731510" cy="3282950"/>
            <wp:effectExtent l="63500" t="63500" r="123190" b="133350"/>
            <wp:docPr id="1666324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24378" name="Picture 1666324378"/>
                    <pic:cNvPicPr/>
                  </pic:nvPicPr>
                  <pic:blipFill>
                    <a:blip r:embed="rId9">
                      <a:extLst>
                        <a:ext uri="{28A0092B-C50C-407E-A947-70E740481C1C}">
                          <a14:useLocalDpi xmlns:a14="http://schemas.microsoft.com/office/drawing/2010/main" val="0"/>
                        </a:ext>
                      </a:extLst>
                    </a:blip>
                    <a:stretch>
                      <a:fillRect/>
                    </a:stretch>
                  </pic:blipFill>
                  <pic:spPr>
                    <a:xfrm>
                      <a:off x="0" y="0"/>
                      <a:ext cx="5731510" cy="3282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9C2267" w:rsidR="00E45667" w:rsidP="00E45667" w:rsidRDefault="00E45667" w14:paraId="2D8DF74E" w14:textId="0DF4D0EB">
      <w:pPr>
        <w:pStyle w:val="NormalWeb"/>
        <w:spacing w:line="276" w:lineRule="auto"/>
        <w:jc w:val="center"/>
        <w:rPr>
          <w:rFonts w:ascii="Arial" w:hAnsi="Arial" w:cs="Arial"/>
          <w:b/>
          <w:bCs/>
          <w:i/>
          <w:iCs/>
        </w:rPr>
      </w:pPr>
      <w:r w:rsidRPr="009C2267">
        <w:rPr>
          <w:rFonts w:ascii="Arial" w:hAnsi="Arial" w:cs="Arial"/>
          <w:b/>
          <w:bCs/>
          <w:i/>
          <w:iCs/>
        </w:rPr>
        <w:t>Figure</w:t>
      </w:r>
      <w:r w:rsidR="003605D1">
        <w:rPr>
          <w:rFonts w:ascii="Arial" w:hAnsi="Arial" w:cs="Arial"/>
          <w:b/>
          <w:bCs/>
          <w:i/>
          <w:iCs/>
        </w:rPr>
        <w:t xml:space="preserve"> </w:t>
      </w:r>
      <w:r w:rsidRPr="009C2267">
        <w:rPr>
          <w:rFonts w:ascii="Arial" w:hAnsi="Arial" w:cs="Arial"/>
          <w:b/>
          <w:bCs/>
          <w:i/>
          <w:iCs/>
        </w:rPr>
        <w:t>1: Comparison of Sales of Tesla and BYD</w:t>
      </w:r>
    </w:p>
    <w:p w:rsidRPr="003605D1" w:rsidR="00E45667" w:rsidP="00E45667" w:rsidRDefault="00E45667" w14:paraId="1E0E9731" w14:textId="014FA3E6">
      <w:pPr>
        <w:pStyle w:val="NormalWeb"/>
        <w:spacing w:line="276" w:lineRule="auto"/>
        <w:jc w:val="center"/>
        <w:rPr>
          <w:rFonts w:ascii="Arial" w:hAnsi="Arial" w:cs="Arial"/>
        </w:rPr>
      </w:pPr>
      <w:r w:rsidRPr="003605D1">
        <w:rPr>
          <w:rFonts w:ascii="Arial" w:hAnsi="Arial" w:cs="Arial"/>
        </w:rPr>
        <w:t>(Source</w:t>
      </w:r>
      <w:r w:rsidR="003605D1">
        <w:rPr>
          <w:rFonts w:ascii="Arial" w:hAnsi="Arial" w:cs="Arial"/>
        </w:rPr>
        <w:t xml:space="preserve">: </w:t>
      </w:r>
      <w:r w:rsidRPr="003605D1">
        <w:rPr>
          <w:rFonts w:ascii="Arial" w:hAnsi="Arial" w:cs="Arial"/>
        </w:rPr>
        <w:t>Carson, 2024)</w:t>
      </w:r>
    </w:p>
    <w:p w:rsidRPr="00083A53" w:rsidR="00FB3E7A" w:rsidP="00E45667" w:rsidRDefault="00E45667" w14:paraId="63C8DF1A" w14:textId="535E2E02">
      <w:pPr>
        <w:spacing w:before="100" w:beforeAutospacing="1" w:after="100" w:afterAutospacing="1"/>
        <w:rPr>
          <w:rFonts w:cs="Arial"/>
        </w:rPr>
      </w:pPr>
      <w:r w:rsidRPr="00E45667">
        <w:rPr>
          <w:rFonts w:ascii="Calibri" w:hAnsi="Calibri" w:eastAsia="Times New Roman" w:cs="Calibri"/>
          <w:color w:val="000000"/>
          <w:kern w:val="0"/>
          <w:sz w:val="27"/>
          <w:szCs w:val="27"/>
          <w:lang w:val="en-IN" w:eastAsia="en-GB"/>
          <w14:ligatures w14:val="none"/>
        </w:rPr>
        <w:t>‌</w:t>
      </w:r>
      <w:r w:rsidRPr="001F37CC" w:rsidR="001F37CC">
        <w:rPr>
          <w:rFonts w:cs="Arial"/>
        </w:rPr>
        <w:t>Political incentives create both opportunities and constraints that directly shape Tesla’s competitive advantage in the global EV market.</w:t>
      </w:r>
      <w:r w:rsidR="001F37CC">
        <w:rPr>
          <w:rFonts w:cs="Arial"/>
        </w:rPr>
        <w:t xml:space="preserve"> </w:t>
      </w:r>
      <w:r w:rsidRPr="001F37CC" w:rsidR="00FB3E7A">
        <w:rPr>
          <w:rFonts w:cs="Arial"/>
        </w:rPr>
        <w:t>Pricing strategies and cost structures may be interfered by the subsidies decrease or, even, geopolitical trade tensions. Wolfram and Lutsey (2022) observe that such a policy can be very volatile, which can significantly affect the profitability of a capital-intensive industry, such as EV manufacturing.</w:t>
      </w:r>
    </w:p>
    <w:p w:rsidRPr="00083A53" w:rsidR="00FB3E7A" w:rsidP="00F433AF" w:rsidRDefault="00FB3E7A" w14:paraId="2C23D2D8" w14:textId="77777777">
      <w:pPr>
        <w:pStyle w:val="Heading3"/>
        <w:rPr>
          <w:rFonts w:cs="Arial"/>
          <w:sz w:val="24"/>
          <w:szCs w:val="24"/>
        </w:rPr>
      </w:pPr>
      <w:bookmarkStart w:name="_Toc225281909" w:id="6"/>
      <w:r w:rsidRPr="00083A53">
        <w:rPr>
          <w:rFonts w:cs="Arial"/>
          <w:sz w:val="24"/>
          <w:szCs w:val="24"/>
        </w:rPr>
        <w:t>2.2.2 Impact on Follower Organisation (BYD)</w:t>
      </w:r>
      <w:bookmarkEnd w:id="6"/>
    </w:p>
    <w:p w:rsidRPr="00083A53" w:rsidR="00FB3E7A" w:rsidP="00F433AF" w:rsidRDefault="00FB3E7A" w14:paraId="755C7F9C" w14:textId="77777777">
      <w:pPr>
        <w:pStyle w:val="NormalWeb"/>
        <w:rPr>
          <w:rFonts w:ascii="Arial" w:hAnsi="Arial" w:cs="Arial"/>
        </w:rPr>
      </w:pPr>
      <w:r w:rsidRPr="00083A53">
        <w:rPr>
          <w:rFonts w:ascii="Arial" w:hAnsi="Arial" w:cs="Arial"/>
        </w:rPr>
        <w:t xml:space="preserve">The political factors in the case of BYD are the enabling conditions as well as a strategic weakness. With a great deal of state assistance, the Chinese have been able to build the capacity to produce on large scale and enter the domestic market so rapidly. The data reflect the strength of the sufficiently fitting industrial policy </w:t>
      </w:r>
      <w:r w:rsidRPr="00083A53">
        <w:rPr>
          <w:rFonts w:ascii="Arial" w:hAnsi="Arial" w:cs="Arial"/>
        </w:rPr>
        <w:lastRenderedPageBreak/>
        <w:t>frameworks because the International Energy Agency (2023) argued that China alone sold nearly 60 percent of EVs in the world over the last few years.</w:t>
      </w:r>
    </w:p>
    <w:p w:rsidRPr="00083A53" w:rsidR="00FB3E7A" w:rsidP="00F433AF" w:rsidRDefault="00FB3E7A" w14:paraId="78986706" w14:textId="416A56BE">
      <w:pPr>
        <w:pStyle w:val="NormalWeb"/>
        <w:rPr>
          <w:rFonts w:ascii="Arial" w:hAnsi="Arial" w:cs="Arial"/>
        </w:rPr>
      </w:pPr>
      <w:r w:rsidRPr="00083A53">
        <w:rPr>
          <w:rFonts w:ascii="Arial" w:hAnsi="Arial" w:cs="Arial"/>
        </w:rPr>
        <w:t>The cost leadership strategy of BYD is also strongly related to the development of the infrastructure and supply chain integration which is backed by the government. After examining the case of the Chinese EV makers, Deloitte (2024) highlights that due to the government incentives, the Chinese makers can afford to make profound cost savings in comparison to the partners abroad. This enhances the competitive position of BYD in the large-scale markets</w:t>
      </w:r>
      <w:r w:rsidR="00866F9D">
        <w:rPr>
          <w:rFonts w:ascii="Arial" w:hAnsi="Arial" w:cs="Arial"/>
        </w:rPr>
        <w:t>.</w:t>
      </w:r>
    </w:p>
    <w:p w:rsidRPr="00083A53" w:rsidR="00FB3E7A" w:rsidP="00CF1D64" w:rsidRDefault="004135F3" w14:paraId="0B2B37EC" w14:textId="12F21FF8">
      <w:pPr>
        <w:pStyle w:val="NormalWeb"/>
        <w:rPr>
          <w:rFonts w:ascii="Arial" w:hAnsi="Arial" w:cs="Arial"/>
        </w:rPr>
      </w:pPr>
      <w:r>
        <w:rPr>
          <w:rFonts w:ascii="Arial" w:hAnsi="Arial" w:cs="Arial"/>
        </w:rPr>
        <w:t>The market position and</w:t>
      </w:r>
      <w:r w:rsidRPr="00083A53" w:rsidR="00FB3E7A">
        <w:rPr>
          <w:rFonts w:ascii="Arial" w:hAnsi="Arial" w:cs="Arial"/>
        </w:rPr>
        <w:t xml:space="preserve"> global expansion of BYD can be suppressed by relying on the domestic political systems</w:t>
      </w:r>
      <w:r w:rsidR="009F131B">
        <w:rPr>
          <w:rFonts w:ascii="Arial" w:hAnsi="Arial" w:cs="Arial"/>
        </w:rPr>
        <w:t xml:space="preserve"> (refer to Figure-1)</w:t>
      </w:r>
      <w:r w:rsidRPr="00083A53" w:rsidR="00FB3E7A">
        <w:rPr>
          <w:rFonts w:ascii="Arial" w:hAnsi="Arial" w:cs="Arial"/>
        </w:rPr>
        <w:t xml:space="preserve">. Contact with international markets has almost brought up the barriers to inter-trade and policy diversification that raises a question on strategic expansion in the long run. According to Ajanovic and Haas (2020), the fact that policies vary across different territories is one of the biggest impediments to the uniform adoption of EV. </w:t>
      </w:r>
    </w:p>
    <w:p w:rsidRPr="00083A53" w:rsidR="00FB3E7A" w:rsidP="00CF1D64" w:rsidRDefault="00FB3E7A" w14:paraId="140D10C9" w14:textId="77777777">
      <w:pPr>
        <w:pStyle w:val="Heading2"/>
        <w:rPr>
          <w:rFonts w:cs="Arial"/>
        </w:rPr>
      </w:pPr>
      <w:bookmarkStart w:name="_Toc225281910" w:id="7"/>
      <w:r w:rsidRPr="00083A53">
        <w:rPr>
          <w:rFonts w:cs="Arial"/>
        </w:rPr>
        <w:t>2.3 Analysis of Macro Factor 2: Technological</w:t>
      </w:r>
      <w:bookmarkEnd w:id="7"/>
    </w:p>
    <w:p w:rsidRPr="00083A53" w:rsidR="00FB3E7A" w:rsidP="00F433AF" w:rsidRDefault="00FB3E7A" w14:paraId="54499D66" w14:textId="77777777">
      <w:pPr>
        <w:pStyle w:val="Heading3"/>
        <w:rPr>
          <w:rFonts w:cs="Arial"/>
          <w:sz w:val="24"/>
          <w:szCs w:val="24"/>
        </w:rPr>
      </w:pPr>
      <w:bookmarkStart w:name="_Toc225281911" w:id="8"/>
      <w:r w:rsidRPr="00083A53">
        <w:rPr>
          <w:rFonts w:cs="Arial"/>
          <w:sz w:val="24"/>
          <w:szCs w:val="24"/>
        </w:rPr>
        <w:t>2.3.1 Impact on Pioneer Organisation (Tesla)</w:t>
      </w:r>
      <w:bookmarkEnd w:id="8"/>
    </w:p>
    <w:p w:rsidRPr="00083A53" w:rsidR="00FB3E7A" w:rsidP="00F433AF" w:rsidRDefault="00FB3E7A" w14:paraId="27283C9B" w14:textId="3E15DA63">
      <w:pPr>
        <w:pStyle w:val="NormalWeb"/>
        <w:rPr>
          <w:rFonts w:ascii="Arial" w:hAnsi="Arial" w:cs="Arial"/>
        </w:rPr>
      </w:pPr>
      <w:r w:rsidRPr="00083A53">
        <w:rPr>
          <w:rFonts w:ascii="Arial" w:hAnsi="Arial" w:cs="Arial"/>
        </w:rPr>
        <w:t xml:space="preserve">One of the key </w:t>
      </w:r>
      <w:r w:rsidR="00455948">
        <w:rPr>
          <w:rFonts w:ascii="Arial" w:hAnsi="Arial" w:cs="Arial"/>
        </w:rPr>
        <w:t>opportunities</w:t>
      </w:r>
      <w:r w:rsidRPr="00083A53">
        <w:rPr>
          <w:rFonts w:ascii="Arial" w:hAnsi="Arial" w:cs="Arial"/>
        </w:rPr>
        <w:t xml:space="preserve"> of Tesla is technological innovation since it integrates its differentiation strategy and leadership in innovation. Tesla is able to occupy the luxury positioning with innovations in battery capacity, self-driving, and programming. According to Li et al. (2021), technological superiority can be regarded as one of the key factors of the ongoing competitive advantage of new industries.</w:t>
      </w:r>
    </w:p>
    <w:p w:rsidR="00FB3E7A" w:rsidP="00F433AF" w:rsidRDefault="00FB3E7A" w14:paraId="4DA9C506" w14:textId="77777777">
      <w:pPr>
        <w:pStyle w:val="NormalWeb"/>
        <w:rPr>
          <w:rFonts w:ascii="Arial" w:hAnsi="Arial" w:cs="Arial"/>
        </w:rPr>
      </w:pPr>
      <w:r w:rsidRPr="00083A53">
        <w:rPr>
          <w:rFonts w:ascii="Arial" w:hAnsi="Arial" w:cs="Arial"/>
        </w:rPr>
        <w:t>As per industry statistics, the price of batteries has dropped at a rate of about 90 percent over the past decade, allowing a greater number of individuals to afford them, strengthening Tesla’s cost-performance product (International Energy Agency, 2024). Tesla’s innovation ecosystem is vertically integrated which not only facilitates operations but also enhances brand perception as a technological pioneer. It is this innovation leadership that enables high pricing policies and customer retention.</w:t>
      </w:r>
    </w:p>
    <w:p w:rsidR="00976CCB" w:rsidP="00976CCB" w:rsidRDefault="00976CCB" w14:paraId="46996800" w14:textId="35179F5C">
      <w:pPr>
        <w:pStyle w:val="NormalWeb"/>
        <w:jc w:val="center"/>
      </w:pPr>
      <w:r>
        <w:lastRenderedPageBreak/>
        <w:fldChar w:fldCharType="begin"/>
      </w:r>
      <w:r>
        <w:instrText xml:space="preserve"> INCLUDEPICTURE "https://evboosters.com/wp-content/uploads/2024/11/Top-EV-Automakers-Global-Sales-Rankings-Jan-May-2024--768x1024.webp" \* MERGEFORMATINET </w:instrText>
      </w:r>
      <w:r>
        <w:fldChar w:fldCharType="separate"/>
      </w:r>
      <w:r>
        <w:rPr>
          <w:noProof/>
        </w:rPr>
        <w:drawing>
          <wp:inline distT="0" distB="0" distL="0" distR="0" wp14:anchorId="249DE73A" wp14:editId="5DB5FDE1">
            <wp:extent cx="5384165" cy="6074155"/>
            <wp:effectExtent l="76200" t="76200" r="140335" b="136525"/>
            <wp:docPr id="1903529068" name="Picture 2" descr="BYD and Tesla lead the global EV market as sales surge in 2024 | EVBo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YD and Tesla lead the global EV market as sales surge in 2024 | EVBoos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3775" cy="60962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fldChar w:fldCharType="end"/>
      </w:r>
    </w:p>
    <w:p w:rsidRPr="009C2267" w:rsidR="00976CCB" w:rsidP="00976CCB" w:rsidRDefault="00976CCB" w14:paraId="1D8BFE6E" w14:textId="070B29CB">
      <w:pPr>
        <w:pStyle w:val="NormalWeb"/>
        <w:spacing w:line="276" w:lineRule="auto"/>
        <w:jc w:val="center"/>
        <w:rPr>
          <w:rFonts w:ascii="Arial" w:hAnsi="Arial" w:cs="Arial"/>
          <w:b/>
          <w:bCs/>
          <w:i/>
          <w:iCs/>
        </w:rPr>
      </w:pPr>
      <w:r w:rsidRPr="009C2267">
        <w:rPr>
          <w:rFonts w:ascii="Arial" w:hAnsi="Arial" w:cs="Arial"/>
          <w:b/>
          <w:bCs/>
          <w:i/>
          <w:iCs/>
        </w:rPr>
        <w:t>Figure-</w:t>
      </w:r>
      <w:r>
        <w:rPr>
          <w:rFonts w:ascii="Arial" w:hAnsi="Arial" w:cs="Arial"/>
          <w:b/>
          <w:bCs/>
          <w:i/>
          <w:iCs/>
        </w:rPr>
        <w:t>2</w:t>
      </w:r>
      <w:r w:rsidRPr="009C2267">
        <w:rPr>
          <w:rFonts w:ascii="Arial" w:hAnsi="Arial" w:cs="Arial"/>
          <w:b/>
          <w:bCs/>
          <w:i/>
          <w:iCs/>
        </w:rPr>
        <w:t xml:space="preserve">: </w:t>
      </w:r>
      <w:r>
        <w:rPr>
          <w:rFonts w:ascii="Arial" w:hAnsi="Arial" w:cs="Arial"/>
          <w:b/>
          <w:bCs/>
          <w:i/>
          <w:iCs/>
        </w:rPr>
        <w:t>Best Selling EV Automakers</w:t>
      </w:r>
    </w:p>
    <w:p w:rsidRPr="003605D1" w:rsidR="00976CCB" w:rsidP="00976CCB" w:rsidRDefault="00976CCB" w14:paraId="575A9098" w14:textId="25F6D348">
      <w:pPr>
        <w:pStyle w:val="NormalWeb"/>
        <w:spacing w:line="276" w:lineRule="auto"/>
        <w:jc w:val="center"/>
        <w:rPr>
          <w:rFonts w:ascii="Arial" w:hAnsi="Arial" w:cs="Arial"/>
        </w:rPr>
      </w:pPr>
      <w:r w:rsidRPr="003605D1">
        <w:rPr>
          <w:rFonts w:ascii="Arial" w:hAnsi="Arial" w:cs="Arial"/>
        </w:rPr>
        <w:t>(Source</w:t>
      </w:r>
      <w:r w:rsidR="003605D1">
        <w:rPr>
          <w:rFonts w:ascii="Arial" w:hAnsi="Arial" w:cs="Arial"/>
        </w:rPr>
        <w:t xml:space="preserve">: </w:t>
      </w:r>
      <w:r w:rsidRPr="003605D1">
        <w:rPr>
          <w:rFonts w:ascii="Arial" w:hAnsi="Arial" w:cs="Arial"/>
        </w:rPr>
        <w:t>EVBoosters, 2024)</w:t>
      </w:r>
    </w:p>
    <w:p w:rsidRPr="00083A53" w:rsidR="00FB3E7A" w:rsidP="00CF1D64" w:rsidRDefault="00455948" w14:paraId="4579DC4A" w14:textId="72EF9811">
      <w:pPr>
        <w:pStyle w:val="NormalWeb"/>
        <w:rPr>
          <w:rFonts w:ascii="Arial" w:hAnsi="Arial" w:cs="Arial"/>
        </w:rPr>
      </w:pPr>
      <w:r>
        <w:rPr>
          <w:rFonts w:ascii="Arial" w:hAnsi="Arial" w:cs="Arial"/>
        </w:rPr>
        <w:t xml:space="preserve">As per competitive advantage and its implication is concerned, </w:t>
      </w:r>
      <w:r w:rsidRPr="00083A53" w:rsidR="00FB3E7A">
        <w:rPr>
          <w:rFonts w:ascii="Arial" w:hAnsi="Arial" w:cs="Arial"/>
        </w:rPr>
        <w:t>continuous technological advancement requires massive investment and increases the financial risk level. Kumar et al. (2021) point out that rapid innovation cycles may provide additional uncertainty in terms of return on investment in new technology fields</w:t>
      </w:r>
      <w:r w:rsidR="009F131B">
        <w:rPr>
          <w:rFonts w:ascii="Arial" w:hAnsi="Arial" w:cs="Arial"/>
        </w:rPr>
        <w:t xml:space="preserve"> (refer to Figure-2)</w:t>
      </w:r>
      <w:r w:rsidRPr="00083A53" w:rsidR="00FB3E7A">
        <w:rPr>
          <w:rFonts w:ascii="Arial" w:hAnsi="Arial" w:cs="Arial"/>
        </w:rPr>
        <w:t>. However, Tesla has a strong research base and innovation culture that can assist the firm to survive these challenges with a long-term strategic edge.</w:t>
      </w:r>
    </w:p>
    <w:p w:rsidRPr="00083A53" w:rsidR="00FB3E7A" w:rsidP="00F433AF" w:rsidRDefault="00FB3E7A" w14:paraId="6F04E2F0" w14:textId="77777777">
      <w:pPr>
        <w:pStyle w:val="Heading3"/>
        <w:rPr>
          <w:rFonts w:cs="Arial"/>
          <w:sz w:val="24"/>
          <w:szCs w:val="24"/>
        </w:rPr>
      </w:pPr>
      <w:bookmarkStart w:name="_Toc225281912" w:id="9"/>
      <w:r w:rsidRPr="00083A53">
        <w:rPr>
          <w:rFonts w:cs="Arial"/>
          <w:sz w:val="24"/>
          <w:szCs w:val="24"/>
        </w:rPr>
        <w:lastRenderedPageBreak/>
        <w:t>2.3.2 Impact on Follower Organisation (BYD)</w:t>
      </w:r>
      <w:bookmarkEnd w:id="9"/>
    </w:p>
    <w:p w:rsidRPr="00083A53" w:rsidR="00FB3E7A" w:rsidP="00F433AF" w:rsidRDefault="00FB3E7A" w14:paraId="29830C26" w14:textId="77777777">
      <w:pPr>
        <w:pStyle w:val="NormalWeb"/>
        <w:rPr>
          <w:rFonts w:ascii="Arial" w:hAnsi="Arial" w:cs="Arial"/>
        </w:rPr>
      </w:pPr>
      <w:r w:rsidRPr="00083A53">
        <w:rPr>
          <w:rFonts w:ascii="Arial" w:hAnsi="Arial" w:cs="Arial"/>
        </w:rPr>
        <w:t>Technology primarily influences cost efficiency and scalability of production in the case of BYD rather than innovation differentiation. The integrated nature of battery production has enabled the company to realise cost savings that have strengthened competitiveness in price-sensitive markets. Statista (2025) indicates that affordable EV models are increasingly demanded in emerging economies, which explains BYD’s focus on mass-market accessibility.</w:t>
      </w:r>
    </w:p>
    <w:p w:rsidR="00866F9D" w:rsidP="00F433AF" w:rsidRDefault="00FB3E7A" w14:paraId="3C27E35B" w14:textId="77777777">
      <w:pPr>
        <w:pStyle w:val="NormalWeb"/>
        <w:rPr>
          <w:rFonts w:ascii="Arial" w:hAnsi="Arial" w:cs="Arial"/>
        </w:rPr>
      </w:pPr>
      <w:r w:rsidRPr="00083A53">
        <w:rPr>
          <w:rFonts w:ascii="Arial" w:hAnsi="Arial" w:cs="Arial"/>
        </w:rPr>
        <w:t>BYD’s technological strategy represents an adaptive follower innovation approach rather than radical technological disruption. Sovacool et al. (2021) state that technological diffusion may be leveraged by follower firms as it reduces research risks while enabling exploitation of existing industry standards. This strategic orientation strengthens BYD’s competitive positioning in high-volume market segments.</w:t>
      </w:r>
    </w:p>
    <w:p w:rsidRPr="00866F9D" w:rsidR="00F4799C" w:rsidP="00F433AF" w:rsidRDefault="00455948" w14:paraId="7BCB1B47" w14:textId="525C5B50">
      <w:pPr>
        <w:pStyle w:val="NormalWeb"/>
        <w:rPr>
          <w:rFonts w:ascii="Arial" w:hAnsi="Arial" w:cs="Arial"/>
        </w:rPr>
      </w:pPr>
      <w:r>
        <w:rPr>
          <w:rFonts w:ascii="Arial" w:hAnsi="Arial" w:cs="Arial"/>
        </w:rPr>
        <w:t>In terms of market position,</w:t>
      </w:r>
      <w:r w:rsidRPr="00083A53" w:rsidR="00FB3E7A">
        <w:rPr>
          <w:rFonts w:ascii="Arial" w:hAnsi="Arial" w:cs="Arial"/>
        </w:rPr>
        <w:t xml:space="preserve"> dependence on existing innovation trajectories may constrain long-term brand differentiation. According to Wolfram and Lutsey (2022), technological leadership remains a key determinant of profitability in the EV market. Therefore, although the cost-driven technological approach adopted by BYD supports short-term market expansion, it may limit the company’s ability to emerge as a premium global brand comparable to pioneering innovators.</w:t>
      </w:r>
    </w:p>
    <w:p w:rsidRPr="00083A53" w:rsidR="00FB3E7A" w:rsidP="00CF1D64" w:rsidRDefault="00FB3E7A" w14:paraId="338D1F0C" w14:textId="77777777">
      <w:pPr>
        <w:pStyle w:val="Heading1"/>
        <w:rPr>
          <w:rFonts w:cs="Arial"/>
        </w:rPr>
      </w:pPr>
      <w:bookmarkStart w:name="_Toc225281913" w:id="10"/>
      <w:r w:rsidRPr="00083A53">
        <w:rPr>
          <w:rFonts w:cs="Arial"/>
        </w:rPr>
        <w:t>3. Task 2: Strategic Responses of Pioneering and Follower Organisations</w:t>
      </w:r>
      <w:bookmarkEnd w:id="10"/>
    </w:p>
    <w:p w:rsidRPr="00455948" w:rsidR="00455948" w:rsidP="00455948" w:rsidRDefault="00FB3E7A" w14:paraId="33A0D572" w14:textId="7EFAEF0D">
      <w:pPr>
        <w:pStyle w:val="Heading2"/>
        <w:rPr>
          <w:rFonts w:cs="Arial"/>
        </w:rPr>
      </w:pPr>
      <w:bookmarkStart w:name="_Toc225281914" w:id="11"/>
      <w:r w:rsidRPr="00083A53">
        <w:rPr>
          <w:rFonts w:cs="Arial"/>
        </w:rPr>
        <w:t>3.1 Strategic Responses of the Pioneering Organisation (Tesla)</w:t>
      </w:r>
      <w:bookmarkEnd w:id="11"/>
    </w:p>
    <w:p w:rsidR="00455948" w:rsidP="00455948" w:rsidRDefault="00455948" w14:paraId="3B573134" w14:textId="73C8D30B">
      <w:r>
        <w:t xml:space="preserve">The strategic reaction of Tesla to the external issues and opportunities is the proactive, innovation-focused orientation that would allow the company to remain on the top of the quickly changing industry of the electric cars (EV). Favourable regulatory systems, sustainability forces, and increasing consumer demands of low-emission transport opportunities have been exploited by the organisation through accelerated market growth and enhanced brand awareness. Hardman et al. (2021) show that market with subsidies increase first-mover advantages as it initiates demand, which Tesla has employed strategically as a first-mover by early investment in large-scale production facilities like gigafactories. Such correspondence to regulatory incentives helps Tesla </w:t>
      </w:r>
      <w:r>
        <w:lastRenderedPageBreak/>
        <w:t>increase the production volume and consolidate the competitive position. Nonetheless, policy-driven demand also presents the company with geopolitical risks and regulations that may affect the pricing structure and profitability over the long term in capital-intensive business sectors like EV production, as Wolfram and Lutsey (2022) mention.</w:t>
      </w:r>
      <w:r w:rsidR="00866F9D">
        <w:t xml:space="preserve"> </w:t>
      </w:r>
      <w:r w:rsidRPr="006B2B91" w:rsidR="006B2B91">
        <w:t xml:space="preserve">A strategic issue that Tesla faces as well as an opportunity is technological disruption. The vertically integrated business approach of innovation which encompasses battery technology has helped it to remain in a position of premium market being in a tougher competition. </w:t>
      </w:r>
      <w:r>
        <w:t xml:space="preserve">The International Energy Agency (2024) notes that lowering battery prices have only increased the uptake of EVs in the market through the world, allowing Tesla to provide a greater perceived value to the consumer and remain differentiated. </w:t>
      </w:r>
    </w:p>
    <w:p w:rsidR="00455948" w:rsidP="00455948" w:rsidRDefault="00455948" w14:paraId="1B07600D" w14:textId="1C06C49F">
      <w:r>
        <w:t xml:space="preserve">To critically examine the positioning strategy of Tesla, this section utilises the </w:t>
      </w:r>
      <w:r w:rsidR="00F0161A">
        <w:t>Porter Generic</w:t>
      </w:r>
      <w:r w:rsidR="009A69AF">
        <w:t xml:space="preserve"> Strategies Model</w:t>
      </w:r>
      <w:r>
        <w:t xml:space="preserve"> which is especially relevant in the issue of developing a competitive advantage by the firm based on cost leadership or differentiation. This model suits well in the EV because technological innovation, brand positioning and cost structures are the key determinants of competition in the industry as opposed to the growth direction</w:t>
      </w:r>
      <w:r w:rsidR="00073DCC">
        <w:t xml:space="preserve"> (Wolfram and Lutsey, 2022)</w:t>
      </w:r>
      <w:r>
        <w:t>. The framework by Porter gives theoretical explanation as to how organisations that pioneer create sustainable competitive advantage through seeking unique value propositions. The differentiation strategy is provided by the fact that Tesla focuses more on technological leadership, elite branding, and ecosystem integration, which allow the company to set higher margins and customer retention.</w:t>
      </w:r>
    </w:p>
    <w:p w:rsidR="009A69AF" w:rsidP="009A69AF" w:rsidRDefault="009A69AF" w14:paraId="201C985B" w14:textId="77777777">
      <w:pPr>
        <w:jc w:val="center"/>
      </w:pPr>
      <w:r>
        <w:rPr>
          <w:noProof/>
        </w:rPr>
        <w:lastRenderedPageBreak/>
        <w:drawing>
          <wp:inline distT="0" distB="0" distL="0" distR="0" wp14:anchorId="2C95A25E" wp14:editId="4712F440">
            <wp:extent cx="5435600" cy="3492500"/>
            <wp:effectExtent l="63500" t="63500" r="127000" b="127000"/>
            <wp:docPr id="17751303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130325" name="Picture 1775130325"/>
                    <pic:cNvPicPr/>
                  </pic:nvPicPr>
                  <pic:blipFill>
                    <a:blip r:embed="rId11">
                      <a:extLst>
                        <a:ext uri="{28A0092B-C50C-407E-A947-70E740481C1C}">
                          <a14:useLocalDpi xmlns:a14="http://schemas.microsoft.com/office/drawing/2010/main" val="0"/>
                        </a:ext>
                      </a:extLst>
                    </a:blip>
                    <a:stretch>
                      <a:fillRect/>
                    </a:stretch>
                  </pic:blipFill>
                  <pic:spPr>
                    <a:xfrm>
                      <a:off x="0" y="0"/>
                      <a:ext cx="5435600" cy="3492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9A69AF" w:rsidR="009A69AF" w:rsidP="009A69AF" w:rsidRDefault="009A69AF" w14:paraId="2B393F75" w14:textId="23AF825D">
      <w:pPr>
        <w:jc w:val="center"/>
        <w:rPr>
          <w:b/>
          <w:bCs/>
          <w:i/>
          <w:iCs/>
        </w:rPr>
      </w:pPr>
      <w:r w:rsidRPr="009A69AF">
        <w:rPr>
          <w:b/>
          <w:bCs/>
          <w:i/>
          <w:iCs/>
        </w:rPr>
        <w:t>Figure-</w:t>
      </w:r>
      <w:r w:rsidR="009F131B">
        <w:rPr>
          <w:b/>
          <w:bCs/>
          <w:i/>
          <w:iCs/>
        </w:rPr>
        <w:t>3</w:t>
      </w:r>
      <w:r w:rsidRPr="009A69AF">
        <w:rPr>
          <w:b/>
          <w:bCs/>
          <w:i/>
          <w:iCs/>
        </w:rPr>
        <w:t>: Porter Generic Strategies Model</w:t>
      </w:r>
    </w:p>
    <w:p w:rsidRPr="00073DCC" w:rsidR="009A69AF" w:rsidP="009A69AF" w:rsidRDefault="009A69AF" w14:paraId="14663342" w14:textId="5880F165">
      <w:pPr>
        <w:jc w:val="center"/>
      </w:pPr>
      <w:r w:rsidRPr="00073DCC">
        <w:t>(Source</w:t>
      </w:r>
      <w:r w:rsidR="003605D1">
        <w:t xml:space="preserve">: </w:t>
      </w:r>
      <w:r w:rsidRPr="00073DCC">
        <w:t>Self-made</w:t>
      </w:r>
      <w:r w:rsidRPr="00073DCC" w:rsidR="00073DCC">
        <w:t>; idea from Wolfram and Lutsey</w:t>
      </w:r>
      <w:r w:rsidR="003605D1">
        <w:t xml:space="preserve">, </w:t>
      </w:r>
      <w:r w:rsidRPr="00073DCC" w:rsidR="00073DCC">
        <w:t xml:space="preserve">2022) </w:t>
      </w:r>
    </w:p>
    <w:p w:rsidR="00455948" w:rsidP="00455948" w:rsidRDefault="00455948" w14:paraId="04FC8321" w14:textId="77777777"/>
    <w:p w:rsidRPr="00455948" w:rsidR="00455948" w:rsidP="00455948" w:rsidRDefault="00455948" w14:paraId="73B23C7A" w14:textId="1DF6A517">
      <w:r>
        <w:t xml:space="preserve">In this context, the strategic orientation of Tesla indicates how differentiation may lead to the long-term competitive advantage in the case of innovation-oriented industries. </w:t>
      </w:r>
      <w:r w:rsidRPr="006B2B91" w:rsidR="006B2B91">
        <w:t>Li et al. (2021) also claim that one of the key predictors of long-term competitiveness in new mobility market is related to technological leadership, particularly where the innovation in the products can exert an influence on the behaviors of consumers towards the product adoption</w:t>
      </w:r>
      <w:r w:rsidR="00E94F4A">
        <w:t xml:space="preserve"> (</w:t>
      </w:r>
      <w:r w:rsidRPr="004E3CD0" w:rsidR="00E94F4A">
        <w:rPr>
          <w:rFonts w:cs="Times New Roman"/>
        </w:rPr>
        <w:t>Kalogiannidis</w:t>
      </w:r>
      <w:r w:rsidR="00E94F4A">
        <w:rPr>
          <w:rFonts w:cs="Times New Roman"/>
        </w:rPr>
        <w:t>, 2021)</w:t>
      </w:r>
      <w:r w:rsidRPr="006B2B91" w:rsidR="006B2B91">
        <w:t xml:space="preserve">. This position is also supported by the examples in the industry where Tesla advances in battery efficiency, over the air software updates and autonomous driving features are redefining the standards of performance within the EV industry. </w:t>
      </w:r>
      <w:r>
        <w:t xml:space="preserve">According to Ajanovic and Haas (2020), those organisations that incorporate sustainability of the environment with technological differentiation are better equipped to fight through the transition in the industry. </w:t>
      </w:r>
    </w:p>
    <w:p w:rsidRPr="009A69AF" w:rsidR="009A69AF" w:rsidP="009A69AF" w:rsidRDefault="00FB3E7A" w14:paraId="38AA8B3C" w14:textId="6F7EE116">
      <w:pPr>
        <w:pStyle w:val="Heading2"/>
        <w:rPr>
          <w:rFonts w:cs="Arial"/>
          <w:szCs w:val="24"/>
        </w:rPr>
      </w:pPr>
      <w:bookmarkStart w:name="_Toc225281915" w:id="12"/>
      <w:r w:rsidRPr="00083A53">
        <w:rPr>
          <w:rFonts w:cs="Arial"/>
          <w:szCs w:val="24"/>
        </w:rPr>
        <w:t>3.2 Strategic Responses of the Follower Organisation (BYD)</w:t>
      </w:r>
      <w:bookmarkEnd w:id="12"/>
    </w:p>
    <w:p w:rsidR="009A69AF" w:rsidP="009A69AF" w:rsidRDefault="009A69AF" w14:paraId="01AC3C31" w14:textId="4DA1525C">
      <w:r>
        <w:t>The adaptive and cost-focused nature of the strategic response to the external environment by BYD means that the company can remain competitive in the highly growing electric vehicle (EV) market</w:t>
      </w:r>
      <w:r w:rsidR="00E94F4A">
        <w:t xml:space="preserve"> (Setyowati et al. 2021)</w:t>
      </w:r>
      <w:r>
        <w:t xml:space="preserve">. Being a follower </w:t>
      </w:r>
      <w:r>
        <w:lastRenderedPageBreak/>
        <w:t>organisation, BYD has taken advantage of the favourable domestic industrial policies, government incentives and infrastructure investments in the country to increase the production capacity and faster market penetration. International Energy Agency (2023) notes that the high policy backing in China has greatly contributed to the adoption of EVs as companies like BYD have been able to achieve a large market share in the domestic and emerging markets. This policy fit gives BYD scale benefits and demand predictability, but reliance on local politics leaves the company vulnerable to possible geopolitical and trade barriers potentially limiting international growth.</w:t>
      </w:r>
    </w:p>
    <w:p w:rsidR="009764F0" w:rsidP="009A69AF" w:rsidRDefault="009764F0" w14:paraId="0325958F" w14:textId="1C1F2D0C">
      <w:r>
        <w:rPr>
          <w:noProof/>
        </w:rPr>
        <w:drawing>
          <wp:inline distT="0" distB="0" distL="0" distR="0" wp14:anchorId="730FEC2A" wp14:editId="02A4BCFF">
            <wp:extent cx="5731510" cy="3478530"/>
            <wp:effectExtent l="63500" t="63500" r="123190" b="128270"/>
            <wp:docPr id="1143551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5178" name="Picture 114355178"/>
                    <pic:cNvPicPr/>
                  </pic:nvPicPr>
                  <pic:blipFill>
                    <a:blip r:embed="rId12">
                      <a:extLst>
                        <a:ext uri="{28A0092B-C50C-407E-A947-70E740481C1C}">
                          <a14:useLocalDpi xmlns:a14="http://schemas.microsoft.com/office/drawing/2010/main" val="0"/>
                        </a:ext>
                      </a:extLst>
                    </a:blip>
                    <a:stretch>
                      <a:fillRect/>
                    </a:stretch>
                  </pic:blipFill>
                  <pic:spPr>
                    <a:xfrm>
                      <a:off x="0" y="0"/>
                      <a:ext cx="5731510" cy="3478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9A69AF" w:rsidR="009764F0" w:rsidP="009764F0" w:rsidRDefault="009764F0" w14:paraId="71F52256" w14:textId="17266DAB">
      <w:pPr>
        <w:jc w:val="center"/>
        <w:rPr>
          <w:b/>
          <w:bCs/>
          <w:i/>
          <w:iCs/>
        </w:rPr>
      </w:pPr>
      <w:r w:rsidRPr="009A69AF">
        <w:rPr>
          <w:b/>
          <w:bCs/>
          <w:i/>
          <w:iCs/>
        </w:rPr>
        <w:t>Figure</w:t>
      </w:r>
      <w:r w:rsidR="003605D1">
        <w:rPr>
          <w:b/>
          <w:bCs/>
          <w:i/>
          <w:iCs/>
        </w:rPr>
        <w:t xml:space="preserve"> </w:t>
      </w:r>
      <w:r w:rsidR="009F131B">
        <w:rPr>
          <w:b/>
          <w:bCs/>
          <w:i/>
          <w:iCs/>
        </w:rPr>
        <w:t>4</w:t>
      </w:r>
      <w:r w:rsidRPr="009A69AF">
        <w:rPr>
          <w:b/>
          <w:bCs/>
          <w:i/>
          <w:iCs/>
        </w:rPr>
        <w:t>: Porter Generic Strategies Model</w:t>
      </w:r>
    </w:p>
    <w:p w:rsidRPr="00073DCC" w:rsidR="009764F0" w:rsidP="009764F0" w:rsidRDefault="009764F0" w14:paraId="27F4B5F4" w14:textId="507EB01F">
      <w:pPr>
        <w:jc w:val="center"/>
      </w:pPr>
      <w:r w:rsidRPr="00073DCC">
        <w:t>(Source</w:t>
      </w:r>
      <w:r w:rsidR="003605D1">
        <w:t xml:space="preserve">: </w:t>
      </w:r>
      <w:r w:rsidRPr="00073DCC">
        <w:t>Self-made</w:t>
      </w:r>
      <w:r w:rsidRPr="00073DCC" w:rsidR="00073DCC">
        <w:t>; idea from Sovacool et al.</w:t>
      </w:r>
      <w:r w:rsidR="00073DCC">
        <w:t xml:space="preserve">, </w:t>
      </w:r>
      <w:r w:rsidRPr="00073DCC" w:rsidR="00073DCC">
        <w:t>2021</w:t>
      </w:r>
      <w:r w:rsidRPr="00073DCC">
        <w:t>)</w:t>
      </w:r>
    </w:p>
    <w:p w:rsidR="009A69AF" w:rsidP="009A69AF" w:rsidRDefault="009A69AF" w14:paraId="478DCA8A" w14:textId="77777777"/>
    <w:p w:rsidR="009A69AF" w:rsidP="009A69AF" w:rsidRDefault="009A69AF" w14:paraId="0258C437" w14:textId="1431A7B6">
      <w:r>
        <w:t xml:space="preserve">BYD strategic orientation is characterized by technological adaptation and not radical innovation. The company is also working on incremental technological changes especially in vertical integration in battery manufacturing and supply chain management that increases the efficiency of the working process and decreases the cost of production. According to Sovacool et al. (2021), technological diffusion can help firms of followers to capitalise on the current innovations in the industry at minimal risks of research and development. This strategy will enable BYD to provide affordable EVs in price-sensitive markets, where affordability is a major factor of adoption. </w:t>
      </w:r>
      <w:r>
        <w:lastRenderedPageBreak/>
        <w:t>Nevertheless, the cost-efficiency focus might restrain brand differentiation and profitability in the long term, especially as the technological leadership gradually becomes the source of value creation in the EV industry, as Wolfram and Lutsey (2022) remark.</w:t>
      </w:r>
    </w:p>
    <w:p w:rsidR="006B2B91" w:rsidP="009A69AF" w:rsidRDefault="006B2B91" w14:paraId="220F7767" w14:textId="6ECED4DB">
      <w:r w:rsidRPr="006B2B91">
        <w:t xml:space="preserve">In a critical review of the competitive positioning of BYD, this section will follow the Generic Strategies model developed by Porter that shows how organisations attain competitive advantage on the basis of their cost leadership, differentiation, or focused strategies. The model specifically applies to the EV industry because it is the capacity to compete in terms of technology, the price format and the strategic position rather than the direction of growth. The cost leadership strategy applies in this case of BYD because the company emphasizes the economies of scale, manufacturing efficiency and </w:t>
      </w:r>
      <w:r w:rsidRPr="006B2B91" w:rsidR="00530714">
        <w:t>cost-efficient</w:t>
      </w:r>
      <w:r w:rsidRPr="006B2B91">
        <w:t xml:space="preserve"> products, which enables the company to cover the mass-market segments and emerging economies. This is a strategic positioning when compared to the differentiation strategy of Tesla and shows how the follower firms could stay in the game by emphasizing on affordability and operational efficiency.</w:t>
      </w:r>
    </w:p>
    <w:p w:rsidRPr="009A69AF" w:rsidR="009A69AF" w:rsidP="009A69AF" w:rsidRDefault="009A69AF" w14:paraId="794E9F58" w14:textId="6F92000B">
      <w:r>
        <w:t>The examples in industry also depict the cost leadership orientation of BYD. According to Deloitte (2024), integrated EV manufacturing ecosystem in China has allowed the local manufacturers to attain high cost-reduction and scale efficiencies, which has enhanced the competitiveness of BYD at the global level. On the same note, Statista (2025) suggests that there is increased demand in affordable EV models in emerging markets, which supports the strategic orientation of BYD to price competitiveness. Although such a strategy helps to enter the market quickly and gain volume, the focus on cost advantage can limit brand reputation and technological superiority in the long-term</w:t>
      </w:r>
      <w:r w:rsidR="008C1AA0">
        <w:t xml:space="preserve"> as per Deloitte (2023) and </w:t>
      </w:r>
      <w:r w:rsidRPr="004E3CD0" w:rsidR="008C1AA0">
        <w:rPr>
          <w:rFonts w:cs="Times New Roman"/>
        </w:rPr>
        <w:t>Salamah</w:t>
      </w:r>
      <w:r w:rsidR="008C1AA0">
        <w:rPr>
          <w:rFonts w:cs="Times New Roman"/>
        </w:rPr>
        <w:t xml:space="preserve"> </w:t>
      </w:r>
      <w:r w:rsidRPr="004E3CD0" w:rsidR="008C1AA0">
        <w:rPr>
          <w:rFonts w:cs="Times New Roman"/>
        </w:rPr>
        <w:t>(2023).</w:t>
      </w:r>
      <w:r>
        <w:t xml:space="preserve"> As a result, the strategic reaction of BYD indicates a balance between the opportunities of any macro-environment, and risk management of the competition, showing how follower organisations can remain relevant to the market due to adaptive and efficiency-oriented strategies.</w:t>
      </w:r>
    </w:p>
    <w:p w:rsidRPr="00073DCC" w:rsidR="00F4799C" w:rsidP="00073DCC" w:rsidRDefault="00F4799C" w14:paraId="784573EA" w14:textId="382A5580">
      <w:pPr>
        <w:pStyle w:val="Heading1"/>
      </w:pPr>
      <w:bookmarkStart w:name="_Toc222732285" w:id="13"/>
      <w:bookmarkStart w:name="_Toc225281916" w:id="14"/>
      <w:r w:rsidRPr="00083A53">
        <w:rPr>
          <w:lang w:eastAsia="zh-CN"/>
        </w:rPr>
        <w:t>4. Conclusion</w:t>
      </w:r>
      <w:bookmarkEnd w:id="13"/>
      <w:bookmarkEnd w:id="14"/>
    </w:p>
    <w:p w:rsidRPr="00083A53" w:rsidR="007A0897" w:rsidP="00F433AF" w:rsidRDefault="007A0897" w14:paraId="46378C42" w14:textId="166E61E6">
      <w:pPr>
        <w:rPr>
          <w:rFonts w:cs="Arial"/>
          <w:lang w:eastAsia="zh-CN"/>
        </w:rPr>
      </w:pPr>
      <w:r w:rsidRPr="00083A53">
        <w:rPr>
          <w:rFonts w:cs="Arial"/>
          <w:lang w:eastAsia="zh-CN"/>
        </w:rPr>
        <w:t xml:space="preserve">The paper has critically analysed the impact of macro-environmental forces on strategic marketing response in the global electric vehicle (EV) market with special reference to Tesla as an innovative organisation and BYD as a copycat organisation. The discussion has revealed that political and technological forces are the most </w:t>
      </w:r>
      <w:r w:rsidRPr="00083A53">
        <w:rPr>
          <w:rFonts w:cs="Arial"/>
          <w:lang w:eastAsia="zh-CN"/>
        </w:rPr>
        <w:lastRenderedPageBreak/>
        <w:t xml:space="preserve">powerful forces behind the reconciliation of competitive dynamics in the industry and have a significant impact on the growth of the market, the level of innovation and strategic alignment. </w:t>
      </w:r>
      <w:r w:rsidR="006F617A">
        <w:rPr>
          <w:rFonts w:cs="Arial"/>
          <w:lang w:eastAsia="zh-CN"/>
        </w:rPr>
        <w:t>The</w:t>
      </w:r>
      <w:r w:rsidRPr="00083A53">
        <w:rPr>
          <w:rFonts w:cs="Arial"/>
          <w:lang w:eastAsia="zh-CN"/>
        </w:rPr>
        <w:t xml:space="preserve"> high growth of EVs popularity has significantly increased the competition, which supports why companies have to reorganize strategic capabilities and adapt to changing regulatory and technological conditions.</w:t>
      </w:r>
    </w:p>
    <w:p w:rsidRPr="00C14598" w:rsidR="00C14598" w:rsidP="00C14598" w:rsidRDefault="00C14598" w14:paraId="575F7857" w14:textId="77777777">
      <w:pPr>
        <w:rPr>
          <w:rFonts w:cs="Arial"/>
          <w:lang w:eastAsia="zh-CN"/>
        </w:rPr>
      </w:pPr>
      <w:r w:rsidRPr="00C14598">
        <w:rPr>
          <w:rFonts w:cs="Arial"/>
          <w:lang w:eastAsia="zh-CN"/>
        </w:rPr>
        <w:t xml:space="preserve">The findings reveal that the differentiation approach of Tesla supported by the technological leadership and brand positioning enables the company to effectively exploit the opportunities presented by the macro-environment than cost-based competitors. In comparison, the cost leadership strategy of BYD allows penetrating and scaling the market, in particular, in price-sensitive markets, as a strategic response to domestic support in the policy and manufacturing efficiency. These two conflicting strategies highlight the necessity to ascertain strategic fit between the organisational resources and the external environmental environment. </w:t>
      </w:r>
    </w:p>
    <w:p w:rsidRPr="00083A53" w:rsidR="007A0897" w:rsidP="00F433AF" w:rsidRDefault="007A0897" w14:paraId="7ADC4C6E" w14:textId="2B980C66">
      <w:pPr>
        <w:rPr>
          <w:rFonts w:cs="Arial"/>
          <w:lang w:eastAsia="zh-CN"/>
        </w:rPr>
      </w:pPr>
      <w:r w:rsidRPr="00083A53">
        <w:rPr>
          <w:rFonts w:cs="Arial"/>
          <w:lang w:eastAsia="zh-CN"/>
        </w:rPr>
        <w:t xml:space="preserve">On balance, the report highlights the strategic importance of constant environmental scanning in the ability of organisations to predict market changes and respond to them in their marketing approaches. The relative analysis between the pioneer and the follower strategy shows that the strategic competitive advantage in the EVs industry can be sustainable based on how well macro environmental insights are incorporated in strategic </w:t>
      </w:r>
      <w:r w:rsidRPr="00083A53" w:rsidR="00073DCC">
        <w:rPr>
          <w:rFonts w:cs="Arial"/>
          <w:lang w:eastAsia="zh-CN"/>
        </w:rPr>
        <w:t>decision-making</w:t>
      </w:r>
      <w:r w:rsidRPr="00083A53">
        <w:rPr>
          <w:rFonts w:cs="Arial"/>
          <w:lang w:eastAsia="zh-CN"/>
        </w:rPr>
        <w:t xml:space="preserve"> processes.</w:t>
      </w:r>
    </w:p>
    <w:p w:rsidRPr="00083A53" w:rsidR="00FB3E7A" w:rsidP="00F433AF" w:rsidRDefault="00FB3E7A" w14:paraId="5A37EC7D" w14:textId="77777777">
      <w:pPr>
        <w:rPr>
          <w:rFonts w:cs="Arial" w:eastAsiaTheme="majorEastAsia"/>
          <w:b/>
          <w:bCs/>
          <w:lang w:eastAsia="zh-CN"/>
        </w:rPr>
      </w:pPr>
      <w:bookmarkStart w:name="_Toc222732286" w:id="15"/>
      <w:r w:rsidRPr="00083A53">
        <w:rPr>
          <w:rFonts w:cs="Arial"/>
          <w:b/>
          <w:bCs/>
          <w:lang w:eastAsia="zh-CN"/>
        </w:rPr>
        <w:br w:type="page"/>
      </w:r>
    </w:p>
    <w:p w:rsidRPr="009C2267" w:rsidR="009C2267" w:rsidP="009C2267" w:rsidRDefault="00F4799C" w14:paraId="45908B11" w14:textId="6E78B492">
      <w:pPr>
        <w:pStyle w:val="Heading1"/>
        <w:rPr>
          <w:b w:val="0"/>
          <w:lang w:eastAsia="zh-CN"/>
        </w:rPr>
      </w:pPr>
      <w:bookmarkStart w:name="_Toc225281917" w:id="16"/>
      <w:r w:rsidRPr="00083A53">
        <w:rPr>
          <w:lang w:eastAsia="zh-CN"/>
        </w:rPr>
        <w:lastRenderedPageBreak/>
        <w:t xml:space="preserve">5. </w:t>
      </w:r>
      <w:r w:rsidRPr="00073DCC">
        <w:t>References</w:t>
      </w:r>
      <w:bookmarkEnd w:id="16"/>
      <w:r w:rsidRPr="00083A53">
        <w:rPr>
          <w:lang w:eastAsia="zh-CN"/>
        </w:rPr>
        <w:t xml:space="preserve"> </w:t>
      </w:r>
      <w:bookmarkEnd w:id="15"/>
    </w:p>
    <w:p w:rsidRPr="00083A53" w:rsidR="003605D1" w:rsidP="009C2267" w:rsidRDefault="003605D1" w14:paraId="4B560287" w14:textId="18D303DF">
      <w:pPr>
        <w:pStyle w:val="NormalWeb"/>
        <w:rPr>
          <w:rFonts w:ascii="Arial" w:hAnsi="Arial" w:cs="Arial"/>
        </w:rPr>
      </w:pPr>
      <w:r w:rsidRPr="00083A53">
        <w:rPr>
          <w:rFonts w:ascii="Arial" w:hAnsi="Arial" w:cs="Arial"/>
        </w:rPr>
        <w:t xml:space="preserve">Ajanovic, A. and Haas, R. (2020) ‘Prospects and impediments for electric vehicles’, </w:t>
      </w:r>
      <w:r w:rsidRPr="00083A53">
        <w:rPr>
          <w:rStyle w:val="Emphasis"/>
          <w:rFonts w:ascii="Arial" w:hAnsi="Arial" w:cs="Arial" w:eastAsiaTheme="majorEastAsia"/>
        </w:rPr>
        <w:t>Energies</w:t>
      </w:r>
      <w:r w:rsidRPr="00083A53">
        <w:rPr>
          <w:rFonts w:ascii="Arial" w:hAnsi="Arial" w:cs="Arial"/>
        </w:rPr>
        <w:t xml:space="preserve">, 13(24), p.6533. </w:t>
      </w:r>
      <w:hyperlink w:history="1" r:id="rId13">
        <w:r w:rsidRPr="00083A53">
          <w:rPr>
            <w:rStyle w:val="Hyperlink"/>
            <w:rFonts w:ascii="Arial" w:hAnsi="Arial" w:cs="Arial" w:eastAsiaTheme="majorEastAsia"/>
          </w:rPr>
          <w:t>https://www.mdpi.com/1996-1073/13/24/6533</w:t>
        </w:r>
      </w:hyperlink>
    </w:p>
    <w:p w:rsidRPr="00083A53" w:rsidR="003605D1" w:rsidP="009C2267" w:rsidRDefault="003605D1" w14:paraId="3DABD494" w14:textId="77777777">
      <w:pPr>
        <w:pStyle w:val="NormalWeb"/>
        <w:rPr>
          <w:rFonts w:ascii="Arial" w:hAnsi="Arial" w:cs="Arial"/>
        </w:rPr>
      </w:pPr>
      <w:r w:rsidRPr="00083A53">
        <w:rPr>
          <w:rFonts w:ascii="Arial" w:hAnsi="Arial" w:cs="Arial"/>
        </w:rPr>
        <w:t xml:space="preserve">BYD Company Ltd. (2024) </w:t>
      </w:r>
      <w:r w:rsidRPr="00083A53">
        <w:rPr>
          <w:rStyle w:val="Emphasis"/>
          <w:rFonts w:ascii="Arial" w:hAnsi="Arial" w:cs="Arial" w:eastAsiaTheme="majorEastAsia"/>
        </w:rPr>
        <w:t>Investor relations</w:t>
      </w:r>
      <w:r w:rsidRPr="00083A53">
        <w:rPr>
          <w:rFonts w:ascii="Arial" w:hAnsi="Arial" w:cs="Arial"/>
        </w:rPr>
        <w:t xml:space="preserve">. Shenzhen: BYD. Available at: </w:t>
      </w:r>
      <w:hyperlink w:history="1" r:id="rId14">
        <w:r w:rsidRPr="00083A53">
          <w:rPr>
            <w:rStyle w:val="Hyperlink"/>
            <w:rFonts w:ascii="Arial" w:hAnsi="Arial" w:cs="Arial" w:eastAsiaTheme="majorEastAsia"/>
          </w:rPr>
          <w:t>https://www.bydglobal.com/en/Investor</w:t>
        </w:r>
      </w:hyperlink>
      <w:r w:rsidRPr="00083A53">
        <w:rPr>
          <w:rStyle w:val="Hyperlink"/>
          <w:rFonts w:ascii="Arial" w:hAnsi="Arial" w:cs="Arial" w:eastAsiaTheme="majorEastAsia"/>
        </w:rPr>
        <w:t xml:space="preserve">  </w:t>
      </w:r>
      <w:r w:rsidRPr="00083A53">
        <w:rPr>
          <w:rFonts w:ascii="Arial" w:hAnsi="Arial" w:cs="Arial" w:eastAsiaTheme="majorEastAsia"/>
        </w:rPr>
        <w:t>(Accessed on 24th March 2026)</w:t>
      </w:r>
    </w:p>
    <w:p w:rsidRPr="009C2267" w:rsidR="003605D1" w:rsidP="009C2267" w:rsidRDefault="003605D1" w14:paraId="0406FBF3" w14:textId="72483051">
      <w:pPr>
        <w:spacing w:line="360" w:lineRule="atLeast"/>
        <w:jc w:val="left"/>
        <w:rPr>
          <w:rFonts w:eastAsia="Times New Roman" w:cs="Arial"/>
          <w:color w:val="000000"/>
          <w:kern w:val="0"/>
          <w:lang w:val="en-IN" w:eastAsia="en-GB"/>
          <w14:ligatures w14:val="none"/>
        </w:rPr>
      </w:pPr>
      <w:r w:rsidRPr="009C2267">
        <w:rPr>
          <w:rFonts w:eastAsia="Times New Roman" w:cs="Arial"/>
          <w:color w:val="000000"/>
          <w:kern w:val="0"/>
          <w:lang w:val="en-IN" w:eastAsia="en-GB"/>
          <w14:ligatures w14:val="none"/>
        </w:rPr>
        <w:t>Carson, E. (2024). </w:t>
      </w:r>
      <w:r w:rsidRPr="009C2267">
        <w:rPr>
          <w:rFonts w:eastAsia="Times New Roman" w:cs="Arial"/>
          <w:i/>
          <w:iCs/>
          <w:color w:val="000000"/>
          <w:kern w:val="0"/>
          <w:lang w:val="en-IN" w:eastAsia="en-GB"/>
          <w14:ligatures w14:val="none"/>
        </w:rPr>
        <w:t>Tesla Setting Up After Musk Pay Deal; BYD In Buy Area</w:t>
      </w:r>
      <w:r w:rsidRPr="009C2267">
        <w:rPr>
          <w:rFonts w:eastAsia="Times New Roman" w:cs="Arial"/>
          <w:color w:val="000000"/>
          <w:kern w:val="0"/>
          <w:lang w:val="en-IN" w:eastAsia="en-GB"/>
          <w14:ligatures w14:val="none"/>
        </w:rPr>
        <w:t xml:space="preserve">. [online] Investor’s Business Daily. </w:t>
      </w:r>
      <w:hyperlink w:history="1" r:id="rId15">
        <w:r w:rsidRPr="009C2267">
          <w:rPr>
            <w:rStyle w:val="Hyperlink"/>
            <w:rFonts w:eastAsia="Times New Roman" w:cs="Arial"/>
            <w:kern w:val="0"/>
            <w:lang w:val="en-IN" w:eastAsia="en-GB"/>
            <w14:ligatures w14:val="none"/>
          </w:rPr>
          <w:t>https://www.investors.com/news/tesla-vs-byd-ev-sales-robotaxis/</w:t>
        </w:r>
      </w:hyperlink>
      <w:r w:rsidRPr="009C2267">
        <w:rPr>
          <w:rFonts w:eastAsia="Times New Roman" w:cs="Arial"/>
          <w:color w:val="000000"/>
          <w:kern w:val="0"/>
          <w:lang w:val="en-IN" w:eastAsia="en-GB"/>
          <w14:ligatures w14:val="none"/>
        </w:rPr>
        <w:t>.</w:t>
      </w:r>
    </w:p>
    <w:p w:rsidRPr="002C39EE" w:rsidR="003605D1" w:rsidP="009C2267" w:rsidRDefault="003605D1" w14:paraId="1AFC4603" w14:textId="56727701">
      <w:pPr>
        <w:spacing w:before="100" w:beforeAutospacing="1" w:after="100" w:afterAutospacing="1"/>
      </w:pPr>
      <w:r w:rsidRPr="002C39EE">
        <w:t xml:space="preserve">Deloitte (2023) </w:t>
      </w:r>
      <w:r w:rsidRPr="009C2267">
        <w:rPr>
          <w:i/>
          <w:iCs/>
        </w:rPr>
        <w:t>Digital transformation and workplace trends</w:t>
      </w:r>
      <w:r w:rsidRPr="002C39EE">
        <w:t>.</w:t>
      </w:r>
      <w:r>
        <w:t xml:space="preserve"> </w:t>
      </w:r>
      <w:hyperlink w:history="1" r:id="rId16">
        <w:r w:rsidRPr="009C2267">
          <w:rPr>
            <w:color w:val="0000FF"/>
            <w:u w:val="single"/>
          </w:rPr>
          <w:t>https://www2.deloitte.com/global/en/pages/technology/articles/digital-transformation.html</w:t>
        </w:r>
      </w:hyperlink>
    </w:p>
    <w:p w:rsidRPr="00083A53" w:rsidR="003605D1" w:rsidP="009C2267" w:rsidRDefault="003605D1" w14:paraId="5B16A56C" w14:textId="77777777">
      <w:pPr>
        <w:pStyle w:val="NormalWeb"/>
        <w:rPr>
          <w:rFonts w:ascii="Arial" w:hAnsi="Arial" w:cs="Arial"/>
        </w:rPr>
      </w:pPr>
      <w:r w:rsidRPr="00083A53">
        <w:rPr>
          <w:rFonts w:ascii="Arial" w:hAnsi="Arial" w:cs="Arial"/>
        </w:rPr>
        <w:t xml:space="preserve">Deloitte (2024) </w:t>
      </w:r>
      <w:r w:rsidRPr="00083A53">
        <w:rPr>
          <w:rStyle w:val="Emphasis"/>
          <w:rFonts w:ascii="Arial" w:hAnsi="Arial" w:cs="Arial" w:eastAsiaTheme="majorEastAsia"/>
        </w:rPr>
        <w:t>Global automotive consumer study</w:t>
      </w:r>
      <w:r w:rsidRPr="00083A53">
        <w:rPr>
          <w:rFonts w:ascii="Arial" w:hAnsi="Arial" w:cs="Arial"/>
        </w:rPr>
        <w:t xml:space="preserve">. London: Deloitte. Available at: </w:t>
      </w:r>
      <w:hyperlink w:history="1" r:id="rId17">
        <w:r w:rsidRPr="00083A53">
          <w:rPr>
            <w:rStyle w:val="Hyperlink"/>
            <w:rFonts w:ascii="Arial" w:hAnsi="Arial" w:cs="Arial" w:eastAsiaTheme="majorEastAsia"/>
          </w:rPr>
          <w:t>https://www2.deloitte.com/global/en/pages/consumer-business/articles/global-automotive-consumer-study.html</w:t>
        </w:r>
      </w:hyperlink>
      <w:r w:rsidRPr="00083A53">
        <w:rPr>
          <w:rStyle w:val="Hyperlink"/>
          <w:rFonts w:ascii="Arial" w:hAnsi="Arial" w:cs="Arial" w:eastAsiaTheme="majorEastAsia"/>
        </w:rPr>
        <w:t xml:space="preserve"> </w:t>
      </w:r>
      <w:r w:rsidRPr="00083A53">
        <w:rPr>
          <w:rFonts w:ascii="Arial" w:hAnsi="Arial" w:cs="Arial" w:eastAsiaTheme="majorEastAsia"/>
        </w:rPr>
        <w:t>(Accessed on 24th March 2026)</w:t>
      </w:r>
    </w:p>
    <w:p w:rsidRPr="009C2267" w:rsidR="003605D1" w:rsidP="009C2267" w:rsidRDefault="003605D1" w14:paraId="0ED51341" w14:textId="77777777">
      <w:pPr>
        <w:rPr>
          <w:lang w:val="en-IN" w:eastAsia="en-GB"/>
        </w:rPr>
      </w:pPr>
      <w:r w:rsidRPr="009C2267">
        <w:rPr>
          <w:lang w:val="en-IN" w:eastAsia="en-GB"/>
        </w:rPr>
        <w:t>EVBoosters (2024). </w:t>
      </w:r>
      <w:r w:rsidRPr="009C2267">
        <w:rPr>
          <w:i/>
          <w:iCs/>
          <w:lang w:val="en-IN" w:eastAsia="en-GB"/>
        </w:rPr>
        <w:t>BYD and Tesla lead the global EV market as sales surge in 2024</w:t>
      </w:r>
      <w:r w:rsidRPr="009C2267">
        <w:rPr>
          <w:lang w:val="en-IN" w:eastAsia="en-GB"/>
        </w:rPr>
        <w:t xml:space="preserve">. [online] EVBoosters. Available at: </w:t>
      </w:r>
      <w:hyperlink w:history="1" r:id="rId18">
        <w:r w:rsidRPr="009C2267">
          <w:rPr>
            <w:rStyle w:val="Hyperlink"/>
            <w:lang w:val="en-IN" w:eastAsia="en-GB"/>
          </w:rPr>
          <w:t>https://evboosters.com/ev-charging-news/byd-and-tesla-lead-the-global-ev-market-as-sales-surge-in-2024/</w:t>
        </w:r>
      </w:hyperlink>
      <w:r w:rsidRPr="009C2267">
        <w:rPr>
          <w:lang w:val="en-IN" w:eastAsia="en-GB"/>
        </w:rPr>
        <w:t xml:space="preserve">. </w:t>
      </w:r>
    </w:p>
    <w:p w:rsidRPr="00083A53" w:rsidR="003605D1" w:rsidP="009C2267" w:rsidRDefault="003605D1" w14:paraId="1F50511F" w14:textId="004C4AA4">
      <w:pPr>
        <w:pStyle w:val="NormalWeb"/>
        <w:rPr>
          <w:rFonts w:ascii="Arial" w:hAnsi="Arial" w:cs="Arial"/>
        </w:rPr>
      </w:pPr>
      <w:r w:rsidRPr="00083A53">
        <w:rPr>
          <w:rFonts w:ascii="Arial" w:hAnsi="Arial" w:cs="Arial"/>
        </w:rPr>
        <w:t xml:space="preserve">Hardman, S. et al. (2021) ‘The effectiveness of financial incentives for electric vehicles’, </w:t>
      </w:r>
      <w:r w:rsidRPr="00083A53">
        <w:rPr>
          <w:rStyle w:val="Emphasis"/>
          <w:rFonts w:ascii="Arial" w:hAnsi="Arial" w:cs="Arial" w:eastAsiaTheme="majorEastAsia"/>
        </w:rPr>
        <w:t>Transportation Research Part A</w:t>
      </w:r>
      <w:r w:rsidRPr="00083A53">
        <w:rPr>
          <w:rFonts w:ascii="Arial" w:hAnsi="Arial" w:cs="Arial"/>
        </w:rPr>
        <w:t xml:space="preserve">. </w:t>
      </w:r>
      <w:hyperlink w:history="1" r:id="rId19">
        <w:r w:rsidRPr="00083A53">
          <w:rPr>
            <w:rStyle w:val="Hyperlink"/>
            <w:rFonts w:ascii="Arial" w:hAnsi="Arial" w:cs="Arial" w:eastAsiaTheme="majorEastAsia"/>
          </w:rPr>
          <w:t>https://www.sciencedirect.com/journal/transportation-research-part-a-policy-and-practice</w:t>
        </w:r>
      </w:hyperlink>
    </w:p>
    <w:p w:rsidRPr="00083A53" w:rsidR="003605D1" w:rsidP="009C2267" w:rsidRDefault="003605D1" w14:paraId="59873A19" w14:textId="77777777">
      <w:pPr>
        <w:pStyle w:val="NormalWeb"/>
        <w:rPr>
          <w:rFonts w:ascii="Arial" w:hAnsi="Arial" w:cs="Arial"/>
        </w:rPr>
      </w:pPr>
      <w:r w:rsidRPr="00083A53">
        <w:rPr>
          <w:rFonts w:ascii="Arial" w:hAnsi="Arial" w:cs="Arial"/>
        </w:rPr>
        <w:t xml:space="preserve">International Energy Agency (2024) </w:t>
      </w:r>
      <w:r w:rsidRPr="00083A53">
        <w:rPr>
          <w:rStyle w:val="Emphasis"/>
          <w:rFonts w:ascii="Arial" w:hAnsi="Arial" w:cs="Arial" w:eastAsiaTheme="majorEastAsia"/>
        </w:rPr>
        <w:t>Global EV outlook 2024</w:t>
      </w:r>
      <w:r w:rsidRPr="00083A53">
        <w:rPr>
          <w:rFonts w:ascii="Arial" w:hAnsi="Arial" w:cs="Arial"/>
        </w:rPr>
        <w:t xml:space="preserve">. Paris: IEA. Available at: </w:t>
      </w:r>
      <w:hyperlink w:history="1" r:id="rId20">
        <w:r w:rsidRPr="00083A53">
          <w:rPr>
            <w:rStyle w:val="Hyperlink"/>
            <w:rFonts w:ascii="Arial" w:hAnsi="Arial" w:cs="Arial" w:eastAsiaTheme="majorEastAsia"/>
          </w:rPr>
          <w:t>https://www.iea.org/reports/global-ev-outlook-2024</w:t>
        </w:r>
      </w:hyperlink>
      <w:r w:rsidRPr="00083A53">
        <w:rPr>
          <w:rStyle w:val="Hyperlink"/>
          <w:rFonts w:ascii="Arial" w:hAnsi="Arial" w:cs="Arial" w:eastAsiaTheme="majorEastAsia"/>
        </w:rPr>
        <w:t xml:space="preserve"> </w:t>
      </w:r>
      <w:r w:rsidRPr="00083A53">
        <w:rPr>
          <w:rFonts w:ascii="Arial" w:hAnsi="Arial" w:cs="Arial" w:eastAsiaTheme="majorEastAsia"/>
        </w:rPr>
        <w:t>(Accessed on 24th March 2026)</w:t>
      </w:r>
    </w:p>
    <w:p w:rsidRPr="009C2267" w:rsidR="003605D1" w:rsidP="009C2267" w:rsidRDefault="003605D1" w14:paraId="33CCC931" w14:textId="09D830ED">
      <w:pPr>
        <w:rPr>
          <w:rFonts w:cs="Times New Roman"/>
        </w:rPr>
      </w:pPr>
      <w:r w:rsidRPr="009C2267">
        <w:rPr>
          <w:rFonts w:cs="Times New Roman"/>
        </w:rPr>
        <w:t xml:space="preserve">Kalogiannidis, S. (2021). </w:t>
      </w:r>
      <w:r w:rsidRPr="009C2267">
        <w:rPr>
          <w:rFonts w:cs="Times New Roman"/>
          <w:i/>
          <w:iCs/>
        </w:rPr>
        <w:t>The Impact of COVID-19 on Human Resource Management Practices and Future Marketing</w:t>
      </w:r>
      <w:r w:rsidRPr="009C2267">
        <w:rPr>
          <w:rFonts w:cs="Times New Roman"/>
        </w:rPr>
        <w:t xml:space="preserve">. [online] International Journal of Industrial Marketing. </w:t>
      </w:r>
      <w:hyperlink w:history="1" r:id="rId21">
        <w:r w:rsidRPr="009C2267">
          <w:rPr>
            <w:rStyle w:val="Hyperlink"/>
            <w:rFonts w:cs="Times New Roman"/>
          </w:rPr>
          <w:t>https://www.academia.edu/77006434/The_Impact_of_COVID_19_on_Human_Reso</w:t>
        </w:r>
        <w:r w:rsidRPr="009C2267">
          <w:rPr>
            <w:rStyle w:val="Hyperlink"/>
            <w:rFonts w:cs="Times New Roman"/>
          </w:rPr>
          <w:lastRenderedPageBreak/>
          <w:t>urce_Management_Practices_and_Future_Marketing?auto=citations&amp;from=cover_page</w:t>
        </w:r>
      </w:hyperlink>
      <w:r w:rsidRPr="009C2267">
        <w:rPr>
          <w:rFonts w:cs="Times New Roman"/>
        </w:rPr>
        <w:t>.</w:t>
      </w:r>
    </w:p>
    <w:p w:rsidRPr="00083A53" w:rsidR="003605D1" w:rsidP="009C2267" w:rsidRDefault="003605D1" w14:paraId="524F3D28" w14:textId="45D9A22E">
      <w:pPr>
        <w:pStyle w:val="NormalWeb"/>
        <w:rPr>
          <w:rFonts w:ascii="Arial" w:hAnsi="Arial" w:cs="Arial"/>
        </w:rPr>
      </w:pPr>
      <w:r w:rsidRPr="00083A53">
        <w:rPr>
          <w:rFonts w:ascii="Arial" w:hAnsi="Arial" w:cs="Arial"/>
        </w:rPr>
        <w:t xml:space="preserve">Kumar, R.R., Alok, K. and Jain, V. (2021) ‘Adoption of electric vehicles: A literature review’, </w:t>
      </w:r>
      <w:r w:rsidRPr="00083A53">
        <w:rPr>
          <w:rStyle w:val="Emphasis"/>
          <w:rFonts w:ascii="Arial" w:hAnsi="Arial" w:cs="Arial" w:eastAsiaTheme="majorEastAsia"/>
        </w:rPr>
        <w:t>Journal of Cleaner Production</w:t>
      </w:r>
      <w:r w:rsidRPr="00083A53">
        <w:rPr>
          <w:rFonts w:ascii="Arial" w:hAnsi="Arial" w:cs="Arial"/>
        </w:rPr>
        <w:t xml:space="preserve">, 312, p.127784. </w:t>
      </w:r>
      <w:hyperlink w:history="1" r:id="rId22">
        <w:r w:rsidRPr="00083A53">
          <w:rPr>
            <w:rStyle w:val="Hyperlink"/>
            <w:rFonts w:ascii="Arial" w:hAnsi="Arial" w:cs="Arial" w:eastAsiaTheme="majorEastAsia"/>
          </w:rPr>
          <w:t>https://www.sciencedirect.com/journal/journal-of-cleaner-production</w:t>
        </w:r>
      </w:hyperlink>
    </w:p>
    <w:p w:rsidRPr="00083A53" w:rsidR="003605D1" w:rsidP="009C2267" w:rsidRDefault="003605D1" w14:paraId="44EA1800" w14:textId="492F9BC3">
      <w:pPr>
        <w:pStyle w:val="NormalWeb"/>
        <w:rPr>
          <w:rFonts w:ascii="Arial" w:hAnsi="Arial" w:cs="Arial"/>
        </w:rPr>
      </w:pPr>
      <w:r w:rsidRPr="00083A53">
        <w:rPr>
          <w:rFonts w:ascii="Arial" w:hAnsi="Arial" w:cs="Arial"/>
        </w:rPr>
        <w:t xml:space="preserve">Li, Y., Shao, S. and Yang, L. (2021) ‘Technological innovation and EV adoption’, </w:t>
      </w:r>
      <w:r w:rsidRPr="00083A53">
        <w:rPr>
          <w:rStyle w:val="Emphasis"/>
          <w:rFonts w:ascii="Arial" w:hAnsi="Arial" w:cs="Arial" w:eastAsiaTheme="majorEastAsia"/>
        </w:rPr>
        <w:t>Technological Forecasting and Social Change</w:t>
      </w:r>
      <w:r w:rsidRPr="00083A53">
        <w:rPr>
          <w:rFonts w:ascii="Arial" w:hAnsi="Arial" w:cs="Arial"/>
        </w:rPr>
        <w:t xml:space="preserve">, 167, p.120675. </w:t>
      </w:r>
      <w:hyperlink w:history="1" r:id="rId23">
        <w:r w:rsidRPr="00083A53">
          <w:rPr>
            <w:rStyle w:val="Hyperlink"/>
            <w:rFonts w:ascii="Arial" w:hAnsi="Arial" w:cs="Arial" w:eastAsiaTheme="majorEastAsia"/>
          </w:rPr>
          <w:t>https://www.sciencedirect.com/journal/technological-forecasting-and-social-change</w:t>
        </w:r>
      </w:hyperlink>
    </w:p>
    <w:p w:rsidRPr="009C2267" w:rsidR="003605D1" w:rsidP="009C2267" w:rsidRDefault="003605D1" w14:paraId="63A78420" w14:textId="42776952">
      <w:pPr>
        <w:rPr>
          <w:rFonts w:cs="Times New Roman"/>
        </w:rPr>
      </w:pPr>
      <w:r w:rsidRPr="009C2267">
        <w:rPr>
          <w:rFonts w:cs="Times New Roman"/>
        </w:rPr>
        <w:t xml:space="preserve">Salamah, S.N. (2023). Financial management strategies to improve business performance. </w:t>
      </w:r>
      <w:r w:rsidRPr="009C2267">
        <w:rPr>
          <w:rFonts w:cs="Times New Roman"/>
          <w:i/>
          <w:iCs/>
        </w:rPr>
        <w:t>Financial Management Strategies to Improve Business Performance</w:t>
      </w:r>
      <w:r w:rsidRPr="009C2267">
        <w:rPr>
          <w:rFonts w:cs="Times New Roman"/>
        </w:rPr>
        <w:t xml:space="preserve">, [online] 1(1), pp.9–12. </w:t>
      </w:r>
      <w:hyperlink w:history="1" r:id="rId24">
        <w:r w:rsidRPr="009C2267">
          <w:rPr>
            <w:rStyle w:val="Hyperlink"/>
            <w:rFonts w:cs="Times New Roman"/>
          </w:rPr>
          <w:t>https://journal.literasisainsnusantara.com/index.php/adman/article/view/3</w:t>
        </w:r>
      </w:hyperlink>
      <w:r w:rsidRPr="009C2267">
        <w:rPr>
          <w:rFonts w:cs="Times New Roman"/>
        </w:rPr>
        <w:t>.</w:t>
      </w:r>
    </w:p>
    <w:p w:rsidRPr="009C2267" w:rsidR="003605D1" w:rsidP="009C2267" w:rsidRDefault="003605D1" w14:paraId="2C84AE72" w14:textId="7A1054B0">
      <w:pPr>
        <w:rPr>
          <w:rFonts w:cs="Times New Roman"/>
        </w:rPr>
      </w:pPr>
      <w:r w:rsidRPr="009C2267">
        <w:rPr>
          <w:rFonts w:cs="Times New Roman"/>
        </w:rPr>
        <w:t xml:space="preserve">Setyowati, W., Widayanti, R. and Supriyanti, D. (2021). Implementation Of E-Business Information System In Indonesia: Prospects And Challenges. </w:t>
      </w:r>
      <w:r w:rsidRPr="009C2267">
        <w:rPr>
          <w:rFonts w:cs="Times New Roman"/>
          <w:i/>
          <w:iCs/>
        </w:rPr>
        <w:t>International Journal of Cyber and IT Service Management</w:t>
      </w:r>
      <w:r w:rsidRPr="009C2267">
        <w:rPr>
          <w:rFonts w:cs="Times New Roman"/>
        </w:rPr>
        <w:t xml:space="preserve">, [online] 1(2), pp.180–188. </w:t>
      </w:r>
      <w:hyperlink w:history="1" r:id="rId25">
        <w:r w:rsidRPr="009C2267">
          <w:rPr>
            <w:rStyle w:val="Hyperlink"/>
            <w:rFonts w:cs="Times New Roman"/>
          </w:rPr>
          <w:t>https://digilib.esaunggul.ac.id/public/UEU-Journal-23074-11_2186.pdf</w:t>
        </w:r>
      </w:hyperlink>
      <w:r w:rsidRPr="009C2267">
        <w:rPr>
          <w:rFonts w:cs="Times New Roman"/>
        </w:rPr>
        <w:t xml:space="preserve"> </w:t>
      </w:r>
    </w:p>
    <w:p w:rsidRPr="00083A53" w:rsidR="003605D1" w:rsidP="009C2267" w:rsidRDefault="003605D1" w14:paraId="792517B0" w14:textId="5F8DE556">
      <w:pPr>
        <w:pStyle w:val="NormalWeb"/>
        <w:rPr>
          <w:rFonts w:ascii="Arial" w:hAnsi="Arial" w:cs="Arial"/>
        </w:rPr>
      </w:pPr>
      <w:r w:rsidRPr="00083A53">
        <w:rPr>
          <w:rFonts w:ascii="Arial" w:hAnsi="Arial" w:cs="Arial"/>
        </w:rPr>
        <w:t xml:space="preserve">Sovacool, B.K., Axsen, J. and Kempton, W. (2021) ‘The future promise of electric vehicles’, </w:t>
      </w:r>
      <w:r w:rsidRPr="00083A53">
        <w:rPr>
          <w:rStyle w:val="Emphasis"/>
          <w:rFonts w:ascii="Arial" w:hAnsi="Arial" w:cs="Arial" w:eastAsiaTheme="majorEastAsia"/>
        </w:rPr>
        <w:t>Energy Policy</w:t>
      </w:r>
      <w:r w:rsidRPr="00083A53">
        <w:rPr>
          <w:rFonts w:ascii="Arial" w:hAnsi="Arial" w:cs="Arial"/>
        </w:rPr>
        <w:t xml:space="preserve">, 154, p.112289. </w:t>
      </w:r>
      <w:hyperlink w:history="1" r:id="rId26">
        <w:r w:rsidRPr="00083A53">
          <w:rPr>
            <w:rStyle w:val="Hyperlink"/>
            <w:rFonts w:ascii="Arial" w:hAnsi="Arial" w:cs="Arial" w:eastAsiaTheme="majorEastAsia"/>
          </w:rPr>
          <w:t>https://www.sciencedirect.com/journal/energy-policy</w:t>
        </w:r>
      </w:hyperlink>
    </w:p>
    <w:p w:rsidRPr="00083A53" w:rsidR="003605D1" w:rsidP="009C2267" w:rsidRDefault="003605D1" w14:paraId="1F0AB7B2" w14:textId="77777777">
      <w:pPr>
        <w:pStyle w:val="NormalWeb"/>
        <w:rPr>
          <w:rFonts w:ascii="Arial" w:hAnsi="Arial" w:cs="Arial"/>
        </w:rPr>
      </w:pPr>
      <w:r w:rsidRPr="00083A53">
        <w:rPr>
          <w:rFonts w:ascii="Arial" w:hAnsi="Arial" w:cs="Arial"/>
        </w:rPr>
        <w:t xml:space="preserve">Statista (2025) </w:t>
      </w:r>
      <w:r w:rsidRPr="00083A53">
        <w:rPr>
          <w:rStyle w:val="Emphasis"/>
          <w:rFonts w:ascii="Arial" w:hAnsi="Arial" w:cs="Arial" w:eastAsiaTheme="majorEastAsia"/>
        </w:rPr>
        <w:t>Electric vehicles worldwide</w:t>
      </w:r>
      <w:r w:rsidRPr="00083A53">
        <w:rPr>
          <w:rFonts w:ascii="Arial" w:hAnsi="Arial" w:cs="Arial"/>
        </w:rPr>
        <w:t xml:space="preserve">. Hamburg: Statista. Available at: </w:t>
      </w:r>
      <w:hyperlink w:history="1" r:id="rId27">
        <w:r w:rsidRPr="00083A53">
          <w:rPr>
            <w:rStyle w:val="Hyperlink"/>
            <w:rFonts w:ascii="Arial" w:hAnsi="Arial" w:cs="Arial" w:eastAsiaTheme="majorEastAsia"/>
          </w:rPr>
          <w:t>https://www.statista.com/topics/2278/electric-vehicles/</w:t>
        </w:r>
      </w:hyperlink>
      <w:r w:rsidRPr="00083A53">
        <w:rPr>
          <w:rStyle w:val="Hyperlink"/>
          <w:rFonts w:ascii="Arial" w:hAnsi="Arial" w:cs="Arial" w:eastAsiaTheme="majorEastAsia"/>
        </w:rPr>
        <w:t xml:space="preserve"> </w:t>
      </w:r>
      <w:r w:rsidRPr="00083A53">
        <w:rPr>
          <w:rFonts w:ascii="Arial" w:hAnsi="Arial" w:cs="Arial" w:eastAsiaTheme="majorEastAsia"/>
        </w:rPr>
        <w:t>(Accessed on 24th March 2026)</w:t>
      </w:r>
    </w:p>
    <w:p w:rsidRPr="00083A53" w:rsidR="003605D1" w:rsidP="009C2267" w:rsidRDefault="003605D1" w14:paraId="7935EBC5" w14:textId="77777777">
      <w:pPr>
        <w:pStyle w:val="NormalWeb"/>
        <w:rPr>
          <w:rFonts w:ascii="Arial" w:hAnsi="Arial" w:cs="Arial"/>
        </w:rPr>
      </w:pPr>
      <w:r w:rsidRPr="00083A53">
        <w:rPr>
          <w:rFonts w:ascii="Arial" w:hAnsi="Arial" w:cs="Arial"/>
        </w:rPr>
        <w:t xml:space="preserve">Tesla Inc. (2024) </w:t>
      </w:r>
      <w:r w:rsidRPr="00083A53">
        <w:rPr>
          <w:rStyle w:val="Emphasis"/>
          <w:rFonts w:ascii="Arial" w:hAnsi="Arial" w:cs="Arial" w:eastAsiaTheme="majorEastAsia"/>
        </w:rPr>
        <w:t>Investor relations</w:t>
      </w:r>
      <w:r w:rsidRPr="00083A53">
        <w:rPr>
          <w:rFonts w:ascii="Arial" w:hAnsi="Arial" w:cs="Arial"/>
        </w:rPr>
        <w:t xml:space="preserve">. Austin: Tesla. Available at: </w:t>
      </w:r>
      <w:hyperlink w:history="1" r:id="rId28">
        <w:r w:rsidRPr="00083A53">
          <w:rPr>
            <w:rStyle w:val="Hyperlink"/>
            <w:rFonts w:ascii="Arial" w:hAnsi="Arial" w:cs="Arial" w:eastAsiaTheme="majorEastAsia"/>
          </w:rPr>
          <w:t>https://ir.tesla.com</w:t>
        </w:r>
      </w:hyperlink>
      <w:r w:rsidRPr="00083A53">
        <w:rPr>
          <w:rStyle w:val="Hyperlink"/>
          <w:rFonts w:ascii="Arial" w:hAnsi="Arial" w:cs="Arial" w:eastAsiaTheme="majorEastAsia"/>
        </w:rPr>
        <w:t xml:space="preserve"> </w:t>
      </w:r>
      <w:r w:rsidRPr="00083A53">
        <w:rPr>
          <w:rFonts w:ascii="Arial" w:hAnsi="Arial" w:cs="Arial" w:eastAsiaTheme="majorEastAsia"/>
        </w:rPr>
        <w:t>(Accessed on 24th March 2026)</w:t>
      </w:r>
    </w:p>
    <w:p w:rsidRPr="00E45667" w:rsidR="003605D1" w:rsidP="009C2267" w:rsidRDefault="003605D1" w14:paraId="24A2E90B" w14:textId="61A408C1">
      <w:pPr>
        <w:pStyle w:val="NormalWeb"/>
        <w:rPr>
          <w:rFonts w:ascii="Arial" w:hAnsi="Arial" w:cs="Arial"/>
          <w:color w:val="000000"/>
        </w:rPr>
      </w:pPr>
      <w:r w:rsidRPr="00083A53">
        <w:rPr>
          <w:rFonts w:ascii="Arial" w:hAnsi="Arial" w:cs="Arial"/>
        </w:rPr>
        <w:t xml:space="preserve">Wolfram, P. and Lutsey, N. (2022) ‘Electric vehicle cost trends’, </w:t>
      </w:r>
      <w:r w:rsidRPr="00083A53">
        <w:rPr>
          <w:rStyle w:val="Emphasis"/>
          <w:rFonts w:ascii="Arial" w:hAnsi="Arial" w:cs="Arial" w:eastAsiaTheme="majorEastAsia"/>
        </w:rPr>
        <w:t>Energy Strategy Reviews</w:t>
      </w:r>
      <w:r w:rsidRPr="00083A53">
        <w:rPr>
          <w:rFonts w:ascii="Arial" w:hAnsi="Arial" w:cs="Arial"/>
        </w:rPr>
        <w:t xml:space="preserve">, 41, p.100857. </w:t>
      </w:r>
      <w:hyperlink w:history="1" r:id="rId29">
        <w:r w:rsidRPr="00083A53">
          <w:rPr>
            <w:rStyle w:val="Hyperlink"/>
            <w:rFonts w:ascii="Arial" w:hAnsi="Arial" w:cs="Arial" w:eastAsiaTheme="majorEastAsia"/>
          </w:rPr>
          <w:t>https://www.sciencedirect.com/journal/energy-strategy-reviews</w:t>
        </w:r>
      </w:hyperlink>
    </w:p>
    <w:sectPr w:rsidRPr="00E45667" w:rsidR="003605D1" w:rsidSect="00234233">
      <w:footerReference w:type="default" r:id="rId3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60F59" w:rsidP="00F4799C" w:rsidRDefault="00760F59" w14:paraId="712060B3" w14:textId="77777777">
      <w:r>
        <w:separator/>
      </w:r>
    </w:p>
  </w:endnote>
  <w:endnote w:type="continuationSeparator" w:id="0">
    <w:p w:rsidR="00760F59" w:rsidP="00F4799C" w:rsidRDefault="00760F59" w14:paraId="389B4DA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8070834"/>
      <w:docPartObj>
        <w:docPartGallery w:val="Page Numbers (Bottom of Page)"/>
        <w:docPartUnique/>
      </w:docPartObj>
    </w:sdtPr>
    <w:sdtEndPr>
      <w:rPr>
        <w:noProof/>
      </w:rPr>
    </w:sdtEndPr>
    <w:sdtContent>
      <w:p w:rsidR="003605D1" w:rsidRDefault="003605D1" w14:paraId="087BF727" w14:textId="0BF29F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4799C" w:rsidRDefault="00F4799C" w14:paraId="573B818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60F59" w:rsidP="00F4799C" w:rsidRDefault="00760F59" w14:paraId="062EFBE0" w14:textId="77777777">
      <w:r>
        <w:separator/>
      </w:r>
    </w:p>
  </w:footnote>
  <w:footnote w:type="continuationSeparator" w:id="0">
    <w:p w:rsidR="00760F59" w:rsidP="00F4799C" w:rsidRDefault="00760F59" w14:paraId="2943387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599A"/>
    <w:multiLevelType w:val="multilevel"/>
    <w:tmpl w:val="539E272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0A07CC9"/>
    <w:multiLevelType w:val="multilevel"/>
    <w:tmpl w:val="F55EB34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0DF7127"/>
    <w:multiLevelType w:val="hybridMultilevel"/>
    <w:tmpl w:val="08062B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2736AD0"/>
    <w:multiLevelType w:val="multilevel"/>
    <w:tmpl w:val="D8860E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B926DBB"/>
    <w:multiLevelType w:val="hybridMultilevel"/>
    <w:tmpl w:val="FD926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552F55"/>
    <w:multiLevelType w:val="multilevel"/>
    <w:tmpl w:val="141CE0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FD435D6"/>
    <w:multiLevelType w:val="multilevel"/>
    <w:tmpl w:val="25AA66F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0F63DDB"/>
    <w:multiLevelType w:val="multilevel"/>
    <w:tmpl w:val="68748A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61478A6"/>
    <w:multiLevelType w:val="multilevel"/>
    <w:tmpl w:val="B3B474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6195692"/>
    <w:multiLevelType w:val="multilevel"/>
    <w:tmpl w:val="DAB4BB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C07DC7"/>
    <w:multiLevelType w:val="multilevel"/>
    <w:tmpl w:val="1046BF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8EE6B52"/>
    <w:multiLevelType w:val="multilevel"/>
    <w:tmpl w:val="D5B29C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B324E66"/>
    <w:multiLevelType w:val="hybridMultilevel"/>
    <w:tmpl w:val="761C6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810ACD"/>
    <w:multiLevelType w:val="multilevel"/>
    <w:tmpl w:val="FAB47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7532E1"/>
    <w:multiLevelType w:val="hybridMultilevel"/>
    <w:tmpl w:val="49246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5B1740E"/>
    <w:multiLevelType w:val="multilevel"/>
    <w:tmpl w:val="11C068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95C480B"/>
    <w:multiLevelType w:val="multilevel"/>
    <w:tmpl w:val="0E9E2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3B7C568C"/>
    <w:multiLevelType w:val="hybridMultilevel"/>
    <w:tmpl w:val="0C1AA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C01874"/>
    <w:multiLevelType w:val="hybridMultilevel"/>
    <w:tmpl w:val="AE56CB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4791B14"/>
    <w:multiLevelType w:val="multilevel"/>
    <w:tmpl w:val="E376D9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56044CE"/>
    <w:multiLevelType w:val="multilevel"/>
    <w:tmpl w:val="B622C6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7A410F3"/>
    <w:multiLevelType w:val="multilevel"/>
    <w:tmpl w:val="F98651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8F3563C"/>
    <w:multiLevelType w:val="multilevel"/>
    <w:tmpl w:val="0824CC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97432BD"/>
    <w:multiLevelType w:val="multilevel"/>
    <w:tmpl w:val="4FB8CF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99D47B1"/>
    <w:multiLevelType w:val="multilevel"/>
    <w:tmpl w:val="06C0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4BBA6136"/>
    <w:multiLevelType w:val="multilevel"/>
    <w:tmpl w:val="335254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504C337D"/>
    <w:multiLevelType w:val="multilevel"/>
    <w:tmpl w:val="0EECC0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1BA1130"/>
    <w:multiLevelType w:val="multilevel"/>
    <w:tmpl w:val="28D4D6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8917936"/>
    <w:multiLevelType w:val="multilevel"/>
    <w:tmpl w:val="C6C4E4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58BD0EF9"/>
    <w:multiLevelType w:val="hybridMultilevel"/>
    <w:tmpl w:val="B7EEC7D8"/>
    <w:lvl w:ilvl="0" w:tplc="97DAEF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8D5351B"/>
    <w:multiLevelType w:val="multilevel"/>
    <w:tmpl w:val="F06605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390622E"/>
    <w:multiLevelType w:val="hybridMultilevel"/>
    <w:tmpl w:val="AD0422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123CB0"/>
    <w:multiLevelType w:val="multilevel"/>
    <w:tmpl w:val="D292CE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51523AB"/>
    <w:multiLevelType w:val="hybridMultilevel"/>
    <w:tmpl w:val="A9409F68"/>
    <w:lvl w:ilvl="0" w:tplc="08090001">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0A0330"/>
    <w:multiLevelType w:val="multilevel"/>
    <w:tmpl w:val="C930F3C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353"/>
        </w:tabs>
        <w:ind w:left="1353"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AAF7EB6"/>
    <w:multiLevelType w:val="multilevel"/>
    <w:tmpl w:val="C33697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6B113446"/>
    <w:multiLevelType w:val="multilevel"/>
    <w:tmpl w:val="4A8AE2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6D6C0C1E"/>
    <w:multiLevelType w:val="multilevel"/>
    <w:tmpl w:val="0E7621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6D6E76CD"/>
    <w:multiLevelType w:val="multilevel"/>
    <w:tmpl w:val="CBB6AF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6DDD1493"/>
    <w:multiLevelType w:val="multilevel"/>
    <w:tmpl w:val="E2661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6E713CEE"/>
    <w:multiLevelType w:val="multilevel"/>
    <w:tmpl w:val="4BA45F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6F002494"/>
    <w:multiLevelType w:val="multilevel"/>
    <w:tmpl w:val="1710FE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76085A7F"/>
    <w:multiLevelType w:val="multilevel"/>
    <w:tmpl w:val="E69EEE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7B3201CF"/>
    <w:multiLevelType w:val="hybridMultilevel"/>
    <w:tmpl w:val="47F4BB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38527600">
    <w:abstractNumId w:val="12"/>
  </w:num>
  <w:num w:numId="2" w16cid:durableId="966158073">
    <w:abstractNumId w:val="17"/>
  </w:num>
  <w:num w:numId="3" w16cid:durableId="877475478">
    <w:abstractNumId w:val="37"/>
  </w:num>
  <w:num w:numId="4" w16cid:durableId="1865439684">
    <w:abstractNumId w:val="38"/>
  </w:num>
  <w:num w:numId="5" w16cid:durableId="296037109">
    <w:abstractNumId w:val="44"/>
  </w:num>
  <w:num w:numId="6" w16cid:durableId="1857650049">
    <w:abstractNumId w:val="19"/>
  </w:num>
  <w:num w:numId="7" w16cid:durableId="1295714836">
    <w:abstractNumId w:val="1"/>
  </w:num>
  <w:num w:numId="8" w16cid:durableId="1104423434">
    <w:abstractNumId w:val="25"/>
  </w:num>
  <w:num w:numId="9" w16cid:durableId="785196607">
    <w:abstractNumId w:val="46"/>
  </w:num>
  <w:num w:numId="10" w16cid:durableId="1805731991">
    <w:abstractNumId w:val="45"/>
  </w:num>
  <w:num w:numId="11" w16cid:durableId="508838147">
    <w:abstractNumId w:val="5"/>
  </w:num>
  <w:num w:numId="12" w16cid:durableId="477303180">
    <w:abstractNumId w:val="32"/>
  </w:num>
  <w:num w:numId="13" w16cid:durableId="1043408458">
    <w:abstractNumId w:val="30"/>
  </w:num>
  <w:num w:numId="14" w16cid:durableId="453400969">
    <w:abstractNumId w:val="2"/>
  </w:num>
  <w:num w:numId="15" w16cid:durableId="1524706236">
    <w:abstractNumId w:val="47"/>
  </w:num>
  <w:num w:numId="16" w16cid:durableId="1474368624">
    <w:abstractNumId w:val="22"/>
  </w:num>
  <w:num w:numId="17" w16cid:durableId="1082482068">
    <w:abstractNumId w:val="18"/>
  </w:num>
  <w:num w:numId="18" w16cid:durableId="356203542">
    <w:abstractNumId w:val="35"/>
  </w:num>
  <w:num w:numId="19" w16cid:durableId="207844578">
    <w:abstractNumId w:val="9"/>
  </w:num>
  <w:num w:numId="20" w16cid:durableId="1398867505">
    <w:abstractNumId w:val="36"/>
  </w:num>
  <w:num w:numId="21" w16cid:durableId="780687429">
    <w:abstractNumId w:val="16"/>
  </w:num>
  <w:num w:numId="22" w16cid:durableId="1166899088">
    <w:abstractNumId w:val="14"/>
  </w:num>
  <w:num w:numId="23" w16cid:durableId="455174308">
    <w:abstractNumId w:val="10"/>
  </w:num>
  <w:num w:numId="24" w16cid:durableId="603149070">
    <w:abstractNumId w:val="13"/>
  </w:num>
  <w:num w:numId="25" w16cid:durableId="390542811">
    <w:abstractNumId w:val="3"/>
  </w:num>
  <w:num w:numId="26" w16cid:durableId="562985041">
    <w:abstractNumId w:val="23"/>
  </w:num>
  <w:num w:numId="27" w16cid:durableId="590622514">
    <w:abstractNumId w:val="7"/>
  </w:num>
  <w:num w:numId="28" w16cid:durableId="413863525">
    <w:abstractNumId w:val="24"/>
  </w:num>
  <w:num w:numId="29" w16cid:durableId="643969134">
    <w:abstractNumId w:val="39"/>
  </w:num>
  <w:num w:numId="30" w16cid:durableId="1021586810">
    <w:abstractNumId w:val="20"/>
  </w:num>
  <w:num w:numId="31" w16cid:durableId="1633365764">
    <w:abstractNumId w:val="34"/>
  </w:num>
  <w:num w:numId="32" w16cid:durableId="159463930">
    <w:abstractNumId w:val="42"/>
  </w:num>
  <w:num w:numId="33" w16cid:durableId="485391099">
    <w:abstractNumId w:val="26"/>
  </w:num>
  <w:num w:numId="34" w16cid:durableId="780539743">
    <w:abstractNumId w:val="31"/>
  </w:num>
  <w:num w:numId="35" w16cid:durableId="425730874">
    <w:abstractNumId w:val="29"/>
  </w:num>
  <w:num w:numId="36" w16cid:durableId="357195548">
    <w:abstractNumId w:val="11"/>
  </w:num>
  <w:num w:numId="37" w16cid:durableId="1140222020">
    <w:abstractNumId w:val="43"/>
  </w:num>
  <w:num w:numId="38" w16cid:durableId="1341738302">
    <w:abstractNumId w:val="27"/>
  </w:num>
  <w:num w:numId="39" w16cid:durableId="960771239">
    <w:abstractNumId w:val="0"/>
  </w:num>
  <w:num w:numId="40" w16cid:durableId="1341397419">
    <w:abstractNumId w:val="8"/>
  </w:num>
  <w:num w:numId="41" w16cid:durableId="1455295184">
    <w:abstractNumId w:val="40"/>
  </w:num>
  <w:num w:numId="42" w16cid:durableId="535849291">
    <w:abstractNumId w:val="41"/>
  </w:num>
  <w:num w:numId="43" w16cid:durableId="1651901666">
    <w:abstractNumId w:val="4"/>
  </w:num>
  <w:num w:numId="44" w16cid:durableId="30805125">
    <w:abstractNumId w:val="28"/>
  </w:num>
  <w:num w:numId="45" w16cid:durableId="487863370">
    <w:abstractNumId w:val="15"/>
  </w:num>
  <w:num w:numId="46" w16cid:durableId="762384383">
    <w:abstractNumId w:val="33"/>
  </w:num>
  <w:num w:numId="47" w16cid:durableId="997000535">
    <w:abstractNumId w:val="6"/>
  </w:num>
  <w:num w:numId="48" w16cid:durableId="145470900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73DCC"/>
    <w:rsid w:val="00083A53"/>
    <w:rsid w:val="001003E8"/>
    <w:rsid w:val="00136289"/>
    <w:rsid w:val="00156576"/>
    <w:rsid w:val="001F37CC"/>
    <w:rsid w:val="00234233"/>
    <w:rsid w:val="002D68FB"/>
    <w:rsid w:val="00325A3E"/>
    <w:rsid w:val="003605D1"/>
    <w:rsid w:val="00387586"/>
    <w:rsid w:val="003933F8"/>
    <w:rsid w:val="003A7599"/>
    <w:rsid w:val="003D0524"/>
    <w:rsid w:val="004135F3"/>
    <w:rsid w:val="00455948"/>
    <w:rsid w:val="004C696C"/>
    <w:rsid w:val="004F2663"/>
    <w:rsid w:val="005254AA"/>
    <w:rsid w:val="00530714"/>
    <w:rsid w:val="005A570C"/>
    <w:rsid w:val="00607F31"/>
    <w:rsid w:val="00617CF1"/>
    <w:rsid w:val="00646406"/>
    <w:rsid w:val="0065514A"/>
    <w:rsid w:val="00675F02"/>
    <w:rsid w:val="006A29B0"/>
    <w:rsid w:val="006B2B91"/>
    <w:rsid w:val="006F617A"/>
    <w:rsid w:val="00727D26"/>
    <w:rsid w:val="0073681E"/>
    <w:rsid w:val="00760F59"/>
    <w:rsid w:val="0078259E"/>
    <w:rsid w:val="007A0897"/>
    <w:rsid w:val="00866F9D"/>
    <w:rsid w:val="00870677"/>
    <w:rsid w:val="008C1AA0"/>
    <w:rsid w:val="009000CD"/>
    <w:rsid w:val="009053A1"/>
    <w:rsid w:val="00907B75"/>
    <w:rsid w:val="009764F0"/>
    <w:rsid w:val="00976CCB"/>
    <w:rsid w:val="009A69AF"/>
    <w:rsid w:val="009C2267"/>
    <w:rsid w:val="009E58AF"/>
    <w:rsid w:val="009F131B"/>
    <w:rsid w:val="009F4EB2"/>
    <w:rsid w:val="00AF223C"/>
    <w:rsid w:val="00B110D8"/>
    <w:rsid w:val="00B414F5"/>
    <w:rsid w:val="00C14598"/>
    <w:rsid w:val="00C57D61"/>
    <w:rsid w:val="00CB01F0"/>
    <w:rsid w:val="00CF1D64"/>
    <w:rsid w:val="00D14DC8"/>
    <w:rsid w:val="00DE5D5B"/>
    <w:rsid w:val="00E21E02"/>
    <w:rsid w:val="00E45667"/>
    <w:rsid w:val="00E8132D"/>
    <w:rsid w:val="00E94F4A"/>
    <w:rsid w:val="00EB7BCA"/>
    <w:rsid w:val="00EC36F0"/>
    <w:rsid w:val="00EC6978"/>
    <w:rsid w:val="00F0161A"/>
    <w:rsid w:val="00F433AF"/>
    <w:rsid w:val="00F4799C"/>
    <w:rsid w:val="00F6017A"/>
    <w:rsid w:val="00F655D5"/>
    <w:rsid w:val="00F90955"/>
    <w:rsid w:val="00FB3E7A"/>
    <w:rsid w:val="103FD07C"/>
    <w:rsid w:val="18CC30CB"/>
    <w:rsid w:val="1BC40F88"/>
    <w:rsid w:val="1DF5BC1F"/>
    <w:rsid w:val="216A3F31"/>
    <w:rsid w:val="33C88DCE"/>
    <w:rsid w:val="3E0EF2BB"/>
    <w:rsid w:val="595A6F3C"/>
    <w:rsid w:val="6A6B46CF"/>
    <w:rsid w:val="7140B9AE"/>
    <w:rsid w:val="7E268C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000CD"/>
    <w:pPr>
      <w:spacing w:line="360" w:lineRule="auto"/>
      <w:jc w:val="both"/>
    </w:pPr>
    <w:rPr>
      <w:rFonts w:ascii="Arial" w:hAnsi="Arial"/>
    </w:rPr>
  </w:style>
  <w:style w:type="paragraph" w:styleId="Heading1">
    <w:name w:val="heading 1"/>
    <w:basedOn w:val="Normal"/>
    <w:next w:val="Normal"/>
    <w:link w:val="Heading1Char"/>
    <w:uiPriority w:val="9"/>
    <w:qFormat/>
    <w:rsid w:val="00CF1D6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CF1D6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CF1D64"/>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F1D64"/>
    <w:rPr>
      <w:rFonts w:ascii="Arial" w:hAnsi="Arial" w:eastAsiaTheme="majorEastAsia" w:cstheme="majorBidi"/>
      <w:b/>
      <w:sz w:val="28"/>
      <w:szCs w:val="40"/>
    </w:rPr>
  </w:style>
  <w:style w:type="character" w:styleId="Heading2Char" w:customStyle="1">
    <w:name w:val="Heading 2 Char"/>
    <w:basedOn w:val="DefaultParagraphFont"/>
    <w:link w:val="Heading2"/>
    <w:uiPriority w:val="9"/>
    <w:rsid w:val="00CF1D64"/>
    <w:rPr>
      <w:rFonts w:ascii="Arial" w:hAnsi="Arial" w:eastAsiaTheme="majorEastAsia" w:cstheme="majorBidi"/>
      <w:b/>
      <w:szCs w:val="32"/>
    </w:rPr>
  </w:style>
  <w:style w:type="character" w:styleId="Heading3Char" w:customStyle="1">
    <w:name w:val="Heading 3 Char"/>
    <w:basedOn w:val="DefaultParagraphFont"/>
    <w:link w:val="Heading3"/>
    <w:uiPriority w:val="9"/>
    <w:rsid w:val="00CF1D64"/>
    <w:rPr>
      <w:rFonts w:ascii="Arial" w:hAnsi="Arial" w:eastAsiaTheme="majorEastAsia" w:cstheme="majorBidi"/>
      <w:b/>
      <w:sz w:val="28"/>
      <w:szCs w:val="28"/>
    </w:rPr>
  </w:style>
  <w:style w:type="character" w:styleId="Heading4Char" w:customStyle="1">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4640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4640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4640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4640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4640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CB01F0"/>
    <w:pPr>
      <w:spacing w:before="120"/>
      <w:jc w:val="left"/>
    </w:pPr>
    <w:rPr>
      <w:rFonts w:asciiTheme="minorHAnsi" w:hAnsiTheme="minorHAnsi"/>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CB01F0"/>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CB01F0"/>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CB01F0"/>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CB01F0"/>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CB01F0"/>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CB01F0"/>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CB01F0"/>
    <w:pPr>
      <w:ind w:left="1920"/>
      <w:jc w:val="left"/>
    </w:pPr>
    <w:rPr>
      <w:rFonts w:asciiTheme="minorHAnsi" w:hAnsiTheme="minorHAnsi"/>
      <w:sz w:val="20"/>
      <w:szCs w:val="20"/>
    </w:rPr>
  </w:style>
  <w:style w:type="paragraph" w:styleId="Header">
    <w:name w:val="header"/>
    <w:basedOn w:val="Normal"/>
    <w:link w:val="HeaderChar"/>
    <w:uiPriority w:val="99"/>
    <w:unhideWhenUsed/>
    <w:rsid w:val="00F4799C"/>
    <w:pPr>
      <w:tabs>
        <w:tab w:val="center" w:pos="4513"/>
        <w:tab w:val="right" w:pos="9026"/>
      </w:tabs>
    </w:pPr>
  </w:style>
  <w:style w:type="character" w:styleId="HeaderChar" w:customStyle="1">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styleId="FooterChar" w:customStyle="1">
    <w:name w:val="Footer Char"/>
    <w:basedOn w:val="DefaultParagraphFont"/>
    <w:link w:val="Footer"/>
    <w:uiPriority w:val="99"/>
    <w:rsid w:val="00F4799C"/>
  </w:style>
  <w:style w:type="paragraph" w:styleId="NormalWeb">
    <w:name w:val="Normal (Web)"/>
    <w:basedOn w:val="Normal"/>
    <w:uiPriority w:val="99"/>
    <w:unhideWhenUsed/>
    <w:rsid w:val="005254AA"/>
    <w:pPr>
      <w:spacing w:before="100" w:beforeAutospacing="1" w:after="100" w:afterAutospacing="1"/>
    </w:pPr>
    <w:rPr>
      <w:rFonts w:ascii="Times New Roman" w:hAnsi="Times New Roman" w:eastAsia="Times New Roman" w:cs="Times New Roman"/>
      <w:kern w:val="0"/>
      <w:lang w:val="en-IN" w:eastAsia="en-GB"/>
      <w14:ligatures w14:val="none"/>
    </w:rPr>
  </w:style>
  <w:style w:type="character" w:styleId="Strong">
    <w:name w:val="Strong"/>
    <w:basedOn w:val="DefaultParagraphFont"/>
    <w:uiPriority w:val="22"/>
    <w:qFormat/>
    <w:rsid w:val="005254AA"/>
    <w:rPr>
      <w:b/>
      <w:bCs/>
    </w:rPr>
  </w:style>
  <w:style w:type="character" w:styleId="Emphasis">
    <w:name w:val="Emphasis"/>
    <w:basedOn w:val="DefaultParagraphFont"/>
    <w:uiPriority w:val="20"/>
    <w:qFormat/>
    <w:rsid w:val="005254AA"/>
    <w:rPr>
      <w:i/>
      <w:iCs/>
    </w:rPr>
  </w:style>
  <w:style w:type="character" w:styleId="FollowedHyperlink">
    <w:name w:val="FollowedHyperlink"/>
    <w:basedOn w:val="DefaultParagraphFont"/>
    <w:uiPriority w:val="99"/>
    <w:semiHidden/>
    <w:unhideWhenUsed/>
    <w:rsid w:val="008C1AA0"/>
    <w:rPr>
      <w:color w:val="96607D" w:themeColor="followedHyperlink"/>
      <w:u w:val="single"/>
    </w:rPr>
  </w:style>
  <w:style w:type="character" w:styleId="UnresolvedMention">
    <w:name w:val="Unresolved Mention"/>
    <w:basedOn w:val="DefaultParagraphFont"/>
    <w:uiPriority w:val="99"/>
    <w:semiHidden/>
    <w:unhideWhenUsed/>
    <w:rsid w:val="00E45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318875">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382413488">
      <w:bodyDiv w:val="1"/>
      <w:marLeft w:val="0"/>
      <w:marRight w:val="0"/>
      <w:marTop w:val="0"/>
      <w:marBottom w:val="0"/>
      <w:divBdr>
        <w:top w:val="none" w:sz="0" w:space="0" w:color="auto"/>
        <w:left w:val="none" w:sz="0" w:space="0" w:color="auto"/>
        <w:bottom w:val="none" w:sz="0" w:space="0" w:color="auto"/>
        <w:right w:val="none" w:sz="0" w:space="0" w:color="auto"/>
      </w:divBdr>
    </w:div>
    <w:div w:id="937449378">
      <w:bodyDiv w:val="1"/>
      <w:marLeft w:val="0"/>
      <w:marRight w:val="0"/>
      <w:marTop w:val="0"/>
      <w:marBottom w:val="0"/>
      <w:divBdr>
        <w:top w:val="none" w:sz="0" w:space="0" w:color="auto"/>
        <w:left w:val="none" w:sz="0" w:space="0" w:color="auto"/>
        <w:bottom w:val="none" w:sz="0" w:space="0" w:color="auto"/>
        <w:right w:val="none" w:sz="0" w:space="0" w:color="auto"/>
      </w:divBdr>
    </w:div>
    <w:div w:id="971447897">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 w:id="1776708134">
      <w:bodyDiv w:val="1"/>
      <w:marLeft w:val="0"/>
      <w:marRight w:val="0"/>
      <w:marTop w:val="0"/>
      <w:marBottom w:val="0"/>
      <w:divBdr>
        <w:top w:val="none" w:sz="0" w:space="0" w:color="auto"/>
        <w:left w:val="none" w:sz="0" w:space="0" w:color="auto"/>
        <w:bottom w:val="none" w:sz="0" w:space="0" w:color="auto"/>
        <w:right w:val="none" w:sz="0" w:space="0" w:color="auto"/>
      </w:divBdr>
    </w:div>
    <w:div w:id="1917322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mdpi.com/1996-1073/13/24/6533" TargetMode="External" Id="rId13" /><Relationship Type="http://schemas.openxmlformats.org/officeDocument/2006/relationships/hyperlink" Target="https://evboosters.com/ev-charging-news/byd-and-tesla-lead-the-global-ev-market-as-sales-surge-in-2024/" TargetMode="External" Id="rId18" /><Relationship Type="http://schemas.openxmlformats.org/officeDocument/2006/relationships/hyperlink" Target="https://www.sciencedirect.com/journal/energy-policy" TargetMode="External" Id="rId26" /><Relationship Type="http://schemas.openxmlformats.org/officeDocument/2006/relationships/styles" Target="styles.xml" Id="rId3" /><Relationship Type="http://schemas.openxmlformats.org/officeDocument/2006/relationships/hyperlink" Target="https://www.academia.edu/77006434/The_Impact_of_COVID_19_on_Human_Resource_Management_Practices_and_Future_Marketing?auto=citations&amp;from=cover_page"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s://www2.deloitte.com/global/en/pages/consumer-business/articles/global-automotive-consumer-study.html" TargetMode="External" Id="rId17" /><Relationship Type="http://schemas.openxmlformats.org/officeDocument/2006/relationships/hyperlink" Target="https://digilib.esaunggul.ac.id/public/UEU-Journal-23074-11_2186.pdf" TargetMode="External" Id="rId25" /><Relationship Type="http://schemas.openxmlformats.org/officeDocument/2006/relationships/numbering" Target="numbering.xml" Id="rId2" /><Relationship Type="http://schemas.openxmlformats.org/officeDocument/2006/relationships/hyperlink" Target="https://www2.deloitte.com/global/en/pages/technology/articles/digital-transformation.html" TargetMode="External" Id="rId16" /><Relationship Type="http://schemas.openxmlformats.org/officeDocument/2006/relationships/hyperlink" Target="https://www.iea.org/reports/global-ev-outlook-2024" TargetMode="External" Id="rId20" /><Relationship Type="http://schemas.openxmlformats.org/officeDocument/2006/relationships/hyperlink" Target="https://www.sciencedirect.com/journal/energy-strategy-reviews"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journal.literasisainsnusantara.com/index.php/adman/article/view/3" TargetMode="External"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hyperlink" Target="https://www.investors.com/news/tesla-vs-byd-ev-sales-robotaxis/" TargetMode="External" Id="rId15" /><Relationship Type="http://schemas.openxmlformats.org/officeDocument/2006/relationships/hyperlink" Target="https://www.sciencedirect.com/journal/technological-forecasting-and-social-change" TargetMode="External" Id="rId23" /><Relationship Type="http://schemas.openxmlformats.org/officeDocument/2006/relationships/hyperlink" Target="https://ir.tesla.com/" TargetMode="External" Id="rId28" /><Relationship Type="http://schemas.openxmlformats.org/officeDocument/2006/relationships/image" Target="media/image3.png" Id="rId10" /><Relationship Type="http://schemas.openxmlformats.org/officeDocument/2006/relationships/hyperlink" Target="https://www.sciencedirect.com/journal/transportation-research-part-a-policy-and-practice" TargetMode="External"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bydglobal.com/en/Investor" TargetMode="External" Id="rId14" /><Relationship Type="http://schemas.openxmlformats.org/officeDocument/2006/relationships/hyperlink" Target="https://www.sciencedirect.com/journal/journal-of-cleaner-production" TargetMode="External" Id="rId22" /><Relationship Type="http://schemas.openxmlformats.org/officeDocument/2006/relationships/hyperlink" Target="https://www.statista.com/topics/2278/electric-vehicles/" TargetMode="External" Id="rId27" /><Relationship Type="http://schemas.openxmlformats.org/officeDocument/2006/relationships/footer" Target="footer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Maazouz</dc:creator>
  <keywords/>
  <dc:description/>
  <lastModifiedBy>Hevin Ashvinbhai Godhani (2519666)</lastModifiedBy>
  <revision>43</revision>
  <dcterms:created xsi:type="dcterms:W3CDTF">2026-02-23T09:48:00.0000000Z</dcterms:created>
  <dcterms:modified xsi:type="dcterms:W3CDTF">2026-03-27T06:00:53.8061668Z</dcterms:modified>
</coreProperties>
</file>