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27EA30" w14:textId="77777777" w:rsidR="006E0E6A" w:rsidRDefault="00BB6F64" w:rsidP="000F1600">
      <w:pPr>
        <w:spacing w:line="480" w:lineRule="auto"/>
        <w:jc w:val="center"/>
      </w:pPr>
      <w:r>
        <w:t>Journal</w:t>
      </w:r>
    </w:p>
    <w:p w14:paraId="788D2474" w14:textId="38241234" w:rsidR="009D1D5F" w:rsidRDefault="00BB6F64" w:rsidP="000F1600">
      <w:pPr>
        <w:spacing w:line="480" w:lineRule="auto"/>
      </w:pPr>
      <w:r>
        <w:t>The character I chose was the head of the merchants in Alexandria. According to Strabo, Alexandria was the most accessible place in Egypt, because the harbour could be used or goods could come from land or by the river.</w:t>
      </w:r>
      <w:r>
        <w:rPr>
          <w:rStyle w:val="FootnoteReference"/>
        </w:rPr>
        <w:footnoteReference w:id="1"/>
      </w:r>
      <w:r w:rsidR="0087341C">
        <w:t xml:space="preserve"> </w:t>
      </w:r>
      <w:r w:rsidR="00773525">
        <w:t xml:space="preserve">My character would be in charge of the daily </w:t>
      </w:r>
      <w:r w:rsidR="003B6BE3">
        <w:t>running</w:t>
      </w:r>
      <w:r w:rsidR="00773525">
        <w:t xml:space="preserve"> of the harbour and the maintenance of the lighthouse. My character would also have to set up and maintain </w:t>
      </w:r>
      <w:r w:rsidR="00655B2F">
        <w:t>trade deals with other satraps.</w:t>
      </w:r>
      <w:r>
        <w:t xml:space="preserve"> He is of Greek nationality so he could climb the career ladder an</w:t>
      </w:r>
      <w:r>
        <w:t>d have more prominent positions. The name of my character is Callimicus.</w:t>
      </w:r>
    </w:p>
    <w:p w14:paraId="1B97C2E7" w14:textId="59BC60EA" w:rsidR="0087341C" w:rsidRDefault="00BB6F64" w:rsidP="000F1600">
      <w:pPr>
        <w:spacing w:line="480" w:lineRule="auto"/>
      </w:pPr>
      <w:r>
        <w:t xml:space="preserve">In this journal, I selected events </w:t>
      </w:r>
      <w:r w:rsidR="00C51C40">
        <w:t xml:space="preserve">that my character had been involved in </w:t>
      </w:r>
      <w:r>
        <w:t xml:space="preserve">to write about and did so in chronological order. </w:t>
      </w:r>
      <w:r w:rsidR="00C51C40">
        <w:t xml:space="preserve">My character gained more important roles as time went on and became a </w:t>
      </w:r>
      <w:r w:rsidR="00773525">
        <w:t>prominent figure in Alexandria.</w:t>
      </w:r>
    </w:p>
    <w:p w14:paraId="12C6A714" w14:textId="7251DEC1" w:rsidR="001942A0" w:rsidRDefault="00BB6F64" w:rsidP="000F1600">
      <w:pPr>
        <w:spacing w:line="480" w:lineRule="auto"/>
      </w:pPr>
      <w:r>
        <w:t xml:space="preserve">The trade deal </w:t>
      </w:r>
      <w:r w:rsidR="00136EF6">
        <w:t>with Cilicia</w:t>
      </w:r>
    </w:p>
    <w:p w14:paraId="6A045785" w14:textId="7B042FD4" w:rsidR="002851C5" w:rsidRDefault="00BB6F64" w:rsidP="000F1600">
      <w:pPr>
        <w:spacing w:line="480" w:lineRule="auto"/>
      </w:pPr>
      <w:r>
        <w:t xml:space="preserve">My character </w:t>
      </w:r>
      <w:r w:rsidR="00451B69">
        <w:t xml:space="preserve">Callimicus </w:t>
      </w:r>
      <w:r w:rsidR="00D376BD">
        <w:t>set up</w:t>
      </w:r>
      <w:r>
        <w:t xml:space="preserve"> trade deal</w:t>
      </w:r>
      <w:r w:rsidR="00D376BD">
        <w:t>s</w:t>
      </w:r>
      <w:r>
        <w:t xml:space="preserve"> with many nations, one of which was Cilicia. </w:t>
      </w:r>
      <w:r w:rsidR="00136EF6">
        <w:t>In the role pl</w:t>
      </w:r>
      <w:bookmarkStart w:id="0" w:name="_GoBack"/>
      <w:bookmarkEnd w:id="0"/>
      <w:r w:rsidR="00136EF6">
        <w:t xml:space="preserve">ay, </w:t>
      </w:r>
      <w:r w:rsidR="0087341C">
        <w:t>King Ptolemy IV was setting up his campaign to invade Antioch. In order to do this, he required ships to be built in order to get the soldiers from Cyprus to Antioch.</w:t>
      </w:r>
      <w:r>
        <w:rPr>
          <w:rStyle w:val="FootnoteReference"/>
        </w:rPr>
        <w:footnoteReference w:id="2"/>
      </w:r>
      <w:r w:rsidR="009D1D5F">
        <w:t xml:space="preserve"> Timber was often imported into Alexandria.</w:t>
      </w:r>
      <w:r>
        <w:rPr>
          <w:rStyle w:val="FootnoteReference"/>
        </w:rPr>
        <w:footnoteReference w:id="3"/>
      </w:r>
      <w:r w:rsidR="0087341C">
        <w:t xml:space="preserve"> Cilicia was rich in wood at the time and would be a useful nation to trade with due to </w:t>
      </w:r>
      <w:r w:rsidR="00136EF6">
        <w:t>its</w:t>
      </w:r>
      <w:r w:rsidR="0087341C">
        <w:t xml:space="preserve"> location which was close to the </w:t>
      </w:r>
      <w:r w:rsidR="007A2E72">
        <w:t xml:space="preserve">Mediterranean Sea. Cilicia </w:t>
      </w:r>
      <w:r w:rsidR="00136EF6">
        <w:t xml:space="preserve">was being </w:t>
      </w:r>
      <w:r w:rsidR="007A2E72">
        <w:t xml:space="preserve">loyal to the </w:t>
      </w:r>
      <w:r w:rsidR="007A2E72" w:rsidRPr="00D376BD">
        <w:t>Ptolem</w:t>
      </w:r>
      <w:r w:rsidR="00D376BD" w:rsidRPr="00D376BD">
        <w:t>ies</w:t>
      </w:r>
      <w:r w:rsidR="007A2E72">
        <w:t>. The wood from Cilicia would be transported back to Alexandria and built into ships in one of the Alexandrian shipyards. In return for the wood, Cilicia would gain grain and wheat for food from the Royal granaries in Alexandria.</w:t>
      </w:r>
      <w:r>
        <w:rPr>
          <w:rStyle w:val="FootnoteReference"/>
        </w:rPr>
        <w:footnoteReference w:id="4"/>
      </w:r>
      <w:r w:rsidR="009D1D5F">
        <w:t xml:space="preserve"> Alexandria grew vast amounts of wheat and barley.</w:t>
      </w:r>
      <w:r>
        <w:rPr>
          <w:rStyle w:val="FootnoteReference"/>
        </w:rPr>
        <w:footnoteReference w:id="5"/>
      </w:r>
      <w:r w:rsidR="007A2E72">
        <w:t xml:space="preserve"> </w:t>
      </w:r>
      <w:r w:rsidR="00136EF6">
        <w:t>In the role play, t</w:t>
      </w:r>
      <w:r w:rsidR="007A2E72">
        <w:t xml:space="preserve">he food would be used to feed the five thousand men currently stationed at Cyprus. </w:t>
      </w:r>
      <w:r w:rsidR="00266A6B">
        <w:t xml:space="preserve">In the sessions this deal was not a long-standing trade agreement, it was a short one-time agreement. Although, </w:t>
      </w:r>
      <w:r w:rsidR="00266A6B">
        <w:lastRenderedPageBreak/>
        <w:t xml:space="preserve">there was a general trade agreement with Cilicia. The trade agreement unexpectedly came to an end when Cilicia and then Cyprus was taken from the Ptolemies by the Seleucids. </w:t>
      </w:r>
    </w:p>
    <w:p w14:paraId="466642FB" w14:textId="6AE49908" w:rsidR="00F9720B" w:rsidRDefault="00BB6F64" w:rsidP="000F1600">
      <w:pPr>
        <w:spacing w:line="480" w:lineRule="auto"/>
      </w:pPr>
      <w:r>
        <w:t>I have not found direct evidence</w:t>
      </w:r>
      <w:r>
        <w:t xml:space="preserve"> that links the trade of Cilicia with Alexandria. However, Cyprus </w:t>
      </w:r>
      <w:r w:rsidR="009D1D5F">
        <w:t>was geographically close to Cilicia so it is possible that they could have had good trade links.</w:t>
      </w:r>
      <w:r>
        <w:t xml:space="preserve"> Cyprus was once under the Ptolemaic rule until taken by the Romans.</w:t>
      </w:r>
      <w:r w:rsidR="00BD2295">
        <w:t xml:space="preserve"> Polybius writes that one of the Generals ‘</w:t>
      </w:r>
      <w:r w:rsidR="00BD2295" w:rsidRPr="00BD2295">
        <w:t>made up a large sum and sent it to Alexandria so that both king Ptolemy himself and his courtiers expressed their approval</w:t>
      </w:r>
      <w:r w:rsidR="00BD2295">
        <w:t>’.</w:t>
      </w:r>
      <w:r>
        <w:rPr>
          <w:rStyle w:val="FootnoteReference"/>
        </w:rPr>
        <w:footnoteReference w:id="6"/>
      </w:r>
      <w:r>
        <w:t xml:space="preserve"> It could be suggested that</w:t>
      </w:r>
      <w:r w:rsidR="00173AF7">
        <w:t xml:space="preserve"> there was</w:t>
      </w:r>
      <w:r>
        <w:t xml:space="preserve"> trade</w:t>
      </w:r>
      <w:r w:rsidR="00136EF6">
        <w:t xml:space="preserve"> between Cyprus and Alexandria i</w:t>
      </w:r>
      <w:r>
        <w:t>n place at the time and because of this</w:t>
      </w:r>
      <w:r>
        <w:t xml:space="preserve"> trade from Cilicia could travel through Cyprus.</w:t>
      </w:r>
      <w:r>
        <w:rPr>
          <w:rStyle w:val="FootnoteReference"/>
        </w:rPr>
        <w:footnoteReference w:id="7"/>
      </w:r>
      <w:r>
        <w:t xml:space="preserve"> </w:t>
      </w:r>
      <w:r w:rsidR="00BD2295">
        <w:t xml:space="preserve">The author of this source is Polybius with his work Histories that features events from 220 to 146BC and the audience </w:t>
      </w:r>
      <w:r w:rsidR="00136EF6">
        <w:t>was</w:t>
      </w:r>
      <w:r w:rsidR="00BD2295">
        <w:t xml:space="preserve"> the Greek and possibly Roman elite.</w:t>
      </w:r>
      <w:r>
        <w:rPr>
          <w:rStyle w:val="FootnoteReference"/>
        </w:rPr>
        <w:footnoteReference w:id="8"/>
      </w:r>
      <w:r w:rsidR="00BD2295">
        <w:t xml:space="preserve"> The purpose of the books is to show </w:t>
      </w:r>
      <w:r w:rsidR="004D3D19">
        <w:t xml:space="preserve">the Macedonian royalty and power, which ‘impressed' Polybius, through to </w:t>
      </w:r>
      <w:r w:rsidR="00BD2295">
        <w:t>Rome's rise to power, this might explain why Polybius chose to talk about the island of Cyprus because eventually, Rome captures Cyprus from the Ptolemies.</w:t>
      </w:r>
      <w:r>
        <w:rPr>
          <w:rStyle w:val="FootnoteReference"/>
        </w:rPr>
        <w:footnoteReference w:id="9"/>
      </w:r>
      <w:r w:rsidR="00BD2295">
        <w:t xml:space="preserve"> Polybius was a reliable source and tried to omit stories and speeches he considered to be false.</w:t>
      </w:r>
      <w:r>
        <w:rPr>
          <w:rStyle w:val="FootnoteReference"/>
        </w:rPr>
        <w:footnoteReference w:id="10"/>
      </w:r>
    </w:p>
    <w:p w14:paraId="5661E2C8" w14:textId="61FAE5FC" w:rsidR="007A2E72" w:rsidRDefault="00BB6F64" w:rsidP="000F1600">
      <w:pPr>
        <w:spacing w:line="480" w:lineRule="auto"/>
      </w:pPr>
      <w:r>
        <w:t xml:space="preserve">Riot </w:t>
      </w:r>
      <w:r w:rsidR="00136EF6">
        <w:t>with Ptolemy IV</w:t>
      </w:r>
    </w:p>
    <w:p w14:paraId="0445FFFB" w14:textId="1EF553E4" w:rsidR="001942A0" w:rsidRDefault="00BB6F64" w:rsidP="000F1600">
      <w:pPr>
        <w:spacing w:line="480" w:lineRule="auto"/>
      </w:pPr>
      <w:r>
        <w:t>Egypt</w:t>
      </w:r>
      <w:r w:rsidR="007A2E72">
        <w:t xml:space="preserve"> was noted for having many riots when </w:t>
      </w:r>
      <w:r w:rsidR="00266A6B">
        <w:t xml:space="preserve">the population became </w:t>
      </w:r>
      <w:r w:rsidR="007A2E72">
        <w:t xml:space="preserve">dissatisfied. </w:t>
      </w:r>
      <w:r w:rsidR="00266A6B">
        <w:t>Although m</w:t>
      </w:r>
      <w:r w:rsidR="006B74D6">
        <w:t>y character’s job was head of trade, he is a prominent member of the community and often ended up at the head of the mob and in charge of negotiating</w:t>
      </w:r>
      <w:r>
        <w:t xml:space="preserve"> </w:t>
      </w:r>
      <w:r w:rsidR="006B74D6">
        <w:t>the end of the riot.</w:t>
      </w:r>
      <w:r w:rsidR="00C51C40">
        <w:t xml:space="preserve"> During the riot, my character would </w:t>
      </w:r>
      <w:r w:rsidR="00B4352C">
        <w:t>close off the ports in order to affect the income of the king and to have citizens put pressu</w:t>
      </w:r>
      <w:r w:rsidR="00C25CD8">
        <w:t>r</w:t>
      </w:r>
      <w:r w:rsidR="00B4352C">
        <w:t>e on him</w:t>
      </w:r>
      <w:r w:rsidR="00ED6B2C">
        <w:t xml:space="preserve"> this affected travel and trade to Egypt.</w:t>
      </w:r>
      <w:r w:rsidR="00136EF6">
        <w:t xml:space="preserve"> Travel was affected by the riots that took place in Alexandria. </w:t>
      </w:r>
      <w:r>
        <w:rPr>
          <w:rStyle w:val="FootnoteReference"/>
        </w:rPr>
        <w:footnoteReference w:id="11"/>
      </w:r>
      <w:r w:rsidR="006B74D6">
        <w:t xml:space="preserve"> This shows that my character was an influential man in power at the time and was </w:t>
      </w:r>
      <w:r w:rsidR="006B74D6">
        <w:lastRenderedPageBreak/>
        <w:t xml:space="preserve">helpful in starting riots. One of the riots that started was because of the neglect of King Ptolemy IV. </w:t>
      </w:r>
      <w:r w:rsidR="00136EF6">
        <w:t xml:space="preserve">In the role play, </w:t>
      </w:r>
      <w:r w:rsidR="006B74D6">
        <w:t>King Ptolemy</w:t>
      </w:r>
      <w:r w:rsidR="00136EF6">
        <w:t xml:space="preserve"> IV </w:t>
      </w:r>
      <w:r w:rsidR="006B74D6">
        <w:t xml:space="preserve">was away on a lengthy campaign at the time which was costly. Due to this, there was a cancellation of festivals and a rise in taxes as well as his lack of presence in Alexandria for extended periods of time. </w:t>
      </w:r>
      <w:r w:rsidR="00870B86">
        <w:t xml:space="preserve">During the revolt, forty percent of the city burnt down, including many government buildings. </w:t>
      </w:r>
      <w:r w:rsidR="006B74D6">
        <w:t xml:space="preserve"> </w:t>
      </w:r>
      <w:r w:rsidR="00266A6B">
        <w:t xml:space="preserve">The revolt was more successful than expected as King Ptolemy IV returned immediately from the campaign and there were negotiations. The revolt also resulted in more of the city burning down than expected.  </w:t>
      </w:r>
    </w:p>
    <w:p w14:paraId="141FFD2A" w14:textId="6F01CEB1" w:rsidR="000252D1" w:rsidRDefault="0097780C" w:rsidP="000F1600">
      <w:pPr>
        <w:spacing w:line="480" w:lineRule="auto"/>
      </w:pPr>
      <w:r>
        <w:t>Historically, r</w:t>
      </w:r>
      <w:r w:rsidR="00BB6F64">
        <w:t xml:space="preserve">evolts were often dealt with in violent ways such as a revolt in Egypt took place because the elders of that village were uncertain about Ptolemaic influence in their village. Ptolemy responded by brutally </w:t>
      </w:r>
      <w:r w:rsidR="00BB6F64">
        <w:t>torturing and killing those</w:t>
      </w:r>
      <w:r w:rsidR="00ED6B2C">
        <w:t xml:space="preserve"> involved</w:t>
      </w:r>
      <w:r w:rsidR="00D23B00">
        <w:t>.</w:t>
      </w:r>
      <w:r w:rsidR="00BB6F64">
        <w:rPr>
          <w:rStyle w:val="FootnoteReference"/>
        </w:rPr>
        <w:footnoteReference w:id="12"/>
      </w:r>
      <w:r w:rsidR="00611736">
        <w:t xml:space="preserve"> </w:t>
      </w:r>
      <w:r w:rsidR="00ED6B2C">
        <w:t xml:space="preserve">There were revolts in the second century due to the raising </w:t>
      </w:r>
      <w:r w:rsidR="00136EF6">
        <w:t xml:space="preserve">of </w:t>
      </w:r>
      <w:r w:rsidR="00ED6B2C">
        <w:t xml:space="preserve">taxes and </w:t>
      </w:r>
      <w:r w:rsidR="00136EF6">
        <w:t>the depressed</w:t>
      </w:r>
      <w:r w:rsidR="00ED6B2C">
        <w:t xml:space="preserve"> economy.</w:t>
      </w:r>
      <w:r w:rsidR="00BB6F64">
        <w:rPr>
          <w:rStyle w:val="FootnoteReference"/>
        </w:rPr>
        <w:footnoteReference w:id="13"/>
      </w:r>
      <w:r w:rsidR="00ED6B2C">
        <w:t xml:space="preserve"> </w:t>
      </w:r>
      <w:r w:rsidR="00FE5198">
        <w:t>One of the main revolts that took place in Alexandria was the Jewish revolt between 115 to 117AD</w:t>
      </w:r>
      <w:r w:rsidR="00136EF6">
        <w:t>, at this time t</w:t>
      </w:r>
      <w:r w:rsidR="00FE5198">
        <w:t>here was a large Jewish Po</w:t>
      </w:r>
      <w:r w:rsidR="00BB6F64">
        <w:t>p</w:t>
      </w:r>
      <w:r w:rsidR="00FE5198">
        <w:t xml:space="preserve">ulation in </w:t>
      </w:r>
      <w:r w:rsidR="00BB6F64">
        <w:t>Alexandria</w:t>
      </w:r>
      <w:r w:rsidR="00FE5198">
        <w:t>.</w:t>
      </w:r>
      <w:r w:rsidR="00BB6F64">
        <w:rPr>
          <w:rStyle w:val="FootnoteReference"/>
        </w:rPr>
        <w:footnoteReference w:id="14"/>
      </w:r>
      <w:r w:rsidR="003065EF">
        <w:t xml:space="preserve"> There had bee</w:t>
      </w:r>
      <w:r w:rsidR="008A7060">
        <w:t>n</w:t>
      </w:r>
      <w:r w:rsidR="003065EF">
        <w:t xml:space="preserve"> many anti-</w:t>
      </w:r>
      <w:r w:rsidR="00BB6F64">
        <w:t>semitic</w:t>
      </w:r>
      <w:r w:rsidR="003065EF">
        <w:t xml:space="preserve"> attacks in Alexandria, where </w:t>
      </w:r>
      <w:r w:rsidR="00BB6F64">
        <w:t>synagogues</w:t>
      </w:r>
      <w:r w:rsidR="003065EF">
        <w:t xml:space="preserve"> were destroyed and </w:t>
      </w:r>
      <w:r w:rsidR="00BB6F64">
        <w:t>Jewish</w:t>
      </w:r>
      <w:r w:rsidR="003065EF">
        <w:t xml:space="preserve"> s</w:t>
      </w:r>
      <w:r w:rsidR="00136EF6">
        <w:t>hop</w:t>
      </w:r>
      <w:r w:rsidR="003065EF">
        <w:t>s were looted</w:t>
      </w:r>
      <w:r w:rsidR="00BB6F64">
        <w:t xml:space="preserve"> as the Jewish were not considered to be full citizens and did not have as many privileges </w:t>
      </w:r>
      <w:r w:rsidR="00BB6F64">
        <w:t>as the Roman citizens.</w:t>
      </w:r>
      <w:r w:rsidR="00BB6F64">
        <w:rPr>
          <w:rStyle w:val="FootnoteReference"/>
        </w:rPr>
        <w:footnoteReference w:id="15"/>
      </w:r>
      <w:r w:rsidR="00BB6F64">
        <w:t xml:space="preserve"> This sparked revolts from Jews in </w:t>
      </w:r>
      <w:r w:rsidR="00BB6F64" w:rsidRPr="000252D1">
        <w:t>Cyrenaica</w:t>
      </w:r>
      <w:r w:rsidR="00BB6F64">
        <w:t xml:space="preserve"> that continued into Alexandria and Cyprus and required a large military presence to stop.</w:t>
      </w:r>
      <w:r w:rsidR="00BB6F64">
        <w:rPr>
          <w:rStyle w:val="FootnoteReference"/>
        </w:rPr>
        <w:footnoteReference w:id="16"/>
      </w:r>
      <w:r w:rsidR="008A7060">
        <w:t xml:space="preserve"> </w:t>
      </w:r>
      <w:r w:rsidR="00BB6F64">
        <w:t>Fuks writes that i</w:t>
      </w:r>
      <w:r w:rsidR="008A7060">
        <w:t xml:space="preserve">n the revolt roads and </w:t>
      </w:r>
      <w:r w:rsidR="00BB6F64">
        <w:t>newly</w:t>
      </w:r>
      <w:r w:rsidR="008A7060">
        <w:t xml:space="preserve"> restored temples were destroyed</w:t>
      </w:r>
      <w:r w:rsidR="00BB6F64">
        <w:t xml:space="preserve"> as well as houses </w:t>
      </w:r>
      <w:r w:rsidR="00BB6F64">
        <w:t>and other objects.</w:t>
      </w:r>
      <w:r w:rsidR="00BB6F64">
        <w:rPr>
          <w:rStyle w:val="FootnoteReference"/>
        </w:rPr>
        <w:footnoteReference w:id="17"/>
      </w:r>
      <w:r w:rsidR="00BB6F64">
        <w:t xml:space="preserve"> Many of the Jews were killed in the restoration of the peace, and many were killed to eradicate Jews </w:t>
      </w:r>
      <w:r w:rsidR="00BB6F64" w:rsidRPr="00F062AA">
        <w:rPr>
          <w:rFonts w:cstheme="minorHAnsi"/>
        </w:rPr>
        <w:t xml:space="preserve">from this location as there was a strong wave of anti-Semitism at the time. </w:t>
      </w:r>
      <w:r w:rsidR="00BB6F64">
        <w:rPr>
          <w:rStyle w:val="FootnoteReference"/>
          <w:rFonts w:cstheme="minorHAnsi"/>
        </w:rPr>
        <w:footnoteReference w:id="18"/>
      </w:r>
      <w:r w:rsidR="00BB6F64" w:rsidRPr="00F062AA">
        <w:rPr>
          <w:rFonts w:cstheme="minorHAnsi"/>
        </w:rPr>
        <w:t xml:space="preserve"> Flavius Josephus writes that </w:t>
      </w:r>
      <w:r w:rsidR="00BB6F64">
        <w:rPr>
          <w:rFonts w:cstheme="minorHAnsi"/>
        </w:rPr>
        <w:t>‘</w:t>
      </w:r>
      <w:r w:rsidR="00BB6F64" w:rsidRPr="00F062AA">
        <w:rPr>
          <w:rFonts w:cstheme="minorHAnsi"/>
          <w:color w:val="000000"/>
        </w:rPr>
        <w:t>the Jews</w:t>
      </w:r>
      <w:r w:rsidR="00BB6F64">
        <w:rPr>
          <w:rFonts w:cstheme="minorHAnsi"/>
          <w:color w:val="000000"/>
        </w:rPr>
        <w:t>…</w:t>
      </w:r>
      <w:r w:rsidR="00BB6F64" w:rsidRPr="00F062AA">
        <w:rPr>
          <w:rFonts w:cstheme="minorHAnsi"/>
          <w:color w:val="000000"/>
        </w:rPr>
        <w:t xml:space="preserve">revolted from the </w:t>
      </w:r>
      <w:r w:rsidR="00BB6F64" w:rsidRPr="00F062AA">
        <w:rPr>
          <w:rFonts w:cstheme="minorHAnsi"/>
          <w:color w:val="000000"/>
        </w:rPr>
        <w:t xml:space="preserve">Egyptians, and what country they </w:t>
      </w:r>
      <w:r w:rsidR="00136EF6" w:rsidRPr="00136EF6">
        <w:rPr>
          <w:rFonts w:cstheme="minorHAnsi"/>
          <w:color w:val="000000"/>
        </w:rPr>
        <w:t>travelled</w:t>
      </w:r>
      <w:r w:rsidR="00BB6F64" w:rsidRPr="00F062AA">
        <w:rPr>
          <w:rFonts w:cstheme="minorHAnsi"/>
          <w:color w:val="000000"/>
        </w:rPr>
        <w:t xml:space="preserve"> over, and what countries they seized upon afterwards, and how they were removed out of </w:t>
      </w:r>
      <w:r w:rsidR="00BB6F64" w:rsidRPr="00F062AA">
        <w:rPr>
          <w:rFonts w:cstheme="minorHAnsi"/>
          <w:color w:val="000000"/>
        </w:rPr>
        <w:lastRenderedPageBreak/>
        <w:t>them</w:t>
      </w:r>
      <w:r w:rsidR="00BB6F64">
        <w:rPr>
          <w:rFonts w:cstheme="minorHAnsi"/>
          <w:color w:val="000000"/>
        </w:rPr>
        <w:t>’.</w:t>
      </w:r>
      <w:r w:rsidR="00BB6F64">
        <w:rPr>
          <w:rStyle w:val="FootnoteReference"/>
          <w:rFonts w:cstheme="minorHAnsi"/>
          <w:color w:val="000000"/>
        </w:rPr>
        <w:footnoteReference w:id="19"/>
      </w:r>
      <w:r w:rsidR="00136EF6">
        <w:rPr>
          <w:rFonts w:cstheme="minorHAnsi"/>
          <w:color w:val="000000"/>
        </w:rPr>
        <w:t xml:space="preserve"> The hatred of Jews had been a long-standing ancient opinion that had moved and followed into modern day.  </w:t>
      </w:r>
    </w:p>
    <w:p w14:paraId="4AB6D4F0" w14:textId="77777777" w:rsidR="001942A0" w:rsidRDefault="00BB6F64" w:rsidP="000F1600">
      <w:pPr>
        <w:spacing w:line="480" w:lineRule="auto"/>
      </w:pPr>
      <w:r>
        <w:t xml:space="preserve">Tax reduction negotiation </w:t>
      </w:r>
    </w:p>
    <w:p w14:paraId="02EF8B6D" w14:textId="3AC4841A" w:rsidR="0097780C" w:rsidRDefault="00BB6F64" w:rsidP="0097780C">
      <w:pPr>
        <w:spacing w:line="480" w:lineRule="auto"/>
      </w:pPr>
      <w:r>
        <w:t>In the role play, t</w:t>
      </w:r>
      <w:r w:rsidR="00D23B00">
        <w:t xml:space="preserve">here were negotiations because of the revolt and Ptolemy IV wanted a peaceful quick solution to the problem. My character became a pivotal figure in these negotiations. One of the main features of the </w:t>
      </w:r>
      <w:r w:rsidR="00E61B0C">
        <w:t xml:space="preserve">negotiation </w:t>
      </w:r>
      <w:r w:rsidR="00D23B00">
        <w:t xml:space="preserve">that my character campaigned heavily for was a reduction in the trade tax of items entering Alexandria, particularly those that came from Egypt. The trade tax rate was around twenty-five percent at the time. After extensive </w:t>
      </w:r>
      <w:r w:rsidR="00E61B0C">
        <w:t xml:space="preserve">negotiations </w:t>
      </w:r>
      <w:r w:rsidR="00D23B00">
        <w:t>that lasted months, there was a tax break of around two percent and the tax rate became 23 percent. As part of the negotiations, there was also a new temple to be built, in order to satisfy the head priestess of Alexandria as well as the permission to carry out festivals that had previously been cancelled. There was also going to be new government buildings constructed due to the previous ones being burnt down in the riot.</w:t>
      </w:r>
      <w:r w:rsidR="0097780C" w:rsidRPr="0097780C">
        <w:t xml:space="preserve"> </w:t>
      </w:r>
      <w:r w:rsidR="0097780C">
        <w:t>The tax reduction negotiations were more successful than I had anticipated. I was surprised to be granted all of the things that the city of Alexandria wanted and was expecting to have to make compromises due to such an expensive campaign happening at the same time.</w:t>
      </w:r>
    </w:p>
    <w:p w14:paraId="6313D2C7" w14:textId="62A09281" w:rsidR="00200C14" w:rsidRDefault="00200C14" w:rsidP="000F1600">
      <w:pPr>
        <w:spacing w:line="480" w:lineRule="auto"/>
      </w:pPr>
    </w:p>
    <w:p w14:paraId="3313109F" w14:textId="21BDC621" w:rsidR="00AA2024" w:rsidRDefault="00BB6F64" w:rsidP="000F1600">
      <w:pPr>
        <w:spacing w:line="480" w:lineRule="auto"/>
      </w:pPr>
      <w:r>
        <w:t>In the ancient time, t</w:t>
      </w:r>
      <w:r w:rsidR="009D1D5F">
        <w:t>he Ptolemies had control over the tax rates.</w:t>
      </w:r>
      <w:r>
        <w:rPr>
          <w:rStyle w:val="FootnoteReference"/>
        </w:rPr>
        <w:footnoteReference w:id="20"/>
      </w:r>
      <w:r w:rsidR="009D1D5F">
        <w:t xml:space="preserve"> </w:t>
      </w:r>
      <w:r w:rsidR="00ED6B2C">
        <w:t>The Ptolemies are said to have high trade tax rates, because of the double customs collected on goods.</w:t>
      </w:r>
      <w:r>
        <w:rPr>
          <w:rStyle w:val="FootnoteReference"/>
        </w:rPr>
        <w:footnoteReference w:id="21"/>
      </w:r>
      <w:r w:rsidR="00ED6B2C">
        <w:t xml:space="preserve"> </w:t>
      </w:r>
      <w:r w:rsidR="009D1D5F">
        <w:t>However, the figure of this</w:t>
      </w:r>
      <w:r w:rsidR="00D23B00">
        <w:t xml:space="preserve"> tax rate is from the Roman period but is the most likely and realistic </w:t>
      </w:r>
      <w:r>
        <w:t xml:space="preserve">figure </w:t>
      </w:r>
      <w:r w:rsidR="00D23B00">
        <w:t>as well as being the closest piece of evidence to the time. The information comes from the Muziris papyrus.</w:t>
      </w:r>
      <w:r>
        <w:rPr>
          <w:rStyle w:val="FootnoteReference"/>
        </w:rPr>
        <w:footnoteReference w:id="22"/>
      </w:r>
      <w:r w:rsidR="008C080E">
        <w:t xml:space="preserve"> The Muziris papyrus is a piece of text detailing the cargo from Alexandria to Muziris in the second century AD and shows how the Roman empire traded with India.</w:t>
      </w:r>
      <w:r w:rsidR="0039475C">
        <w:t xml:space="preserve"> </w:t>
      </w:r>
      <w:r w:rsidR="00282205">
        <w:t>It shows the det</w:t>
      </w:r>
      <w:r w:rsidR="005B3C92">
        <w:t>ails of a Mar</w:t>
      </w:r>
      <w:r w:rsidR="00282205">
        <w:t xml:space="preserve">itime </w:t>
      </w:r>
      <w:r w:rsidR="00282205">
        <w:lastRenderedPageBreak/>
        <w:t>loa</w:t>
      </w:r>
      <w:r w:rsidR="005B3C92">
        <w:t xml:space="preserve">n </w:t>
      </w:r>
      <w:r w:rsidR="00282205">
        <w:t>for the cargo.</w:t>
      </w:r>
      <w:r>
        <w:rPr>
          <w:rStyle w:val="FootnoteReference"/>
        </w:rPr>
        <w:footnoteReference w:id="23"/>
      </w:r>
      <w:r w:rsidR="00EF21CD">
        <w:t xml:space="preserve"> The products on board the ship are believed to have been worth around seven million sesterces.</w:t>
      </w:r>
      <w:r>
        <w:rPr>
          <w:rStyle w:val="FootnoteReference"/>
        </w:rPr>
        <w:footnoteReference w:id="24"/>
      </w:r>
      <w:r w:rsidR="00D23B00">
        <w:t xml:space="preserve"> There is no direct evidence from the period that there was a reduction in tax, however, there is evidence that the tax increased and made the citizens of Alexandria unhappy.</w:t>
      </w:r>
      <w:r>
        <w:rPr>
          <w:rStyle w:val="FootnoteReference"/>
        </w:rPr>
        <w:footnoteReference w:id="25"/>
      </w:r>
    </w:p>
    <w:p w14:paraId="6577F32A" w14:textId="27220661" w:rsidR="001942A0" w:rsidRDefault="00BB6F64" w:rsidP="000F1600">
      <w:pPr>
        <w:spacing w:line="480" w:lineRule="auto"/>
      </w:pPr>
      <w:r>
        <w:t>Trade for exotic animals</w:t>
      </w:r>
    </w:p>
    <w:p w14:paraId="45B885F2" w14:textId="007D7C38" w:rsidR="00200C14" w:rsidRDefault="00BB6F64" w:rsidP="000F1600">
      <w:pPr>
        <w:spacing w:line="480" w:lineRule="auto"/>
      </w:pPr>
      <w:r>
        <w:t>One of the main features of Alexandria was an exotic zoo that had been built by Ptolemy II.</w:t>
      </w:r>
      <w:r>
        <w:rPr>
          <w:rStyle w:val="FootnoteReference"/>
        </w:rPr>
        <w:footnoteReference w:id="26"/>
      </w:r>
      <w:r>
        <w:t xml:space="preserve"> </w:t>
      </w:r>
      <w:r w:rsidR="00B404FA">
        <w:t xml:space="preserve">One of the roles of my character was to make </w:t>
      </w:r>
      <w:r w:rsidR="00AA2024">
        <w:t>negotiations</w:t>
      </w:r>
      <w:r w:rsidR="00B404FA">
        <w:t xml:space="preserve"> with other nations in order to secure more exotic animals. In order to achieve this, my character had to </w:t>
      </w:r>
      <w:r w:rsidR="00D376BD">
        <w:t>send</w:t>
      </w:r>
      <w:r w:rsidR="00B404FA">
        <w:t xml:space="preserve"> envoys to</w:t>
      </w:r>
      <w:r w:rsidR="001D5A41">
        <w:t xml:space="preserve"> other nations such as Cole Syria, Antioch and Cilicia. These nations were the closest but my character was unsuccessful in finding exotic animals there. My character managed to have access to exotic Indian animals such as tigers through creating an alliance with another nation along the middle trade route to ensure that none of the cargo went missing or was attacked.</w:t>
      </w:r>
      <w:r>
        <w:rPr>
          <w:rStyle w:val="FootnoteReference"/>
        </w:rPr>
        <w:footnoteReference w:id="27"/>
      </w:r>
      <w:r w:rsidR="001D5A41">
        <w:t xml:space="preserve"> Whilst researching I discovered that there were many of the elephants used in elephant hunting at the zoo, as well as a rare white crocodile and </w:t>
      </w:r>
      <w:r w:rsidR="00882414">
        <w:t>pythons from Ethiopia</w:t>
      </w:r>
      <w:r w:rsidR="001D5A41">
        <w:t>.</w:t>
      </w:r>
      <w:r>
        <w:rPr>
          <w:rStyle w:val="FootnoteReference"/>
        </w:rPr>
        <w:footnoteReference w:id="28"/>
      </w:r>
      <w:r w:rsidR="001D5A41">
        <w:t xml:space="preserve"> </w:t>
      </w:r>
      <w:r w:rsidR="00ED6B2C">
        <w:t>In the role play, It was difficult to trade for exotic animals, as people from other nations were unsure what animals they had or could obtain.</w:t>
      </w:r>
    </w:p>
    <w:p w14:paraId="15C4DC7D" w14:textId="5AB7A095" w:rsidR="001D5A41" w:rsidRDefault="00BB6F64" w:rsidP="000F1600">
      <w:pPr>
        <w:spacing w:line="480" w:lineRule="auto"/>
      </w:pPr>
      <w:r>
        <w:t xml:space="preserve">This is very historically accurate as there would be the trade with India </w:t>
      </w:r>
      <w:r w:rsidR="00BA1D59">
        <w:t xml:space="preserve">for exotic animals as part of the trade agreement. </w:t>
      </w:r>
      <w:r w:rsidR="00882414" w:rsidRPr="00882414">
        <w:rPr>
          <w:rFonts w:cstheme="minorHAnsi"/>
        </w:rPr>
        <w:t>India was known for it's Tigers as Pausanias says ‘</w:t>
      </w:r>
      <w:r w:rsidR="00882414" w:rsidRPr="00882414">
        <w:rPr>
          <w:rFonts w:cstheme="minorHAnsi"/>
          <w:color w:val="000000"/>
        </w:rPr>
        <w:t xml:space="preserve">The beast described by Ctesias in his Indian history, which he says is called martichoras by the Indians and man-eater by the Greeks, I </w:t>
      </w:r>
      <w:r w:rsidR="00882414" w:rsidRPr="009B1C7C">
        <w:rPr>
          <w:rFonts w:cstheme="minorHAnsi"/>
        </w:rPr>
        <w:t>am inclined to think is the tiger’.</w:t>
      </w:r>
      <w:r>
        <w:rPr>
          <w:rStyle w:val="FootnoteReference"/>
          <w:rFonts w:cstheme="minorHAnsi"/>
        </w:rPr>
        <w:footnoteReference w:id="29"/>
      </w:r>
      <w:r w:rsidR="009B1C7C" w:rsidRPr="009B1C7C">
        <w:rPr>
          <w:rFonts w:cstheme="minorHAnsi"/>
        </w:rPr>
        <w:t xml:space="preserve"> Diodorus Siculus also says for the Zoo Ptolemy was ‘expending on this hobby great sums of money, not only collected great herds of war-elephants but also brought to the knowledge of the Greeks other kinds of animals which had never before been </w:t>
      </w:r>
      <w:r w:rsidR="009B1C7C" w:rsidRPr="009B1C7C">
        <w:rPr>
          <w:rFonts w:cstheme="minorHAnsi"/>
        </w:rPr>
        <w:lastRenderedPageBreak/>
        <w:t>seen and were objects of amazement'.</w:t>
      </w:r>
      <w:r>
        <w:rPr>
          <w:rStyle w:val="FootnoteReference"/>
          <w:rFonts w:cstheme="minorHAnsi"/>
        </w:rPr>
        <w:footnoteReference w:id="30"/>
      </w:r>
      <w:r w:rsidR="009B1C7C">
        <w:rPr>
          <w:rFonts w:cstheme="minorHAnsi"/>
        </w:rPr>
        <w:t xml:space="preserve"> </w:t>
      </w:r>
      <w:r w:rsidR="00BA1D59">
        <w:t>There would also have to be alliances made with other satraps to ensure that the cargo did not get stolen or attacked.</w:t>
      </w:r>
      <w:r w:rsidR="00ED6B2C">
        <w:t xml:space="preserve"> Ships would also have guards for ships and Grafton believes that there </w:t>
      </w:r>
      <w:r w:rsidR="005B3C92">
        <w:t>was</w:t>
      </w:r>
      <w:r w:rsidR="00ED6B2C">
        <w:t xml:space="preserve"> a type of ‘police boat’ that would guard the ship.</w:t>
      </w:r>
      <w:r>
        <w:rPr>
          <w:rStyle w:val="FootnoteReference"/>
        </w:rPr>
        <w:footnoteReference w:id="31"/>
      </w:r>
      <w:r w:rsidR="00BA1D59">
        <w:t xml:space="preserve"> </w:t>
      </w:r>
      <w:r w:rsidR="00ED6B2C">
        <w:t xml:space="preserve">Alexandrian ships would often go </w:t>
      </w:r>
      <w:r w:rsidR="00ED6B2C" w:rsidRPr="00882414">
        <w:rPr>
          <w:rFonts w:cstheme="minorHAnsi"/>
        </w:rPr>
        <w:t xml:space="preserve">to </w:t>
      </w:r>
      <w:r w:rsidR="005B3C92">
        <w:rPr>
          <w:rFonts w:cstheme="minorHAnsi"/>
        </w:rPr>
        <w:t>India</w:t>
      </w:r>
      <w:r w:rsidR="00ED6B2C" w:rsidRPr="00882414">
        <w:rPr>
          <w:rFonts w:cstheme="minorHAnsi"/>
        </w:rPr>
        <w:t xml:space="preserve"> and </w:t>
      </w:r>
      <w:r w:rsidR="005B3C92">
        <w:rPr>
          <w:rFonts w:cstheme="minorHAnsi"/>
        </w:rPr>
        <w:t xml:space="preserve">Ethiopia </w:t>
      </w:r>
      <w:r w:rsidR="00ED6B2C" w:rsidRPr="00882414">
        <w:rPr>
          <w:rFonts w:cstheme="minorHAnsi"/>
        </w:rPr>
        <w:t>for trade.</w:t>
      </w:r>
      <w:r>
        <w:rPr>
          <w:rStyle w:val="FootnoteReference"/>
          <w:rFonts w:cstheme="minorHAnsi"/>
        </w:rPr>
        <w:footnoteReference w:id="32"/>
      </w:r>
      <w:r w:rsidR="00882414" w:rsidRPr="00882414">
        <w:rPr>
          <w:rFonts w:cstheme="minorHAnsi"/>
        </w:rPr>
        <w:t xml:space="preserve"> </w:t>
      </w:r>
    </w:p>
    <w:p w14:paraId="229F8706" w14:textId="15FD4844" w:rsidR="001942A0" w:rsidRDefault="00BB6F64" w:rsidP="000F1600">
      <w:pPr>
        <w:spacing w:line="480" w:lineRule="auto"/>
      </w:pPr>
      <w:r>
        <w:t>The Riot of Neglected Alexandrians</w:t>
      </w:r>
    </w:p>
    <w:p w14:paraId="5D0BAFF8" w14:textId="607E36CD" w:rsidR="00991DB6" w:rsidRDefault="0097780C" w:rsidP="000F1600">
      <w:pPr>
        <w:spacing w:line="480" w:lineRule="auto"/>
      </w:pPr>
      <w:r>
        <w:t>In the r</w:t>
      </w:r>
      <w:r w:rsidR="00BB6F64">
        <w:t>ole</w:t>
      </w:r>
      <w:r>
        <w:t xml:space="preserve"> </w:t>
      </w:r>
      <w:r w:rsidR="00BB6F64">
        <w:t>play</w:t>
      </w:r>
      <w:r>
        <w:t>,</w:t>
      </w:r>
      <w:r w:rsidR="00BB6F64">
        <w:t xml:space="preserve"> t</w:t>
      </w:r>
      <w:r w:rsidR="00D23B00">
        <w:t>he head of Alexandria seemed to be more on the side</w:t>
      </w:r>
      <w:r w:rsidR="00E61B0C">
        <w:t xml:space="preserve"> of the Seleucid than the Ptolemies</w:t>
      </w:r>
      <w:r w:rsidR="002F26FC">
        <w:t xml:space="preserve"> as he supported the Seleucids when the rest of those in Alexandria did not want to</w:t>
      </w:r>
      <w:r w:rsidR="00D23B00">
        <w:t>. He took much of the army t</w:t>
      </w:r>
      <w:r w:rsidR="00401E31">
        <w:t xml:space="preserve">o help fight with the </w:t>
      </w:r>
      <w:r w:rsidR="002F26FC">
        <w:t>Seleucids</w:t>
      </w:r>
      <w:r w:rsidR="00401E31">
        <w:t xml:space="preserve"> and did not want to help with the grievances of those in Alexandria. Due to the neglect of the head of Alexandria, there was a revolt</w:t>
      </w:r>
      <w:r w:rsidR="00E61B0C">
        <w:t xml:space="preserve"> in the role play</w:t>
      </w:r>
      <w:r w:rsidR="00401E31">
        <w:t xml:space="preserve">. The head of Alexandria did not return to Alexandria to negotiate the end of the revolt, so the revolt continued on for many months. The revolt ended when the head of Alexandria switched to the side of the Seleucids. </w:t>
      </w:r>
      <w:r w:rsidR="00FB668F">
        <w:t xml:space="preserve">The </w:t>
      </w:r>
      <w:r w:rsidR="00E61B0C">
        <w:t>rioters</w:t>
      </w:r>
      <w:r w:rsidR="00FB668F">
        <w:t xml:space="preserve"> burnt down </w:t>
      </w:r>
      <w:r w:rsidR="00451B69">
        <w:t>five</w:t>
      </w:r>
      <w:r w:rsidR="00FB668F">
        <w:t xml:space="preserve"> percent of the</w:t>
      </w:r>
      <w:r w:rsidR="00451B69">
        <w:t xml:space="preserve"> unimportant parts of the</w:t>
      </w:r>
      <w:r w:rsidR="00FB668F">
        <w:t xml:space="preserve"> city. The head of Alexandria took</w:t>
      </w:r>
      <w:r w:rsidR="00BA1D59">
        <w:t xml:space="preserve"> eight percent</w:t>
      </w:r>
      <w:r w:rsidR="00FB668F">
        <w:t xml:space="preserve"> of the army and </w:t>
      </w:r>
      <w:r w:rsidR="00BA1D59">
        <w:t xml:space="preserve">fifteen percent of the </w:t>
      </w:r>
      <w:r w:rsidR="00FB668F">
        <w:t>navy with him</w:t>
      </w:r>
      <w:r w:rsidR="00BA1D59">
        <w:t xml:space="preserve"> when he joined the </w:t>
      </w:r>
      <w:r w:rsidR="00451B69">
        <w:t>Seleucids</w:t>
      </w:r>
      <w:r w:rsidR="00BA1D59">
        <w:t xml:space="preserve"> as a general</w:t>
      </w:r>
      <w:r w:rsidR="00FB668F">
        <w:t xml:space="preserve">. </w:t>
      </w:r>
    </w:p>
    <w:p w14:paraId="57F45C92" w14:textId="73D4696B" w:rsidR="00FB668F" w:rsidRDefault="00BB6F64" w:rsidP="000F1600">
      <w:pPr>
        <w:spacing w:line="480" w:lineRule="auto"/>
      </w:pPr>
      <w:r>
        <w:t xml:space="preserve">It was </w:t>
      </w:r>
      <w:r w:rsidR="00451B69">
        <w:t>surprising</w:t>
      </w:r>
      <w:r>
        <w:t xml:space="preserve"> that the head of Alexandri</w:t>
      </w:r>
      <w:r>
        <w:t xml:space="preserve">a did not return to the city as </w:t>
      </w:r>
      <w:r w:rsidR="005B3C92">
        <w:t>prior</w:t>
      </w:r>
      <w:r>
        <w:t xml:space="preserve"> to him switching </w:t>
      </w:r>
      <w:r w:rsidR="005B3C92">
        <w:t>sides h</w:t>
      </w:r>
      <w:r w:rsidR="00451B69">
        <w:t xml:space="preserve">e had plans to eliminate the head of Memphis in order to seize power for himself. The revolt lasted a very long time and it did not go the way my satrap had hoped. We wanted the head of Alexandria to return from being with the Seleucids and to be more loyal to Alexandria, but this did not happen.  </w:t>
      </w:r>
    </w:p>
    <w:p w14:paraId="54903B68" w14:textId="77777777" w:rsidR="001942A0" w:rsidRDefault="00BB6F64" w:rsidP="000F1600">
      <w:pPr>
        <w:spacing w:line="480" w:lineRule="auto"/>
      </w:pPr>
      <w:r>
        <w:t xml:space="preserve">Political merger </w:t>
      </w:r>
    </w:p>
    <w:p w14:paraId="3C43F3FA" w14:textId="169BF050" w:rsidR="00451B69" w:rsidRDefault="00BB6F64" w:rsidP="000F1600">
      <w:pPr>
        <w:spacing w:line="480" w:lineRule="auto"/>
      </w:pPr>
      <w:r>
        <w:t xml:space="preserve">In the role play </w:t>
      </w:r>
      <w:r w:rsidR="00D23B00">
        <w:t xml:space="preserve">the head of Alexandria switched sides to the Seleucids, he abandoned his wife the Queen of </w:t>
      </w:r>
      <w:r w:rsidR="008C083F">
        <w:t>the Ptolemaic empire</w:t>
      </w:r>
      <w:r w:rsidR="00D23B00">
        <w:t xml:space="preserve">. She was also widowed by King Ptolemy IV. The current ruler was a young child of Ptolemy IV and the Queen of Ptolemaic </w:t>
      </w:r>
      <w:r w:rsidR="008C083F">
        <w:t>Empire</w:t>
      </w:r>
      <w:r w:rsidR="00D23B00">
        <w:t xml:space="preserve">. The child was too young to rule, so </w:t>
      </w:r>
      <w:r w:rsidR="00D23B00">
        <w:lastRenderedPageBreak/>
        <w:t xml:space="preserve">there was a controversy over who should be the regent for the child. The high </w:t>
      </w:r>
      <w:r w:rsidR="00E61B0C">
        <w:t>priest</w:t>
      </w:r>
      <w:r w:rsidR="00D23B00">
        <w:t xml:space="preserve"> and ruler of Memphis wanted to marry the Queen of the Ptolemaic empire and act as co-regent for the king. This resulted in a tense and difficult merging of Egypt. The head of Memphis would make decisions and act on the king’s best interest. </w:t>
      </w:r>
      <w:r w:rsidR="008C083F">
        <w:t xml:space="preserve">My character was influential in negotiating the merger of these two leaders. </w:t>
      </w:r>
      <w:r w:rsidR="00BA1D59">
        <w:t>The conditions of the merger were that there was a unified Egypt that allowed Alexandria to retain their army. The current Queen of Egypt and the future king must stay in Alexandria. The portion of land that was given away by</w:t>
      </w:r>
      <w:r>
        <w:t xml:space="preserve"> the previous head of Alexandria was</w:t>
      </w:r>
      <w:r w:rsidR="00BA1D59">
        <w:t xml:space="preserve"> given bac</w:t>
      </w:r>
      <w:r w:rsidR="00D23B00">
        <w:t>k</w:t>
      </w:r>
      <w:r w:rsidR="00BA1D59">
        <w:t xml:space="preserve"> along with a tax break. </w:t>
      </w:r>
      <w:r w:rsidR="00D23B00">
        <w:t xml:space="preserve">There </w:t>
      </w:r>
      <w:r>
        <w:t>was</w:t>
      </w:r>
      <w:r w:rsidR="00D23B00">
        <w:t xml:space="preserve"> also going to be an allowance of around five hundred silver talents per year for general maintenance of Alexandria such </w:t>
      </w:r>
      <w:r w:rsidR="00E61B0C">
        <w:t xml:space="preserve">as </w:t>
      </w:r>
      <w:r w:rsidR="00D23B00">
        <w:t>maintaining the lighthouse and harbours.</w:t>
      </w:r>
    </w:p>
    <w:p w14:paraId="465A6B12" w14:textId="2C2FFBBA" w:rsidR="009B1C7C" w:rsidRDefault="00BB6F64" w:rsidP="000F1600">
      <w:pPr>
        <w:spacing w:line="480" w:lineRule="auto"/>
      </w:pPr>
      <w:r>
        <w:t>However, in the role play, the political merger did not go as smoothly as it should have done. The head of the mob wanted to become the new head of Alexandria and interfered in the negotiatio</w:t>
      </w:r>
      <w:r w:rsidR="005B3C92">
        <w:t xml:space="preserve">ns, because of this we did not look </w:t>
      </w:r>
      <w:r>
        <w:t>serious in the n</w:t>
      </w:r>
      <w:r>
        <w:t>egotiations. The head of the mob was an unsuitable person to become head of Alexandria as they would have</w:t>
      </w:r>
      <w:r w:rsidR="005B3C92">
        <w:t xml:space="preserve"> had</w:t>
      </w:r>
      <w:r>
        <w:t xml:space="preserve"> a conflict of interest. Instead, the role should have been given to the head priestess of Alexandria.</w:t>
      </w:r>
    </w:p>
    <w:p w14:paraId="5E42C2CD" w14:textId="76F32908" w:rsidR="004F1937" w:rsidRDefault="00BB6F64" w:rsidP="000F1600">
      <w:pPr>
        <w:spacing w:line="480" w:lineRule="auto"/>
      </w:pPr>
      <w:r>
        <w:t xml:space="preserve">It was common </w:t>
      </w:r>
      <w:r w:rsidR="005B3C92">
        <w:t xml:space="preserve">for rulers and prominent families </w:t>
      </w:r>
      <w:r>
        <w:t>to seal their agreements through a marriage alliance. The man might not have the seen the woman and usually, this would be organised by the parents of the bride and Groom.</w:t>
      </w:r>
      <w:r>
        <w:rPr>
          <w:rStyle w:val="FootnoteReference"/>
        </w:rPr>
        <w:footnoteReference w:id="33"/>
      </w:r>
      <w:r>
        <w:t xml:space="preserve"> In the case of the role play, the marriage was organised by government offic</w:t>
      </w:r>
      <w:r>
        <w:t xml:space="preserve">ials </w:t>
      </w:r>
      <w:r w:rsidR="005B3C92">
        <w:t>of Alexandria</w:t>
      </w:r>
      <w:r>
        <w:t xml:space="preserve"> and the Groom.</w:t>
      </w:r>
    </w:p>
    <w:p w14:paraId="081EA4C2" w14:textId="77777777" w:rsidR="001942A0" w:rsidRDefault="00BB6F64" w:rsidP="000F1600">
      <w:pPr>
        <w:spacing w:line="480" w:lineRule="auto"/>
      </w:pPr>
      <w:r>
        <w:t xml:space="preserve">Conclusion </w:t>
      </w:r>
    </w:p>
    <w:p w14:paraId="1AA34D84" w14:textId="6939F505" w:rsidR="001942A0" w:rsidRDefault="00BB6F64" w:rsidP="000F1600">
      <w:pPr>
        <w:spacing w:line="480" w:lineRule="auto"/>
      </w:pPr>
      <w:r>
        <w:t xml:space="preserve">Some events that have happened, perfectly match history but others do not. The revolts and riots are very historically accurate, as there were many revolts in Egypt. However, the tax reduction is less </w:t>
      </w:r>
      <w:r>
        <w:t>historically accurate</w:t>
      </w:r>
      <w:r w:rsidR="00C547B3">
        <w:t xml:space="preserve">. There is evidence of how much the tax was as well the policy changes that caused the tax to rise but there is no evidence of a tax break. </w:t>
      </w:r>
      <w:r w:rsidR="00AA2024">
        <w:t xml:space="preserve">The personalities of people playing out </w:t>
      </w:r>
      <w:r w:rsidR="00AA2024">
        <w:lastRenderedPageBreak/>
        <w:t>the events meant that there were some changes that</w:t>
      </w:r>
      <w:r w:rsidR="00773525">
        <w:t xml:space="preserve"> were not historically accurate.</w:t>
      </w:r>
      <w:r w:rsidR="00AA2024">
        <w:t xml:space="preserve"> My character was more involved in some events such as the negotiations that would have been historically accurate. </w:t>
      </w:r>
      <w:r w:rsidR="001604CD">
        <w:t xml:space="preserve">My character </w:t>
      </w:r>
      <w:r w:rsidR="000E7F19">
        <w:t>would have been able to have promotions due to his Greek nationality, it was difficult and near impossible for government officials who were Egyptian to be promoted</w:t>
      </w:r>
      <w:r w:rsidR="00773525">
        <w:t>.</w:t>
      </w:r>
      <w:r>
        <w:rPr>
          <w:rStyle w:val="FootnoteReference"/>
        </w:rPr>
        <w:footnoteReference w:id="34"/>
      </w:r>
      <w:r w:rsidR="009D1D5F">
        <w:t xml:space="preserve"> </w:t>
      </w:r>
      <w:r w:rsidR="005B3C92">
        <w:t>Finding</w:t>
      </w:r>
      <w:r w:rsidR="009D1D5F">
        <w:t xml:space="preserve"> evidence for this period was difficult, Delia believes this is because most of the records were destroyed.</w:t>
      </w:r>
      <w:r>
        <w:rPr>
          <w:rStyle w:val="FootnoteReference"/>
        </w:rPr>
        <w:footnoteReference w:id="35"/>
      </w:r>
      <w:r w:rsidR="005B3C92">
        <w:t xml:space="preserve"> The role play showed the development and helped to further understand history. It also showed places connected and how they interacted. </w:t>
      </w:r>
    </w:p>
    <w:p w14:paraId="4F38FE3C" w14:textId="7DDC0B1E" w:rsidR="00515EBD" w:rsidRDefault="00515EBD" w:rsidP="000F1600">
      <w:pPr>
        <w:spacing w:line="480" w:lineRule="auto"/>
      </w:pPr>
    </w:p>
    <w:p w14:paraId="7DA3703C" w14:textId="77777777" w:rsidR="00515EBD" w:rsidRDefault="00BB6F64">
      <w:r>
        <w:br w:type="page"/>
      </w:r>
    </w:p>
    <w:p w14:paraId="25A9CAF6" w14:textId="15D4FB56" w:rsidR="00515EBD" w:rsidRDefault="00BB6F64" w:rsidP="000F1600">
      <w:pPr>
        <w:spacing w:line="480" w:lineRule="auto"/>
      </w:pPr>
      <w:r>
        <w:lastRenderedPageBreak/>
        <w:t xml:space="preserve">Bibliography </w:t>
      </w:r>
    </w:p>
    <w:p w14:paraId="0215B532" w14:textId="5018E89F" w:rsidR="00515EBD" w:rsidRPr="00655B2F" w:rsidRDefault="00BB6F64" w:rsidP="000F1600">
      <w:pPr>
        <w:spacing w:line="480" w:lineRule="auto"/>
        <w:rPr>
          <w:u w:val="single"/>
        </w:rPr>
      </w:pPr>
      <w:r w:rsidRPr="00655B2F">
        <w:rPr>
          <w:u w:val="single"/>
        </w:rPr>
        <w:t xml:space="preserve">Ancient </w:t>
      </w:r>
    </w:p>
    <w:p w14:paraId="30B04D88" w14:textId="0EC2EA2B" w:rsidR="00515EBD" w:rsidRDefault="00BB6F64" w:rsidP="000F1600">
      <w:pPr>
        <w:spacing w:line="480" w:lineRule="auto"/>
      </w:pPr>
      <w:r>
        <w:t xml:space="preserve">Diodorus Siculus, </w:t>
      </w:r>
      <w:r w:rsidRPr="007A27A9">
        <w:rPr>
          <w:i/>
        </w:rPr>
        <w:t>The Library of History.</w:t>
      </w:r>
      <w:r>
        <w:t xml:space="preserve">  C. Oldfather (trans.). 1933. Cambridge, MA: Harvard Universtiy Press</w:t>
      </w:r>
    </w:p>
    <w:p w14:paraId="0E564EA5" w14:textId="16C4E622" w:rsidR="002D7FD2" w:rsidRDefault="00BB6F64" w:rsidP="000F1600">
      <w:pPr>
        <w:spacing w:line="480" w:lineRule="auto"/>
      </w:pPr>
      <w:r>
        <w:t xml:space="preserve">Flavius Josephus, </w:t>
      </w:r>
      <w:r w:rsidRPr="007A27A9">
        <w:rPr>
          <w:i/>
        </w:rPr>
        <w:t>The Wars of the Jews</w:t>
      </w:r>
      <w:r>
        <w:t xml:space="preserve">. W. Whiston (trans.). 1895. </w:t>
      </w:r>
      <w:r w:rsidR="0034080A">
        <w:t>Auburn and Buffalo. John E. Beardsley.</w:t>
      </w:r>
    </w:p>
    <w:p w14:paraId="56DDF316" w14:textId="09E49765" w:rsidR="007B0832" w:rsidRDefault="00BB6F64" w:rsidP="000F1600">
      <w:pPr>
        <w:spacing w:line="480" w:lineRule="auto"/>
      </w:pPr>
      <w:r>
        <w:t xml:space="preserve">Pausanias, </w:t>
      </w:r>
      <w:r w:rsidRPr="007A27A9">
        <w:rPr>
          <w:i/>
        </w:rPr>
        <w:t>Description of Greece.</w:t>
      </w:r>
      <w:r>
        <w:t xml:space="preserve"> </w:t>
      </w:r>
      <w:r w:rsidR="007A27A9">
        <w:t xml:space="preserve">W. Jones, H. </w:t>
      </w:r>
      <w:r>
        <w:t>Or</w:t>
      </w:r>
      <w:r w:rsidR="007A27A9">
        <w:t>merod</w:t>
      </w:r>
      <w:r>
        <w:t xml:space="preserve"> (trans.). 1918. London: William Heinemann Ltd. </w:t>
      </w:r>
    </w:p>
    <w:p w14:paraId="1ABD582E" w14:textId="2190B750" w:rsidR="0034080A" w:rsidRDefault="00BB6F64" w:rsidP="000F1600">
      <w:pPr>
        <w:spacing w:line="480" w:lineRule="auto"/>
      </w:pPr>
      <w:r>
        <w:t xml:space="preserve">Polybius, </w:t>
      </w:r>
      <w:r w:rsidRPr="007A27A9">
        <w:rPr>
          <w:i/>
        </w:rPr>
        <w:t>Histories.</w:t>
      </w:r>
      <w:r w:rsidR="007A27A9">
        <w:t xml:space="preserve"> E. Shuckburgh </w:t>
      </w:r>
      <w:r>
        <w:t>(trans.). 1962. Bloomington: Macmillan.</w:t>
      </w:r>
    </w:p>
    <w:p w14:paraId="10095A1E" w14:textId="5BDF51AB" w:rsidR="00D95A07" w:rsidRDefault="00BB6F64" w:rsidP="000F1600">
      <w:pPr>
        <w:spacing w:line="480" w:lineRule="auto"/>
      </w:pPr>
      <w:r>
        <w:t xml:space="preserve">Strabo. </w:t>
      </w:r>
      <w:r w:rsidRPr="007A27A9">
        <w:rPr>
          <w:i/>
        </w:rPr>
        <w:t>Th</w:t>
      </w:r>
      <w:r w:rsidRPr="007A27A9">
        <w:rPr>
          <w:i/>
        </w:rPr>
        <w:t>e Geography of Strabo.</w:t>
      </w:r>
      <w:r>
        <w:t xml:space="preserve"> </w:t>
      </w:r>
      <w:r w:rsidR="007A27A9">
        <w:t xml:space="preserve">H. </w:t>
      </w:r>
      <w:r>
        <w:t xml:space="preserve">Jones. (trans.). 1924. London: William Heinemann. </w:t>
      </w:r>
    </w:p>
    <w:p w14:paraId="66A0F5D3" w14:textId="47054837" w:rsidR="00515EBD" w:rsidRPr="00655B2F" w:rsidRDefault="00BB6F64" w:rsidP="000F1600">
      <w:pPr>
        <w:spacing w:line="480" w:lineRule="auto"/>
        <w:rPr>
          <w:u w:val="single"/>
        </w:rPr>
      </w:pPr>
      <w:r w:rsidRPr="00655B2F">
        <w:rPr>
          <w:u w:val="single"/>
        </w:rPr>
        <w:t xml:space="preserve">Modern </w:t>
      </w:r>
    </w:p>
    <w:p w14:paraId="70AFB753" w14:textId="77777777" w:rsidR="00655B2F" w:rsidRDefault="00BB6F64" w:rsidP="000F1600">
      <w:pPr>
        <w:spacing w:line="480" w:lineRule="auto"/>
      </w:pPr>
      <w:r>
        <w:t xml:space="preserve">Aldred, C. </w:t>
      </w:r>
      <w:r w:rsidR="001C0299">
        <w:t xml:space="preserve">1961. </w:t>
      </w:r>
      <w:r w:rsidR="001C0299" w:rsidRPr="007A27A9">
        <w:rPr>
          <w:i/>
        </w:rPr>
        <w:t>The Egyptians.</w:t>
      </w:r>
      <w:r w:rsidR="001C0299">
        <w:t xml:space="preserve"> London: Thames and Hudson. </w:t>
      </w:r>
    </w:p>
    <w:p w14:paraId="6B169612" w14:textId="6D307875" w:rsidR="007A27A9" w:rsidRDefault="00BB6F64" w:rsidP="000F1600">
      <w:pPr>
        <w:spacing w:line="480" w:lineRule="auto"/>
      </w:pPr>
      <w:r>
        <w:t xml:space="preserve">Austin, M. 2007. </w:t>
      </w:r>
      <w:r w:rsidRPr="007A27A9">
        <w:rPr>
          <w:i/>
        </w:rPr>
        <w:t>The Hellenistic World from Alexander to the Roman Conquest.</w:t>
      </w:r>
      <w:r>
        <w:t xml:space="preserve"> Cambridge: Cambridge University Pr</w:t>
      </w:r>
      <w:r>
        <w:t xml:space="preserve">ess. </w:t>
      </w:r>
    </w:p>
    <w:p w14:paraId="7575DFA2" w14:textId="21223C10" w:rsidR="00655B2F" w:rsidRDefault="00BB6F64" w:rsidP="000F1600">
      <w:pPr>
        <w:spacing w:line="480" w:lineRule="auto"/>
      </w:pPr>
      <w:r>
        <w:t xml:space="preserve">Baines, J. 2004. ‘Egyptian Elite Self- Presentation in the Context of Ptolemaic Rule’, in Harris, W. Ruffini, H. (ed.), </w:t>
      </w:r>
      <w:r w:rsidRPr="007A27A9">
        <w:rPr>
          <w:i/>
        </w:rPr>
        <w:t xml:space="preserve">Ancient Alexandria between </w:t>
      </w:r>
      <w:r w:rsidR="007A27A9" w:rsidRPr="007A27A9">
        <w:rPr>
          <w:i/>
        </w:rPr>
        <w:t>Egypt</w:t>
      </w:r>
      <w:r w:rsidRPr="007A27A9">
        <w:rPr>
          <w:i/>
        </w:rPr>
        <w:t xml:space="preserve"> &amp; Greece</w:t>
      </w:r>
      <w:r>
        <w:t xml:space="preserve">. Leiden: Brill. </w:t>
      </w:r>
    </w:p>
    <w:p w14:paraId="63B6B9E6" w14:textId="3E804743" w:rsidR="00655B2F" w:rsidRDefault="00BB6F64" w:rsidP="000F1600">
      <w:pPr>
        <w:spacing w:line="480" w:lineRule="auto"/>
      </w:pPr>
      <w:r>
        <w:t xml:space="preserve">Delia, D. 1988. </w:t>
      </w:r>
      <w:r w:rsidRPr="007A27A9">
        <w:rPr>
          <w:i/>
        </w:rPr>
        <w:t>The Population of Roman Alexandria</w:t>
      </w:r>
      <w:r>
        <w:t xml:space="preserve">. Baltimore: John Hopkins University Press. </w:t>
      </w:r>
    </w:p>
    <w:p w14:paraId="7709D3CD" w14:textId="77777777" w:rsidR="00655B2F" w:rsidRDefault="00BB6F64" w:rsidP="00655B2F">
      <w:pPr>
        <w:spacing w:line="480" w:lineRule="auto"/>
      </w:pPr>
      <w:r>
        <w:t xml:space="preserve">Derow, P. 2012. ‘Polybius’, in Hornblower, S. Spawforth, A. Eidinow, E. </w:t>
      </w:r>
      <w:r w:rsidRPr="007A27A9">
        <w:rPr>
          <w:i/>
        </w:rPr>
        <w:t>The Oxford Classical Dictionary</w:t>
      </w:r>
      <w:r>
        <w:t xml:space="preserve">. Oxford; Oxford University Press. </w:t>
      </w:r>
      <w:hyperlink r:id="rId7" w:history="1">
        <w:r w:rsidRPr="000A23F0">
          <w:rPr>
            <w:rStyle w:val="Hyperlink"/>
          </w:rPr>
          <w:t>http://www.oxfordreference.com.ezproxy.uwtsd.ac.uk/view/10.1093/acref/9780199545568.001.0001/acref-9780199545568-e-5172?rskey=dwZkyJ&amp;result=1</w:t>
        </w:r>
      </w:hyperlink>
      <w:r>
        <w:t xml:space="preserve"> [Date Accessed: 2/5/18]</w:t>
      </w:r>
    </w:p>
    <w:p w14:paraId="36E112DE" w14:textId="69E40166" w:rsidR="00655B2F" w:rsidRDefault="00BB6F64" w:rsidP="000F1600">
      <w:pPr>
        <w:spacing w:line="480" w:lineRule="auto"/>
      </w:pPr>
      <w:r>
        <w:lastRenderedPageBreak/>
        <w:t xml:space="preserve">Dreyer, B. 2018. ‘Polybius’, in Cancik, H. Schneider, H.  Landfester, M. </w:t>
      </w:r>
      <w:r w:rsidRPr="007A27A9">
        <w:rPr>
          <w:i/>
        </w:rPr>
        <w:t xml:space="preserve">Brill’s New Pauley. </w:t>
      </w:r>
      <w:hyperlink r:id="rId8" w:history="1">
        <w:r w:rsidRPr="000A23F0">
          <w:rPr>
            <w:rStyle w:val="Hyperlink"/>
          </w:rPr>
          <w:t>http://referenceworks.brillonline.com.ezproxy.uwtsd.ac.uk/entries/brill-s-new-pauly/polybius-e1000940?s.num=0&amp;s.f.s2_parent=s.f.book.brill-s-new-pauly&amp;s.q=polybius</w:t>
        </w:r>
      </w:hyperlink>
      <w:r>
        <w:t xml:space="preserve"> [Date Accessed 3/5/18]</w:t>
      </w:r>
    </w:p>
    <w:p w14:paraId="669E2752" w14:textId="45005EA1" w:rsidR="00515EBD" w:rsidRDefault="00BB6F64" w:rsidP="000F1600">
      <w:pPr>
        <w:spacing w:line="480" w:lineRule="auto"/>
      </w:pPr>
      <w:r>
        <w:t>Fantham, E. 1975. ‘Sex, Status and survival in Hell</w:t>
      </w:r>
      <w:r>
        <w:t>enistic Athens: A study of women in New Comedy'</w:t>
      </w:r>
      <w:r w:rsidRPr="007A27A9">
        <w:rPr>
          <w:i/>
        </w:rPr>
        <w:t xml:space="preserve">. </w:t>
      </w:r>
      <w:r w:rsidR="007A27A9" w:rsidRPr="007A27A9">
        <w:rPr>
          <w:i/>
        </w:rPr>
        <w:t>Classical</w:t>
      </w:r>
      <w:r w:rsidRPr="007A27A9">
        <w:rPr>
          <w:i/>
        </w:rPr>
        <w:t xml:space="preserve"> Association of Canada</w:t>
      </w:r>
      <w:r>
        <w:t>. 29. 1. 44-75</w:t>
      </w:r>
    </w:p>
    <w:p w14:paraId="618E2647" w14:textId="14419FB4" w:rsidR="007A27A9" w:rsidRDefault="00BB6F64" w:rsidP="000F1600">
      <w:pPr>
        <w:spacing w:line="480" w:lineRule="auto"/>
      </w:pPr>
      <w:r>
        <w:t xml:space="preserve">Fraser, P. 1972. </w:t>
      </w:r>
      <w:r w:rsidRPr="007A27A9">
        <w:rPr>
          <w:i/>
        </w:rPr>
        <w:t>Ptolemaic Alexandria.</w:t>
      </w:r>
      <w:r>
        <w:t xml:space="preserve"> Oxford: Clarendon Press</w:t>
      </w:r>
    </w:p>
    <w:p w14:paraId="70680C2C" w14:textId="42D37442" w:rsidR="002D7FD2" w:rsidRDefault="00BB6F64" w:rsidP="000F1600">
      <w:pPr>
        <w:spacing w:line="480" w:lineRule="auto"/>
      </w:pPr>
      <w:r>
        <w:t>Fuks, A. 1961. ‘Aspects of the Jewish Revolt in A.D. 115-117</w:t>
      </w:r>
      <w:r w:rsidR="00DA43EF">
        <w:t>’,</w:t>
      </w:r>
      <w:r>
        <w:t xml:space="preserve"> </w:t>
      </w:r>
      <w:r w:rsidRPr="007A27A9">
        <w:rPr>
          <w:i/>
        </w:rPr>
        <w:t>Society for the Prom</w:t>
      </w:r>
      <w:r w:rsidRPr="007A27A9">
        <w:rPr>
          <w:i/>
        </w:rPr>
        <w:t>otion of Roman Studies</w:t>
      </w:r>
      <w:r>
        <w:t>. 51. 98-104</w:t>
      </w:r>
    </w:p>
    <w:p w14:paraId="3498750A" w14:textId="31B7D2A3" w:rsidR="007A27A9" w:rsidRDefault="00BB6F64" w:rsidP="000F1600">
      <w:pPr>
        <w:spacing w:line="480" w:lineRule="auto"/>
      </w:pPr>
      <w:r>
        <w:t xml:space="preserve">Hoff, M. Townsend, R. 2013. </w:t>
      </w:r>
      <w:r w:rsidRPr="007A27A9">
        <w:rPr>
          <w:i/>
        </w:rPr>
        <w:t>Rough Cilicia: New Historical and Archaeological Approaches</w:t>
      </w:r>
      <w:r>
        <w:t xml:space="preserve">. Oxford: Oxbow Books. </w:t>
      </w:r>
    </w:p>
    <w:p w14:paraId="4734A53E" w14:textId="451FDE72" w:rsidR="00DA43EF" w:rsidRDefault="00BB6F64" w:rsidP="000F1600">
      <w:pPr>
        <w:spacing w:line="480" w:lineRule="auto"/>
      </w:pPr>
      <w:r>
        <w:t xml:space="preserve">Hubbell. H. 1935. ‘Ptolemy’s Zoo’, </w:t>
      </w:r>
      <w:r w:rsidRPr="00DA43EF">
        <w:rPr>
          <w:i/>
        </w:rPr>
        <w:t>The Classical Journal.</w:t>
      </w:r>
      <w:r>
        <w:t xml:space="preserve"> 31. 2. 68-76</w:t>
      </w:r>
    </w:p>
    <w:p w14:paraId="72A5866A" w14:textId="0E5EDE86" w:rsidR="00DA43EF" w:rsidRDefault="00BB6F64" w:rsidP="000F1600">
      <w:pPr>
        <w:spacing w:line="480" w:lineRule="auto"/>
      </w:pPr>
      <w:r>
        <w:t xml:space="preserve">Kisling, V. 2000. Zoo and Aquarium History: Ancient Animal Collections to Zoological Gardens. </w:t>
      </w:r>
    </w:p>
    <w:p w14:paraId="79C435A8" w14:textId="4E06A801" w:rsidR="002D7FD2" w:rsidRDefault="00BB6F64" w:rsidP="000F1600">
      <w:pPr>
        <w:spacing w:line="480" w:lineRule="auto"/>
      </w:pPr>
      <w:r>
        <w:t>Rajak, T. 2012. ‘Jews’, in Hornblower, S. Spawforth, A. Eidinow, E</w:t>
      </w:r>
      <w:r w:rsidRPr="007A27A9">
        <w:rPr>
          <w:i/>
        </w:rPr>
        <w:t>. The Oxford Classical Dictionary</w:t>
      </w:r>
      <w:r>
        <w:t xml:space="preserve">. Oxford; Oxford University Press.  </w:t>
      </w:r>
      <w:hyperlink r:id="rId9" w:history="1">
        <w:r w:rsidRPr="000A23F0">
          <w:rPr>
            <w:rStyle w:val="Hyperlink"/>
          </w:rPr>
          <w:t>http://www.oxfordreference.com.ezproxy.uwtsd.ac.uk/view/10.1093/acref/9780199545568.001.0001/acref-9780199545568-e-3492#</w:t>
        </w:r>
      </w:hyperlink>
      <w:r>
        <w:t xml:space="preserve"> [Date Accessed: 2/5/18</w:t>
      </w:r>
      <w:r>
        <w:t xml:space="preserve">] </w:t>
      </w:r>
    </w:p>
    <w:p w14:paraId="7E81030E" w14:textId="7C5E8600" w:rsidR="007B0832" w:rsidRDefault="00BB6F64" w:rsidP="000F1600">
      <w:pPr>
        <w:spacing w:line="480" w:lineRule="auto"/>
      </w:pPr>
      <w:r>
        <w:t>Jansen-Winklen, K. 2018. ‘Alexandria’</w:t>
      </w:r>
      <w:r w:rsidR="00B76502">
        <w:t>, in</w:t>
      </w:r>
      <w:r>
        <w:t xml:space="preserve"> Cancik, H. Schneider, H. </w:t>
      </w:r>
      <w:r w:rsidR="00B76502">
        <w:t xml:space="preserve"> Landfester, M. </w:t>
      </w:r>
      <w:r w:rsidR="00B76502" w:rsidRPr="007A27A9">
        <w:rPr>
          <w:i/>
        </w:rPr>
        <w:t>Brill’s New Pauley</w:t>
      </w:r>
      <w:r w:rsidR="00B76502">
        <w:t xml:space="preserve">. </w:t>
      </w:r>
    </w:p>
    <w:p w14:paraId="28C3D8BD" w14:textId="02E4B57B" w:rsidR="00B76502" w:rsidRDefault="00BB6F64" w:rsidP="000F1600">
      <w:pPr>
        <w:spacing w:line="480" w:lineRule="auto"/>
      </w:pPr>
      <w:hyperlink r:id="rId10" w:history="1">
        <w:r w:rsidRPr="000A23F0">
          <w:rPr>
            <w:rStyle w:val="Hyperlink"/>
          </w:rPr>
          <w:t>http://</w:t>
        </w:r>
        <w:r w:rsidRPr="000A23F0">
          <w:rPr>
            <w:rStyle w:val="Hyperlink"/>
          </w:rPr>
          <w:t>referenceworks.brillonline.com.ezproxy.uwtsd.ac.uk/entries/brill-s-new-pauly/alexandria-e113940?s.num=2&amp;s.q=alexandria</w:t>
        </w:r>
      </w:hyperlink>
      <w:r>
        <w:t xml:space="preserve"> [Date Accessed 5/5/18]</w:t>
      </w:r>
    </w:p>
    <w:p w14:paraId="7560C35C" w14:textId="2C7C4EFD" w:rsidR="001C0299" w:rsidRDefault="00BB6F64" w:rsidP="000F1600">
      <w:pPr>
        <w:spacing w:line="480" w:lineRule="auto"/>
      </w:pPr>
      <w:r>
        <w:t>Manning, J. 2003</w:t>
      </w:r>
      <w:r w:rsidRPr="007A27A9">
        <w:rPr>
          <w:i/>
        </w:rPr>
        <w:t>. Land Power Ptolemaic Egypt Structure of Land Tenure.</w:t>
      </w:r>
      <w:r w:rsidR="006D1155">
        <w:t xml:space="preserve"> Cambridge: Cambridge University Press. </w:t>
      </w:r>
    </w:p>
    <w:p w14:paraId="6A1F9E2F" w14:textId="762248F9" w:rsidR="006D1155" w:rsidRDefault="00BB6F64" w:rsidP="000F1600">
      <w:pPr>
        <w:spacing w:line="480" w:lineRule="auto"/>
      </w:pPr>
      <w:r>
        <w:t xml:space="preserve">Milne, J. 1916: ‘Greek and Roman tourists in Egypt’, </w:t>
      </w:r>
      <w:r w:rsidRPr="007A27A9">
        <w:rPr>
          <w:i/>
        </w:rPr>
        <w:t xml:space="preserve">The Journal of Egyptian </w:t>
      </w:r>
      <w:r w:rsidR="007A27A9" w:rsidRPr="007A27A9">
        <w:rPr>
          <w:i/>
        </w:rPr>
        <w:t>Archaeology</w:t>
      </w:r>
      <w:r>
        <w:t>. 3. 2. 76-80</w:t>
      </w:r>
    </w:p>
    <w:p w14:paraId="40ECF2FF" w14:textId="3CCFD82C" w:rsidR="006D1155" w:rsidRDefault="00BB6F64" w:rsidP="000F1600">
      <w:pPr>
        <w:spacing w:line="480" w:lineRule="auto"/>
      </w:pPr>
      <w:r>
        <w:lastRenderedPageBreak/>
        <w:t xml:space="preserve">Reden, S. </w:t>
      </w:r>
      <w:r w:rsidR="007A27A9">
        <w:t>2007.</w:t>
      </w:r>
      <w:r w:rsidR="00AF4AB0">
        <w:t xml:space="preserve"> </w:t>
      </w:r>
      <w:r w:rsidR="00AF4AB0" w:rsidRPr="007A27A9">
        <w:rPr>
          <w:i/>
        </w:rPr>
        <w:t>Money in Ptolemaic Egypt.</w:t>
      </w:r>
      <w:r w:rsidR="00AF4AB0">
        <w:t xml:space="preserve"> Cambridge: Cambridge University Press. </w:t>
      </w:r>
    </w:p>
    <w:p w14:paraId="0181076E" w14:textId="7BA125A8" w:rsidR="002D7FD2" w:rsidRDefault="00BB6F64" w:rsidP="000F1600">
      <w:pPr>
        <w:spacing w:line="480" w:lineRule="auto"/>
      </w:pPr>
      <w:r>
        <w:t>Rathbone, D. 2001. The Muzirus papyrus (SBXVIII 13167) financing Roman t</w:t>
      </w:r>
      <w:r>
        <w:t xml:space="preserve">rade with India. </w:t>
      </w:r>
      <w:r w:rsidRPr="007A27A9">
        <w:rPr>
          <w:i/>
        </w:rPr>
        <w:t>Société archéologique d'Alexandrie,</w:t>
      </w:r>
      <w:r>
        <w:t xml:space="preserve"> 46. 39-50</w:t>
      </w:r>
    </w:p>
    <w:p w14:paraId="17C9D01C" w14:textId="51984CF4" w:rsidR="00655B2F" w:rsidRDefault="00BB6F64" w:rsidP="000F1600">
      <w:pPr>
        <w:spacing w:line="480" w:lineRule="auto"/>
      </w:pPr>
      <w:r>
        <w:t xml:space="preserve">Schorle, K. 2015. Pearls, Power and Profit: Mercantile Networks and Economic Considerations of the Pearl Trade in the Roman Empire, in Romanis, F. Maiuro, M. (ed.), </w:t>
      </w:r>
      <w:r w:rsidRPr="007A27A9">
        <w:rPr>
          <w:i/>
        </w:rPr>
        <w:t>Across the Ocean: Nine Essay</w:t>
      </w:r>
      <w:r w:rsidRPr="007A27A9">
        <w:rPr>
          <w:i/>
        </w:rPr>
        <w:t xml:space="preserve"> on Indo-Mediterranean Trade</w:t>
      </w:r>
      <w:r>
        <w:t>. Leiden: Brill</w:t>
      </w:r>
    </w:p>
    <w:sectPr w:rsidR="00655B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3F8B12" w14:textId="77777777" w:rsidR="00BB6F64" w:rsidRDefault="00BB6F64">
      <w:pPr>
        <w:spacing w:after="0" w:line="240" w:lineRule="auto"/>
      </w:pPr>
      <w:r>
        <w:separator/>
      </w:r>
    </w:p>
  </w:endnote>
  <w:endnote w:type="continuationSeparator" w:id="0">
    <w:p w14:paraId="5EDF0A05" w14:textId="77777777" w:rsidR="00BB6F64" w:rsidRDefault="00BB6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5EE708" w14:textId="77777777" w:rsidR="00BB6F64" w:rsidRDefault="00BB6F64" w:rsidP="00C25CD8">
      <w:pPr>
        <w:spacing w:after="0" w:line="240" w:lineRule="auto"/>
      </w:pPr>
      <w:r>
        <w:separator/>
      </w:r>
    </w:p>
  </w:footnote>
  <w:footnote w:type="continuationSeparator" w:id="0">
    <w:p w14:paraId="45995469" w14:textId="77777777" w:rsidR="00BB6F64" w:rsidRDefault="00BB6F64" w:rsidP="00C25CD8">
      <w:pPr>
        <w:spacing w:after="0" w:line="240" w:lineRule="auto"/>
      </w:pPr>
      <w:r>
        <w:continuationSeparator/>
      </w:r>
    </w:p>
  </w:footnote>
  <w:footnote w:id="1">
    <w:p w14:paraId="024A238B" w14:textId="05E4B157" w:rsidR="007719C3" w:rsidRDefault="00BB6F64">
      <w:pPr>
        <w:pStyle w:val="FootnoteText"/>
      </w:pPr>
      <w:r>
        <w:rPr>
          <w:rStyle w:val="FootnoteReference"/>
        </w:rPr>
        <w:footnoteRef/>
      </w:r>
      <w:r>
        <w:t xml:space="preserve"> Strabo. 17.1.13</w:t>
      </w:r>
    </w:p>
  </w:footnote>
  <w:footnote w:id="2">
    <w:p w14:paraId="77B4A4CD" w14:textId="77777777" w:rsidR="007719C3" w:rsidRDefault="00BB6F64">
      <w:pPr>
        <w:pStyle w:val="FootnoteText"/>
      </w:pPr>
      <w:r>
        <w:rPr>
          <w:rStyle w:val="FootnoteReference"/>
        </w:rPr>
        <w:footnoteRef/>
      </w:r>
      <w:r>
        <w:t xml:space="preserve"> Hoff. Townsend. 2013: 16</w:t>
      </w:r>
    </w:p>
  </w:footnote>
  <w:footnote w:id="3">
    <w:p w14:paraId="142C2825" w14:textId="49731EC8" w:rsidR="007719C3" w:rsidRDefault="00BB6F64">
      <w:pPr>
        <w:pStyle w:val="FootnoteText"/>
      </w:pPr>
      <w:r>
        <w:rPr>
          <w:rStyle w:val="FootnoteReference"/>
        </w:rPr>
        <w:footnoteRef/>
      </w:r>
      <w:r>
        <w:t xml:space="preserve"> Aldred. 1961: 60</w:t>
      </w:r>
    </w:p>
  </w:footnote>
  <w:footnote w:id="4">
    <w:p w14:paraId="5F305E80" w14:textId="3AC716DC" w:rsidR="007719C3" w:rsidRDefault="00BB6F64">
      <w:pPr>
        <w:pStyle w:val="FootnoteText"/>
      </w:pPr>
      <w:r>
        <w:rPr>
          <w:rStyle w:val="FootnoteReference"/>
        </w:rPr>
        <w:footnoteRef/>
      </w:r>
      <w:r>
        <w:t xml:space="preserve"> Fraser. 1972: 147</w:t>
      </w:r>
    </w:p>
  </w:footnote>
  <w:footnote w:id="5">
    <w:p w14:paraId="3F7E9008" w14:textId="2853B3EF" w:rsidR="007719C3" w:rsidRDefault="00BB6F64">
      <w:pPr>
        <w:pStyle w:val="FootnoteText"/>
      </w:pPr>
      <w:r>
        <w:rPr>
          <w:rStyle w:val="FootnoteReference"/>
        </w:rPr>
        <w:footnoteRef/>
      </w:r>
      <w:r>
        <w:t xml:space="preserve"> Aldred. 1961: 57</w:t>
      </w:r>
    </w:p>
  </w:footnote>
  <w:footnote w:id="6">
    <w:p w14:paraId="2BA64D04" w14:textId="7E6D72C2" w:rsidR="007719C3" w:rsidRDefault="00BB6F64">
      <w:pPr>
        <w:pStyle w:val="FootnoteText"/>
      </w:pPr>
      <w:r>
        <w:rPr>
          <w:rStyle w:val="FootnoteReference"/>
        </w:rPr>
        <w:footnoteRef/>
      </w:r>
      <w:r>
        <w:t xml:space="preserve"> Polybius. XXVII. 13: Austin. 2007: 497</w:t>
      </w:r>
    </w:p>
  </w:footnote>
  <w:footnote w:id="7">
    <w:p w14:paraId="39A66D98" w14:textId="3CC73299" w:rsidR="007719C3" w:rsidRDefault="00BB6F64">
      <w:pPr>
        <w:pStyle w:val="FootnoteText"/>
      </w:pPr>
      <w:r>
        <w:rPr>
          <w:rStyle w:val="FootnoteReference"/>
        </w:rPr>
        <w:footnoteRef/>
      </w:r>
      <w:r>
        <w:t xml:space="preserve"> Milne. 1916: 6</w:t>
      </w:r>
    </w:p>
  </w:footnote>
  <w:footnote w:id="8">
    <w:p w14:paraId="7B44F791" w14:textId="13896137" w:rsidR="007719C3" w:rsidRDefault="00BB6F64">
      <w:pPr>
        <w:pStyle w:val="FootnoteText"/>
      </w:pPr>
      <w:r>
        <w:rPr>
          <w:rStyle w:val="FootnoteReference"/>
        </w:rPr>
        <w:footnoteRef/>
      </w:r>
      <w:r>
        <w:t xml:space="preserve"> Dryer. 2018. </w:t>
      </w:r>
    </w:p>
  </w:footnote>
  <w:footnote w:id="9">
    <w:p w14:paraId="1CC2799B" w14:textId="2435EC64" w:rsidR="007719C3" w:rsidRDefault="00BB6F64">
      <w:pPr>
        <w:pStyle w:val="FootnoteText"/>
      </w:pPr>
      <w:r>
        <w:rPr>
          <w:rStyle w:val="FootnoteReference"/>
        </w:rPr>
        <w:footnoteRef/>
      </w:r>
      <w:r>
        <w:t xml:space="preserve"> Dryer. 2018; Derow. 2018. </w:t>
      </w:r>
    </w:p>
  </w:footnote>
  <w:footnote w:id="10">
    <w:p w14:paraId="05894DBE" w14:textId="44EACAA8" w:rsidR="007719C3" w:rsidRDefault="00BB6F64">
      <w:pPr>
        <w:pStyle w:val="FootnoteText"/>
      </w:pPr>
      <w:r>
        <w:rPr>
          <w:rStyle w:val="FootnoteReference"/>
        </w:rPr>
        <w:footnoteRef/>
      </w:r>
      <w:r>
        <w:t xml:space="preserve"> Dryer. 2018. </w:t>
      </w:r>
    </w:p>
  </w:footnote>
  <w:footnote w:id="11">
    <w:p w14:paraId="615ED1C5" w14:textId="41B221BA" w:rsidR="007719C3" w:rsidRDefault="00BB6F64">
      <w:pPr>
        <w:pStyle w:val="FootnoteText"/>
      </w:pPr>
      <w:r>
        <w:rPr>
          <w:rStyle w:val="FootnoteReference"/>
        </w:rPr>
        <w:footnoteRef/>
      </w:r>
      <w:r>
        <w:t xml:space="preserve"> Milne. 1916: 5</w:t>
      </w:r>
    </w:p>
  </w:footnote>
  <w:footnote w:id="12">
    <w:p w14:paraId="25E55358" w14:textId="47D8739D" w:rsidR="007719C3" w:rsidRDefault="00BB6F64">
      <w:pPr>
        <w:pStyle w:val="FootnoteText"/>
      </w:pPr>
      <w:r>
        <w:rPr>
          <w:rStyle w:val="FootnoteReference"/>
        </w:rPr>
        <w:footnoteRef/>
      </w:r>
      <w:r>
        <w:t xml:space="preserve"> Polybius. XXII. 17; Austin. 2007: 493</w:t>
      </w:r>
    </w:p>
  </w:footnote>
  <w:footnote w:id="13">
    <w:p w14:paraId="696D25A6" w14:textId="4A65E478" w:rsidR="007719C3" w:rsidRDefault="00BB6F64">
      <w:pPr>
        <w:pStyle w:val="FootnoteText"/>
      </w:pPr>
      <w:r>
        <w:rPr>
          <w:rStyle w:val="FootnoteReference"/>
        </w:rPr>
        <w:footnoteRef/>
      </w:r>
      <w:r w:rsidR="00136EF6">
        <w:t xml:space="preserve"> Milne. 1916: 3; </w:t>
      </w:r>
    </w:p>
  </w:footnote>
  <w:footnote w:id="14">
    <w:p w14:paraId="5CD627BF" w14:textId="5ABDFD39" w:rsidR="007719C3" w:rsidRDefault="00BB6F64">
      <w:pPr>
        <w:pStyle w:val="FootnoteText"/>
      </w:pPr>
      <w:r>
        <w:rPr>
          <w:rStyle w:val="FootnoteReference"/>
        </w:rPr>
        <w:footnoteRef/>
      </w:r>
      <w:r>
        <w:t xml:space="preserve"> </w:t>
      </w:r>
      <w:r w:rsidRPr="00FE5198">
        <w:t>Jansen-Winkeln</w:t>
      </w:r>
      <w:r>
        <w:t>. 2018.</w:t>
      </w:r>
    </w:p>
  </w:footnote>
  <w:footnote w:id="15">
    <w:p w14:paraId="4745E460" w14:textId="5E3A42D9" w:rsidR="00136EF6" w:rsidRDefault="00BB6F64">
      <w:pPr>
        <w:pStyle w:val="FootnoteText"/>
      </w:pPr>
      <w:r>
        <w:rPr>
          <w:rStyle w:val="FootnoteReference"/>
        </w:rPr>
        <w:footnoteRef/>
      </w:r>
      <w:r>
        <w:t xml:space="preserve"> </w:t>
      </w:r>
      <w:r w:rsidRPr="00FE5198">
        <w:t>Jansen-Winkeln</w:t>
      </w:r>
      <w:r>
        <w:t>. 2018.</w:t>
      </w:r>
    </w:p>
  </w:footnote>
  <w:footnote w:id="16">
    <w:p w14:paraId="452228DE" w14:textId="6E5BEB8D" w:rsidR="007719C3" w:rsidRDefault="00BB6F64">
      <w:pPr>
        <w:pStyle w:val="FootnoteText"/>
      </w:pPr>
      <w:r>
        <w:rPr>
          <w:rStyle w:val="FootnoteReference"/>
        </w:rPr>
        <w:footnoteRef/>
      </w:r>
      <w:r>
        <w:t xml:space="preserve"> </w:t>
      </w:r>
      <w:r w:rsidRPr="0039475C">
        <w:rPr>
          <w:rFonts w:cstheme="minorHAnsi"/>
          <w:color w:val="000000"/>
          <w:szCs w:val="22"/>
          <w:shd w:val="clear" w:color="auto" w:fill="FFFFFF"/>
        </w:rPr>
        <w:t>Rajak. 2018.</w:t>
      </w:r>
      <w:r w:rsidRPr="0039475C">
        <w:rPr>
          <w:rFonts w:ascii="Arial" w:hAnsi="Arial" w:cs="Arial"/>
          <w:color w:val="000000"/>
          <w:sz w:val="22"/>
          <w:szCs w:val="23"/>
          <w:shd w:val="clear" w:color="auto" w:fill="FFFFFF"/>
        </w:rPr>
        <w:t xml:space="preserve"> </w:t>
      </w:r>
    </w:p>
  </w:footnote>
  <w:footnote w:id="17">
    <w:p w14:paraId="62BE5370" w14:textId="5FE013B5" w:rsidR="007719C3" w:rsidRDefault="00BB6F64">
      <w:pPr>
        <w:pStyle w:val="FootnoteText"/>
      </w:pPr>
      <w:r>
        <w:rPr>
          <w:rStyle w:val="FootnoteReference"/>
        </w:rPr>
        <w:footnoteRef/>
      </w:r>
      <w:r>
        <w:t xml:space="preserve"> Fuks. 1961: 98</w:t>
      </w:r>
    </w:p>
  </w:footnote>
  <w:footnote w:id="18">
    <w:p w14:paraId="7E42BB2C" w14:textId="585A3C5B" w:rsidR="007719C3" w:rsidRDefault="00BB6F64">
      <w:pPr>
        <w:pStyle w:val="FootnoteText"/>
      </w:pPr>
      <w:r>
        <w:rPr>
          <w:rStyle w:val="FootnoteReference"/>
        </w:rPr>
        <w:footnoteRef/>
      </w:r>
      <w:r>
        <w:t xml:space="preserve"> Dio 68.32</w:t>
      </w:r>
    </w:p>
  </w:footnote>
  <w:footnote w:id="19">
    <w:p w14:paraId="2CD16AC8" w14:textId="1BBB8B42" w:rsidR="007719C3" w:rsidRDefault="00BB6F64">
      <w:pPr>
        <w:pStyle w:val="FootnoteText"/>
      </w:pPr>
      <w:r>
        <w:rPr>
          <w:rStyle w:val="FootnoteReference"/>
        </w:rPr>
        <w:footnoteRef/>
      </w:r>
      <w:r>
        <w:t xml:space="preserve"> </w:t>
      </w:r>
      <w:r w:rsidRPr="00F062AA">
        <w:t>J. BJ 1.17</w:t>
      </w:r>
    </w:p>
  </w:footnote>
  <w:footnote w:id="20">
    <w:p w14:paraId="4022512B" w14:textId="17B4863F" w:rsidR="007719C3" w:rsidRDefault="00BB6F64">
      <w:pPr>
        <w:pStyle w:val="FootnoteText"/>
      </w:pPr>
      <w:r>
        <w:rPr>
          <w:rStyle w:val="FootnoteReference"/>
        </w:rPr>
        <w:footnoteRef/>
      </w:r>
      <w:r>
        <w:t xml:space="preserve"> Manning. 2003: 129; Reden. 2</w:t>
      </w:r>
      <w:r>
        <w:t>007: 84</w:t>
      </w:r>
    </w:p>
  </w:footnote>
  <w:footnote w:id="21">
    <w:p w14:paraId="2296A714" w14:textId="55CACA1E" w:rsidR="007719C3" w:rsidRDefault="00BB6F64">
      <w:pPr>
        <w:pStyle w:val="FootnoteText"/>
      </w:pPr>
      <w:r>
        <w:rPr>
          <w:rStyle w:val="FootnoteReference"/>
        </w:rPr>
        <w:footnoteRef/>
      </w:r>
      <w:r>
        <w:t xml:space="preserve"> Strabo. 17.1.13</w:t>
      </w:r>
    </w:p>
  </w:footnote>
  <w:footnote w:id="22">
    <w:p w14:paraId="69BB15FB" w14:textId="3DECDE4B" w:rsidR="007719C3" w:rsidRDefault="00BB6F64">
      <w:pPr>
        <w:pStyle w:val="FootnoteText"/>
      </w:pPr>
      <w:r>
        <w:rPr>
          <w:rStyle w:val="FootnoteReference"/>
        </w:rPr>
        <w:footnoteRef/>
      </w:r>
      <w:r>
        <w:t xml:space="preserve"> SB XVIII 13167; Rathbone. 2001. </w:t>
      </w:r>
    </w:p>
  </w:footnote>
  <w:footnote w:id="23">
    <w:p w14:paraId="103D1FEA" w14:textId="038EEF83" w:rsidR="007719C3" w:rsidRDefault="00BB6F64">
      <w:pPr>
        <w:pStyle w:val="FootnoteText"/>
      </w:pPr>
      <w:r>
        <w:rPr>
          <w:rStyle w:val="FootnoteReference"/>
        </w:rPr>
        <w:footnoteRef/>
      </w:r>
      <w:r>
        <w:t xml:space="preserve"> Rathbone. 2001: 39</w:t>
      </w:r>
    </w:p>
  </w:footnote>
  <w:footnote w:id="24">
    <w:p w14:paraId="591B3EDA" w14:textId="130AD909" w:rsidR="007719C3" w:rsidRDefault="00BB6F64">
      <w:pPr>
        <w:pStyle w:val="FootnoteText"/>
      </w:pPr>
      <w:r>
        <w:rPr>
          <w:rStyle w:val="FootnoteReference"/>
        </w:rPr>
        <w:footnoteRef/>
      </w:r>
      <w:r>
        <w:t xml:space="preserve"> </w:t>
      </w:r>
      <w:r w:rsidRPr="00EF21CD">
        <w:t>Schörle</w:t>
      </w:r>
      <w:r>
        <w:t>. 2015: 49</w:t>
      </w:r>
    </w:p>
  </w:footnote>
  <w:footnote w:id="25">
    <w:p w14:paraId="4947352B" w14:textId="2190119A" w:rsidR="007719C3" w:rsidRDefault="00BB6F64">
      <w:pPr>
        <w:pStyle w:val="FootnoteText"/>
      </w:pPr>
      <w:r>
        <w:rPr>
          <w:rStyle w:val="FootnoteReference"/>
        </w:rPr>
        <w:footnoteRef/>
      </w:r>
      <w:r>
        <w:t xml:space="preserve"> Milne. 1916: 3</w:t>
      </w:r>
    </w:p>
  </w:footnote>
  <w:footnote w:id="26">
    <w:p w14:paraId="4BCF9D8B" w14:textId="1AB9A58E" w:rsidR="007719C3" w:rsidRDefault="00BB6F64">
      <w:pPr>
        <w:pStyle w:val="FootnoteText"/>
      </w:pPr>
      <w:r>
        <w:rPr>
          <w:rStyle w:val="FootnoteReference"/>
        </w:rPr>
        <w:footnoteRef/>
      </w:r>
      <w:r>
        <w:t xml:space="preserve"> Hubbell. 1935: 69</w:t>
      </w:r>
    </w:p>
  </w:footnote>
  <w:footnote w:id="27">
    <w:p w14:paraId="11D74280" w14:textId="3C76881E" w:rsidR="007719C3" w:rsidRDefault="00BB6F64">
      <w:pPr>
        <w:pStyle w:val="FootnoteText"/>
      </w:pPr>
      <w:r>
        <w:rPr>
          <w:rStyle w:val="FootnoteReference"/>
        </w:rPr>
        <w:footnoteRef/>
      </w:r>
      <w:r>
        <w:t xml:space="preserve"> Milne. 1916: 8</w:t>
      </w:r>
    </w:p>
  </w:footnote>
  <w:footnote w:id="28">
    <w:p w14:paraId="69131834" w14:textId="0B1D65A0" w:rsidR="007719C3" w:rsidRDefault="00BB6F64">
      <w:pPr>
        <w:pStyle w:val="FootnoteText"/>
      </w:pPr>
      <w:r>
        <w:rPr>
          <w:rStyle w:val="FootnoteReference"/>
        </w:rPr>
        <w:footnoteRef/>
      </w:r>
      <w:r>
        <w:t xml:space="preserve"> Hubbell. 1935: 69; Strabo. 17.1.13; Kisling. 2000: 73/74</w:t>
      </w:r>
    </w:p>
  </w:footnote>
  <w:footnote w:id="29">
    <w:p w14:paraId="634B2EE8" w14:textId="77777777" w:rsidR="007719C3" w:rsidRDefault="00BB6F64" w:rsidP="00882414">
      <w:pPr>
        <w:pStyle w:val="FootnoteText"/>
      </w:pPr>
      <w:r>
        <w:rPr>
          <w:rStyle w:val="FootnoteReference"/>
        </w:rPr>
        <w:footnoteRef/>
      </w:r>
      <w:r>
        <w:t xml:space="preserve"> </w:t>
      </w:r>
      <w:r w:rsidRPr="00882414">
        <w:t>Paus. 9.21.4</w:t>
      </w:r>
    </w:p>
  </w:footnote>
  <w:footnote w:id="30">
    <w:p w14:paraId="575352F6" w14:textId="44FD3D8A" w:rsidR="007719C3" w:rsidRDefault="00BB6F64">
      <w:pPr>
        <w:pStyle w:val="FootnoteText"/>
      </w:pPr>
      <w:r>
        <w:rPr>
          <w:rStyle w:val="FootnoteReference"/>
        </w:rPr>
        <w:footnoteRef/>
      </w:r>
      <w:r>
        <w:t xml:space="preserve"> Diod. Sic. 3.36.3</w:t>
      </w:r>
    </w:p>
  </w:footnote>
  <w:footnote w:id="31">
    <w:p w14:paraId="1166CF96" w14:textId="7871B3A5" w:rsidR="007719C3" w:rsidRDefault="00BB6F64">
      <w:pPr>
        <w:pStyle w:val="FootnoteText"/>
      </w:pPr>
      <w:r>
        <w:rPr>
          <w:rStyle w:val="FootnoteReference"/>
        </w:rPr>
        <w:footnoteRef/>
      </w:r>
      <w:r>
        <w:t xml:space="preserve"> Milne. 1916: 8</w:t>
      </w:r>
    </w:p>
  </w:footnote>
  <w:footnote w:id="32">
    <w:p w14:paraId="6EBF0B63" w14:textId="6F95BC16" w:rsidR="007719C3" w:rsidRDefault="00BB6F64">
      <w:pPr>
        <w:pStyle w:val="FootnoteText"/>
      </w:pPr>
      <w:r>
        <w:rPr>
          <w:rStyle w:val="FootnoteReference"/>
        </w:rPr>
        <w:footnoteRef/>
      </w:r>
      <w:r>
        <w:t xml:space="preserve"> Strabo. 17.1.13</w:t>
      </w:r>
    </w:p>
  </w:footnote>
  <w:footnote w:id="33">
    <w:p w14:paraId="0D72437F" w14:textId="0BC4215F" w:rsidR="007719C3" w:rsidRDefault="00BB6F64">
      <w:pPr>
        <w:pStyle w:val="FootnoteText"/>
      </w:pPr>
      <w:r>
        <w:rPr>
          <w:rStyle w:val="FootnoteReference"/>
        </w:rPr>
        <w:footnoteRef/>
      </w:r>
      <w:r>
        <w:t xml:space="preserve"> Fantham. 1975: 52</w:t>
      </w:r>
    </w:p>
  </w:footnote>
  <w:footnote w:id="34">
    <w:p w14:paraId="673D4297" w14:textId="2E99AA97" w:rsidR="007719C3" w:rsidRDefault="00BB6F64">
      <w:pPr>
        <w:pStyle w:val="FootnoteText"/>
      </w:pPr>
      <w:r>
        <w:rPr>
          <w:rStyle w:val="FootnoteReference"/>
        </w:rPr>
        <w:footnoteRef/>
      </w:r>
      <w:r>
        <w:t xml:space="preserve"> Baines. 2004: 66; Milne. 1916: 4</w:t>
      </w:r>
    </w:p>
  </w:footnote>
  <w:footnote w:id="35">
    <w:p w14:paraId="75FB5F0A" w14:textId="63F73CBA" w:rsidR="007719C3" w:rsidRDefault="00BB6F64">
      <w:pPr>
        <w:pStyle w:val="FootnoteText"/>
      </w:pPr>
      <w:r>
        <w:rPr>
          <w:rStyle w:val="FootnoteReference"/>
        </w:rPr>
        <w:footnoteRef/>
      </w:r>
      <w:r>
        <w:t xml:space="preserve"> Delia. 1988: 275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2A0"/>
    <w:rsid w:val="000252D1"/>
    <w:rsid w:val="0002627D"/>
    <w:rsid w:val="00034E8A"/>
    <w:rsid w:val="000A23F0"/>
    <w:rsid w:val="000E7F19"/>
    <w:rsid w:val="000F1600"/>
    <w:rsid w:val="00136EF6"/>
    <w:rsid w:val="001604CD"/>
    <w:rsid w:val="00173AF7"/>
    <w:rsid w:val="001942A0"/>
    <w:rsid w:val="001C0299"/>
    <w:rsid w:val="001D5A41"/>
    <w:rsid w:val="00200C14"/>
    <w:rsid w:val="00266A6B"/>
    <w:rsid w:val="00282205"/>
    <w:rsid w:val="002851C5"/>
    <w:rsid w:val="002D7FD2"/>
    <w:rsid w:val="002F26FC"/>
    <w:rsid w:val="0030474B"/>
    <w:rsid w:val="003065EF"/>
    <w:rsid w:val="0034080A"/>
    <w:rsid w:val="0039475C"/>
    <w:rsid w:val="003A29C4"/>
    <w:rsid w:val="003B6BE3"/>
    <w:rsid w:val="003F4EFB"/>
    <w:rsid w:val="00401E31"/>
    <w:rsid w:val="00402307"/>
    <w:rsid w:val="00451B69"/>
    <w:rsid w:val="004728EE"/>
    <w:rsid w:val="004833E5"/>
    <w:rsid w:val="004D3D19"/>
    <w:rsid w:val="004F1937"/>
    <w:rsid w:val="00515EBD"/>
    <w:rsid w:val="005B3C92"/>
    <w:rsid w:val="00611736"/>
    <w:rsid w:val="00655B2F"/>
    <w:rsid w:val="006B74D6"/>
    <w:rsid w:val="006D1155"/>
    <w:rsid w:val="006E0E6A"/>
    <w:rsid w:val="007719C3"/>
    <w:rsid w:val="00773525"/>
    <w:rsid w:val="007A27A9"/>
    <w:rsid w:val="007A2E72"/>
    <w:rsid w:val="007B0832"/>
    <w:rsid w:val="00870B86"/>
    <w:rsid w:val="0087341C"/>
    <w:rsid w:val="00876295"/>
    <w:rsid w:val="00882414"/>
    <w:rsid w:val="008A7060"/>
    <w:rsid w:val="008C080E"/>
    <w:rsid w:val="008C083F"/>
    <w:rsid w:val="00940F49"/>
    <w:rsid w:val="0097780C"/>
    <w:rsid w:val="00982A5F"/>
    <w:rsid w:val="00991DB6"/>
    <w:rsid w:val="009B1C7C"/>
    <w:rsid w:val="009D1D5F"/>
    <w:rsid w:val="00AA2024"/>
    <w:rsid w:val="00AA581E"/>
    <w:rsid w:val="00AF4AB0"/>
    <w:rsid w:val="00B404FA"/>
    <w:rsid w:val="00B4352C"/>
    <w:rsid w:val="00B76502"/>
    <w:rsid w:val="00B813CD"/>
    <w:rsid w:val="00BA1D59"/>
    <w:rsid w:val="00BB6F64"/>
    <w:rsid w:val="00BD2295"/>
    <w:rsid w:val="00C25CD8"/>
    <w:rsid w:val="00C51C40"/>
    <w:rsid w:val="00C547B3"/>
    <w:rsid w:val="00D23B00"/>
    <w:rsid w:val="00D376BD"/>
    <w:rsid w:val="00D75F69"/>
    <w:rsid w:val="00D95A07"/>
    <w:rsid w:val="00DA43EF"/>
    <w:rsid w:val="00DB069B"/>
    <w:rsid w:val="00E61B0C"/>
    <w:rsid w:val="00E638B8"/>
    <w:rsid w:val="00ED6B2C"/>
    <w:rsid w:val="00EE0843"/>
    <w:rsid w:val="00EF1FAC"/>
    <w:rsid w:val="00EF21CD"/>
    <w:rsid w:val="00F062AA"/>
    <w:rsid w:val="00F3569C"/>
    <w:rsid w:val="00F751F3"/>
    <w:rsid w:val="00F9720B"/>
    <w:rsid w:val="00FA78DD"/>
    <w:rsid w:val="00FB668F"/>
    <w:rsid w:val="00FE5198"/>
    <w:rsid w:val="00FF40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A9868920-B273-4823-BB0D-816A619C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25C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5CD8"/>
    <w:rPr>
      <w:sz w:val="20"/>
      <w:szCs w:val="20"/>
    </w:rPr>
  </w:style>
  <w:style w:type="character" w:styleId="FootnoteReference">
    <w:name w:val="footnote reference"/>
    <w:basedOn w:val="DefaultParagraphFont"/>
    <w:uiPriority w:val="99"/>
    <w:semiHidden/>
    <w:unhideWhenUsed/>
    <w:rsid w:val="00C25CD8"/>
    <w:rPr>
      <w:vertAlign w:val="superscript"/>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3047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74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638B8"/>
    <w:rPr>
      <w:b/>
      <w:bCs/>
    </w:rPr>
  </w:style>
  <w:style w:type="character" w:customStyle="1" w:styleId="CommentSubjectChar">
    <w:name w:val="Comment Subject Char"/>
    <w:basedOn w:val="CommentTextChar"/>
    <w:link w:val="CommentSubject"/>
    <w:uiPriority w:val="99"/>
    <w:semiHidden/>
    <w:rsid w:val="00E638B8"/>
    <w:rPr>
      <w:b/>
      <w:bCs/>
      <w:sz w:val="20"/>
      <w:szCs w:val="20"/>
    </w:rPr>
  </w:style>
  <w:style w:type="character" w:styleId="Hyperlink">
    <w:name w:val="Hyperlink"/>
    <w:basedOn w:val="DefaultParagraphFont"/>
    <w:uiPriority w:val="99"/>
    <w:unhideWhenUsed/>
    <w:rsid w:val="002D7FD2"/>
    <w:rPr>
      <w:color w:val="0563C1" w:themeColor="hyperlink"/>
      <w:u w:val="single"/>
    </w:rPr>
  </w:style>
  <w:style w:type="paragraph" w:styleId="Header">
    <w:name w:val="header"/>
    <w:basedOn w:val="Normal"/>
    <w:link w:val="HeaderChar"/>
    <w:uiPriority w:val="99"/>
    <w:unhideWhenUsed/>
    <w:rsid w:val="006D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155"/>
  </w:style>
  <w:style w:type="paragraph" w:styleId="Footer">
    <w:name w:val="footer"/>
    <w:basedOn w:val="Normal"/>
    <w:link w:val="FooterChar"/>
    <w:uiPriority w:val="99"/>
    <w:unhideWhenUsed/>
    <w:rsid w:val="006D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155"/>
  </w:style>
  <w:style w:type="character" w:customStyle="1" w:styleId="citationitalic">
    <w:name w:val="citationitalic"/>
    <w:basedOn w:val="DefaultParagraphFont"/>
    <w:rsid w:val="007B0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ferenceworks.brillonline.com.ezproxy.uwtsd.ac.uk/entries/brill-s-new-pauly/polybius-e1000940?s.num=0&amp;s.f.s2_parent=s.f.book.brill-s-new-pauly&amp;s.q=polybius" TargetMode="External"/><Relationship Id="rId3" Type="http://schemas.openxmlformats.org/officeDocument/2006/relationships/settings" Target="settings.xml"/><Relationship Id="rId7" Type="http://schemas.openxmlformats.org/officeDocument/2006/relationships/hyperlink" Target="http://www.oxfordreference.com.ezproxy.uwtsd.ac.uk/view/10.1093/acref/9780199545568.001.0001/acref-9780199545568-e-5172?rskey=dwZkyJ&amp;result=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referenceworks.brillonline.com.ezproxy.uwtsd.ac.uk/entries/brill-s-new-pauly/alexandria-e113940?s.num=2&amp;s.q=alexandria" TargetMode="External"/><Relationship Id="rId4" Type="http://schemas.openxmlformats.org/officeDocument/2006/relationships/webSettings" Target="webSettings.xml"/><Relationship Id="rId9" Type="http://schemas.openxmlformats.org/officeDocument/2006/relationships/hyperlink" Target="http://www.oxfordreference.com.ezproxy.uwtsd.ac.uk/view/10.1093/acref/9780199545568.001.0001/acref-9780199545568-e-34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ACDA6-49E8-49FC-8078-463791D78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Bell</dc:creator>
  <cp:lastModifiedBy>Jessica Bell</cp:lastModifiedBy>
  <cp:revision>2</cp:revision>
  <dcterms:created xsi:type="dcterms:W3CDTF">2018-05-08T18:44:00Z</dcterms:created>
  <dcterms:modified xsi:type="dcterms:W3CDTF">2018-05-08T18:44:00Z</dcterms:modified>
</cp:coreProperties>
</file>