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33B5B2C9" wp14:paraId="0303C816" wp14:textId="569717C5">
      <w:pPr>
        <w:pStyle w:val="Normal"/>
        <w:spacing w:before="0" w:beforeAutospacing="off" w:line="360" w:lineRule="auto"/>
        <w:rPr>
          <w:rFonts w:ascii="Times New Roman" w:hAnsi="Times New Roman" w:eastAsia="Times New Roman" w:cs="Times New Roman"/>
          <w:noProof w:val="0"/>
          <w:sz w:val="24"/>
          <w:szCs w:val="24"/>
          <w:lang w:val="en-GB"/>
        </w:rPr>
      </w:pPr>
      <w:r w:rsidRPr="33B5B2C9" w:rsidR="05440DCF">
        <w:rPr>
          <w:rFonts w:ascii="Times New Roman" w:hAnsi="Times New Roman" w:eastAsia="Times New Roman" w:cs="Times New Roman"/>
          <w:noProof w:val="0"/>
          <w:sz w:val="24"/>
          <w:szCs w:val="24"/>
          <w:lang w:val="en-GB"/>
        </w:rPr>
        <w:t xml:space="preserve">Iliotibial Band Syndrome (ITBS) is one of the most prevalent overuse injuries in sport. It affects the lateral aspect of the knee, particularly among runners and athletes involved in repetitive lower limb activities. The condition arises due to friction between the iliotibial band and the lateral femoral epicondyle, often </w:t>
      </w:r>
      <w:r w:rsidRPr="33B5B2C9" w:rsidR="05440DCF">
        <w:rPr>
          <w:rFonts w:ascii="Times New Roman" w:hAnsi="Times New Roman" w:eastAsia="Times New Roman" w:cs="Times New Roman"/>
          <w:noProof w:val="0"/>
          <w:sz w:val="24"/>
          <w:szCs w:val="24"/>
          <w:lang w:val="en-GB"/>
        </w:rPr>
        <w:t>exacerbated</w:t>
      </w:r>
      <w:r w:rsidRPr="33B5B2C9" w:rsidR="05440DCF">
        <w:rPr>
          <w:rFonts w:ascii="Times New Roman" w:hAnsi="Times New Roman" w:eastAsia="Times New Roman" w:cs="Times New Roman"/>
          <w:noProof w:val="0"/>
          <w:sz w:val="24"/>
          <w:szCs w:val="24"/>
          <w:lang w:val="en-GB"/>
        </w:rPr>
        <w:t xml:space="preserve"> by biomechanical imbalances, training errors, or muscular weaknesses</w:t>
      </w:r>
      <w:r w:rsidRPr="33B5B2C9" w:rsidR="2FD2A9F9">
        <w:rPr>
          <w:rFonts w:ascii="Times New Roman" w:hAnsi="Times New Roman" w:eastAsia="Times New Roman" w:cs="Times New Roman"/>
          <w:noProof w:val="0"/>
          <w:sz w:val="24"/>
          <w:szCs w:val="24"/>
          <w:lang w:val="en-GB"/>
        </w:rPr>
        <w:t xml:space="preserve"> (Marais et al. 2024)</w:t>
      </w:r>
      <w:r w:rsidRPr="33B5B2C9" w:rsidR="05440DCF">
        <w:rPr>
          <w:rFonts w:ascii="Times New Roman" w:hAnsi="Times New Roman" w:eastAsia="Times New Roman" w:cs="Times New Roman"/>
          <w:noProof w:val="0"/>
          <w:sz w:val="24"/>
          <w:szCs w:val="24"/>
          <w:lang w:val="en-GB"/>
        </w:rPr>
        <w:t xml:space="preserve">. </w:t>
      </w:r>
    </w:p>
    <w:p xmlns:wp14="http://schemas.microsoft.com/office/word/2010/wordml" w:rsidP="33B5B2C9" wp14:paraId="6F9C929F" wp14:textId="514E2BFA">
      <w:pPr>
        <w:pStyle w:val="Normal"/>
        <w:spacing w:before="0" w:beforeAutospacing="off" w:line="360" w:lineRule="auto"/>
        <w:rPr>
          <w:rFonts w:ascii="Times New Roman" w:hAnsi="Times New Roman" w:eastAsia="Times New Roman" w:cs="Times New Roman"/>
          <w:noProof w:val="0"/>
          <w:sz w:val="24"/>
          <w:szCs w:val="24"/>
          <w:lang w:val="en-GB"/>
        </w:rPr>
      </w:pPr>
      <w:r w:rsidRPr="33B5B2C9" w:rsidR="05440DCF">
        <w:rPr>
          <w:rFonts w:ascii="Times New Roman" w:hAnsi="Times New Roman" w:eastAsia="Times New Roman" w:cs="Times New Roman"/>
          <w:noProof w:val="0"/>
          <w:sz w:val="24"/>
          <w:szCs w:val="24"/>
          <w:lang w:val="en-GB"/>
        </w:rPr>
        <w:t xml:space="preserve">ITBS not only </w:t>
      </w:r>
      <w:r w:rsidRPr="33B5B2C9" w:rsidR="05440DCF">
        <w:rPr>
          <w:rFonts w:ascii="Times New Roman" w:hAnsi="Times New Roman" w:eastAsia="Times New Roman" w:cs="Times New Roman"/>
          <w:noProof w:val="0"/>
          <w:sz w:val="24"/>
          <w:szCs w:val="24"/>
          <w:lang w:val="en-GB"/>
        </w:rPr>
        <w:t>impacts</w:t>
      </w:r>
      <w:r w:rsidRPr="33B5B2C9" w:rsidR="05440DCF">
        <w:rPr>
          <w:rFonts w:ascii="Times New Roman" w:hAnsi="Times New Roman" w:eastAsia="Times New Roman" w:cs="Times New Roman"/>
          <w:noProof w:val="0"/>
          <w:sz w:val="24"/>
          <w:szCs w:val="24"/>
          <w:lang w:val="en-GB"/>
        </w:rPr>
        <w:t xml:space="preserve"> athletic performance but can also hinder daily function if left untreated. Accurate diagnosis is essential, as ITBS shares symptoms with several other pathologies</w:t>
      </w:r>
      <w:r w:rsidRPr="33B5B2C9" w:rsidR="671C311C">
        <w:rPr>
          <w:rFonts w:ascii="Times New Roman" w:hAnsi="Times New Roman" w:eastAsia="Times New Roman" w:cs="Times New Roman"/>
          <w:noProof w:val="0"/>
          <w:sz w:val="24"/>
          <w:szCs w:val="24"/>
          <w:lang w:val="en-GB"/>
        </w:rPr>
        <w:t xml:space="preserve"> such as patellofemoral syndrome, and Greater trochanteric pain syndrome (</w:t>
      </w:r>
      <w:r w:rsidRPr="33B5B2C9" w:rsidR="39F2200F">
        <w:rPr>
          <w:rFonts w:ascii="Times New Roman" w:hAnsi="Times New Roman" w:eastAsia="Times New Roman" w:cs="Times New Roman"/>
          <w:noProof w:val="0"/>
          <w:sz w:val="24"/>
          <w:szCs w:val="24"/>
          <w:lang w:val="en-GB"/>
        </w:rPr>
        <w:t>Lavine, 2010)</w:t>
      </w:r>
      <w:r w:rsidRPr="33B5B2C9" w:rsidR="671C311C">
        <w:rPr>
          <w:rFonts w:ascii="Times New Roman" w:hAnsi="Times New Roman" w:eastAsia="Times New Roman" w:cs="Times New Roman"/>
          <w:noProof w:val="0"/>
          <w:sz w:val="24"/>
          <w:szCs w:val="24"/>
          <w:lang w:val="en-GB"/>
        </w:rPr>
        <w:t xml:space="preserve"> </w:t>
      </w:r>
      <w:r w:rsidRPr="33B5B2C9" w:rsidR="05440DCF">
        <w:rPr>
          <w:rFonts w:ascii="Times New Roman" w:hAnsi="Times New Roman" w:eastAsia="Times New Roman" w:cs="Times New Roman"/>
          <w:noProof w:val="0"/>
          <w:sz w:val="24"/>
          <w:szCs w:val="24"/>
          <w:lang w:val="en-GB"/>
        </w:rPr>
        <w:t>making differential diagnosis a critical skill for sports therapists</w:t>
      </w:r>
      <w:r w:rsidRPr="33B5B2C9" w:rsidR="2F9E7F3F">
        <w:rPr>
          <w:rFonts w:ascii="Times New Roman" w:hAnsi="Times New Roman" w:eastAsia="Times New Roman" w:cs="Times New Roman"/>
          <w:noProof w:val="0"/>
          <w:sz w:val="24"/>
          <w:szCs w:val="24"/>
          <w:lang w:val="en-GB"/>
        </w:rPr>
        <w:t>.</w:t>
      </w:r>
    </w:p>
    <w:p xmlns:wp14="http://schemas.microsoft.com/office/word/2010/wordml" w:rsidP="33B5B2C9" wp14:paraId="6CC19BDC" wp14:textId="690F2F4D">
      <w:pPr>
        <w:pStyle w:val="Normal"/>
        <w:spacing w:before="0" w:beforeAutospacing="off" w:line="360" w:lineRule="auto"/>
        <w:rPr>
          <w:rFonts w:ascii="Times New Roman" w:hAnsi="Times New Roman" w:eastAsia="Times New Roman" w:cs="Times New Roman"/>
          <w:noProof w:val="0"/>
          <w:sz w:val="24"/>
          <w:szCs w:val="24"/>
          <w:lang w:val="en-GB"/>
        </w:rPr>
      </w:pPr>
      <w:r w:rsidRPr="33B5B2C9" w:rsidR="05440DCF">
        <w:rPr>
          <w:rFonts w:ascii="Times New Roman" w:hAnsi="Times New Roman" w:eastAsia="Times New Roman" w:cs="Times New Roman"/>
          <w:noProof w:val="0"/>
          <w:sz w:val="24"/>
          <w:szCs w:val="24"/>
          <w:lang w:val="en-GB"/>
        </w:rPr>
        <w:t xml:space="preserve">This essay explores the common, less common, and not-to-be-missed presentations of ITBS through subjective and objective signposts and evaluates the importance of </w:t>
      </w:r>
      <w:r w:rsidRPr="33B5B2C9" w:rsidR="05440DCF">
        <w:rPr>
          <w:rFonts w:ascii="Times New Roman" w:hAnsi="Times New Roman" w:eastAsia="Times New Roman" w:cs="Times New Roman"/>
          <w:noProof w:val="0"/>
          <w:sz w:val="24"/>
          <w:szCs w:val="24"/>
          <w:lang w:val="en-GB"/>
        </w:rPr>
        <w:t>appropriate referral</w:t>
      </w:r>
      <w:r w:rsidRPr="33B5B2C9" w:rsidR="05440DCF">
        <w:rPr>
          <w:rFonts w:ascii="Times New Roman" w:hAnsi="Times New Roman" w:eastAsia="Times New Roman" w:cs="Times New Roman"/>
          <w:noProof w:val="0"/>
          <w:sz w:val="24"/>
          <w:szCs w:val="24"/>
          <w:lang w:val="en-GB"/>
        </w:rPr>
        <w:t xml:space="preserve"> and imaging within evidence-based practice. It also highlights the role of clinical reasoning in </w:t>
      </w:r>
      <w:r w:rsidRPr="33B5B2C9" w:rsidR="05440DCF">
        <w:rPr>
          <w:rFonts w:ascii="Times New Roman" w:hAnsi="Times New Roman" w:eastAsia="Times New Roman" w:cs="Times New Roman"/>
          <w:noProof w:val="0"/>
          <w:sz w:val="24"/>
          <w:szCs w:val="24"/>
          <w:lang w:val="en-GB"/>
        </w:rPr>
        <w:t>identifying</w:t>
      </w:r>
      <w:r w:rsidRPr="33B5B2C9" w:rsidR="05440DCF">
        <w:rPr>
          <w:rFonts w:ascii="Times New Roman" w:hAnsi="Times New Roman" w:eastAsia="Times New Roman" w:cs="Times New Roman"/>
          <w:noProof w:val="0"/>
          <w:sz w:val="24"/>
          <w:szCs w:val="24"/>
          <w:lang w:val="en-GB"/>
        </w:rPr>
        <w:t xml:space="preserve"> associated conditions and ensuring safe, effective management.</w:t>
      </w:r>
    </w:p>
    <w:p xmlns:wp14="http://schemas.microsoft.com/office/word/2010/wordml" w:rsidP="6C46DFDF" wp14:paraId="1B4D7D5E" wp14:textId="1FF53908">
      <w:pPr>
        <w:pStyle w:val="Normal"/>
        <w:spacing w:before="0" w:beforeAutospacing="off" w:line="360" w:lineRule="auto"/>
        <w:rPr>
          <w:rFonts w:ascii="Times New Roman" w:hAnsi="Times New Roman" w:eastAsia="Times New Roman" w:cs="Times New Roman"/>
        </w:rPr>
      </w:pPr>
      <w:r w:rsidRPr="33B5B2C9" w:rsidR="2745C758">
        <w:rPr>
          <w:rFonts w:ascii="Times New Roman" w:hAnsi="Times New Roman" w:eastAsia="Times New Roman" w:cs="Times New Roman"/>
        </w:rPr>
        <w:t>Unlike acute injuries resulting from a single traumatic event, ITBS develops gradually due to repetitive knee flexion and extension, which places frictional and compressive stress on the iliotibial band and the adjacent lateral femoral epicondyle. This continual microtrauma can lead to inflammation, irritation, and pain in the surrounding soft tissue structures, often impairing athletic performance and daily function</w:t>
      </w:r>
      <w:r w:rsidRPr="33B5B2C9" w:rsidR="4506FC6C">
        <w:rPr>
          <w:rFonts w:ascii="Times New Roman" w:hAnsi="Times New Roman" w:eastAsia="Times New Roman" w:cs="Times New Roman"/>
        </w:rPr>
        <w:t xml:space="preserve"> (</w:t>
      </w:r>
      <w:r w:rsidRPr="33B5B2C9" w:rsidR="4506FC6C">
        <w:rPr>
          <w:rFonts w:ascii="Times New Roman" w:hAnsi="Times New Roman" w:eastAsia="Times New Roman" w:cs="Times New Roman"/>
        </w:rPr>
        <w:t>Worp</w:t>
      </w:r>
      <w:r w:rsidRPr="33B5B2C9" w:rsidR="4506FC6C">
        <w:rPr>
          <w:rFonts w:ascii="Times New Roman" w:hAnsi="Times New Roman" w:eastAsia="Times New Roman" w:cs="Times New Roman"/>
        </w:rPr>
        <w:t xml:space="preserve"> et al. 2012). </w:t>
      </w:r>
    </w:p>
    <w:p xmlns:wp14="http://schemas.microsoft.com/office/word/2010/wordml" w:rsidP="6C46DFDF" wp14:paraId="4DDF3FCF" wp14:textId="29CB7320">
      <w:pPr>
        <w:pStyle w:val="Normal"/>
        <w:spacing w:before="0" w:beforeAutospacing="off" w:line="360" w:lineRule="auto"/>
        <w:rPr>
          <w:rFonts w:ascii="Times New Roman" w:hAnsi="Times New Roman" w:eastAsia="Times New Roman" w:cs="Times New Roman"/>
        </w:rPr>
      </w:pPr>
      <w:r w:rsidRPr="056ED209" w:rsidR="41854383">
        <w:rPr>
          <w:rFonts w:ascii="Times New Roman" w:hAnsi="Times New Roman" w:eastAsia="Times New Roman" w:cs="Times New Roman"/>
        </w:rPr>
        <w:t>Risk factor</w:t>
      </w:r>
      <w:r w:rsidRPr="056ED209" w:rsidR="41854383">
        <w:rPr>
          <w:rFonts w:ascii="Times New Roman" w:hAnsi="Times New Roman" w:eastAsia="Times New Roman" w:cs="Times New Roman"/>
        </w:rPr>
        <w:t xml:space="preserve">s such as biomechanical abnormalities, training errors, and muscular imbalances can further </w:t>
      </w:r>
      <w:r w:rsidRPr="056ED209" w:rsidR="41854383">
        <w:rPr>
          <w:rFonts w:ascii="Times New Roman" w:hAnsi="Times New Roman" w:eastAsia="Times New Roman" w:cs="Times New Roman"/>
        </w:rPr>
        <w:t>exacerbate</w:t>
      </w:r>
      <w:r w:rsidRPr="056ED209" w:rsidR="41854383">
        <w:rPr>
          <w:rFonts w:ascii="Times New Roman" w:hAnsi="Times New Roman" w:eastAsia="Times New Roman" w:cs="Times New Roman"/>
        </w:rPr>
        <w:t xml:space="preserve"> the condition, making early recognition and management critical to prevent chronic symptoms and secondary injuries</w:t>
      </w:r>
      <w:r w:rsidRPr="056ED209" w:rsidR="33CA9E41">
        <w:rPr>
          <w:rFonts w:ascii="Times New Roman" w:hAnsi="Times New Roman" w:eastAsia="Times New Roman" w:cs="Times New Roman"/>
        </w:rPr>
        <w:t>.</w:t>
      </w:r>
      <w:r w:rsidRPr="056ED209" w:rsidR="014B6F67">
        <w:rPr>
          <w:rFonts w:ascii="Times New Roman" w:hAnsi="Times New Roman" w:eastAsia="Times New Roman" w:cs="Times New Roman"/>
        </w:rPr>
        <w:t xml:space="preserve"> </w:t>
      </w:r>
      <w:r w:rsidRPr="056ED209" w:rsidR="1DB07B00">
        <w:rPr>
          <w:rFonts w:ascii="Times New Roman" w:hAnsi="Times New Roman" w:eastAsia="Times New Roman" w:cs="Times New Roman"/>
        </w:rPr>
        <w:t xml:space="preserve">Epidemiological studies </w:t>
      </w:r>
      <w:r w:rsidRPr="056ED209" w:rsidR="1DB07B00">
        <w:rPr>
          <w:rFonts w:ascii="Times New Roman" w:hAnsi="Times New Roman" w:eastAsia="Times New Roman" w:cs="Times New Roman"/>
        </w:rPr>
        <w:t>indicate</w:t>
      </w:r>
      <w:r w:rsidRPr="056ED209" w:rsidR="1DB07B00">
        <w:rPr>
          <w:rFonts w:ascii="Times New Roman" w:hAnsi="Times New Roman" w:eastAsia="Times New Roman" w:cs="Times New Roman"/>
        </w:rPr>
        <w:t xml:space="preserve"> that approximately one fifth of all </w:t>
      </w:r>
      <w:r w:rsidRPr="056ED209" w:rsidR="7F51D7C3">
        <w:rPr>
          <w:rFonts w:ascii="Times New Roman" w:hAnsi="Times New Roman" w:eastAsia="Times New Roman" w:cs="Times New Roman"/>
        </w:rPr>
        <w:t>lower limb</w:t>
      </w:r>
      <w:r w:rsidRPr="056ED209" w:rsidR="1DB07B00">
        <w:rPr>
          <w:rFonts w:ascii="Times New Roman" w:hAnsi="Times New Roman" w:eastAsia="Times New Roman" w:cs="Times New Roman"/>
        </w:rPr>
        <w:t xml:space="preserve"> running injuries can be attributed to ITBS</w:t>
      </w:r>
      <w:r w:rsidRPr="056ED209" w:rsidR="2B88E528">
        <w:rPr>
          <w:rFonts w:ascii="Times New Roman" w:hAnsi="Times New Roman" w:eastAsia="Times New Roman" w:cs="Times New Roman"/>
        </w:rPr>
        <w:t xml:space="preserve"> (Beals and Flanigan, 2013).</w:t>
      </w:r>
    </w:p>
    <w:p w:rsidR="7D2AB5A7" w:rsidP="6C46DFDF" w:rsidRDefault="7D2AB5A7" w14:paraId="481E70C3" w14:noSpellErr="1" w14:textId="343E3646">
      <w:pPr>
        <w:pStyle w:val="Normal"/>
        <w:spacing w:before="0" w:beforeAutospacing="off" w:line="360" w:lineRule="auto"/>
        <w:rPr>
          <w:rFonts w:ascii="Times New Roman" w:hAnsi="Times New Roman" w:eastAsia="Times New Roman" w:cs="Times New Roman"/>
        </w:rPr>
      </w:pPr>
      <w:r w:rsidRPr="33B5B2C9" w:rsidR="7D2AB5A7">
        <w:rPr>
          <w:rFonts w:ascii="Times New Roman" w:hAnsi="Times New Roman" w:eastAsia="Times New Roman" w:cs="Times New Roman"/>
        </w:rPr>
        <w:t xml:space="preserve">ITBS occurs due to repetitive compression of the iliotibial band against the lateral femoral condyle during activities involving frequent knee flexion and extension, such as running or cycling. This compression irritates the underlying fat pad and surrounding tissues, leading to inflammation and pain on the outside of the </w:t>
      </w:r>
      <w:r w:rsidRPr="33B5B2C9" w:rsidR="7D2AB5A7">
        <w:rPr>
          <w:rFonts w:ascii="Times New Roman" w:hAnsi="Times New Roman" w:eastAsia="Times New Roman" w:cs="Times New Roman"/>
        </w:rPr>
        <w:t>knee</w:t>
      </w:r>
      <w:r w:rsidRPr="33B5B2C9" w:rsidR="2306A892">
        <w:rPr>
          <w:rFonts w:ascii="Times New Roman" w:hAnsi="Times New Roman" w:eastAsia="Times New Roman" w:cs="Times New Roman"/>
        </w:rPr>
        <w:t xml:space="preserve">. </w:t>
      </w:r>
      <w:r w:rsidRPr="33B5B2C9" w:rsidR="7D2AB5A7">
        <w:rPr>
          <w:rFonts w:ascii="Times New Roman" w:hAnsi="Times New Roman" w:eastAsia="Times New Roman" w:cs="Times New Roman"/>
        </w:rPr>
        <w:t>The</w:t>
      </w:r>
      <w:r w:rsidRPr="33B5B2C9" w:rsidR="7D2AB5A7">
        <w:rPr>
          <w:rFonts w:ascii="Times New Roman" w:hAnsi="Times New Roman" w:eastAsia="Times New Roman" w:cs="Times New Roman"/>
        </w:rPr>
        <w:t xml:space="preserve"> injury is typically caused by overuse, biomechanical imbalances like weak hip muscles or poor foot alignment, and training errors such as sudden increases in activity intensity or volume</w:t>
      </w:r>
      <w:r w:rsidRPr="33B5B2C9" w:rsidR="7D2AB5A7">
        <w:rPr>
          <w:rFonts w:ascii="Times New Roman" w:hAnsi="Times New Roman" w:eastAsia="Times New Roman" w:cs="Times New Roman"/>
        </w:rPr>
        <w:t xml:space="preserve"> </w:t>
      </w:r>
      <w:r w:rsidRPr="33B5B2C9" w:rsidR="0BD79D76">
        <w:rPr>
          <w:rFonts w:ascii="Times New Roman" w:hAnsi="Times New Roman" w:eastAsia="Times New Roman" w:cs="Times New Roman"/>
        </w:rPr>
        <w:t>(Grzelak, 2024).</w:t>
      </w:r>
    </w:p>
    <w:p w:rsidR="64BC2DA4" w:rsidP="33B5B2C9" w:rsidRDefault="64BC2DA4" w14:paraId="642FD989" w14:noSpellErr="1" w14:textId="49640B08">
      <w:pPr>
        <w:pStyle w:val="Normal"/>
        <w:spacing w:before="0" w:beforeAutospacing="off" w:line="360" w:lineRule="auto"/>
        <w:rPr>
          <w:rFonts w:ascii="Times New Roman" w:hAnsi="Times New Roman" w:eastAsia="Times New Roman" w:cs="Times New Roman"/>
          <w:noProof w:val="0"/>
          <w:sz w:val="24"/>
          <w:szCs w:val="24"/>
          <w:lang w:val="en-GB"/>
        </w:rPr>
      </w:pPr>
      <w:r w:rsidRPr="33B5B2C9" w:rsidR="64BC2DA4">
        <w:rPr>
          <w:rFonts w:ascii="Times New Roman" w:hAnsi="Times New Roman" w:eastAsia="Times New Roman" w:cs="Times New Roman"/>
        </w:rPr>
        <w:t xml:space="preserve">The </w:t>
      </w:r>
      <w:r w:rsidRPr="33B5B2C9" w:rsidR="64BC2DA4">
        <w:rPr>
          <w:rFonts w:ascii="Times New Roman" w:hAnsi="Times New Roman" w:eastAsia="Times New Roman" w:cs="Times New Roman"/>
        </w:rPr>
        <w:t>initial</w:t>
      </w:r>
      <w:r w:rsidRPr="33B5B2C9" w:rsidR="64BC2DA4">
        <w:rPr>
          <w:rFonts w:ascii="Times New Roman" w:hAnsi="Times New Roman" w:eastAsia="Times New Roman" w:cs="Times New Roman"/>
        </w:rPr>
        <w:t xml:space="preserve"> pain is t</w:t>
      </w:r>
      <w:r w:rsidRPr="33B5B2C9" w:rsidR="542BE501">
        <w:rPr>
          <w:rFonts w:ascii="Times New Roman" w:hAnsi="Times New Roman" w:eastAsia="Times New Roman" w:cs="Times New Roman"/>
        </w:rPr>
        <w:t>y</w:t>
      </w:r>
      <w:r w:rsidRPr="33B5B2C9" w:rsidR="542BE501">
        <w:rPr>
          <w:rFonts w:ascii="Times New Roman" w:hAnsi="Times New Roman" w:eastAsia="Times New Roman" w:cs="Times New Roman"/>
        </w:rPr>
        <w:t>pically described as sharp, burning, or aching</w:t>
      </w:r>
      <w:r w:rsidRPr="33B5B2C9" w:rsidR="564E52C0">
        <w:rPr>
          <w:rFonts w:ascii="Times New Roman" w:hAnsi="Times New Roman" w:eastAsia="Times New Roman" w:cs="Times New Roman"/>
        </w:rPr>
        <w:t xml:space="preserve"> localised over the lateral femoral epicondyle </w:t>
      </w:r>
      <w:r w:rsidRPr="33B5B2C9" w:rsidR="564E52C0">
        <w:rPr>
          <w:rFonts w:ascii="Times New Roman" w:hAnsi="Times New Roman" w:eastAsia="Times New Roman" w:cs="Times New Roman"/>
        </w:rPr>
        <w:t>approximately 2-3cm</w:t>
      </w:r>
      <w:r w:rsidRPr="33B5B2C9" w:rsidR="564E52C0">
        <w:rPr>
          <w:rFonts w:ascii="Times New Roman" w:hAnsi="Times New Roman" w:eastAsia="Times New Roman" w:cs="Times New Roman"/>
        </w:rPr>
        <w:t xml:space="preserve"> above the lateral joint line of the knee</w:t>
      </w:r>
      <w:r w:rsidRPr="33B5B2C9" w:rsidR="542BE501">
        <w:rPr>
          <w:rFonts w:ascii="Times New Roman" w:hAnsi="Times New Roman" w:eastAsia="Times New Roman" w:cs="Times New Roman"/>
        </w:rPr>
        <w:t>. It may start as a dull discomfort and intensify with continued activity.</w:t>
      </w:r>
      <w:r w:rsidRPr="33B5B2C9" w:rsidR="113C447A">
        <w:rPr>
          <w:rFonts w:ascii="Times New Roman" w:hAnsi="Times New Roman" w:eastAsia="Times New Roman" w:cs="Times New Roman"/>
        </w:rPr>
        <w:t xml:space="preserve"> Grzelak (2024) adds the</w:t>
      </w:r>
      <w:r w:rsidRPr="33B5B2C9" w:rsidR="3DDB164C">
        <w:rPr>
          <w:rFonts w:ascii="Times New Roman" w:hAnsi="Times New Roman" w:eastAsia="Times New Roman" w:cs="Times New Roman"/>
        </w:rPr>
        <w:t>re is a gradual onset and</w:t>
      </w:r>
      <w:r w:rsidRPr="33B5B2C9" w:rsidR="113C447A">
        <w:rPr>
          <w:rFonts w:ascii="Times New Roman" w:hAnsi="Times New Roman" w:eastAsia="Times New Roman" w:cs="Times New Roman"/>
        </w:rPr>
        <w:t xml:space="preserve"> </w:t>
      </w:r>
      <w:r w:rsidRPr="33B5B2C9" w:rsidR="113C447A">
        <w:rPr>
          <w:rFonts w:ascii="Times New Roman" w:hAnsi="Times New Roman" w:eastAsia="Times New Roman" w:cs="Times New Roman"/>
        </w:rPr>
        <w:t>pain intensifies with continued knee flexion, particularly when running downhill</w:t>
      </w:r>
      <w:r w:rsidRPr="33B5B2C9" w:rsidR="3389E621">
        <w:rPr>
          <w:rFonts w:ascii="Times New Roman" w:hAnsi="Times New Roman" w:eastAsia="Times New Roman" w:cs="Times New Roman"/>
        </w:rPr>
        <w:t xml:space="preserve">. </w:t>
      </w:r>
      <w:r w:rsidRPr="33B5B2C9" w:rsidR="510E0906">
        <w:rPr>
          <w:rFonts w:ascii="Times New Roman" w:hAnsi="Times New Roman" w:eastAsia="Times New Roman" w:cs="Times New Roman"/>
        </w:rPr>
        <w:t>Less commonly, pain may be felt along the lateral thigh or into Gerdy’s tubercle. A not-to</w:t>
      </w:r>
      <w:r w:rsidRPr="33B5B2C9" w:rsidR="2D44ED40">
        <w:rPr>
          <w:rFonts w:ascii="Times New Roman" w:hAnsi="Times New Roman" w:eastAsia="Times New Roman" w:cs="Times New Roman"/>
        </w:rPr>
        <w:t xml:space="preserve">-be-missed presentation </w:t>
      </w:r>
      <w:r w:rsidRPr="33B5B2C9" w:rsidR="2D44ED40">
        <w:rPr>
          <w:rFonts w:ascii="Times New Roman" w:hAnsi="Times New Roman" w:eastAsia="Times New Roman" w:cs="Times New Roman"/>
          <w:noProof w:val="0"/>
          <w:sz w:val="24"/>
          <w:szCs w:val="24"/>
          <w:lang w:val="en-GB"/>
        </w:rPr>
        <w:t>would include deep joint line pain, locking or giving wa</w:t>
      </w:r>
      <w:r w:rsidRPr="33B5B2C9" w:rsidR="653EA71F">
        <w:rPr>
          <w:rFonts w:ascii="Times New Roman" w:hAnsi="Times New Roman" w:eastAsia="Times New Roman" w:cs="Times New Roman"/>
          <w:noProof w:val="0"/>
          <w:sz w:val="24"/>
          <w:szCs w:val="24"/>
          <w:lang w:val="en-GB"/>
        </w:rPr>
        <w:t xml:space="preserve">y, </w:t>
      </w:r>
      <w:r w:rsidRPr="33B5B2C9" w:rsidR="2D44ED40">
        <w:rPr>
          <w:rFonts w:ascii="Times New Roman" w:hAnsi="Times New Roman" w:eastAsia="Times New Roman" w:cs="Times New Roman"/>
          <w:noProof w:val="0"/>
          <w:sz w:val="24"/>
          <w:szCs w:val="24"/>
          <w:lang w:val="en-GB"/>
        </w:rPr>
        <w:t>features more consistent with meniscal injur</w:t>
      </w:r>
      <w:r w:rsidRPr="33B5B2C9" w:rsidR="7FD31F0D">
        <w:rPr>
          <w:rFonts w:ascii="Times New Roman" w:hAnsi="Times New Roman" w:eastAsia="Times New Roman" w:cs="Times New Roman"/>
          <w:noProof w:val="0"/>
          <w:sz w:val="24"/>
          <w:szCs w:val="24"/>
          <w:lang w:val="en-GB"/>
        </w:rPr>
        <w:t>ies</w:t>
      </w:r>
      <w:r w:rsidRPr="33B5B2C9" w:rsidR="2D44ED40">
        <w:rPr>
          <w:rFonts w:ascii="Times New Roman" w:hAnsi="Times New Roman" w:eastAsia="Times New Roman" w:cs="Times New Roman"/>
          <w:noProof w:val="0"/>
          <w:sz w:val="24"/>
          <w:szCs w:val="24"/>
          <w:lang w:val="en-GB"/>
        </w:rPr>
        <w:t xml:space="preserve"> rather than</w:t>
      </w:r>
      <w:r w:rsidRPr="33B5B2C9" w:rsidR="0919A58C">
        <w:rPr>
          <w:rFonts w:ascii="Times New Roman" w:hAnsi="Times New Roman" w:eastAsia="Times New Roman" w:cs="Times New Roman"/>
          <w:noProof w:val="0"/>
          <w:sz w:val="24"/>
          <w:szCs w:val="24"/>
          <w:lang w:val="en-GB"/>
        </w:rPr>
        <w:t xml:space="preserve"> </w:t>
      </w:r>
      <w:r w:rsidRPr="33B5B2C9" w:rsidR="2D44ED40">
        <w:rPr>
          <w:rFonts w:ascii="Times New Roman" w:hAnsi="Times New Roman" w:eastAsia="Times New Roman" w:cs="Times New Roman"/>
          <w:noProof w:val="0"/>
          <w:sz w:val="24"/>
          <w:szCs w:val="24"/>
          <w:lang w:val="en-GB"/>
        </w:rPr>
        <w:t>ITBS</w:t>
      </w:r>
      <w:r w:rsidRPr="33B5B2C9" w:rsidR="52DE3E69">
        <w:rPr>
          <w:rFonts w:ascii="Times New Roman" w:hAnsi="Times New Roman" w:eastAsia="Times New Roman" w:cs="Times New Roman"/>
          <w:noProof w:val="0"/>
          <w:sz w:val="24"/>
          <w:szCs w:val="24"/>
          <w:lang w:val="en-GB"/>
        </w:rPr>
        <w:t xml:space="preserve"> (</w:t>
      </w:r>
      <w:r w:rsidRPr="33B5B2C9" w:rsidR="52DE3E69">
        <w:rPr>
          <w:rFonts w:ascii="Times New Roman" w:hAnsi="Times New Roman" w:eastAsia="Times New Roman" w:cs="Times New Roman"/>
          <w:noProof w:val="0"/>
          <w:sz w:val="24"/>
          <w:szCs w:val="24"/>
          <w:lang w:val="en-GB"/>
        </w:rPr>
        <w:t>Pegrum</w:t>
      </w:r>
      <w:r w:rsidRPr="33B5B2C9" w:rsidR="52DE3E69">
        <w:rPr>
          <w:rFonts w:ascii="Times New Roman" w:hAnsi="Times New Roman" w:eastAsia="Times New Roman" w:cs="Times New Roman"/>
          <w:noProof w:val="0"/>
          <w:sz w:val="24"/>
          <w:szCs w:val="24"/>
          <w:lang w:val="en-GB"/>
        </w:rPr>
        <w:t xml:space="preserve"> et al. 2019).</w:t>
      </w:r>
    </w:p>
    <w:p w:rsidR="6DAF2B15" w:rsidP="33B5B2C9" w:rsidRDefault="6DAF2B15" w14:paraId="63D16B14" w14:textId="66F5D361">
      <w:pPr>
        <w:pStyle w:val="Normal"/>
        <w:spacing w:before="0" w:beforeAutospacing="off" w:line="360" w:lineRule="auto"/>
      </w:pPr>
      <w:r w:rsidRPr="33B5B2C9" w:rsidR="6DAF2B15">
        <w:rPr>
          <w:rFonts w:ascii="Times New Roman" w:hAnsi="Times New Roman" w:eastAsia="Times New Roman" w:cs="Times New Roman"/>
          <w:noProof w:val="0"/>
          <w:sz w:val="24"/>
          <w:szCs w:val="24"/>
          <w:lang w:val="en-GB"/>
        </w:rPr>
        <w:t>Aggravating factors include running</w:t>
      </w:r>
      <w:r w:rsidRPr="33B5B2C9" w:rsidR="1D1FC3D2">
        <w:rPr>
          <w:rFonts w:ascii="Times New Roman" w:hAnsi="Times New Roman" w:eastAsia="Times New Roman" w:cs="Times New Roman"/>
          <w:noProof w:val="0"/>
          <w:sz w:val="24"/>
          <w:szCs w:val="24"/>
          <w:lang w:val="en-GB"/>
        </w:rPr>
        <w:t>,</w:t>
      </w:r>
      <w:r w:rsidRPr="33B5B2C9" w:rsidR="6DAF2B15">
        <w:rPr>
          <w:rFonts w:ascii="Times New Roman" w:hAnsi="Times New Roman" w:eastAsia="Times New Roman" w:cs="Times New Roman"/>
          <w:noProof w:val="0"/>
          <w:sz w:val="24"/>
          <w:szCs w:val="24"/>
          <w:lang w:val="en-GB"/>
        </w:rPr>
        <w:t xml:space="preserve"> cycling with high cadence, prolonged sitting and repeated knee flexion and extension. The typical pain point is around 30° knee flexion during stance phase (as </w:t>
      </w:r>
      <w:r w:rsidRPr="33B5B2C9" w:rsidR="6DAF2B15">
        <w:rPr>
          <w:rFonts w:ascii="Times New Roman" w:hAnsi="Times New Roman" w:eastAsia="Times New Roman" w:cs="Times New Roman"/>
          <w:noProof w:val="0"/>
          <w:sz w:val="24"/>
          <w:szCs w:val="24"/>
          <w:lang w:val="en-GB"/>
        </w:rPr>
        <w:t>indicated</w:t>
      </w:r>
      <w:r w:rsidRPr="33B5B2C9" w:rsidR="6DAF2B15">
        <w:rPr>
          <w:rFonts w:ascii="Times New Roman" w:hAnsi="Times New Roman" w:eastAsia="Times New Roman" w:cs="Times New Roman"/>
          <w:noProof w:val="0"/>
          <w:sz w:val="24"/>
          <w:szCs w:val="24"/>
          <w:lang w:val="en-GB"/>
        </w:rPr>
        <w:t xml:space="preserve"> by a positive Renne test). Easing factors may include rest, ice,</w:t>
      </w:r>
      <w:r w:rsidRPr="33B5B2C9" w:rsidR="4271E6D3">
        <w:rPr>
          <w:rFonts w:ascii="Times New Roman" w:hAnsi="Times New Roman" w:eastAsia="Times New Roman" w:cs="Times New Roman"/>
          <w:noProof w:val="0"/>
          <w:sz w:val="24"/>
          <w:szCs w:val="24"/>
          <w:lang w:val="en-GB"/>
        </w:rPr>
        <w:t xml:space="preserve"> and Non-Steroidal Anti-inflammatory drugs</w:t>
      </w:r>
      <w:r w:rsidRPr="33B5B2C9" w:rsidR="6DAF2B15">
        <w:rPr>
          <w:rFonts w:ascii="Times New Roman" w:hAnsi="Times New Roman" w:eastAsia="Times New Roman" w:cs="Times New Roman"/>
          <w:noProof w:val="0"/>
          <w:sz w:val="24"/>
          <w:szCs w:val="24"/>
          <w:lang w:val="en-GB"/>
        </w:rPr>
        <w:t xml:space="preserve"> </w:t>
      </w:r>
      <w:r w:rsidRPr="33B5B2C9" w:rsidR="417EAF64">
        <w:rPr>
          <w:rFonts w:ascii="Times New Roman" w:hAnsi="Times New Roman" w:eastAsia="Times New Roman" w:cs="Times New Roman"/>
          <w:noProof w:val="0"/>
          <w:sz w:val="24"/>
          <w:szCs w:val="24"/>
          <w:lang w:val="en-GB"/>
        </w:rPr>
        <w:t>(</w:t>
      </w:r>
      <w:r w:rsidRPr="33B5B2C9" w:rsidR="6DAF2B15">
        <w:rPr>
          <w:rFonts w:ascii="Times New Roman" w:hAnsi="Times New Roman" w:eastAsia="Times New Roman" w:cs="Times New Roman"/>
          <w:noProof w:val="0"/>
          <w:sz w:val="24"/>
          <w:szCs w:val="24"/>
          <w:lang w:val="en-GB"/>
        </w:rPr>
        <w:t>NSAIDs</w:t>
      </w:r>
      <w:r w:rsidRPr="33B5B2C9" w:rsidR="3A6FB74F">
        <w:rPr>
          <w:rFonts w:ascii="Times New Roman" w:hAnsi="Times New Roman" w:eastAsia="Times New Roman" w:cs="Times New Roman"/>
          <w:noProof w:val="0"/>
          <w:sz w:val="24"/>
          <w:szCs w:val="24"/>
          <w:lang w:val="en-GB"/>
        </w:rPr>
        <w:t>)</w:t>
      </w:r>
      <w:r w:rsidRPr="33B5B2C9" w:rsidR="75A99F59">
        <w:rPr>
          <w:rFonts w:ascii="Times New Roman" w:hAnsi="Times New Roman" w:eastAsia="Times New Roman" w:cs="Times New Roman"/>
          <w:noProof w:val="0"/>
          <w:sz w:val="24"/>
          <w:szCs w:val="24"/>
          <w:lang w:val="en-GB"/>
        </w:rPr>
        <w:t xml:space="preserve"> (</w:t>
      </w:r>
      <w:r w:rsidRPr="33B5B2C9" w:rsidR="32BCD659">
        <w:rPr>
          <w:rFonts w:ascii="Times New Roman" w:hAnsi="Times New Roman" w:eastAsia="Times New Roman" w:cs="Times New Roman"/>
          <w:noProof w:val="0"/>
          <w:sz w:val="24"/>
          <w:szCs w:val="24"/>
          <w:lang w:val="en-GB"/>
        </w:rPr>
        <w:t>Fredericson</w:t>
      </w:r>
      <w:r w:rsidRPr="33B5B2C9" w:rsidR="32BCD659">
        <w:rPr>
          <w:rFonts w:ascii="Times New Roman" w:hAnsi="Times New Roman" w:eastAsia="Times New Roman" w:cs="Times New Roman"/>
          <w:noProof w:val="0"/>
          <w:sz w:val="24"/>
          <w:szCs w:val="24"/>
          <w:lang w:val="en-GB"/>
        </w:rPr>
        <w:t xml:space="preserve"> and Wolf, 2005).</w:t>
      </w:r>
      <w:r w:rsidRPr="33B5B2C9" w:rsidR="6DAF2B15">
        <w:rPr>
          <w:rFonts w:ascii="Times New Roman" w:hAnsi="Times New Roman" w:eastAsia="Times New Roman" w:cs="Times New Roman"/>
          <w:noProof w:val="0"/>
          <w:sz w:val="24"/>
          <w:szCs w:val="24"/>
          <w:lang w:val="en-GB"/>
        </w:rPr>
        <w:t xml:space="preserve"> </w:t>
      </w:r>
    </w:p>
    <w:p w:rsidR="4BB7BBDB" w:rsidP="33B5B2C9" w:rsidRDefault="4BB7BBDB" w14:paraId="10BCCF34" w14:textId="502515F0">
      <w:pPr>
        <w:pStyle w:val="Normal"/>
        <w:spacing w:before="0" w:beforeAutospacing="off" w:line="360" w:lineRule="auto"/>
        <w:rPr>
          <w:rFonts w:ascii="Times New Roman" w:hAnsi="Times New Roman" w:eastAsia="Times New Roman" w:cs="Times New Roman"/>
          <w:noProof w:val="0"/>
          <w:sz w:val="24"/>
          <w:szCs w:val="24"/>
          <w:lang w:val="en-GB"/>
        </w:rPr>
      </w:pPr>
      <w:r w:rsidRPr="2DB5EE56" w:rsidR="4BB7BBDB">
        <w:rPr>
          <w:rFonts w:ascii="Times New Roman" w:hAnsi="Times New Roman" w:eastAsia="Times New Roman" w:cs="Times New Roman"/>
          <w:noProof w:val="0"/>
          <w:sz w:val="24"/>
          <w:szCs w:val="24"/>
          <w:lang w:val="en-GB"/>
        </w:rPr>
        <w:t xml:space="preserve">In </w:t>
      </w:r>
      <w:r w:rsidRPr="2DB5EE56" w:rsidR="58DE1558">
        <w:rPr>
          <w:rFonts w:ascii="Times New Roman" w:hAnsi="Times New Roman" w:eastAsia="Times New Roman" w:cs="Times New Roman"/>
          <w:noProof w:val="0"/>
          <w:sz w:val="24"/>
          <w:szCs w:val="24"/>
          <w:lang w:val="en-GB"/>
        </w:rPr>
        <w:t xml:space="preserve">the </w:t>
      </w:r>
      <w:r w:rsidRPr="2DB5EE56" w:rsidR="4BB7BBDB">
        <w:rPr>
          <w:rFonts w:ascii="Times New Roman" w:hAnsi="Times New Roman" w:eastAsia="Times New Roman" w:cs="Times New Roman"/>
          <w:noProof w:val="0"/>
          <w:sz w:val="24"/>
          <w:szCs w:val="24"/>
          <w:lang w:val="en-GB"/>
        </w:rPr>
        <w:t>early stages</w:t>
      </w:r>
      <w:r w:rsidRPr="2DB5EE56" w:rsidR="4BB7BBDB">
        <w:rPr>
          <w:rFonts w:ascii="Times New Roman" w:hAnsi="Times New Roman" w:eastAsia="Times New Roman" w:cs="Times New Roman"/>
          <w:noProof w:val="0"/>
          <w:sz w:val="24"/>
          <w:szCs w:val="24"/>
          <w:lang w:val="en-GB"/>
        </w:rPr>
        <w:t xml:space="preserve">, pain may only occur during activity and resolves with rest. As the condition advances, the athlete may experience pain post-activity, with </w:t>
      </w:r>
      <w:r w:rsidRPr="2DB5EE56" w:rsidR="4BB7BBDB">
        <w:rPr>
          <w:rFonts w:ascii="Times New Roman" w:hAnsi="Times New Roman" w:eastAsia="Times New Roman" w:cs="Times New Roman"/>
          <w:noProof w:val="0"/>
          <w:sz w:val="24"/>
          <w:szCs w:val="24"/>
          <w:lang w:val="en-GB"/>
        </w:rPr>
        <w:t>possible ache</w:t>
      </w:r>
      <w:r w:rsidRPr="2DB5EE56" w:rsidR="4BB7BBDB">
        <w:rPr>
          <w:rFonts w:ascii="Times New Roman" w:hAnsi="Times New Roman" w:eastAsia="Times New Roman" w:cs="Times New Roman"/>
          <w:noProof w:val="0"/>
          <w:sz w:val="24"/>
          <w:szCs w:val="24"/>
          <w:lang w:val="en-GB"/>
        </w:rPr>
        <w:t xml:space="preserve"> at rest and occasional sleep disturbance if the athlete lies on the affected side or experiences inflammatory flare. Sleep disturbance is not typical of uncomplicated ITBS; significant night pain, systemic symptoms (e.g.</w:t>
      </w:r>
      <w:r w:rsidRPr="2DB5EE56" w:rsidR="5C0DA61C">
        <w:rPr>
          <w:rFonts w:ascii="Times New Roman" w:hAnsi="Times New Roman" w:eastAsia="Times New Roman" w:cs="Times New Roman"/>
          <w:noProof w:val="0"/>
          <w:sz w:val="24"/>
          <w:szCs w:val="24"/>
          <w:lang w:val="en-GB"/>
        </w:rPr>
        <w:t xml:space="preserve"> </w:t>
      </w:r>
      <w:r w:rsidRPr="2DB5EE56" w:rsidR="4BB7BBDB">
        <w:rPr>
          <w:rFonts w:ascii="Times New Roman" w:hAnsi="Times New Roman" w:eastAsia="Times New Roman" w:cs="Times New Roman"/>
          <w:noProof w:val="0"/>
          <w:sz w:val="24"/>
          <w:szCs w:val="24"/>
          <w:lang w:val="en-GB"/>
        </w:rPr>
        <w:t>fever, weight</w:t>
      </w:r>
      <w:r w:rsidRPr="2DB5EE56" w:rsidR="4485CE08">
        <w:rPr>
          <w:rFonts w:ascii="Times New Roman" w:hAnsi="Times New Roman" w:eastAsia="Times New Roman" w:cs="Times New Roman"/>
          <w:noProof w:val="0"/>
          <w:sz w:val="24"/>
          <w:szCs w:val="24"/>
          <w:lang w:val="en-GB"/>
        </w:rPr>
        <w:t xml:space="preserve"> </w:t>
      </w:r>
      <w:r w:rsidRPr="2DB5EE56" w:rsidR="4BB7BBDB">
        <w:rPr>
          <w:rFonts w:ascii="Times New Roman" w:hAnsi="Times New Roman" w:eastAsia="Times New Roman" w:cs="Times New Roman"/>
          <w:noProof w:val="0"/>
          <w:sz w:val="24"/>
          <w:szCs w:val="24"/>
          <w:lang w:val="en-GB"/>
        </w:rPr>
        <w:t>loss) would be indications of alternative pathology</w:t>
      </w:r>
      <w:r w:rsidRPr="2DB5EE56" w:rsidR="45455696">
        <w:rPr>
          <w:rFonts w:ascii="Times New Roman" w:hAnsi="Times New Roman" w:eastAsia="Times New Roman" w:cs="Times New Roman"/>
          <w:noProof w:val="0"/>
          <w:sz w:val="24"/>
          <w:szCs w:val="24"/>
          <w:lang w:val="en-GB"/>
        </w:rPr>
        <w:t xml:space="preserve"> (Beals and Flanigan, 2013).</w:t>
      </w:r>
    </w:p>
    <w:p w:rsidR="610A27B6" w:rsidP="2DB5EE56" w:rsidRDefault="610A27B6" w14:paraId="73485914" w14:textId="6E05DF12">
      <w:pPr>
        <w:pStyle w:val="Normal"/>
        <w:spacing w:before="0" w:beforeAutospacing="off" w:line="360" w:lineRule="auto"/>
        <w:rPr>
          <w:rFonts w:ascii="Times New Roman" w:hAnsi="Times New Roman" w:eastAsia="Times New Roman" w:cs="Times New Roman"/>
          <w:noProof w:val="0"/>
          <w:sz w:val="24"/>
          <w:szCs w:val="24"/>
          <w:lang w:val="en-GB"/>
        </w:rPr>
      </w:pPr>
      <w:r w:rsidRPr="056ED209" w:rsidR="5371FBF6">
        <w:rPr>
          <w:rFonts w:ascii="Times New Roman" w:hAnsi="Times New Roman" w:eastAsia="Times New Roman" w:cs="Times New Roman"/>
          <w:noProof w:val="0"/>
          <w:sz w:val="24"/>
          <w:szCs w:val="24"/>
          <w:lang w:val="en-GB"/>
        </w:rPr>
        <w:t xml:space="preserve">Nguyen et al. (2023) </w:t>
      </w:r>
      <w:r w:rsidRPr="056ED209" w:rsidR="5371FBF6">
        <w:rPr>
          <w:rFonts w:ascii="Times New Roman" w:hAnsi="Times New Roman" w:eastAsia="Times New Roman" w:cs="Times New Roman"/>
          <w:noProof w:val="0"/>
          <w:sz w:val="24"/>
          <w:szCs w:val="24"/>
          <w:lang w:val="en-GB"/>
        </w:rPr>
        <w:t>identify</w:t>
      </w:r>
      <w:r w:rsidRPr="056ED209" w:rsidR="5371FBF6">
        <w:rPr>
          <w:rFonts w:ascii="Times New Roman" w:hAnsi="Times New Roman" w:eastAsia="Times New Roman" w:cs="Times New Roman"/>
          <w:noProof w:val="0"/>
          <w:sz w:val="24"/>
          <w:szCs w:val="24"/>
          <w:lang w:val="en-GB"/>
        </w:rPr>
        <w:t xml:space="preserve"> a significant gap in the literature concerning conservative management approaches for ITBS. To enhance evidence-based practice and advance clinical understanding, rigorous, high-quality research is essential to </w:t>
      </w:r>
      <w:r w:rsidRPr="056ED209" w:rsidR="5371FBF6">
        <w:rPr>
          <w:rFonts w:ascii="Times New Roman" w:hAnsi="Times New Roman" w:eastAsia="Times New Roman" w:cs="Times New Roman"/>
          <w:noProof w:val="0"/>
          <w:sz w:val="24"/>
          <w:szCs w:val="24"/>
          <w:lang w:val="en-GB"/>
        </w:rPr>
        <w:t>determine</w:t>
      </w:r>
      <w:r w:rsidRPr="056ED209" w:rsidR="5371FBF6">
        <w:rPr>
          <w:rFonts w:ascii="Times New Roman" w:hAnsi="Times New Roman" w:eastAsia="Times New Roman" w:cs="Times New Roman"/>
          <w:noProof w:val="0"/>
          <w:sz w:val="24"/>
          <w:szCs w:val="24"/>
          <w:lang w:val="en-GB"/>
        </w:rPr>
        <w:t xml:space="preserve"> and </w:t>
      </w:r>
      <w:r w:rsidRPr="056ED209" w:rsidR="5371FBF6">
        <w:rPr>
          <w:rFonts w:ascii="Times New Roman" w:hAnsi="Times New Roman" w:eastAsia="Times New Roman" w:cs="Times New Roman"/>
          <w:noProof w:val="0"/>
          <w:sz w:val="24"/>
          <w:szCs w:val="24"/>
          <w:lang w:val="en-GB"/>
        </w:rPr>
        <w:t>establish</w:t>
      </w:r>
      <w:r w:rsidRPr="056ED209" w:rsidR="5371FBF6">
        <w:rPr>
          <w:rFonts w:ascii="Times New Roman" w:hAnsi="Times New Roman" w:eastAsia="Times New Roman" w:cs="Times New Roman"/>
          <w:noProof w:val="0"/>
          <w:sz w:val="24"/>
          <w:szCs w:val="24"/>
          <w:lang w:val="en-GB"/>
        </w:rPr>
        <w:t xml:space="preserve"> the most effective conservative interventions for ITBS.</w:t>
      </w:r>
      <w:r w:rsidRPr="056ED209" w:rsidR="2E5BDAC3">
        <w:rPr>
          <w:rFonts w:ascii="Times New Roman" w:hAnsi="Times New Roman" w:eastAsia="Times New Roman" w:cs="Times New Roman"/>
          <w:noProof w:val="0"/>
          <w:sz w:val="24"/>
          <w:szCs w:val="24"/>
          <w:lang w:val="en-GB"/>
        </w:rPr>
        <w:t xml:space="preserve"> </w:t>
      </w:r>
      <w:r w:rsidRPr="056ED209" w:rsidR="09A48DE2">
        <w:rPr>
          <w:rFonts w:ascii="Times New Roman" w:hAnsi="Times New Roman" w:eastAsia="Times New Roman" w:cs="Times New Roman"/>
          <w:noProof w:val="0"/>
          <w:sz w:val="24"/>
          <w:szCs w:val="24"/>
          <w:lang w:val="en-GB"/>
        </w:rPr>
        <w:t xml:space="preserve">Furthermore, several meta-analyses, including a recent narrative review by Opara and </w:t>
      </w:r>
      <w:r w:rsidRPr="056ED209" w:rsidR="09A48DE2">
        <w:rPr>
          <w:rFonts w:ascii="Times New Roman" w:hAnsi="Times New Roman" w:eastAsia="Times New Roman" w:cs="Times New Roman"/>
          <w:noProof w:val="0"/>
          <w:sz w:val="24"/>
          <w:szCs w:val="24"/>
          <w:lang w:val="en-GB"/>
        </w:rPr>
        <w:t>Kozinc</w:t>
      </w:r>
      <w:r w:rsidRPr="056ED209" w:rsidR="09A48DE2">
        <w:rPr>
          <w:rFonts w:ascii="Times New Roman" w:hAnsi="Times New Roman" w:eastAsia="Times New Roman" w:cs="Times New Roman"/>
          <w:noProof w:val="0"/>
          <w:sz w:val="24"/>
          <w:szCs w:val="24"/>
          <w:lang w:val="en-GB"/>
        </w:rPr>
        <w:t xml:space="preserve"> (2023), have highlighted the inconclusive evidence </w:t>
      </w:r>
      <w:r w:rsidRPr="056ED209" w:rsidR="09A48DE2">
        <w:rPr>
          <w:rFonts w:ascii="Times New Roman" w:hAnsi="Times New Roman" w:eastAsia="Times New Roman" w:cs="Times New Roman"/>
          <w:noProof w:val="0"/>
          <w:sz w:val="24"/>
          <w:szCs w:val="24"/>
          <w:lang w:val="en-GB"/>
        </w:rPr>
        <w:t>regarding</w:t>
      </w:r>
      <w:r w:rsidRPr="056ED209" w:rsidR="09A48DE2">
        <w:rPr>
          <w:rFonts w:ascii="Times New Roman" w:hAnsi="Times New Roman" w:eastAsia="Times New Roman" w:cs="Times New Roman"/>
          <w:noProof w:val="0"/>
          <w:sz w:val="24"/>
          <w:szCs w:val="24"/>
          <w:lang w:val="en-GB"/>
        </w:rPr>
        <w:t xml:space="preserve"> the effectiveness of stretching. While their review suggested that iliotibial band stretching may contribute to pain reduction, the included studies were unable to isolate the effects of stretching from those of concurrent strength training, making it unclear which intervention was primarily responsible for the observed improvements. </w:t>
      </w:r>
      <w:r w:rsidRPr="056ED209" w:rsidR="78C35E13">
        <w:rPr>
          <w:rFonts w:ascii="Times New Roman" w:hAnsi="Times New Roman" w:eastAsia="Times New Roman" w:cs="Times New Roman"/>
          <w:noProof w:val="0"/>
          <w:sz w:val="24"/>
          <w:szCs w:val="24"/>
          <w:lang w:val="en-GB"/>
        </w:rPr>
        <w:t xml:space="preserve">Foam rolling has also been proposed as a potential method for alleviating ITB related pain; however, its underlying rationale </w:t>
      </w:r>
      <w:r w:rsidRPr="056ED209" w:rsidR="78C35E13">
        <w:rPr>
          <w:rFonts w:ascii="Times New Roman" w:hAnsi="Times New Roman" w:eastAsia="Times New Roman" w:cs="Times New Roman"/>
          <w:noProof w:val="0"/>
          <w:sz w:val="24"/>
          <w:szCs w:val="24"/>
          <w:lang w:val="en-GB"/>
        </w:rPr>
        <w:t>remains</w:t>
      </w:r>
      <w:r w:rsidRPr="056ED209" w:rsidR="78C35E13">
        <w:rPr>
          <w:rFonts w:ascii="Times New Roman" w:hAnsi="Times New Roman" w:eastAsia="Times New Roman" w:cs="Times New Roman"/>
          <w:noProof w:val="0"/>
          <w:sz w:val="24"/>
          <w:szCs w:val="24"/>
          <w:lang w:val="en-GB"/>
        </w:rPr>
        <w:t xml:space="preserve"> questionable. Given that foam rolling applies compressive forces and ITBS is widely regarded as a compressive syndrome</w:t>
      </w:r>
      <w:r w:rsidRPr="056ED209" w:rsidR="0FC7F367">
        <w:rPr>
          <w:rFonts w:ascii="Times New Roman" w:hAnsi="Times New Roman" w:eastAsia="Times New Roman" w:cs="Times New Roman"/>
          <w:noProof w:val="0"/>
          <w:sz w:val="24"/>
          <w:szCs w:val="24"/>
          <w:lang w:val="en-GB"/>
        </w:rPr>
        <w:t xml:space="preserve"> (Friede </w:t>
      </w:r>
      <w:r w:rsidRPr="056ED209" w:rsidR="0FC7F367">
        <w:rPr>
          <w:rFonts w:ascii="Times New Roman" w:hAnsi="Times New Roman" w:eastAsia="Times New Roman" w:cs="Times New Roman"/>
          <w:noProof w:val="0"/>
          <w:sz w:val="24"/>
          <w:szCs w:val="24"/>
          <w:lang w:val="en-GB"/>
        </w:rPr>
        <w:t>et al. 2022)</w:t>
      </w:r>
      <w:r w:rsidRPr="056ED209" w:rsidR="78C35E13">
        <w:rPr>
          <w:rFonts w:ascii="Times New Roman" w:hAnsi="Times New Roman" w:eastAsia="Times New Roman" w:cs="Times New Roman"/>
          <w:noProof w:val="0"/>
          <w:sz w:val="24"/>
          <w:szCs w:val="24"/>
          <w:lang w:val="en-GB"/>
        </w:rPr>
        <w:t>,</w:t>
      </w:r>
      <w:r w:rsidRPr="056ED209" w:rsidR="78C35E13">
        <w:rPr>
          <w:rFonts w:ascii="Times New Roman" w:hAnsi="Times New Roman" w:eastAsia="Times New Roman" w:cs="Times New Roman"/>
          <w:noProof w:val="0"/>
          <w:sz w:val="24"/>
          <w:szCs w:val="24"/>
          <w:lang w:val="en-GB"/>
        </w:rPr>
        <w:t xml:space="preserve"> there is limited biological or mechanical justification for how this technique would effectively reduce pain</w:t>
      </w:r>
      <w:r w:rsidRPr="056ED209" w:rsidR="6F4D440F">
        <w:rPr>
          <w:rFonts w:ascii="Times New Roman" w:hAnsi="Times New Roman" w:eastAsia="Times New Roman" w:cs="Times New Roman"/>
          <w:noProof w:val="0"/>
          <w:sz w:val="24"/>
          <w:szCs w:val="24"/>
          <w:lang w:val="en-GB"/>
        </w:rPr>
        <w:t xml:space="preserve"> (Hutchinson et al. 2022).</w:t>
      </w:r>
      <w:r w:rsidRPr="056ED209" w:rsidR="05047ABD">
        <w:rPr>
          <w:rFonts w:ascii="Times New Roman" w:hAnsi="Times New Roman" w:eastAsia="Times New Roman" w:cs="Times New Roman"/>
          <w:noProof w:val="0"/>
          <w:sz w:val="24"/>
          <w:szCs w:val="24"/>
          <w:lang w:val="en-GB"/>
        </w:rPr>
        <w:t xml:space="preserve"> </w:t>
      </w:r>
      <w:r w:rsidRPr="056ED209" w:rsidR="5B4B68EB">
        <w:rPr>
          <w:rFonts w:ascii="Times New Roman" w:hAnsi="Times New Roman" w:eastAsia="Times New Roman" w:cs="Times New Roman"/>
          <w:noProof w:val="0"/>
          <w:sz w:val="24"/>
          <w:szCs w:val="24"/>
          <w:lang w:val="en-GB"/>
        </w:rPr>
        <w:t xml:space="preserve">Consequently, perceived improvements in range of movement following interventions such as foam rolling are </w:t>
      </w:r>
      <w:r w:rsidRPr="056ED209" w:rsidR="5B4B68EB">
        <w:rPr>
          <w:rFonts w:ascii="Times New Roman" w:hAnsi="Times New Roman" w:eastAsia="Times New Roman" w:cs="Times New Roman"/>
          <w:noProof w:val="0"/>
          <w:sz w:val="24"/>
          <w:szCs w:val="24"/>
          <w:lang w:val="en-GB"/>
        </w:rPr>
        <w:t>likely attributed</w:t>
      </w:r>
      <w:r w:rsidRPr="056ED209" w:rsidR="5B4B68EB">
        <w:rPr>
          <w:rFonts w:ascii="Times New Roman" w:hAnsi="Times New Roman" w:eastAsia="Times New Roman" w:cs="Times New Roman"/>
          <w:noProof w:val="0"/>
          <w:sz w:val="24"/>
          <w:szCs w:val="24"/>
          <w:lang w:val="en-GB"/>
        </w:rPr>
        <w:t xml:space="preserve"> to neural adaptations and increased tolerance rather than structural lengthening (Geisler, 2020).</w:t>
      </w:r>
    </w:p>
    <w:p w:rsidR="6C46DFDF" w:rsidP="056ED209" w:rsidRDefault="6C46DFDF" w14:paraId="2E0F3DD2" w14:textId="5C58F882">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noProof w:val="0"/>
          <w:sz w:val="24"/>
          <w:szCs w:val="24"/>
          <w:lang w:val="en-GB"/>
        </w:rPr>
      </w:pPr>
      <w:r w:rsidRPr="056ED209" w:rsidR="61CBF65C">
        <w:rPr>
          <w:rFonts w:ascii="Times New Roman" w:hAnsi="Times New Roman" w:eastAsia="Times New Roman" w:cs="Times New Roman"/>
          <w:noProof w:val="0"/>
          <w:sz w:val="24"/>
          <w:szCs w:val="24"/>
          <w:lang w:val="en-GB"/>
        </w:rPr>
        <w:t xml:space="preserve">Accurate diagnosis of ITBS relies on </w:t>
      </w:r>
      <w:r w:rsidRPr="056ED209" w:rsidR="61CBF65C">
        <w:rPr>
          <w:rFonts w:ascii="Times New Roman" w:hAnsi="Times New Roman" w:eastAsia="Times New Roman" w:cs="Times New Roman"/>
          <w:noProof w:val="0"/>
          <w:sz w:val="24"/>
          <w:szCs w:val="24"/>
          <w:lang w:val="en-GB"/>
        </w:rPr>
        <w:t>identifying</w:t>
      </w:r>
      <w:r w:rsidRPr="056ED209" w:rsidR="61CBF65C">
        <w:rPr>
          <w:rFonts w:ascii="Times New Roman" w:hAnsi="Times New Roman" w:eastAsia="Times New Roman" w:cs="Times New Roman"/>
          <w:noProof w:val="0"/>
          <w:sz w:val="24"/>
          <w:szCs w:val="24"/>
          <w:lang w:val="en-GB"/>
        </w:rPr>
        <w:t xml:space="preserve"> objective clinical indicators through physical examination and patient history. One of the most consistent findings is localised tenderness over the lateral femoral epicondyle, typically 2–3 cm above the knee joint line, which is often accompanied by pain during palpation (Fairclough et al., 2007). This tenderness is </w:t>
      </w:r>
      <w:r w:rsidRPr="056ED209" w:rsidR="61CBF65C">
        <w:rPr>
          <w:rFonts w:ascii="Times New Roman" w:hAnsi="Times New Roman" w:eastAsia="Times New Roman" w:cs="Times New Roman"/>
          <w:noProof w:val="0"/>
          <w:sz w:val="24"/>
          <w:szCs w:val="24"/>
          <w:lang w:val="en-GB"/>
        </w:rPr>
        <w:t>frequently</w:t>
      </w:r>
      <w:r w:rsidRPr="056ED209" w:rsidR="61CBF65C">
        <w:rPr>
          <w:rFonts w:ascii="Times New Roman" w:hAnsi="Times New Roman" w:eastAsia="Times New Roman" w:cs="Times New Roman"/>
          <w:noProof w:val="0"/>
          <w:sz w:val="24"/>
          <w:szCs w:val="24"/>
          <w:lang w:val="en-GB"/>
        </w:rPr>
        <w:t xml:space="preserve"> </w:t>
      </w:r>
      <w:r w:rsidRPr="056ED209" w:rsidR="61CBF65C">
        <w:rPr>
          <w:rFonts w:ascii="Times New Roman" w:hAnsi="Times New Roman" w:eastAsia="Times New Roman" w:cs="Times New Roman"/>
          <w:noProof w:val="0"/>
          <w:sz w:val="24"/>
          <w:szCs w:val="24"/>
          <w:lang w:val="en-GB"/>
        </w:rPr>
        <w:t>exacerbated</w:t>
      </w:r>
      <w:r w:rsidRPr="056ED209" w:rsidR="61CBF65C">
        <w:rPr>
          <w:rFonts w:ascii="Times New Roman" w:hAnsi="Times New Roman" w:eastAsia="Times New Roman" w:cs="Times New Roman"/>
          <w:noProof w:val="0"/>
          <w:sz w:val="24"/>
          <w:szCs w:val="24"/>
          <w:lang w:val="en-GB"/>
        </w:rPr>
        <w:t xml:space="preserve"> during activities involving repetitive knee flexion and extension, such as running or cycling, and is considered a hallmark feature of ITBS.</w:t>
      </w:r>
      <w:r w:rsidRPr="056ED209" w:rsidR="157C7C06">
        <w:rPr>
          <w:rFonts w:ascii="Times New Roman" w:hAnsi="Times New Roman" w:eastAsia="Times New Roman" w:cs="Times New Roman"/>
          <w:noProof w:val="0"/>
          <w:sz w:val="24"/>
          <w:szCs w:val="24"/>
          <w:lang w:val="en-GB"/>
        </w:rPr>
        <w:t xml:space="preserve"> Symptoms commonly occur at approximately 30° of knee flexion, referred to as the ‘impingement zone’, where friction or compression between the iliotibial band and underlying structures is greatest</w:t>
      </w:r>
      <w:r w:rsidRPr="056ED209" w:rsidR="47598EEC">
        <w:rPr>
          <w:rFonts w:ascii="Times New Roman" w:hAnsi="Times New Roman" w:eastAsia="Times New Roman" w:cs="Times New Roman"/>
          <w:noProof w:val="0"/>
          <w:sz w:val="24"/>
          <w:szCs w:val="24"/>
          <w:lang w:val="en-GB"/>
        </w:rPr>
        <w:t xml:space="preserve"> (Lavine, 2010).</w:t>
      </w:r>
      <w:r w:rsidRPr="056ED209" w:rsidR="166AB10F">
        <w:rPr>
          <w:rFonts w:ascii="Times New Roman" w:hAnsi="Times New Roman" w:eastAsia="Times New Roman" w:cs="Times New Roman"/>
          <w:noProof w:val="0"/>
          <w:sz w:val="24"/>
          <w:szCs w:val="24"/>
          <w:lang w:val="en-GB"/>
        </w:rPr>
        <w:t xml:space="preserve"> </w:t>
      </w:r>
      <w:r w:rsidRPr="056ED209" w:rsidR="157C7C06">
        <w:rPr>
          <w:rFonts w:ascii="Times New Roman" w:hAnsi="Times New Roman" w:eastAsia="Times New Roman" w:cs="Times New Roman"/>
          <w:noProof w:val="0"/>
          <w:sz w:val="24"/>
          <w:szCs w:val="24"/>
          <w:lang w:val="en-GB"/>
        </w:rPr>
        <w:t>This biomechanical relationship explains why ITBS is prevalent among endurance athletes and individuals engaging in repetitive lower-limb movements</w:t>
      </w:r>
      <w:r w:rsidRPr="056ED209" w:rsidR="60388B7E">
        <w:rPr>
          <w:rFonts w:ascii="Times New Roman" w:hAnsi="Times New Roman" w:eastAsia="Times New Roman" w:cs="Times New Roman"/>
          <w:noProof w:val="0"/>
          <w:sz w:val="24"/>
          <w:szCs w:val="24"/>
          <w:lang w:val="en-GB"/>
        </w:rPr>
        <w:t>.</w:t>
      </w:r>
    </w:p>
    <w:p w:rsidR="6C46DFDF" w:rsidP="056ED209" w:rsidRDefault="6C46DFDF" w14:paraId="12533085" w14:textId="41206656">
      <w:pPr>
        <w:pStyle w:val="Normal"/>
        <w:bidi w:val="0"/>
        <w:spacing w:before="0" w:beforeAutospacing="off" w:after="160" w:afterAutospacing="off" w:line="360" w:lineRule="auto"/>
        <w:ind w:left="0" w:right="0"/>
        <w:jc w:val="left"/>
      </w:pPr>
      <w:r w:rsidRPr="056ED209" w:rsidR="58D79A46">
        <w:rPr>
          <w:rFonts w:ascii="Times New Roman" w:hAnsi="Times New Roman" w:eastAsia="Times New Roman" w:cs="Times New Roman"/>
          <w:noProof w:val="0"/>
          <w:sz w:val="24"/>
          <w:szCs w:val="24"/>
          <w:lang w:val="en-GB"/>
        </w:rPr>
        <w:t>Special tests are widely employed to confirm diagnosis. Noble’s Compression Test, which elicits pain when pressure is applied to the lateral femoral epicondyle during knee extension from 30° flexion, is considered a reliable indicator of ITBS (Orchard et al., 1996). Similarly, Ober’s Test assesses iliotibial band tightness by evaluating hip adduction in a side-laying position</w:t>
      </w:r>
      <w:r w:rsidRPr="056ED209" w:rsidR="0B564C3E">
        <w:rPr>
          <w:rFonts w:ascii="Times New Roman" w:hAnsi="Times New Roman" w:eastAsia="Times New Roman" w:cs="Times New Roman"/>
          <w:noProof w:val="0"/>
          <w:sz w:val="24"/>
          <w:szCs w:val="24"/>
          <w:lang w:val="en-GB"/>
        </w:rPr>
        <w:t>.</w:t>
      </w:r>
      <w:r w:rsidRPr="056ED209" w:rsidR="58D79A46">
        <w:rPr>
          <w:rFonts w:ascii="Times New Roman" w:hAnsi="Times New Roman" w:eastAsia="Times New Roman" w:cs="Times New Roman"/>
          <w:noProof w:val="0"/>
          <w:sz w:val="24"/>
          <w:szCs w:val="24"/>
          <w:lang w:val="en-GB"/>
        </w:rPr>
        <w:t xml:space="preserve"> </w:t>
      </w:r>
      <w:r w:rsidRPr="056ED209" w:rsidR="2A37E0A6">
        <w:rPr>
          <w:rFonts w:ascii="Times New Roman" w:hAnsi="Times New Roman" w:eastAsia="Times New Roman" w:cs="Times New Roman"/>
          <w:noProof w:val="0"/>
          <w:sz w:val="24"/>
          <w:szCs w:val="24"/>
          <w:lang w:val="en-GB"/>
        </w:rPr>
        <w:t>R</w:t>
      </w:r>
      <w:r w:rsidRPr="056ED209" w:rsidR="58D79A46">
        <w:rPr>
          <w:rFonts w:ascii="Times New Roman" w:hAnsi="Times New Roman" w:eastAsia="Times New Roman" w:cs="Times New Roman"/>
          <w:noProof w:val="0"/>
          <w:sz w:val="24"/>
          <w:szCs w:val="24"/>
          <w:lang w:val="en-GB"/>
        </w:rPr>
        <w:t>estricted movement suggests increased tension within the band (Orchard et al., 1996). In addition to these tests, patients typically report sharp or burning lateral knee pain during repetitive activities, which subsides with rest</w:t>
      </w:r>
      <w:r w:rsidRPr="056ED209" w:rsidR="5EF072F5">
        <w:rPr>
          <w:rFonts w:ascii="Times New Roman" w:hAnsi="Times New Roman" w:eastAsia="Times New Roman" w:cs="Times New Roman"/>
          <w:noProof w:val="0"/>
          <w:sz w:val="24"/>
          <w:szCs w:val="24"/>
          <w:lang w:val="en-GB"/>
        </w:rPr>
        <w:t>. W</w:t>
      </w:r>
      <w:r w:rsidRPr="056ED209" w:rsidR="58D79A46">
        <w:rPr>
          <w:rFonts w:ascii="Times New Roman" w:hAnsi="Times New Roman" w:eastAsia="Times New Roman" w:cs="Times New Roman"/>
          <w:noProof w:val="0"/>
          <w:sz w:val="24"/>
          <w:szCs w:val="24"/>
          <w:lang w:val="en-GB"/>
        </w:rPr>
        <w:t xml:space="preserve">hile intra-articular signs such as joint effusion, locking, or instability </w:t>
      </w:r>
      <w:r w:rsidRPr="056ED209" w:rsidR="48CEC237">
        <w:rPr>
          <w:rFonts w:ascii="Times New Roman" w:hAnsi="Times New Roman" w:eastAsia="Times New Roman" w:cs="Times New Roman"/>
          <w:noProof w:val="0"/>
          <w:sz w:val="24"/>
          <w:szCs w:val="24"/>
          <w:lang w:val="en-GB"/>
        </w:rPr>
        <w:t>is</w:t>
      </w:r>
      <w:r w:rsidRPr="056ED209" w:rsidR="58D79A46">
        <w:rPr>
          <w:rFonts w:ascii="Times New Roman" w:hAnsi="Times New Roman" w:eastAsia="Times New Roman" w:cs="Times New Roman"/>
          <w:noProof w:val="0"/>
          <w:sz w:val="24"/>
          <w:szCs w:val="24"/>
          <w:lang w:val="en-GB"/>
        </w:rPr>
        <w:t xml:space="preserve"> absent. This absence of intra-articular involvement helps differentiate ITBS from other knee pathologies, including meniscal tears and ligament injuries (Lavine, 2010).</w:t>
      </w:r>
    </w:p>
    <w:p w:rsidR="6C46DFDF" w:rsidP="056ED209" w:rsidRDefault="6C46DFDF" w14:paraId="55926902" w14:textId="0138B17F">
      <w:pPr>
        <w:pStyle w:val="Normal"/>
        <w:bidi w:val="0"/>
        <w:spacing w:before="0" w:beforeAutospacing="off" w:after="160" w:afterAutospacing="off" w:line="360" w:lineRule="auto"/>
        <w:ind w:left="0" w:right="0"/>
        <w:jc w:val="left"/>
      </w:pPr>
      <w:r w:rsidRPr="056ED209" w:rsidR="4BD1C4E8">
        <w:rPr>
          <w:rFonts w:ascii="Times New Roman" w:hAnsi="Times New Roman" w:eastAsia="Times New Roman" w:cs="Times New Roman"/>
          <w:noProof w:val="0"/>
          <w:sz w:val="24"/>
          <w:szCs w:val="24"/>
          <w:lang w:val="en-GB"/>
        </w:rPr>
        <w:t>Lavine (2010) further notes whilst these objective markers provide clinicians with reliable diagnostic criteria, the accuracy can be influenced by overlapping symptoms with other lateral knee conditions, such as lateral meniscus tear or patellofemoral pain syndrome. Consequently, standardised assessment protocols and further research into diagnostic reliability are necessary to improve clinical precision. Imaging modalities, such as ultrasound and MRI, may assist in ruling out alternative diagnoses, but they are generally reserved for cases where clinical findings are inconclusive (Fairclough et al., 2007). Overall, a combination of physical examination, activity history, and targeted provocative tests remains the cornerstone of ITBS diagnosis, forming the basis for subsequent management strategies.</w:t>
      </w:r>
    </w:p>
    <w:p w:rsidR="6C46DFDF" w:rsidP="056ED209" w:rsidRDefault="6C46DFDF" w14:paraId="3CE6ABF4" w14:textId="22D0825A">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b w:val="0"/>
          <w:bCs w:val="0"/>
          <w:noProof w:val="0"/>
          <w:sz w:val="24"/>
          <w:szCs w:val="24"/>
          <w:lang w:val="en-GB"/>
        </w:rPr>
      </w:pPr>
      <w:r w:rsidRPr="056ED209" w:rsidR="1B25F80E">
        <w:rPr>
          <w:rFonts w:ascii="Times New Roman" w:hAnsi="Times New Roman" w:eastAsia="Times New Roman" w:cs="Times New Roman"/>
          <w:noProof w:val="0"/>
          <w:sz w:val="24"/>
          <w:szCs w:val="24"/>
          <w:lang w:val="en-GB"/>
        </w:rPr>
        <w:t xml:space="preserve">Several manual muscle tests are commonly used to assess muscular imbalances associated with iliotibial band syndrome (ITBS). The Hip Abductor Strength Test evaluates the strength of the gluteus medius and </w:t>
      </w:r>
      <w:r w:rsidRPr="056ED209" w:rsidR="1B25F80E">
        <w:rPr>
          <w:rFonts w:ascii="Times New Roman" w:hAnsi="Times New Roman" w:eastAsia="Times New Roman" w:cs="Times New Roman"/>
          <w:noProof w:val="0"/>
          <w:sz w:val="24"/>
          <w:szCs w:val="24"/>
          <w:lang w:val="en-GB"/>
        </w:rPr>
        <w:t>minimus</w:t>
      </w:r>
      <w:r w:rsidRPr="056ED209" w:rsidR="1B25F80E">
        <w:rPr>
          <w:rFonts w:ascii="Times New Roman" w:hAnsi="Times New Roman" w:eastAsia="Times New Roman" w:cs="Times New Roman"/>
          <w:noProof w:val="0"/>
          <w:sz w:val="24"/>
          <w:szCs w:val="24"/>
          <w:lang w:val="en-GB"/>
        </w:rPr>
        <w:t>, which are critical for pelvic stability during gait. This test is performed with the patient in a side-laying position while the clinician applies resistance to the lateral thigh as the patient abducts the hip. Weakness in these muscles is strongly linked to ITBS due to increased hip adduction and internal rotation during running (</w:t>
      </w:r>
      <w:r w:rsidRPr="056ED209" w:rsidR="1B25F80E">
        <w:rPr>
          <w:rFonts w:ascii="Times New Roman" w:hAnsi="Times New Roman" w:eastAsia="Times New Roman" w:cs="Times New Roman"/>
          <w:noProof w:val="0"/>
          <w:sz w:val="24"/>
          <w:szCs w:val="24"/>
          <w:lang w:val="en-GB"/>
        </w:rPr>
        <w:t>Noehren</w:t>
      </w:r>
      <w:r w:rsidRPr="056ED209" w:rsidR="1B25F80E">
        <w:rPr>
          <w:rFonts w:ascii="Times New Roman" w:hAnsi="Times New Roman" w:eastAsia="Times New Roman" w:cs="Times New Roman"/>
          <w:noProof w:val="0"/>
          <w:sz w:val="24"/>
          <w:szCs w:val="24"/>
          <w:lang w:val="en-GB"/>
        </w:rPr>
        <w:t xml:space="preserve"> et al., 2014). Similarly, the Hip External Rotator Strength Test assesses the strength of muscles controlling transverse plane motion, including the gluteus maximu</w:t>
      </w:r>
      <w:r w:rsidRPr="056ED209" w:rsidR="5C0F6663">
        <w:rPr>
          <w:rFonts w:ascii="Times New Roman" w:hAnsi="Times New Roman" w:eastAsia="Times New Roman" w:cs="Times New Roman"/>
          <w:noProof w:val="0"/>
          <w:sz w:val="24"/>
          <w:szCs w:val="24"/>
          <w:lang w:val="en-GB"/>
        </w:rPr>
        <w:t xml:space="preserve">s. </w:t>
      </w:r>
      <w:r w:rsidRPr="056ED209" w:rsidR="1B25F80E">
        <w:rPr>
          <w:rFonts w:ascii="Times New Roman" w:hAnsi="Times New Roman" w:eastAsia="Times New Roman" w:cs="Times New Roman"/>
          <w:noProof w:val="0"/>
          <w:sz w:val="24"/>
          <w:szCs w:val="24"/>
          <w:lang w:val="en-GB"/>
        </w:rPr>
        <w:t xml:space="preserve">In this test, the patient sits with knees flexed at 90°, and the </w:t>
      </w:r>
      <w:r w:rsidRPr="056ED209" w:rsidR="7E524F0D">
        <w:rPr>
          <w:rFonts w:ascii="Times New Roman" w:hAnsi="Times New Roman" w:eastAsia="Times New Roman" w:cs="Times New Roman"/>
          <w:noProof w:val="0"/>
          <w:sz w:val="24"/>
          <w:szCs w:val="24"/>
          <w:lang w:val="en-GB"/>
        </w:rPr>
        <w:t xml:space="preserve">clinician </w:t>
      </w:r>
      <w:r w:rsidRPr="056ED209" w:rsidR="1B25F80E">
        <w:rPr>
          <w:rFonts w:ascii="Times New Roman" w:hAnsi="Times New Roman" w:eastAsia="Times New Roman" w:cs="Times New Roman"/>
          <w:noProof w:val="0"/>
          <w:sz w:val="24"/>
          <w:szCs w:val="24"/>
          <w:lang w:val="en-GB"/>
        </w:rPr>
        <w:t xml:space="preserve">applies resistance against external rotation. Reduced strength in these muscles has been </w:t>
      </w:r>
      <w:r w:rsidRPr="056ED209" w:rsidR="1B25F80E">
        <w:rPr>
          <w:rFonts w:ascii="Times New Roman" w:hAnsi="Times New Roman" w:eastAsia="Times New Roman" w:cs="Times New Roman"/>
          <w:noProof w:val="0"/>
          <w:sz w:val="24"/>
          <w:szCs w:val="24"/>
          <w:lang w:val="en-GB"/>
        </w:rPr>
        <w:t>observed</w:t>
      </w:r>
      <w:r w:rsidRPr="056ED209" w:rsidR="1B25F80E">
        <w:rPr>
          <w:rFonts w:ascii="Times New Roman" w:hAnsi="Times New Roman" w:eastAsia="Times New Roman" w:cs="Times New Roman"/>
          <w:noProof w:val="0"/>
          <w:sz w:val="24"/>
          <w:szCs w:val="24"/>
          <w:lang w:val="en-GB"/>
        </w:rPr>
        <w:t xml:space="preserve"> in ITBS patients, contributing to altered lower limb kinematics (</w:t>
      </w:r>
      <w:r w:rsidRPr="056ED209" w:rsidR="1B25F80E">
        <w:rPr>
          <w:rFonts w:ascii="Times New Roman" w:hAnsi="Times New Roman" w:eastAsia="Times New Roman" w:cs="Times New Roman"/>
          <w:noProof w:val="0"/>
          <w:sz w:val="24"/>
          <w:szCs w:val="24"/>
          <w:lang w:val="en-GB"/>
        </w:rPr>
        <w:t>Noehren</w:t>
      </w:r>
      <w:r w:rsidRPr="056ED209" w:rsidR="1B25F80E">
        <w:rPr>
          <w:rFonts w:ascii="Times New Roman" w:hAnsi="Times New Roman" w:eastAsia="Times New Roman" w:cs="Times New Roman"/>
          <w:noProof w:val="0"/>
          <w:sz w:val="24"/>
          <w:szCs w:val="24"/>
          <w:lang w:val="en-GB"/>
        </w:rPr>
        <w:t xml:space="preserve"> et al., 2014). The Tensor Fasciae Latae (TFL) Activation Test evaluates the involvement of the TFL, as overactivity can increase tension in the </w:t>
      </w:r>
      <w:r w:rsidRPr="056ED209" w:rsidR="5494D714">
        <w:rPr>
          <w:rFonts w:ascii="Times New Roman" w:hAnsi="Times New Roman" w:eastAsia="Times New Roman" w:cs="Times New Roman"/>
          <w:noProof w:val="0"/>
          <w:sz w:val="24"/>
          <w:szCs w:val="24"/>
          <w:lang w:val="en-GB"/>
        </w:rPr>
        <w:t xml:space="preserve">iliotibial </w:t>
      </w:r>
      <w:r w:rsidRPr="056ED209" w:rsidR="1B25F80E">
        <w:rPr>
          <w:rFonts w:ascii="Times New Roman" w:hAnsi="Times New Roman" w:eastAsia="Times New Roman" w:cs="Times New Roman"/>
          <w:noProof w:val="0"/>
          <w:sz w:val="24"/>
          <w:szCs w:val="24"/>
          <w:lang w:val="en-GB"/>
        </w:rPr>
        <w:t xml:space="preserve">band. This is assessed by having the patient perform hip flexion, abduction, and internal rotation against resistance, with excessive activation </w:t>
      </w:r>
      <w:r w:rsidRPr="056ED209" w:rsidR="1B25F80E">
        <w:rPr>
          <w:rFonts w:ascii="Times New Roman" w:hAnsi="Times New Roman" w:eastAsia="Times New Roman" w:cs="Times New Roman"/>
          <w:noProof w:val="0"/>
          <w:sz w:val="24"/>
          <w:szCs w:val="24"/>
          <w:lang w:val="en-GB"/>
        </w:rPr>
        <w:t>relative</w:t>
      </w:r>
      <w:r w:rsidRPr="056ED209" w:rsidR="1B25F80E">
        <w:rPr>
          <w:rFonts w:ascii="Times New Roman" w:hAnsi="Times New Roman" w:eastAsia="Times New Roman" w:cs="Times New Roman"/>
          <w:noProof w:val="0"/>
          <w:sz w:val="24"/>
          <w:szCs w:val="24"/>
          <w:lang w:val="en-GB"/>
        </w:rPr>
        <w:t xml:space="preserve"> to the gluteus medius considered a risk factor for ITBS (</w:t>
      </w:r>
      <w:r w:rsidRPr="056ED209" w:rsidR="1B25F80E">
        <w:rPr>
          <w:rFonts w:ascii="Times New Roman" w:hAnsi="Times New Roman" w:eastAsia="Times New Roman" w:cs="Times New Roman"/>
          <w:noProof w:val="0"/>
          <w:sz w:val="24"/>
          <w:szCs w:val="24"/>
          <w:lang w:val="en-GB"/>
        </w:rPr>
        <w:t>Fredericson</w:t>
      </w:r>
      <w:r w:rsidRPr="056ED209" w:rsidR="1B25F80E">
        <w:rPr>
          <w:rFonts w:ascii="Times New Roman" w:hAnsi="Times New Roman" w:eastAsia="Times New Roman" w:cs="Times New Roman"/>
          <w:noProof w:val="0"/>
          <w:sz w:val="24"/>
          <w:szCs w:val="24"/>
          <w:lang w:val="en-GB"/>
        </w:rPr>
        <w:t xml:space="preserve"> et al., 2000). Finally, the Trendelenburg Test is a functional assessment of dynamic hip abductor strength during single-leg stance. A pelvic drop on the contralateral side </w:t>
      </w:r>
      <w:r w:rsidRPr="056ED209" w:rsidR="1B25F80E">
        <w:rPr>
          <w:rFonts w:ascii="Times New Roman" w:hAnsi="Times New Roman" w:eastAsia="Times New Roman" w:cs="Times New Roman"/>
          <w:noProof w:val="0"/>
          <w:sz w:val="24"/>
          <w:szCs w:val="24"/>
          <w:lang w:val="en-GB"/>
        </w:rPr>
        <w:t>indicates</w:t>
      </w:r>
      <w:r w:rsidRPr="056ED209" w:rsidR="1B25F80E">
        <w:rPr>
          <w:rFonts w:ascii="Times New Roman" w:hAnsi="Times New Roman" w:eastAsia="Times New Roman" w:cs="Times New Roman"/>
          <w:noProof w:val="0"/>
          <w:sz w:val="24"/>
          <w:szCs w:val="24"/>
          <w:lang w:val="en-GB"/>
        </w:rPr>
        <w:t xml:space="preserve"> gluteus medius weakness, which is commonly </w:t>
      </w:r>
      <w:r w:rsidRPr="056ED209" w:rsidR="1B25F80E">
        <w:rPr>
          <w:rFonts w:ascii="Times New Roman" w:hAnsi="Times New Roman" w:eastAsia="Times New Roman" w:cs="Times New Roman"/>
          <w:noProof w:val="0"/>
          <w:sz w:val="24"/>
          <w:szCs w:val="24"/>
          <w:lang w:val="en-GB"/>
        </w:rPr>
        <w:t>observed</w:t>
      </w:r>
      <w:r w:rsidRPr="056ED209" w:rsidR="1B25F80E">
        <w:rPr>
          <w:rFonts w:ascii="Times New Roman" w:hAnsi="Times New Roman" w:eastAsia="Times New Roman" w:cs="Times New Roman"/>
          <w:noProof w:val="0"/>
          <w:sz w:val="24"/>
          <w:szCs w:val="24"/>
          <w:lang w:val="en-GB"/>
        </w:rPr>
        <w:t xml:space="preserve"> in runners with ITBS and can lead to increased lateral knee stress (</w:t>
      </w:r>
      <w:r w:rsidRPr="056ED209" w:rsidR="1B25F80E">
        <w:rPr>
          <w:rFonts w:ascii="Times New Roman" w:hAnsi="Times New Roman" w:eastAsia="Times New Roman" w:cs="Times New Roman"/>
          <w:noProof w:val="0"/>
          <w:sz w:val="24"/>
          <w:szCs w:val="24"/>
          <w:lang w:val="en-GB"/>
        </w:rPr>
        <w:t>Fredericson</w:t>
      </w:r>
      <w:r w:rsidRPr="056ED209" w:rsidR="1B25F80E">
        <w:rPr>
          <w:rFonts w:ascii="Times New Roman" w:hAnsi="Times New Roman" w:eastAsia="Times New Roman" w:cs="Times New Roman"/>
          <w:noProof w:val="0"/>
          <w:sz w:val="24"/>
          <w:szCs w:val="24"/>
          <w:lang w:val="en-GB"/>
        </w:rPr>
        <w:t xml:space="preserve"> et al., 2000</w:t>
      </w:r>
      <w:r w:rsidRPr="056ED209" w:rsidR="3D879242">
        <w:rPr>
          <w:rFonts w:ascii="Times New Roman" w:hAnsi="Times New Roman" w:eastAsia="Times New Roman" w:cs="Times New Roman"/>
          <w:noProof w:val="0"/>
          <w:sz w:val="24"/>
          <w:szCs w:val="24"/>
          <w:lang w:val="en-GB"/>
        </w:rPr>
        <w:t>).</w:t>
      </w:r>
      <w:r w:rsidRPr="056ED209" w:rsidR="101A2269">
        <w:rPr>
          <w:rFonts w:ascii="Times New Roman" w:hAnsi="Times New Roman" w:eastAsia="Times New Roman" w:cs="Times New Roman"/>
          <w:noProof w:val="0"/>
          <w:sz w:val="24"/>
          <w:szCs w:val="24"/>
          <w:lang w:val="en-GB"/>
        </w:rPr>
        <w:t xml:space="preserve"> </w:t>
      </w:r>
    </w:p>
    <w:p w:rsidR="6C46DFDF" w:rsidP="056ED209" w:rsidRDefault="6C46DFDF" w14:paraId="7B3EC858" w14:textId="67FB83EE">
      <w:pPr>
        <w:pStyle w:val="Normal"/>
        <w:bidi w:val="0"/>
        <w:spacing w:before="0" w:beforeAutospacing="off" w:after="160" w:afterAutospacing="off" w:line="360" w:lineRule="auto"/>
        <w:ind w:left="0" w:right="0"/>
        <w:jc w:val="left"/>
      </w:pPr>
      <w:r w:rsidRPr="056ED209" w:rsidR="6A376B66">
        <w:rPr>
          <w:rFonts w:ascii="Times New Roman" w:hAnsi="Times New Roman" w:eastAsia="Times New Roman" w:cs="Times New Roman"/>
          <w:noProof w:val="0"/>
          <w:sz w:val="24"/>
          <w:szCs w:val="24"/>
          <w:lang w:val="en-GB"/>
        </w:rPr>
        <w:t xml:space="preserve">Imaging modalities such as magnetic resonance imaging (MRI) and ultrasound are not routinely </w:t>
      </w:r>
      <w:r w:rsidRPr="056ED209" w:rsidR="6A376B66">
        <w:rPr>
          <w:rFonts w:ascii="Times New Roman" w:hAnsi="Times New Roman" w:eastAsia="Times New Roman" w:cs="Times New Roman"/>
          <w:noProof w:val="0"/>
          <w:sz w:val="24"/>
          <w:szCs w:val="24"/>
          <w:lang w:val="en-GB"/>
        </w:rPr>
        <w:t>required</w:t>
      </w:r>
      <w:r w:rsidRPr="056ED209" w:rsidR="6A376B66">
        <w:rPr>
          <w:rFonts w:ascii="Times New Roman" w:hAnsi="Times New Roman" w:eastAsia="Times New Roman" w:cs="Times New Roman"/>
          <w:noProof w:val="0"/>
          <w:sz w:val="24"/>
          <w:szCs w:val="24"/>
          <w:lang w:val="en-GB"/>
        </w:rPr>
        <w:t xml:space="preserve"> for diagnosing ITBS, as the condition is primarily </w:t>
      </w:r>
      <w:r w:rsidRPr="056ED209" w:rsidR="6A376B66">
        <w:rPr>
          <w:rFonts w:ascii="Times New Roman" w:hAnsi="Times New Roman" w:eastAsia="Times New Roman" w:cs="Times New Roman"/>
          <w:noProof w:val="0"/>
          <w:sz w:val="24"/>
          <w:szCs w:val="24"/>
          <w:lang w:val="en-GB"/>
        </w:rPr>
        <w:t>identified</w:t>
      </w:r>
      <w:r w:rsidRPr="056ED209" w:rsidR="6A376B66">
        <w:rPr>
          <w:rFonts w:ascii="Times New Roman" w:hAnsi="Times New Roman" w:eastAsia="Times New Roman" w:cs="Times New Roman"/>
          <w:noProof w:val="0"/>
          <w:sz w:val="24"/>
          <w:szCs w:val="24"/>
          <w:lang w:val="en-GB"/>
        </w:rPr>
        <w:t xml:space="preserve"> through clinical assessment. However, they can provide valuable information and </w:t>
      </w:r>
      <w:r w:rsidRPr="056ED209" w:rsidR="6A376B66">
        <w:rPr>
          <w:rFonts w:ascii="Times New Roman" w:hAnsi="Times New Roman" w:eastAsia="Times New Roman" w:cs="Times New Roman"/>
          <w:noProof w:val="0"/>
          <w:sz w:val="24"/>
          <w:szCs w:val="24"/>
          <w:lang w:val="en-GB"/>
        </w:rPr>
        <w:t>assist</w:t>
      </w:r>
      <w:r w:rsidRPr="056ED209" w:rsidR="6A376B66">
        <w:rPr>
          <w:rFonts w:ascii="Times New Roman" w:hAnsi="Times New Roman" w:eastAsia="Times New Roman" w:cs="Times New Roman"/>
          <w:noProof w:val="0"/>
          <w:sz w:val="24"/>
          <w:szCs w:val="24"/>
          <w:lang w:val="en-GB"/>
        </w:rPr>
        <w:t xml:space="preserve"> in ruling out differential diagnoses. MRI findings typically include a hyperintense signal on T2-weighted images, </w:t>
      </w:r>
      <w:r w:rsidRPr="056ED209" w:rsidR="6A376B66">
        <w:rPr>
          <w:rFonts w:ascii="Times New Roman" w:hAnsi="Times New Roman" w:eastAsia="Times New Roman" w:cs="Times New Roman"/>
          <w:noProof w:val="0"/>
          <w:sz w:val="24"/>
          <w:szCs w:val="24"/>
          <w:lang w:val="en-GB"/>
        </w:rPr>
        <w:t>indicating</w:t>
      </w:r>
      <w:r w:rsidRPr="056ED209" w:rsidR="6A376B66">
        <w:rPr>
          <w:rFonts w:ascii="Times New Roman" w:hAnsi="Times New Roman" w:eastAsia="Times New Roman" w:cs="Times New Roman"/>
          <w:noProof w:val="0"/>
          <w:sz w:val="24"/>
          <w:szCs w:val="24"/>
          <w:lang w:val="en-GB"/>
        </w:rPr>
        <w:t xml:space="preserve"> oedema or inflammation </w:t>
      </w:r>
      <w:r w:rsidRPr="056ED209" w:rsidR="6A376B66">
        <w:rPr>
          <w:rFonts w:ascii="Times New Roman" w:hAnsi="Times New Roman" w:eastAsia="Times New Roman" w:cs="Times New Roman"/>
          <w:noProof w:val="0"/>
          <w:sz w:val="24"/>
          <w:szCs w:val="24"/>
          <w:lang w:val="en-GB"/>
        </w:rPr>
        <w:t>adjacent to</w:t>
      </w:r>
      <w:r w:rsidRPr="056ED209" w:rsidR="6A376B66">
        <w:rPr>
          <w:rFonts w:ascii="Times New Roman" w:hAnsi="Times New Roman" w:eastAsia="Times New Roman" w:cs="Times New Roman"/>
          <w:noProof w:val="0"/>
          <w:sz w:val="24"/>
          <w:szCs w:val="24"/>
          <w:lang w:val="en-GB"/>
        </w:rPr>
        <w:t xml:space="preserve"> the lateral femoral epicondyle, along with thickening of the distal iliotibial band and soft tissue swelling between the band and the lateral femoral condyle (Lavine, 2010). In some cases, fluid accumulation within the bursa underlying the iliotibial band may also be </w:t>
      </w:r>
      <w:r w:rsidRPr="056ED209" w:rsidR="6A376B66">
        <w:rPr>
          <w:rFonts w:ascii="Times New Roman" w:hAnsi="Times New Roman" w:eastAsia="Times New Roman" w:cs="Times New Roman"/>
          <w:noProof w:val="0"/>
          <w:sz w:val="24"/>
          <w:szCs w:val="24"/>
          <w:lang w:val="en-GB"/>
        </w:rPr>
        <w:t>observed</w:t>
      </w:r>
      <w:r w:rsidRPr="056ED209" w:rsidR="6A376B66">
        <w:rPr>
          <w:rFonts w:ascii="Times New Roman" w:hAnsi="Times New Roman" w:eastAsia="Times New Roman" w:cs="Times New Roman"/>
          <w:noProof w:val="0"/>
          <w:sz w:val="24"/>
          <w:szCs w:val="24"/>
          <w:lang w:val="en-GB"/>
        </w:rPr>
        <w:t xml:space="preserve">, particularly in severe or chronic presentations (Fairclough et al., 2007). Ultrasound imaging offers a dynamic and cost-effective alternative, revealing hypoechoic regions consistent with fluid deep to the IT band and </w:t>
      </w:r>
      <w:r w:rsidRPr="056ED209" w:rsidR="6A376B66">
        <w:rPr>
          <w:rFonts w:ascii="Times New Roman" w:hAnsi="Times New Roman" w:eastAsia="Times New Roman" w:cs="Times New Roman"/>
          <w:noProof w:val="0"/>
          <w:sz w:val="24"/>
          <w:szCs w:val="24"/>
          <w:lang w:val="en-GB"/>
        </w:rPr>
        <w:t>demonstrating</w:t>
      </w:r>
      <w:r w:rsidRPr="056ED209" w:rsidR="6A376B66">
        <w:rPr>
          <w:rFonts w:ascii="Times New Roman" w:hAnsi="Times New Roman" w:eastAsia="Times New Roman" w:cs="Times New Roman"/>
          <w:noProof w:val="0"/>
          <w:sz w:val="24"/>
          <w:szCs w:val="24"/>
          <w:lang w:val="en-GB"/>
        </w:rPr>
        <w:t xml:space="preserve"> band movement over the lateral femoral condyle during knee flexion and extension (Bianchi and </w:t>
      </w:r>
      <w:r w:rsidRPr="056ED209" w:rsidR="6A376B66">
        <w:rPr>
          <w:rFonts w:ascii="Times New Roman" w:hAnsi="Times New Roman" w:eastAsia="Times New Roman" w:cs="Times New Roman"/>
          <w:noProof w:val="0"/>
          <w:sz w:val="24"/>
          <w:szCs w:val="24"/>
          <w:lang w:val="en-GB"/>
        </w:rPr>
        <w:t>Martinoli</w:t>
      </w:r>
      <w:r w:rsidRPr="056ED209" w:rsidR="6A376B66">
        <w:rPr>
          <w:rFonts w:ascii="Times New Roman" w:hAnsi="Times New Roman" w:eastAsia="Times New Roman" w:cs="Times New Roman"/>
          <w:noProof w:val="0"/>
          <w:sz w:val="24"/>
          <w:szCs w:val="24"/>
          <w:lang w:val="en-GB"/>
        </w:rPr>
        <w:t>, 2007). These imaging features, while supportive, are nonspecific and should be interpreted alongside clinical findings. Their primary role lies in excluding other pathologies such as lateral meniscus tears or osteochondral lesions, thereby enhancing diagnostic confidence in complex cases.</w:t>
      </w:r>
    </w:p>
    <w:p w:rsidR="6C46DFDF" w:rsidP="056ED209" w:rsidRDefault="6C46DFDF" w14:paraId="782947A5" w14:textId="3FB1B29E">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noProof w:val="0"/>
          <w:sz w:val="24"/>
          <w:szCs w:val="24"/>
          <w:lang w:val="en-GB"/>
        </w:rPr>
      </w:pPr>
      <w:r w:rsidRPr="056ED209" w:rsidR="429D873F">
        <w:rPr>
          <w:rFonts w:ascii="Times New Roman" w:hAnsi="Times New Roman" w:eastAsia="Times New Roman" w:cs="Times New Roman"/>
          <w:noProof w:val="0"/>
          <w:sz w:val="24"/>
          <w:szCs w:val="24"/>
          <w:lang w:val="en-GB"/>
        </w:rPr>
        <w:t>ITBS is the most frequent cause of lateral knee pain in runners and cyclists, yet its clinical presentation often overlaps with other musculoskeletal disorders, leading to diagnostic challenges. Common differential diagnoses include lateral meniscus tears, lateral collateral ligament (LCL) injuries, and patellofemoral pain syndrome (PFPS), all of which can present with lateral or peri-patellar pain but differ in associated features such as joint effusion, locking, or instability, symptoms typically absent in ITBS (Orchard et al., 1996). Additionally, greater trochanteric pain syndrome (GTPS) may mimic ITBS when pain radiates along the lateral thigh, although GTPS is characteri</w:t>
      </w:r>
      <w:r w:rsidRPr="056ED209" w:rsidR="05377371">
        <w:rPr>
          <w:rFonts w:ascii="Times New Roman" w:hAnsi="Times New Roman" w:eastAsia="Times New Roman" w:cs="Times New Roman"/>
          <w:noProof w:val="0"/>
          <w:sz w:val="24"/>
          <w:szCs w:val="24"/>
          <w:lang w:val="en-GB"/>
        </w:rPr>
        <w:t>s</w:t>
      </w:r>
      <w:r w:rsidRPr="056ED209" w:rsidR="429D873F">
        <w:rPr>
          <w:rFonts w:ascii="Times New Roman" w:hAnsi="Times New Roman" w:eastAsia="Times New Roman" w:cs="Times New Roman"/>
          <w:noProof w:val="0"/>
          <w:sz w:val="24"/>
          <w:szCs w:val="24"/>
          <w:lang w:val="en-GB"/>
        </w:rPr>
        <w:t>ed by tenderness over the hip rather than the lateral femoral epicondyle (Geisler, 20</w:t>
      </w:r>
      <w:r w:rsidRPr="056ED209" w:rsidR="2F93178C">
        <w:rPr>
          <w:rFonts w:ascii="Times New Roman" w:hAnsi="Times New Roman" w:eastAsia="Times New Roman" w:cs="Times New Roman"/>
          <w:noProof w:val="0"/>
          <w:sz w:val="24"/>
          <w:szCs w:val="24"/>
          <w:lang w:val="en-GB"/>
        </w:rPr>
        <w:t>20</w:t>
      </w:r>
      <w:r w:rsidRPr="056ED209" w:rsidR="429D873F">
        <w:rPr>
          <w:rFonts w:ascii="Times New Roman" w:hAnsi="Times New Roman" w:eastAsia="Times New Roman" w:cs="Times New Roman"/>
          <w:noProof w:val="0"/>
          <w:sz w:val="24"/>
          <w:szCs w:val="24"/>
          <w:lang w:val="en-GB"/>
        </w:rPr>
        <w:t xml:space="preserve">). Other conditions occasionally linked with ITBS include bursitis, cyst formation, and early osteoarthritis, which can alter knee biomechanics and increase </w:t>
      </w:r>
      <w:r w:rsidRPr="056ED209" w:rsidR="47B40099">
        <w:rPr>
          <w:rFonts w:ascii="Times New Roman" w:hAnsi="Times New Roman" w:eastAsia="Times New Roman" w:cs="Times New Roman"/>
          <w:noProof w:val="0"/>
          <w:sz w:val="24"/>
          <w:szCs w:val="24"/>
          <w:lang w:val="en-GB"/>
        </w:rPr>
        <w:t>iliotibial</w:t>
      </w:r>
      <w:r w:rsidRPr="056ED209" w:rsidR="429D873F">
        <w:rPr>
          <w:rFonts w:ascii="Times New Roman" w:hAnsi="Times New Roman" w:eastAsia="Times New Roman" w:cs="Times New Roman"/>
          <w:noProof w:val="0"/>
          <w:sz w:val="24"/>
          <w:szCs w:val="24"/>
          <w:lang w:val="en-GB"/>
        </w:rPr>
        <w:t xml:space="preserve"> band tension (Bonoan et al., 2024). </w:t>
      </w:r>
      <w:r w:rsidRPr="056ED209" w:rsidR="429D873F">
        <w:rPr>
          <w:rFonts w:ascii="Times New Roman" w:hAnsi="Times New Roman" w:eastAsia="Times New Roman" w:cs="Times New Roman"/>
          <w:noProof w:val="0"/>
          <w:sz w:val="24"/>
          <w:szCs w:val="24"/>
          <w:lang w:val="en-GB"/>
        </w:rPr>
        <w:t xml:space="preserve">Failure to distinguish ITBS from these conditions can result in inappropriate interventions and prolonged symptoms, </w:t>
      </w:r>
      <w:r w:rsidRPr="056ED209" w:rsidR="3A7B3073">
        <w:rPr>
          <w:rFonts w:ascii="Times New Roman" w:hAnsi="Times New Roman" w:eastAsia="Times New Roman" w:cs="Times New Roman"/>
          <w:noProof w:val="0"/>
          <w:sz w:val="24"/>
          <w:szCs w:val="24"/>
          <w:lang w:val="en-GB"/>
        </w:rPr>
        <w:t xml:space="preserve">highlighting </w:t>
      </w:r>
      <w:r w:rsidRPr="056ED209" w:rsidR="429D873F">
        <w:rPr>
          <w:rFonts w:ascii="Times New Roman" w:hAnsi="Times New Roman" w:eastAsia="Times New Roman" w:cs="Times New Roman"/>
          <w:noProof w:val="0"/>
          <w:sz w:val="24"/>
          <w:szCs w:val="24"/>
          <w:lang w:val="en-GB"/>
        </w:rPr>
        <w:t>the need for standardised diagnostic protocols and clinician education (Sanchez-Alvarado et al., 2024).</w:t>
      </w:r>
    </w:p>
    <w:p w:rsidR="6C46DFDF" w:rsidP="056ED209" w:rsidRDefault="6C46DFDF" w14:paraId="73CCD1A2" w14:textId="6FE34F24">
      <w:pPr>
        <w:pStyle w:val="Normal"/>
        <w:spacing w:before="0" w:beforeAutospacing="off" w:line="360" w:lineRule="auto"/>
        <w:rPr>
          <w:rFonts w:ascii="Times New Roman" w:hAnsi="Times New Roman" w:eastAsia="Times New Roman" w:cs="Times New Roman"/>
        </w:rPr>
      </w:pPr>
      <w:r w:rsidRPr="056ED209" w:rsidR="22F9103F">
        <w:rPr>
          <w:rFonts w:ascii="Times New Roman" w:hAnsi="Times New Roman" w:eastAsia="Times New Roman" w:cs="Times New Roman"/>
        </w:rPr>
        <w:t xml:space="preserve">When assessing lateral knee pain, including suspected ITBS, clinicians must </w:t>
      </w:r>
      <w:r w:rsidRPr="056ED209" w:rsidR="22F9103F">
        <w:rPr>
          <w:rFonts w:ascii="Times New Roman" w:hAnsi="Times New Roman" w:eastAsia="Times New Roman" w:cs="Times New Roman"/>
        </w:rPr>
        <w:t>identify</w:t>
      </w:r>
      <w:r w:rsidRPr="056ED209" w:rsidR="22F9103F">
        <w:rPr>
          <w:rFonts w:ascii="Times New Roman" w:hAnsi="Times New Roman" w:eastAsia="Times New Roman" w:cs="Times New Roman"/>
        </w:rPr>
        <w:t xml:space="preserve"> red flags that </w:t>
      </w:r>
      <w:r w:rsidRPr="056ED209" w:rsidR="22F9103F">
        <w:rPr>
          <w:rFonts w:ascii="Times New Roman" w:hAnsi="Times New Roman" w:eastAsia="Times New Roman" w:cs="Times New Roman"/>
        </w:rPr>
        <w:t>indicate</w:t>
      </w:r>
      <w:r w:rsidRPr="056ED209" w:rsidR="22F9103F">
        <w:rPr>
          <w:rFonts w:ascii="Times New Roman" w:hAnsi="Times New Roman" w:eastAsia="Times New Roman" w:cs="Times New Roman"/>
        </w:rPr>
        <w:t xml:space="preserve"> serious pathology requiring urgent referral. These include acute trauma with inability to bear weight, gross instability, and large effusion, which may suggest fracture, ligament rupture, or dislocation (Kim, 2019). Signs of joint infection, such as fever, erythema, warmth, and severe pain with restricted range of movem</w:t>
      </w:r>
      <w:r w:rsidRPr="056ED209" w:rsidR="0FCABDAC">
        <w:rPr>
          <w:rFonts w:ascii="Times New Roman" w:hAnsi="Times New Roman" w:eastAsia="Times New Roman" w:cs="Times New Roman"/>
        </w:rPr>
        <w:t>ent</w:t>
      </w:r>
      <w:r w:rsidRPr="056ED209" w:rsidR="22F9103F">
        <w:rPr>
          <w:rFonts w:ascii="Times New Roman" w:hAnsi="Times New Roman" w:eastAsia="Times New Roman" w:cs="Times New Roman"/>
        </w:rPr>
        <w:t xml:space="preserve">, </w:t>
      </w:r>
      <w:r w:rsidRPr="056ED209" w:rsidR="22F9103F">
        <w:rPr>
          <w:rFonts w:ascii="Times New Roman" w:hAnsi="Times New Roman" w:eastAsia="Times New Roman" w:cs="Times New Roman"/>
        </w:rPr>
        <w:t>warrant</w:t>
      </w:r>
      <w:r w:rsidRPr="056ED209" w:rsidR="22F9103F">
        <w:rPr>
          <w:rFonts w:ascii="Times New Roman" w:hAnsi="Times New Roman" w:eastAsia="Times New Roman" w:cs="Times New Roman"/>
        </w:rPr>
        <w:t xml:space="preserve"> immediate investigation for septic arthritis (Bunt et al., 2018). Other red flags include unexplained weight loss, night pain, and persistent pain unresponsive to conservative care, which may </w:t>
      </w:r>
      <w:r w:rsidRPr="056ED209" w:rsidR="22F9103F">
        <w:rPr>
          <w:rFonts w:ascii="Times New Roman" w:hAnsi="Times New Roman" w:eastAsia="Times New Roman" w:cs="Times New Roman"/>
        </w:rPr>
        <w:t>indicate</w:t>
      </w:r>
      <w:r w:rsidRPr="056ED209" w:rsidR="22F9103F">
        <w:rPr>
          <w:rFonts w:ascii="Times New Roman" w:hAnsi="Times New Roman" w:eastAsia="Times New Roman" w:cs="Times New Roman"/>
        </w:rPr>
        <w:t xml:space="preserve"> malignancy or systemic disease (</w:t>
      </w:r>
      <w:r w:rsidRPr="056ED209" w:rsidR="22F9103F">
        <w:rPr>
          <w:rFonts w:ascii="Times New Roman" w:hAnsi="Times New Roman" w:eastAsia="Times New Roman" w:cs="Times New Roman"/>
        </w:rPr>
        <w:t>Storari</w:t>
      </w:r>
      <w:r w:rsidRPr="056ED209" w:rsidR="22F9103F">
        <w:rPr>
          <w:rFonts w:ascii="Times New Roman" w:hAnsi="Times New Roman" w:eastAsia="Times New Roman" w:cs="Times New Roman"/>
        </w:rPr>
        <w:t xml:space="preserve"> et al., 2025). Neurovascular compromise following trauma, </w:t>
      </w:r>
      <w:r w:rsidRPr="056ED209" w:rsidR="22F9103F">
        <w:rPr>
          <w:rFonts w:ascii="Times New Roman" w:hAnsi="Times New Roman" w:eastAsia="Times New Roman" w:cs="Times New Roman"/>
        </w:rPr>
        <w:t>evidenced</w:t>
      </w:r>
      <w:r w:rsidRPr="056ED209" w:rsidR="22F9103F">
        <w:rPr>
          <w:rFonts w:ascii="Times New Roman" w:hAnsi="Times New Roman" w:eastAsia="Times New Roman" w:cs="Times New Roman"/>
        </w:rPr>
        <w:t xml:space="preserve"> by absent distal pulses or sensory changes, is another emergency indicator (Kim, 2019).</w:t>
      </w:r>
    </w:p>
    <w:p w:rsidR="6C46DFDF" w:rsidP="6C46DFDF" w:rsidRDefault="6C46DFDF" w14:paraId="1E1E0D6C" w14:textId="4B01CA68">
      <w:pPr>
        <w:pStyle w:val="Normal"/>
        <w:spacing w:before="0" w:beforeAutospacing="off" w:line="360" w:lineRule="auto"/>
      </w:pPr>
      <w:r w:rsidRPr="056ED209" w:rsidR="22F9103F">
        <w:rPr>
          <w:rFonts w:ascii="Times New Roman" w:hAnsi="Times New Roman" w:eastAsia="Times New Roman" w:cs="Times New Roman"/>
        </w:rPr>
        <w:t>In addition to musculoskeletal causes, several non-MSK conditions can mimic ITBS. Deep vein thrombosis (DVT) should be considered in patients presenting with calf swelling, tenderness, and risk factors such as recent immobili</w:t>
      </w:r>
      <w:r w:rsidRPr="056ED209" w:rsidR="771DC516">
        <w:rPr>
          <w:rFonts w:ascii="Times New Roman" w:hAnsi="Times New Roman" w:eastAsia="Times New Roman" w:cs="Times New Roman"/>
        </w:rPr>
        <w:t>s</w:t>
      </w:r>
      <w:r w:rsidRPr="056ED209" w:rsidR="22F9103F">
        <w:rPr>
          <w:rFonts w:ascii="Times New Roman" w:hAnsi="Times New Roman" w:eastAsia="Times New Roman" w:cs="Times New Roman"/>
        </w:rPr>
        <w:t xml:space="preserve">ation or surgery, as misdiagnosis can lead to life-threatening complications (Kim, 2019). Systemic inflammatory conditions, including rheumatoid arthritis and spondyloarthropathies, can cause diffuse knee pain accompanied by morning stiffness and fatigue (Bunt et al., 2018). These considerations underscore the importance of a comprehensive history, systems review, and </w:t>
      </w:r>
      <w:r w:rsidRPr="056ED209" w:rsidR="22F9103F">
        <w:rPr>
          <w:rFonts w:ascii="Times New Roman" w:hAnsi="Times New Roman" w:eastAsia="Times New Roman" w:cs="Times New Roman"/>
        </w:rPr>
        <w:t>appropriate diagnostic</w:t>
      </w:r>
      <w:r w:rsidRPr="056ED209" w:rsidR="22F9103F">
        <w:rPr>
          <w:rFonts w:ascii="Times New Roman" w:hAnsi="Times New Roman" w:eastAsia="Times New Roman" w:cs="Times New Roman"/>
        </w:rPr>
        <w:t xml:space="preserve"> testing to avoid misdiagnosis and ensure </w:t>
      </w:r>
      <w:r w:rsidRPr="056ED209" w:rsidR="22F9103F">
        <w:rPr>
          <w:rFonts w:ascii="Times New Roman" w:hAnsi="Times New Roman" w:eastAsia="Times New Roman" w:cs="Times New Roman"/>
        </w:rPr>
        <w:t>timely</w:t>
      </w:r>
      <w:r w:rsidRPr="056ED209" w:rsidR="22F9103F">
        <w:rPr>
          <w:rFonts w:ascii="Times New Roman" w:hAnsi="Times New Roman" w:eastAsia="Times New Roman" w:cs="Times New Roman"/>
        </w:rPr>
        <w:t xml:space="preserve"> management.</w:t>
      </w:r>
    </w:p>
    <w:p w:rsidR="6C46DFDF" w:rsidP="056ED209" w:rsidRDefault="6C46DFDF" w14:paraId="7A5618D7" w14:textId="47C31233">
      <w:pPr>
        <w:pStyle w:val="Normal"/>
        <w:spacing w:before="0" w:beforeAutospacing="off" w:line="360" w:lineRule="auto"/>
        <w:rPr>
          <w:rFonts w:ascii="Times New Roman" w:hAnsi="Times New Roman" w:eastAsia="Times New Roman" w:cs="Times New Roman"/>
          <w:noProof w:val="0"/>
          <w:sz w:val="24"/>
          <w:szCs w:val="24"/>
          <w:lang w:val="en-GB"/>
        </w:rPr>
      </w:pPr>
      <w:r w:rsidRPr="056ED209" w:rsidR="2FD744A7">
        <w:rPr>
          <w:rFonts w:ascii="Times New Roman" w:hAnsi="Times New Roman" w:eastAsia="Times New Roman" w:cs="Times New Roman"/>
          <w:noProof w:val="0"/>
          <w:sz w:val="24"/>
          <w:szCs w:val="24"/>
          <w:lang w:val="en-GB"/>
        </w:rPr>
        <w:t xml:space="preserve">Referrals play a critical role in ensuring </w:t>
      </w:r>
      <w:r w:rsidRPr="056ED209" w:rsidR="2FD744A7">
        <w:rPr>
          <w:rFonts w:ascii="Times New Roman" w:hAnsi="Times New Roman" w:eastAsia="Times New Roman" w:cs="Times New Roman"/>
          <w:noProof w:val="0"/>
          <w:sz w:val="24"/>
          <w:szCs w:val="24"/>
          <w:lang w:val="en-GB"/>
        </w:rPr>
        <w:t>accurate</w:t>
      </w:r>
      <w:r w:rsidRPr="056ED209" w:rsidR="2FD744A7">
        <w:rPr>
          <w:rFonts w:ascii="Times New Roman" w:hAnsi="Times New Roman" w:eastAsia="Times New Roman" w:cs="Times New Roman"/>
          <w:noProof w:val="0"/>
          <w:sz w:val="24"/>
          <w:szCs w:val="24"/>
          <w:lang w:val="en-GB"/>
        </w:rPr>
        <w:t xml:space="preserve"> diagnosis and </w:t>
      </w:r>
      <w:r w:rsidRPr="056ED209" w:rsidR="2FD744A7">
        <w:rPr>
          <w:rFonts w:ascii="Times New Roman" w:hAnsi="Times New Roman" w:eastAsia="Times New Roman" w:cs="Times New Roman"/>
          <w:noProof w:val="0"/>
          <w:sz w:val="24"/>
          <w:szCs w:val="24"/>
          <w:lang w:val="en-GB"/>
        </w:rPr>
        <w:t>appropriate management</w:t>
      </w:r>
      <w:r w:rsidRPr="056ED209" w:rsidR="2FD744A7">
        <w:rPr>
          <w:rFonts w:ascii="Times New Roman" w:hAnsi="Times New Roman" w:eastAsia="Times New Roman" w:cs="Times New Roman"/>
          <w:noProof w:val="0"/>
          <w:sz w:val="24"/>
          <w:szCs w:val="24"/>
          <w:lang w:val="en-GB"/>
        </w:rPr>
        <w:t xml:space="preserve"> of ITBS.</w:t>
      </w:r>
      <w:r w:rsidRPr="056ED209" w:rsidR="4A52C513">
        <w:rPr>
          <w:rFonts w:ascii="Times New Roman" w:hAnsi="Times New Roman" w:eastAsia="Times New Roman" w:cs="Times New Roman"/>
          <w:noProof w:val="0"/>
          <w:sz w:val="24"/>
          <w:szCs w:val="24"/>
          <w:lang w:val="en-GB"/>
        </w:rPr>
        <w:t xml:space="preserve"> Clients should be referred when </w:t>
      </w:r>
      <w:r w:rsidRPr="056ED209" w:rsidR="444B9203">
        <w:rPr>
          <w:rFonts w:ascii="Times New Roman" w:hAnsi="Times New Roman" w:eastAsia="Times New Roman" w:cs="Times New Roman"/>
          <w:noProof w:val="0"/>
          <w:sz w:val="24"/>
          <w:szCs w:val="24"/>
          <w:lang w:val="en-GB"/>
        </w:rPr>
        <w:t xml:space="preserve">there are any </w:t>
      </w:r>
      <w:r w:rsidRPr="056ED209" w:rsidR="62BD656C">
        <w:rPr>
          <w:rFonts w:ascii="Times New Roman" w:hAnsi="Times New Roman" w:eastAsia="Times New Roman" w:cs="Times New Roman"/>
          <w:noProof w:val="0"/>
          <w:sz w:val="24"/>
          <w:szCs w:val="24"/>
          <w:lang w:val="en-GB"/>
        </w:rPr>
        <w:t>red flags</w:t>
      </w:r>
      <w:r w:rsidRPr="056ED209" w:rsidR="472A22B4">
        <w:rPr>
          <w:rFonts w:ascii="Times New Roman" w:hAnsi="Times New Roman" w:eastAsia="Times New Roman" w:cs="Times New Roman"/>
          <w:noProof w:val="0"/>
          <w:sz w:val="24"/>
          <w:szCs w:val="24"/>
          <w:lang w:val="en-GB"/>
        </w:rPr>
        <w:t>,</w:t>
      </w:r>
      <w:r w:rsidRPr="056ED209" w:rsidR="62BD656C">
        <w:rPr>
          <w:rFonts w:ascii="Times New Roman" w:hAnsi="Times New Roman" w:eastAsia="Times New Roman" w:cs="Times New Roman"/>
          <w:noProof w:val="0"/>
          <w:sz w:val="24"/>
          <w:szCs w:val="24"/>
          <w:lang w:val="en-GB"/>
        </w:rPr>
        <w:t xml:space="preserve"> symptoms persist or there is diagnostic uncertainty</w:t>
      </w:r>
      <w:r w:rsidRPr="056ED209" w:rsidR="072A3CFA">
        <w:rPr>
          <w:rFonts w:ascii="Times New Roman" w:hAnsi="Times New Roman" w:eastAsia="Times New Roman" w:cs="Times New Roman"/>
          <w:noProof w:val="0"/>
          <w:sz w:val="24"/>
          <w:szCs w:val="24"/>
          <w:lang w:val="en-GB"/>
        </w:rPr>
        <w:t xml:space="preserve">. </w:t>
      </w:r>
      <w:r w:rsidRPr="056ED209" w:rsidR="4699BC7A">
        <w:rPr>
          <w:rFonts w:ascii="Times New Roman" w:hAnsi="Times New Roman" w:eastAsia="Times New Roman" w:cs="Times New Roman"/>
          <w:noProof w:val="0"/>
          <w:sz w:val="24"/>
          <w:szCs w:val="24"/>
          <w:lang w:val="en-GB"/>
        </w:rPr>
        <w:t xml:space="preserve">To refer a client appropriately, clinicians should provide clear documentation of clinical findings, </w:t>
      </w:r>
      <w:r w:rsidRPr="056ED209" w:rsidR="4699BC7A">
        <w:rPr>
          <w:rFonts w:ascii="Times New Roman" w:hAnsi="Times New Roman" w:eastAsia="Times New Roman" w:cs="Times New Roman"/>
          <w:noProof w:val="0"/>
          <w:sz w:val="24"/>
          <w:szCs w:val="24"/>
          <w:lang w:val="en-GB"/>
        </w:rPr>
        <w:t>previous</w:t>
      </w:r>
      <w:r w:rsidRPr="056ED209" w:rsidR="4699BC7A">
        <w:rPr>
          <w:rFonts w:ascii="Times New Roman" w:hAnsi="Times New Roman" w:eastAsia="Times New Roman" w:cs="Times New Roman"/>
          <w:noProof w:val="0"/>
          <w:sz w:val="24"/>
          <w:szCs w:val="24"/>
          <w:lang w:val="en-GB"/>
        </w:rPr>
        <w:t xml:space="preserve"> interventions, and treatment responses, specify the reason for referral - such as imaging for diagnostic clarification or surgical evaluation for ITBS. Communicate urgency when red flags or systemic signs are present and follow pathways within the healthcare system to ensure continuity of care and </w:t>
      </w:r>
      <w:r w:rsidRPr="056ED209" w:rsidR="4699BC7A">
        <w:rPr>
          <w:rFonts w:ascii="Times New Roman" w:hAnsi="Times New Roman" w:eastAsia="Times New Roman" w:cs="Times New Roman"/>
          <w:noProof w:val="0"/>
          <w:sz w:val="24"/>
          <w:szCs w:val="24"/>
          <w:lang w:val="en-GB"/>
        </w:rPr>
        <w:t>effective</w:t>
      </w:r>
      <w:r w:rsidRPr="056ED209" w:rsidR="776D4D70">
        <w:rPr>
          <w:rFonts w:ascii="Times New Roman" w:hAnsi="Times New Roman" w:eastAsia="Times New Roman" w:cs="Times New Roman"/>
          <w:noProof w:val="0"/>
          <w:sz w:val="24"/>
          <w:szCs w:val="24"/>
          <w:lang w:val="en-GB"/>
        </w:rPr>
        <w:t>ness</w:t>
      </w:r>
      <w:r w:rsidRPr="056ED209" w:rsidR="4699BC7A">
        <w:rPr>
          <w:rFonts w:ascii="Times New Roman" w:hAnsi="Times New Roman" w:eastAsia="Times New Roman" w:cs="Times New Roman"/>
          <w:noProof w:val="0"/>
          <w:sz w:val="24"/>
          <w:szCs w:val="24"/>
          <w:lang w:val="en-GB"/>
        </w:rPr>
        <w:t>.</w:t>
      </w:r>
    </w:p>
    <w:p w:rsidR="6C46DFDF" w:rsidP="6C46DFDF" w:rsidRDefault="6C46DFDF" w14:paraId="39FAE6FB" w14:textId="23F73481">
      <w:pPr>
        <w:pStyle w:val="Normal"/>
        <w:spacing w:before="0" w:beforeAutospacing="off" w:line="360" w:lineRule="auto"/>
      </w:pPr>
      <w:r w:rsidRPr="056ED209" w:rsidR="54E17483">
        <w:rPr>
          <w:rFonts w:ascii="Times New Roman" w:hAnsi="Times New Roman" w:eastAsia="Times New Roman" w:cs="Times New Roman"/>
          <w:noProof w:val="0"/>
          <w:sz w:val="24"/>
          <w:szCs w:val="24"/>
          <w:lang w:val="en-GB"/>
        </w:rPr>
        <w:t xml:space="preserve">In summary, iliotibial band syndrome is a common yet complex overuse injury that demands careful clinical reasoning to differentiate it from other lateral knee pathologies. Through a combination of thorough subjective assessment, targeted </w:t>
      </w:r>
      <w:r w:rsidRPr="056ED209" w:rsidR="54E17483">
        <w:rPr>
          <w:rFonts w:ascii="Times New Roman" w:hAnsi="Times New Roman" w:eastAsia="Times New Roman" w:cs="Times New Roman"/>
          <w:noProof w:val="0"/>
          <w:sz w:val="24"/>
          <w:szCs w:val="24"/>
          <w:lang w:val="en-GB"/>
        </w:rPr>
        <w:t>objective</w:t>
      </w:r>
      <w:r w:rsidRPr="056ED209" w:rsidR="54E17483">
        <w:rPr>
          <w:rFonts w:ascii="Times New Roman" w:hAnsi="Times New Roman" w:eastAsia="Times New Roman" w:cs="Times New Roman"/>
          <w:noProof w:val="0"/>
          <w:sz w:val="24"/>
          <w:szCs w:val="24"/>
          <w:lang w:val="en-GB"/>
        </w:rPr>
        <w:t xml:space="preserve"> testing, and awareness of red flags, clinicians can accurately </w:t>
      </w:r>
      <w:r w:rsidRPr="056ED209" w:rsidR="54E17483">
        <w:rPr>
          <w:rFonts w:ascii="Times New Roman" w:hAnsi="Times New Roman" w:eastAsia="Times New Roman" w:cs="Times New Roman"/>
          <w:noProof w:val="0"/>
          <w:sz w:val="24"/>
          <w:szCs w:val="24"/>
          <w:lang w:val="en-GB"/>
        </w:rPr>
        <w:t>identify</w:t>
      </w:r>
      <w:r w:rsidRPr="056ED209" w:rsidR="54E17483">
        <w:rPr>
          <w:rFonts w:ascii="Times New Roman" w:hAnsi="Times New Roman" w:eastAsia="Times New Roman" w:cs="Times New Roman"/>
          <w:noProof w:val="0"/>
          <w:sz w:val="24"/>
          <w:szCs w:val="24"/>
          <w:lang w:val="en-GB"/>
        </w:rPr>
        <w:t xml:space="preserve"> ITBS and recognise when alternative diagnosis or urgent referral pathways are </w:t>
      </w:r>
      <w:r w:rsidRPr="056ED209" w:rsidR="54E17483">
        <w:rPr>
          <w:rFonts w:ascii="Times New Roman" w:hAnsi="Times New Roman" w:eastAsia="Times New Roman" w:cs="Times New Roman"/>
          <w:noProof w:val="0"/>
          <w:sz w:val="24"/>
          <w:szCs w:val="24"/>
          <w:lang w:val="en-GB"/>
        </w:rPr>
        <w:t>required</w:t>
      </w:r>
      <w:r w:rsidRPr="056ED209" w:rsidR="54E17483">
        <w:rPr>
          <w:rFonts w:ascii="Times New Roman" w:hAnsi="Times New Roman" w:eastAsia="Times New Roman" w:cs="Times New Roman"/>
          <w:noProof w:val="0"/>
          <w:sz w:val="24"/>
          <w:szCs w:val="24"/>
          <w:lang w:val="en-GB"/>
        </w:rPr>
        <w:t xml:space="preserve">. Although imaging is rarely needed, its use can support diagnostic clarity in some cases. Current evidence highlights the need for more robust research into conservative management, particularly </w:t>
      </w:r>
      <w:r w:rsidRPr="056ED209" w:rsidR="54E17483">
        <w:rPr>
          <w:rFonts w:ascii="Times New Roman" w:hAnsi="Times New Roman" w:eastAsia="Times New Roman" w:cs="Times New Roman"/>
          <w:noProof w:val="0"/>
          <w:sz w:val="24"/>
          <w:szCs w:val="24"/>
          <w:lang w:val="en-GB"/>
        </w:rPr>
        <w:t>regarding</w:t>
      </w:r>
      <w:r w:rsidRPr="056ED209" w:rsidR="54E17483">
        <w:rPr>
          <w:rFonts w:ascii="Times New Roman" w:hAnsi="Times New Roman" w:eastAsia="Times New Roman" w:cs="Times New Roman"/>
          <w:noProof w:val="0"/>
          <w:sz w:val="24"/>
          <w:szCs w:val="24"/>
          <w:lang w:val="en-GB"/>
        </w:rPr>
        <w:t xml:space="preserve"> the effectiveness of stretching and manual interventions. </w:t>
      </w:r>
      <w:r w:rsidRPr="056ED209" w:rsidR="54E17483">
        <w:rPr>
          <w:rFonts w:ascii="Times New Roman" w:hAnsi="Times New Roman" w:eastAsia="Times New Roman" w:cs="Times New Roman"/>
          <w:noProof w:val="0"/>
          <w:sz w:val="24"/>
          <w:szCs w:val="24"/>
          <w:lang w:val="en-GB"/>
        </w:rPr>
        <w:t>Ultimately, effective</w:t>
      </w:r>
      <w:r w:rsidRPr="056ED209" w:rsidR="54E17483">
        <w:rPr>
          <w:rFonts w:ascii="Times New Roman" w:hAnsi="Times New Roman" w:eastAsia="Times New Roman" w:cs="Times New Roman"/>
          <w:noProof w:val="0"/>
          <w:sz w:val="24"/>
          <w:szCs w:val="24"/>
          <w:lang w:val="en-GB"/>
        </w:rPr>
        <w:t xml:space="preserve"> management of ITBS relies on a holistic, evidence-based approach that integrates biomechanical assessment, patient education, and </w:t>
      </w:r>
      <w:r w:rsidRPr="056ED209" w:rsidR="54E17483">
        <w:rPr>
          <w:rFonts w:ascii="Times New Roman" w:hAnsi="Times New Roman" w:eastAsia="Times New Roman" w:cs="Times New Roman"/>
          <w:noProof w:val="0"/>
          <w:sz w:val="24"/>
          <w:szCs w:val="24"/>
          <w:lang w:val="en-GB"/>
        </w:rPr>
        <w:t>appropriate referral</w:t>
      </w:r>
      <w:r w:rsidRPr="056ED209" w:rsidR="54E17483">
        <w:rPr>
          <w:rFonts w:ascii="Times New Roman" w:hAnsi="Times New Roman" w:eastAsia="Times New Roman" w:cs="Times New Roman"/>
          <w:noProof w:val="0"/>
          <w:sz w:val="24"/>
          <w:szCs w:val="24"/>
          <w:lang w:val="en-GB"/>
        </w:rPr>
        <w:t xml:space="preserve"> to ensure safe, </w:t>
      </w:r>
      <w:r w:rsidRPr="056ED209" w:rsidR="54E17483">
        <w:rPr>
          <w:rFonts w:ascii="Times New Roman" w:hAnsi="Times New Roman" w:eastAsia="Times New Roman" w:cs="Times New Roman"/>
          <w:noProof w:val="0"/>
          <w:sz w:val="24"/>
          <w:szCs w:val="24"/>
          <w:lang w:val="en-GB"/>
        </w:rPr>
        <w:t>timely</w:t>
      </w:r>
      <w:r w:rsidRPr="056ED209" w:rsidR="54E17483">
        <w:rPr>
          <w:rFonts w:ascii="Times New Roman" w:hAnsi="Times New Roman" w:eastAsia="Times New Roman" w:cs="Times New Roman"/>
          <w:noProof w:val="0"/>
          <w:sz w:val="24"/>
          <w:szCs w:val="24"/>
          <w:lang w:val="en-GB"/>
        </w:rPr>
        <w:t xml:space="preserve">, and </w:t>
      </w:r>
      <w:r w:rsidRPr="056ED209" w:rsidR="54E17483">
        <w:rPr>
          <w:rFonts w:ascii="Times New Roman" w:hAnsi="Times New Roman" w:eastAsia="Times New Roman" w:cs="Times New Roman"/>
          <w:noProof w:val="0"/>
          <w:sz w:val="24"/>
          <w:szCs w:val="24"/>
          <w:lang w:val="en-GB"/>
        </w:rPr>
        <w:t>optimal</w:t>
      </w:r>
      <w:r w:rsidRPr="056ED209" w:rsidR="54E17483">
        <w:rPr>
          <w:rFonts w:ascii="Times New Roman" w:hAnsi="Times New Roman" w:eastAsia="Times New Roman" w:cs="Times New Roman"/>
          <w:noProof w:val="0"/>
          <w:sz w:val="24"/>
          <w:szCs w:val="24"/>
          <w:lang w:val="en-GB"/>
        </w:rPr>
        <w:t xml:space="preserve"> outcomes for individuals affected by this condition.</w:t>
      </w:r>
    </w:p>
    <w:p w:rsidR="6C46DFDF" w:rsidP="056ED209" w:rsidRDefault="6C46DFDF" w14:paraId="63E19B80" w14:textId="4A0595F3">
      <w:pPr>
        <w:pStyle w:val="Normal"/>
        <w:spacing w:before="0" w:beforeAutospacing="off" w:line="360" w:lineRule="auto"/>
        <w:rPr>
          <w:rFonts w:ascii="Times New Roman" w:hAnsi="Times New Roman" w:eastAsia="Times New Roman" w:cs="Times New Roman"/>
          <w:noProof w:val="0"/>
          <w:sz w:val="24"/>
          <w:szCs w:val="24"/>
          <w:lang w:val="en-GB"/>
        </w:rPr>
      </w:pPr>
      <w:r w:rsidRPr="056ED209" w:rsidR="714F8CAD">
        <w:rPr>
          <w:rFonts w:ascii="Times New Roman" w:hAnsi="Times New Roman" w:eastAsia="Times New Roman" w:cs="Times New Roman"/>
          <w:noProof w:val="0"/>
          <w:sz w:val="24"/>
          <w:szCs w:val="24"/>
          <w:lang w:val="en-GB"/>
        </w:rPr>
        <w:t>(Word count – 2129)</w:t>
      </w:r>
    </w:p>
    <w:p w:rsidR="056ED209" w:rsidP="056ED209" w:rsidRDefault="056ED209" w14:paraId="7765126F" w14:textId="79394265">
      <w:pPr>
        <w:pStyle w:val="Normal"/>
        <w:spacing w:before="0" w:beforeAutospacing="off" w:line="360" w:lineRule="auto"/>
        <w:rPr>
          <w:rFonts w:ascii="Times New Roman" w:hAnsi="Times New Roman" w:eastAsia="Times New Roman" w:cs="Times New Roman"/>
          <w:noProof w:val="0"/>
          <w:sz w:val="24"/>
          <w:szCs w:val="24"/>
          <w:lang w:val="en-GB"/>
        </w:rPr>
      </w:pPr>
    </w:p>
    <w:p w:rsidR="5796474C" w:rsidP="6C46DFDF" w:rsidRDefault="5796474C" w14:paraId="438493A6" w14:textId="60A6B6BF">
      <w:pPr>
        <w:pStyle w:val="Normal"/>
        <w:spacing w:before="0" w:beforeAutospacing="off" w:line="360" w:lineRule="auto"/>
        <w:rPr>
          <w:rFonts w:ascii="Times New Roman" w:hAnsi="Times New Roman" w:eastAsia="Times New Roman" w:cs="Times New Roman"/>
          <w:u w:val="none"/>
        </w:rPr>
      </w:pPr>
      <w:r w:rsidRPr="6C46DFDF" w:rsidR="5796474C">
        <w:rPr>
          <w:rFonts w:ascii="Times New Roman" w:hAnsi="Times New Roman" w:eastAsia="Times New Roman" w:cs="Times New Roman"/>
          <w:u w:val="single"/>
        </w:rPr>
        <w:t>Reference List</w:t>
      </w:r>
    </w:p>
    <w:p w:rsidR="6C46DFDF" w:rsidP="6C46DFDF" w:rsidRDefault="6C46DFDF" w14:paraId="0B6054CB" w14:textId="51D161B0">
      <w:pPr>
        <w:spacing w:before="0" w:beforeAutospacing="off" w:after="0" w:afterAutospacing="off"/>
        <w:rPr>
          <w:rFonts w:ascii="Times New Roman" w:hAnsi="Times New Roman" w:eastAsia="Times New Roman" w:cs="Times New Roman"/>
          <w:noProof w:val="0"/>
          <w:sz w:val="24"/>
          <w:szCs w:val="24"/>
          <w:lang w:val="en-GB"/>
        </w:rPr>
      </w:pPr>
    </w:p>
    <w:p w:rsidR="35E5D15D" w:rsidP="33B5B2C9" w:rsidRDefault="35E5D15D" w14:paraId="117707A2" w14:textId="0D615B2A">
      <w:pPr>
        <w:spacing w:before="0" w:beforeAutospacing="off" w:after="0" w:afterAutospacing="off"/>
      </w:pPr>
      <w:r w:rsidRPr="056ED209" w:rsidR="710C1EC5">
        <w:rPr>
          <w:rFonts w:ascii="Times New Roman" w:hAnsi="Times New Roman" w:eastAsia="Times New Roman" w:cs="Times New Roman"/>
          <w:noProof w:val="0"/>
          <w:sz w:val="24"/>
          <w:szCs w:val="24"/>
          <w:lang w:val="en-GB"/>
        </w:rPr>
        <w:t xml:space="preserve">Beals, C. and Flanigan, D. (2013) ‘A Review of Treatments for Iliotibial Band Syndrome in the Athletic Population’, </w:t>
      </w:r>
      <w:r w:rsidRPr="056ED209" w:rsidR="710C1EC5">
        <w:rPr>
          <w:rFonts w:ascii="Times New Roman" w:hAnsi="Times New Roman" w:eastAsia="Times New Roman" w:cs="Times New Roman"/>
          <w:i w:val="1"/>
          <w:iCs w:val="1"/>
          <w:noProof w:val="0"/>
          <w:sz w:val="24"/>
          <w:szCs w:val="24"/>
          <w:lang w:val="en-GB"/>
        </w:rPr>
        <w:t>Journal of sports medicine (Hindawi Publishing Corporation)</w:t>
      </w:r>
      <w:r w:rsidRPr="056ED209" w:rsidR="710C1EC5">
        <w:rPr>
          <w:rFonts w:ascii="Times New Roman" w:hAnsi="Times New Roman" w:eastAsia="Times New Roman" w:cs="Times New Roman"/>
          <w:noProof w:val="0"/>
          <w:sz w:val="24"/>
          <w:szCs w:val="24"/>
          <w:lang w:val="en-GB"/>
        </w:rPr>
        <w:t xml:space="preserve">. Edited by A.W. Midgley, 2013(2013), pp. 1–6. Available at: </w:t>
      </w:r>
      <w:hyperlink r:id="Rdbb5225361d14d79">
        <w:r w:rsidRPr="056ED209" w:rsidR="710C1EC5">
          <w:rPr>
            <w:rStyle w:val="Hyperlink"/>
            <w:rFonts w:ascii="Times New Roman" w:hAnsi="Times New Roman" w:eastAsia="Times New Roman" w:cs="Times New Roman"/>
            <w:noProof w:val="0"/>
            <w:sz w:val="24"/>
            <w:szCs w:val="24"/>
            <w:lang w:val="en-GB"/>
          </w:rPr>
          <w:t>https://doi.org/10.1155/2013/367169</w:t>
        </w:r>
      </w:hyperlink>
      <w:r w:rsidRPr="056ED209" w:rsidR="710C1EC5">
        <w:rPr>
          <w:rFonts w:ascii="Times New Roman" w:hAnsi="Times New Roman" w:eastAsia="Times New Roman" w:cs="Times New Roman"/>
          <w:noProof w:val="0"/>
          <w:sz w:val="24"/>
          <w:szCs w:val="24"/>
          <w:lang w:val="en-GB"/>
        </w:rPr>
        <w:t>.</w:t>
      </w:r>
    </w:p>
    <w:p w:rsidR="056ED209" w:rsidP="056ED209" w:rsidRDefault="056ED209" w14:paraId="5C5DFF31" w14:textId="0A8AE978">
      <w:pPr>
        <w:pStyle w:val="Normal"/>
        <w:spacing w:before="0" w:beforeAutospacing="off" w:after="0" w:afterAutospacing="off"/>
        <w:rPr>
          <w:rFonts w:ascii="Times New Roman" w:hAnsi="Times New Roman" w:eastAsia="Times New Roman" w:cs="Times New Roman"/>
          <w:noProof w:val="0"/>
          <w:sz w:val="24"/>
          <w:szCs w:val="24"/>
          <w:lang w:val="en-GB"/>
        </w:rPr>
      </w:pPr>
    </w:p>
    <w:p w:rsidR="561C5C90" w:rsidP="056ED209" w:rsidRDefault="561C5C90" w14:paraId="4F35F3DC" w14:textId="7E240A9E">
      <w:pPr>
        <w:pStyle w:val="Normal"/>
        <w:spacing w:before="0" w:beforeAutospacing="off" w:after="0" w:afterAutospacing="off"/>
      </w:pPr>
      <w:r w:rsidRPr="056ED209" w:rsidR="561C5C90">
        <w:rPr>
          <w:rFonts w:ascii="Times New Roman" w:hAnsi="Times New Roman" w:eastAsia="Times New Roman" w:cs="Times New Roman"/>
          <w:noProof w:val="0"/>
          <w:sz w:val="24"/>
          <w:szCs w:val="24"/>
          <w:lang w:val="en-GB"/>
        </w:rPr>
        <w:t xml:space="preserve">Bianchi, S. and </w:t>
      </w:r>
      <w:r w:rsidRPr="056ED209" w:rsidR="561C5C90">
        <w:rPr>
          <w:rFonts w:ascii="Times New Roman" w:hAnsi="Times New Roman" w:eastAsia="Times New Roman" w:cs="Times New Roman"/>
          <w:noProof w:val="0"/>
          <w:sz w:val="24"/>
          <w:szCs w:val="24"/>
          <w:lang w:val="en-GB"/>
        </w:rPr>
        <w:t>Martinoli</w:t>
      </w:r>
      <w:r w:rsidRPr="056ED209" w:rsidR="561C5C90">
        <w:rPr>
          <w:rFonts w:ascii="Times New Roman" w:hAnsi="Times New Roman" w:eastAsia="Times New Roman" w:cs="Times New Roman"/>
          <w:noProof w:val="0"/>
          <w:sz w:val="24"/>
          <w:szCs w:val="24"/>
          <w:lang w:val="en-GB"/>
        </w:rPr>
        <w:t xml:space="preserve">, C., 2007. </w:t>
      </w:r>
      <w:r w:rsidRPr="056ED209" w:rsidR="561C5C90">
        <w:rPr>
          <w:rFonts w:ascii="Times New Roman" w:hAnsi="Times New Roman" w:eastAsia="Times New Roman" w:cs="Times New Roman"/>
          <w:i w:val="1"/>
          <w:iCs w:val="1"/>
          <w:noProof w:val="0"/>
          <w:sz w:val="24"/>
          <w:szCs w:val="24"/>
          <w:lang w:val="en-GB"/>
        </w:rPr>
        <w:t>Ultrasound of the Musculoskeletal System</w:t>
      </w:r>
      <w:r w:rsidRPr="056ED209" w:rsidR="561C5C90">
        <w:rPr>
          <w:rFonts w:ascii="Times New Roman" w:hAnsi="Times New Roman" w:eastAsia="Times New Roman" w:cs="Times New Roman"/>
          <w:noProof w:val="0"/>
          <w:sz w:val="24"/>
          <w:szCs w:val="24"/>
          <w:lang w:val="en-GB"/>
        </w:rPr>
        <w:t>. Springer. Pp. 664</w:t>
      </w:r>
    </w:p>
    <w:p w:rsidR="056ED209" w:rsidP="056ED209" w:rsidRDefault="056ED209" w14:paraId="698622A1" w14:textId="6E8EC1B0">
      <w:pPr>
        <w:pStyle w:val="Normal"/>
        <w:spacing w:before="0" w:beforeAutospacing="off" w:after="0" w:afterAutospacing="off"/>
        <w:rPr>
          <w:rFonts w:ascii="Times New Roman" w:hAnsi="Times New Roman" w:eastAsia="Times New Roman" w:cs="Times New Roman"/>
          <w:noProof w:val="0"/>
          <w:sz w:val="24"/>
          <w:szCs w:val="24"/>
          <w:lang w:val="en-GB"/>
        </w:rPr>
      </w:pPr>
    </w:p>
    <w:p w:rsidR="79DE1281" w:rsidP="056ED209" w:rsidRDefault="79DE1281" w14:paraId="486F8FBC" w14:textId="395CE0C2">
      <w:pPr>
        <w:spacing w:before="0" w:beforeAutospacing="off" w:after="0" w:afterAutospacing="off"/>
      </w:pPr>
      <w:r w:rsidRPr="056ED209" w:rsidR="79DE1281">
        <w:rPr>
          <w:rFonts w:ascii="Times New Roman" w:hAnsi="Times New Roman" w:eastAsia="Times New Roman" w:cs="Times New Roman"/>
          <w:noProof w:val="0"/>
          <w:sz w:val="24"/>
          <w:szCs w:val="24"/>
          <w:lang w:val="en-GB"/>
        </w:rPr>
        <w:t xml:space="preserve">Bonoan, M. </w:t>
      </w:r>
      <w:r w:rsidRPr="056ED209" w:rsidR="79DE1281">
        <w:rPr>
          <w:rFonts w:ascii="Times New Roman" w:hAnsi="Times New Roman" w:eastAsia="Times New Roman" w:cs="Times New Roman"/>
          <w:i w:val="1"/>
          <w:iCs w:val="1"/>
          <w:noProof w:val="0"/>
          <w:sz w:val="24"/>
          <w:szCs w:val="24"/>
          <w:lang w:val="en-GB"/>
        </w:rPr>
        <w:t>et al.</w:t>
      </w:r>
      <w:r w:rsidRPr="056ED209" w:rsidR="79DE1281">
        <w:rPr>
          <w:rFonts w:ascii="Times New Roman" w:hAnsi="Times New Roman" w:eastAsia="Times New Roman" w:cs="Times New Roman"/>
          <w:noProof w:val="0"/>
          <w:sz w:val="24"/>
          <w:szCs w:val="24"/>
          <w:lang w:val="en-GB"/>
        </w:rPr>
        <w:t xml:space="preserve"> (2024) ‘Iliotibial Band Syndrome Current Evidence’, </w:t>
      </w:r>
      <w:r w:rsidRPr="056ED209" w:rsidR="79DE1281">
        <w:rPr>
          <w:rFonts w:ascii="Times New Roman" w:hAnsi="Times New Roman" w:eastAsia="Times New Roman" w:cs="Times New Roman"/>
          <w:i w:val="1"/>
          <w:iCs w:val="1"/>
          <w:noProof w:val="0"/>
          <w:sz w:val="24"/>
          <w:szCs w:val="24"/>
          <w:lang w:val="en-GB"/>
        </w:rPr>
        <w:t>Current physical medicine and rehabilitation reports</w:t>
      </w:r>
      <w:r w:rsidRPr="056ED209" w:rsidR="79DE1281">
        <w:rPr>
          <w:rFonts w:ascii="Times New Roman" w:hAnsi="Times New Roman" w:eastAsia="Times New Roman" w:cs="Times New Roman"/>
          <w:noProof w:val="0"/>
          <w:sz w:val="24"/>
          <w:szCs w:val="24"/>
          <w:lang w:val="en-GB"/>
        </w:rPr>
        <w:t xml:space="preserve">, 12(2), pp. 193–199. Available at: </w:t>
      </w:r>
      <w:hyperlink r:id="R97bf9021135046db">
        <w:r w:rsidRPr="056ED209" w:rsidR="79DE1281">
          <w:rPr>
            <w:rStyle w:val="Hyperlink"/>
            <w:rFonts w:ascii="Times New Roman" w:hAnsi="Times New Roman" w:eastAsia="Times New Roman" w:cs="Times New Roman"/>
            <w:noProof w:val="0"/>
            <w:sz w:val="24"/>
            <w:szCs w:val="24"/>
            <w:lang w:val="en-GB"/>
          </w:rPr>
          <w:t>https://doi.org/10.1007/s40141-024-00442-w</w:t>
        </w:r>
      </w:hyperlink>
      <w:r w:rsidRPr="056ED209" w:rsidR="79DE1281">
        <w:rPr>
          <w:rFonts w:ascii="Times New Roman" w:hAnsi="Times New Roman" w:eastAsia="Times New Roman" w:cs="Times New Roman"/>
          <w:noProof w:val="0"/>
          <w:sz w:val="24"/>
          <w:szCs w:val="24"/>
          <w:lang w:val="en-GB"/>
        </w:rPr>
        <w:t>.</w:t>
      </w:r>
    </w:p>
    <w:p w:rsidR="056ED209" w:rsidP="056ED209" w:rsidRDefault="056ED209" w14:paraId="61CDCC81" w14:textId="3A7A95CC">
      <w:pPr>
        <w:spacing w:before="0" w:beforeAutospacing="off" w:after="0" w:afterAutospacing="off"/>
        <w:rPr>
          <w:rFonts w:ascii="Times New Roman" w:hAnsi="Times New Roman" w:eastAsia="Times New Roman" w:cs="Times New Roman"/>
          <w:noProof w:val="0"/>
          <w:sz w:val="24"/>
          <w:szCs w:val="24"/>
          <w:lang w:val="en-GB"/>
        </w:rPr>
      </w:pPr>
    </w:p>
    <w:p w:rsidR="4ACD6AB3" w:rsidP="056ED209" w:rsidRDefault="4ACD6AB3" w14:paraId="16600864" w14:textId="73498566">
      <w:pPr>
        <w:spacing w:before="0" w:beforeAutospacing="off" w:after="0" w:afterAutospacing="off"/>
      </w:pPr>
      <w:r w:rsidRPr="056ED209" w:rsidR="4ACD6AB3">
        <w:rPr>
          <w:rFonts w:ascii="Times New Roman" w:hAnsi="Times New Roman" w:eastAsia="Times New Roman" w:cs="Times New Roman"/>
          <w:noProof w:val="0"/>
          <w:sz w:val="24"/>
          <w:szCs w:val="24"/>
          <w:lang w:val="en-GB"/>
        </w:rPr>
        <w:t xml:space="preserve">Bunt, C.W., Jonas, C.E. and Chang, J.G. (2018) ‘Knee Pain in Adults and Adolescents: The Initial Evaluation’, </w:t>
      </w:r>
      <w:r w:rsidRPr="056ED209" w:rsidR="4ACD6AB3">
        <w:rPr>
          <w:rFonts w:ascii="Times New Roman" w:hAnsi="Times New Roman" w:eastAsia="Times New Roman" w:cs="Times New Roman"/>
          <w:i w:val="1"/>
          <w:iCs w:val="1"/>
          <w:noProof w:val="0"/>
          <w:sz w:val="24"/>
          <w:szCs w:val="24"/>
          <w:lang w:val="en-GB"/>
        </w:rPr>
        <w:t>American family physician</w:t>
      </w:r>
      <w:r w:rsidRPr="056ED209" w:rsidR="4ACD6AB3">
        <w:rPr>
          <w:rFonts w:ascii="Times New Roman" w:hAnsi="Times New Roman" w:eastAsia="Times New Roman" w:cs="Times New Roman"/>
          <w:noProof w:val="0"/>
          <w:sz w:val="24"/>
          <w:szCs w:val="24"/>
          <w:lang w:val="en-GB"/>
        </w:rPr>
        <w:t>, 98(9), p. 576.</w:t>
      </w:r>
    </w:p>
    <w:p w:rsidR="2DB5EE56" w:rsidP="2DB5EE56" w:rsidRDefault="2DB5EE56" w14:paraId="09FE45AA" w14:textId="0E3BC7EF">
      <w:pPr>
        <w:spacing w:before="0" w:beforeAutospacing="off" w:after="0" w:afterAutospacing="off"/>
        <w:rPr>
          <w:rFonts w:ascii="Times New Roman" w:hAnsi="Times New Roman" w:eastAsia="Times New Roman" w:cs="Times New Roman"/>
          <w:noProof w:val="0"/>
          <w:sz w:val="24"/>
          <w:szCs w:val="24"/>
          <w:lang w:val="en-GB"/>
        </w:rPr>
      </w:pPr>
    </w:p>
    <w:p w:rsidR="428897AB" w:rsidP="2DB5EE56" w:rsidRDefault="428897AB" w14:paraId="487D7904" w14:textId="3EAA8A35">
      <w:pPr>
        <w:spacing w:before="0" w:beforeAutospacing="off" w:after="0" w:afterAutospacing="off"/>
      </w:pPr>
      <w:r w:rsidRPr="056ED209" w:rsidR="7D0B48F9">
        <w:rPr>
          <w:rFonts w:ascii="Times New Roman" w:hAnsi="Times New Roman" w:eastAsia="Times New Roman" w:cs="Times New Roman"/>
          <w:noProof w:val="0"/>
          <w:sz w:val="24"/>
          <w:szCs w:val="24"/>
          <w:lang w:val="en-GB"/>
        </w:rPr>
        <w:t xml:space="preserve">Friede, M.C. </w:t>
      </w:r>
      <w:r w:rsidRPr="056ED209" w:rsidR="7D0B48F9">
        <w:rPr>
          <w:rFonts w:ascii="Times New Roman" w:hAnsi="Times New Roman" w:eastAsia="Times New Roman" w:cs="Times New Roman"/>
          <w:i w:val="1"/>
          <w:iCs w:val="1"/>
          <w:noProof w:val="0"/>
          <w:sz w:val="24"/>
          <w:szCs w:val="24"/>
          <w:lang w:val="en-GB"/>
        </w:rPr>
        <w:t>et al.</w:t>
      </w:r>
      <w:r w:rsidRPr="056ED209" w:rsidR="7D0B48F9">
        <w:rPr>
          <w:rFonts w:ascii="Times New Roman" w:hAnsi="Times New Roman" w:eastAsia="Times New Roman" w:cs="Times New Roman"/>
          <w:noProof w:val="0"/>
          <w:sz w:val="24"/>
          <w:szCs w:val="24"/>
          <w:lang w:val="en-GB"/>
        </w:rPr>
        <w:t xml:space="preserve"> (2022) ‘Conservative treatment of iliotibial band syndrome in runners: Are we targeting the right goals?’, </w:t>
      </w:r>
      <w:r w:rsidRPr="056ED209" w:rsidR="7D0B48F9">
        <w:rPr>
          <w:rFonts w:ascii="Times New Roman" w:hAnsi="Times New Roman" w:eastAsia="Times New Roman" w:cs="Times New Roman"/>
          <w:i w:val="1"/>
          <w:iCs w:val="1"/>
          <w:noProof w:val="0"/>
          <w:sz w:val="24"/>
          <w:szCs w:val="24"/>
          <w:lang w:val="en-GB"/>
        </w:rPr>
        <w:t>Physical therapy in sport</w:t>
      </w:r>
      <w:r w:rsidRPr="056ED209" w:rsidR="7D0B48F9">
        <w:rPr>
          <w:rFonts w:ascii="Times New Roman" w:hAnsi="Times New Roman" w:eastAsia="Times New Roman" w:cs="Times New Roman"/>
          <w:noProof w:val="0"/>
          <w:sz w:val="24"/>
          <w:szCs w:val="24"/>
          <w:lang w:val="en-GB"/>
        </w:rPr>
        <w:t xml:space="preserve">, 54(NA), pp. 44–52. Available at: </w:t>
      </w:r>
      <w:hyperlink r:id="Rbfe76f45d16e4f25">
        <w:r w:rsidRPr="056ED209" w:rsidR="7D0B48F9">
          <w:rPr>
            <w:rStyle w:val="Hyperlink"/>
            <w:rFonts w:ascii="Times New Roman" w:hAnsi="Times New Roman" w:eastAsia="Times New Roman" w:cs="Times New Roman"/>
            <w:noProof w:val="0"/>
            <w:sz w:val="24"/>
            <w:szCs w:val="24"/>
            <w:lang w:val="en-GB"/>
          </w:rPr>
          <w:t>https://doi.org/10.1016/j.ptsp.2021.12.006</w:t>
        </w:r>
      </w:hyperlink>
      <w:r w:rsidRPr="056ED209" w:rsidR="7D0B48F9">
        <w:rPr>
          <w:rFonts w:ascii="Times New Roman" w:hAnsi="Times New Roman" w:eastAsia="Times New Roman" w:cs="Times New Roman"/>
          <w:noProof w:val="0"/>
          <w:sz w:val="24"/>
          <w:szCs w:val="24"/>
          <w:lang w:val="en-GB"/>
        </w:rPr>
        <w:t>.</w:t>
      </w:r>
    </w:p>
    <w:p w:rsidR="056ED209" w:rsidP="056ED209" w:rsidRDefault="056ED209" w14:paraId="1A566474" w14:textId="2DE43DAF">
      <w:pPr>
        <w:spacing w:before="0" w:beforeAutospacing="off" w:after="0" w:afterAutospacing="off"/>
        <w:rPr>
          <w:rFonts w:ascii="Times New Roman" w:hAnsi="Times New Roman" w:eastAsia="Times New Roman" w:cs="Times New Roman"/>
          <w:noProof w:val="0"/>
          <w:sz w:val="24"/>
          <w:szCs w:val="24"/>
          <w:lang w:val="en-GB"/>
        </w:rPr>
      </w:pPr>
    </w:p>
    <w:p w:rsidR="7509E43E" w:rsidP="056ED209" w:rsidRDefault="7509E43E" w14:paraId="72E80542" w14:textId="22921FA3">
      <w:pPr>
        <w:spacing w:before="0" w:beforeAutospacing="off" w:after="0" w:afterAutospacing="off"/>
      </w:pPr>
      <w:r w:rsidRPr="056ED209" w:rsidR="7509E43E">
        <w:rPr>
          <w:rFonts w:ascii="Times New Roman" w:hAnsi="Times New Roman" w:eastAsia="Times New Roman" w:cs="Times New Roman"/>
          <w:noProof w:val="0"/>
          <w:sz w:val="24"/>
          <w:szCs w:val="24"/>
          <w:lang w:val="en-GB"/>
        </w:rPr>
        <w:t xml:space="preserve">Fairclough, J. </w:t>
      </w:r>
      <w:r w:rsidRPr="056ED209" w:rsidR="7509E43E">
        <w:rPr>
          <w:rFonts w:ascii="Times New Roman" w:hAnsi="Times New Roman" w:eastAsia="Times New Roman" w:cs="Times New Roman"/>
          <w:i w:val="1"/>
          <w:iCs w:val="1"/>
          <w:noProof w:val="0"/>
          <w:sz w:val="24"/>
          <w:szCs w:val="24"/>
          <w:lang w:val="en-GB"/>
        </w:rPr>
        <w:t>et al.</w:t>
      </w:r>
      <w:r w:rsidRPr="056ED209" w:rsidR="7509E43E">
        <w:rPr>
          <w:rFonts w:ascii="Times New Roman" w:hAnsi="Times New Roman" w:eastAsia="Times New Roman" w:cs="Times New Roman"/>
          <w:noProof w:val="0"/>
          <w:sz w:val="24"/>
          <w:szCs w:val="24"/>
          <w:lang w:val="en-GB"/>
        </w:rPr>
        <w:t xml:space="preserve"> (2007) ‘Is iliotibial band syndrome really a friction syndrome?’, </w:t>
      </w:r>
      <w:r w:rsidRPr="056ED209" w:rsidR="7509E43E">
        <w:rPr>
          <w:rFonts w:ascii="Times New Roman" w:hAnsi="Times New Roman" w:eastAsia="Times New Roman" w:cs="Times New Roman"/>
          <w:i w:val="1"/>
          <w:iCs w:val="1"/>
          <w:noProof w:val="0"/>
          <w:sz w:val="24"/>
          <w:szCs w:val="24"/>
          <w:lang w:val="en-GB"/>
        </w:rPr>
        <w:t>Journal of science and medicine in sport</w:t>
      </w:r>
      <w:r w:rsidRPr="056ED209" w:rsidR="7509E43E">
        <w:rPr>
          <w:rFonts w:ascii="Times New Roman" w:hAnsi="Times New Roman" w:eastAsia="Times New Roman" w:cs="Times New Roman"/>
          <w:noProof w:val="0"/>
          <w:sz w:val="24"/>
          <w:szCs w:val="24"/>
          <w:lang w:val="en-GB"/>
        </w:rPr>
        <w:t xml:space="preserve">, 10(2), pp. 74–76. Available at: </w:t>
      </w:r>
      <w:hyperlink r:id="R2d656374c5d74eff">
        <w:r w:rsidRPr="056ED209" w:rsidR="7509E43E">
          <w:rPr>
            <w:rStyle w:val="Hyperlink"/>
            <w:rFonts w:ascii="Times New Roman" w:hAnsi="Times New Roman" w:eastAsia="Times New Roman" w:cs="Times New Roman"/>
            <w:noProof w:val="0"/>
            <w:sz w:val="24"/>
            <w:szCs w:val="24"/>
            <w:lang w:val="en-GB"/>
          </w:rPr>
          <w:t>https://doi.org/10.1016/j.jsams.2006.05.017</w:t>
        </w:r>
      </w:hyperlink>
      <w:r w:rsidRPr="056ED209" w:rsidR="7509E43E">
        <w:rPr>
          <w:rFonts w:ascii="Times New Roman" w:hAnsi="Times New Roman" w:eastAsia="Times New Roman" w:cs="Times New Roman"/>
          <w:noProof w:val="0"/>
          <w:sz w:val="24"/>
          <w:szCs w:val="24"/>
          <w:lang w:val="en-GB"/>
        </w:rPr>
        <w:t>.</w:t>
      </w:r>
    </w:p>
    <w:p w:rsidR="056ED209" w:rsidP="056ED209" w:rsidRDefault="056ED209" w14:paraId="475166E2" w14:textId="5B68E2AF">
      <w:pPr>
        <w:pStyle w:val="Normal"/>
        <w:spacing w:before="0" w:beforeAutospacing="off" w:after="0" w:afterAutospacing="off"/>
        <w:rPr>
          <w:rFonts w:ascii="Times New Roman" w:hAnsi="Times New Roman" w:eastAsia="Times New Roman" w:cs="Times New Roman"/>
          <w:noProof w:val="0"/>
          <w:sz w:val="24"/>
          <w:szCs w:val="24"/>
          <w:lang w:val="en-GB"/>
        </w:rPr>
      </w:pPr>
    </w:p>
    <w:p w:rsidR="16EE6F08" w:rsidP="056ED209" w:rsidRDefault="16EE6F08" w14:paraId="0D5CD548" w14:textId="7AF711E6">
      <w:pPr>
        <w:pStyle w:val="Normal"/>
        <w:spacing w:before="0" w:beforeAutospacing="off" w:after="0" w:afterAutospacing="off"/>
        <w:rPr>
          <w:rFonts w:ascii="Times New Roman" w:hAnsi="Times New Roman" w:eastAsia="Times New Roman" w:cs="Times New Roman"/>
          <w:noProof w:val="0"/>
          <w:sz w:val="24"/>
          <w:szCs w:val="24"/>
          <w:lang w:val="en-GB"/>
        </w:rPr>
      </w:pPr>
      <w:r w:rsidRPr="056ED209" w:rsidR="16EE6F08">
        <w:rPr>
          <w:rFonts w:ascii="Times New Roman" w:hAnsi="Times New Roman" w:eastAsia="Times New Roman" w:cs="Times New Roman"/>
          <w:noProof w:val="0"/>
          <w:sz w:val="24"/>
          <w:szCs w:val="24"/>
          <w:lang w:val="en-GB"/>
        </w:rPr>
        <w:t>Fredericson</w:t>
      </w:r>
      <w:r w:rsidRPr="056ED209" w:rsidR="16EE6F08">
        <w:rPr>
          <w:rFonts w:ascii="Times New Roman" w:hAnsi="Times New Roman" w:eastAsia="Times New Roman" w:cs="Times New Roman"/>
          <w:noProof w:val="0"/>
          <w:sz w:val="24"/>
          <w:szCs w:val="24"/>
          <w:lang w:val="en-GB"/>
        </w:rPr>
        <w:t>, M., Cookingham, C.L., Chaudhari, A.M., Dowdell, B</w:t>
      </w:r>
      <w:r w:rsidRPr="056ED209" w:rsidR="061CA761">
        <w:rPr>
          <w:rFonts w:ascii="Times New Roman" w:hAnsi="Times New Roman" w:eastAsia="Times New Roman" w:cs="Times New Roman"/>
          <w:noProof w:val="0"/>
          <w:sz w:val="24"/>
          <w:szCs w:val="24"/>
          <w:lang w:val="en-GB"/>
        </w:rPr>
        <w:t>.C.,</w:t>
      </w:r>
      <w:r w:rsidRPr="056ED209" w:rsidR="16EE6F08">
        <w:rPr>
          <w:rFonts w:ascii="Times New Roman" w:hAnsi="Times New Roman" w:eastAsia="Times New Roman" w:cs="Times New Roman"/>
          <w:noProof w:val="0"/>
          <w:sz w:val="24"/>
          <w:szCs w:val="24"/>
          <w:lang w:val="en-GB"/>
        </w:rPr>
        <w:t xml:space="preserve"> Oestreicher, N</w:t>
      </w:r>
      <w:r w:rsidRPr="056ED209" w:rsidR="772EB282">
        <w:rPr>
          <w:rFonts w:ascii="Times New Roman" w:hAnsi="Times New Roman" w:eastAsia="Times New Roman" w:cs="Times New Roman"/>
          <w:noProof w:val="0"/>
          <w:sz w:val="24"/>
          <w:szCs w:val="24"/>
          <w:lang w:val="en-GB"/>
        </w:rPr>
        <w:t xml:space="preserve">, </w:t>
      </w:r>
      <w:r w:rsidRPr="056ED209" w:rsidR="16EE6F08">
        <w:rPr>
          <w:rFonts w:ascii="Times New Roman" w:hAnsi="Times New Roman" w:eastAsia="Times New Roman" w:cs="Times New Roman"/>
          <w:noProof w:val="0"/>
          <w:sz w:val="24"/>
          <w:szCs w:val="24"/>
          <w:lang w:val="en-GB"/>
        </w:rPr>
        <w:t>Sahrmann</w:t>
      </w:r>
      <w:r w:rsidRPr="056ED209" w:rsidR="16EE6F08">
        <w:rPr>
          <w:rFonts w:ascii="Times New Roman" w:hAnsi="Times New Roman" w:eastAsia="Times New Roman" w:cs="Times New Roman"/>
          <w:noProof w:val="0"/>
          <w:sz w:val="24"/>
          <w:szCs w:val="24"/>
          <w:lang w:val="en-GB"/>
        </w:rPr>
        <w:t xml:space="preserve">, </w:t>
      </w:r>
      <w:r w:rsidRPr="056ED209" w:rsidR="12941670">
        <w:rPr>
          <w:rFonts w:ascii="Times New Roman" w:hAnsi="Times New Roman" w:eastAsia="Times New Roman" w:cs="Times New Roman"/>
          <w:noProof w:val="0"/>
          <w:sz w:val="24"/>
          <w:szCs w:val="24"/>
          <w:lang w:val="en-GB"/>
        </w:rPr>
        <w:t>S.A</w:t>
      </w:r>
      <w:r w:rsidRPr="056ED209" w:rsidR="16EE6F08">
        <w:rPr>
          <w:rFonts w:ascii="Times New Roman" w:hAnsi="Times New Roman" w:eastAsia="Times New Roman" w:cs="Times New Roman"/>
          <w:noProof w:val="0"/>
          <w:sz w:val="24"/>
          <w:szCs w:val="24"/>
          <w:lang w:val="en-GB"/>
        </w:rPr>
        <w:t>. Hip Abductor Weakness in Distance Runners with Iliotibial Band Syndrome. Clinical Journal of Sport Medicine 10(3</w:t>
      </w:r>
      <w:r w:rsidRPr="056ED209" w:rsidR="0E87FD0B">
        <w:rPr>
          <w:rFonts w:ascii="Times New Roman" w:hAnsi="Times New Roman" w:eastAsia="Times New Roman" w:cs="Times New Roman"/>
          <w:noProof w:val="0"/>
          <w:sz w:val="24"/>
          <w:szCs w:val="24"/>
          <w:lang w:val="en-GB"/>
        </w:rPr>
        <w:t>): p</w:t>
      </w:r>
      <w:r w:rsidRPr="056ED209" w:rsidR="16EE6F08">
        <w:rPr>
          <w:rFonts w:ascii="Times New Roman" w:hAnsi="Times New Roman" w:eastAsia="Times New Roman" w:cs="Times New Roman"/>
          <w:noProof w:val="0"/>
          <w:sz w:val="24"/>
          <w:szCs w:val="24"/>
          <w:lang w:val="en-GB"/>
        </w:rPr>
        <w:t xml:space="preserve"> 169-175, 2000.</w:t>
      </w:r>
    </w:p>
    <w:p w:rsidR="056ED209" w:rsidP="056ED209" w:rsidRDefault="056ED209" w14:paraId="2568704C" w14:textId="56EAD5DF">
      <w:pPr>
        <w:spacing w:before="0" w:beforeAutospacing="off" w:after="0" w:afterAutospacing="off"/>
        <w:rPr>
          <w:rFonts w:ascii="Times New Roman" w:hAnsi="Times New Roman" w:eastAsia="Times New Roman" w:cs="Times New Roman"/>
          <w:noProof w:val="0"/>
          <w:sz w:val="24"/>
          <w:szCs w:val="24"/>
          <w:lang w:val="en-GB"/>
        </w:rPr>
      </w:pPr>
    </w:p>
    <w:p w:rsidR="181A07B3" w:rsidP="056ED209" w:rsidRDefault="181A07B3" w14:paraId="550B2CF8" w14:textId="7299A50A">
      <w:pPr>
        <w:spacing w:before="0" w:beforeAutospacing="off" w:after="0" w:afterAutospacing="off"/>
      </w:pPr>
      <w:r w:rsidRPr="056ED209" w:rsidR="181A07B3">
        <w:rPr>
          <w:rFonts w:ascii="Times New Roman" w:hAnsi="Times New Roman" w:eastAsia="Times New Roman" w:cs="Times New Roman"/>
          <w:noProof w:val="0"/>
          <w:sz w:val="24"/>
          <w:szCs w:val="24"/>
          <w:lang w:val="en-GB"/>
        </w:rPr>
        <w:t xml:space="preserve">Geisler, P.R. (2020) ‘Iliotibial Band Pathology: Synthesizing the Available Evidence for Clinical Progress’, </w:t>
      </w:r>
      <w:r w:rsidRPr="056ED209" w:rsidR="181A07B3">
        <w:rPr>
          <w:rFonts w:ascii="Times New Roman" w:hAnsi="Times New Roman" w:eastAsia="Times New Roman" w:cs="Times New Roman"/>
          <w:i w:val="1"/>
          <w:iCs w:val="1"/>
          <w:noProof w:val="0"/>
          <w:sz w:val="24"/>
          <w:szCs w:val="24"/>
          <w:lang w:val="en-GB"/>
        </w:rPr>
        <w:t>Journal of athletic training</w:t>
      </w:r>
      <w:r w:rsidRPr="056ED209" w:rsidR="181A07B3">
        <w:rPr>
          <w:rFonts w:ascii="Times New Roman" w:hAnsi="Times New Roman" w:eastAsia="Times New Roman" w:cs="Times New Roman"/>
          <w:noProof w:val="0"/>
          <w:sz w:val="24"/>
          <w:szCs w:val="24"/>
          <w:lang w:val="en-GB"/>
        </w:rPr>
        <w:t xml:space="preserve"> [Preprint]. Available at: </w:t>
      </w:r>
      <w:hyperlink r:id="R08d99fe109ce40ba">
        <w:r w:rsidRPr="056ED209" w:rsidR="181A07B3">
          <w:rPr>
            <w:rStyle w:val="Hyperlink"/>
            <w:rFonts w:ascii="Times New Roman" w:hAnsi="Times New Roman" w:eastAsia="Times New Roman" w:cs="Times New Roman"/>
            <w:noProof w:val="0"/>
            <w:sz w:val="24"/>
            <w:szCs w:val="24"/>
            <w:lang w:val="en-GB"/>
          </w:rPr>
          <w:t>https://doi.org/10.4085/JAT0548-19</w:t>
        </w:r>
      </w:hyperlink>
      <w:r w:rsidRPr="056ED209" w:rsidR="181A07B3">
        <w:rPr>
          <w:rFonts w:ascii="Times New Roman" w:hAnsi="Times New Roman" w:eastAsia="Times New Roman" w:cs="Times New Roman"/>
          <w:noProof w:val="0"/>
          <w:sz w:val="24"/>
          <w:szCs w:val="24"/>
          <w:lang w:val="en-GB"/>
        </w:rPr>
        <w:t>.</w:t>
      </w:r>
    </w:p>
    <w:p w:rsidR="33B5B2C9" w:rsidP="33B5B2C9" w:rsidRDefault="33B5B2C9" w14:paraId="428FF84C" w14:textId="5B33A7B4">
      <w:pPr>
        <w:spacing w:before="0" w:beforeAutospacing="off" w:after="0" w:afterAutospacing="off"/>
        <w:rPr>
          <w:rFonts w:ascii="Times New Roman" w:hAnsi="Times New Roman" w:eastAsia="Times New Roman" w:cs="Times New Roman"/>
          <w:noProof w:val="0"/>
          <w:sz w:val="24"/>
          <w:szCs w:val="24"/>
          <w:lang w:val="en-GB"/>
        </w:rPr>
      </w:pPr>
    </w:p>
    <w:p w:rsidR="153F82BB" w:rsidP="6C46DFDF" w:rsidRDefault="153F82BB" w14:paraId="7FCB5CA0" w14:textId="3A273F33">
      <w:pPr>
        <w:spacing w:before="0" w:beforeAutospacing="off" w:after="0" w:afterAutospacing="off"/>
      </w:pPr>
      <w:r w:rsidRPr="056ED209" w:rsidR="4DD8A1FB">
        <w:rPr>
          <w:rFonts w:ascii="Times New Roman" w:hAnsi="Times New Roman" w:eastAsia="Times New Roman" w:cs="Times New Roman"/>
          <w:noProof w:val="0"/>
          <w:sz w:val="24"/>
          <w:szCs w:val="24"/>
          <w:lang w:val="en-GB"/>
        </w:rPr>
        <w:t>Grzelak</w:t>
      </w:r>
      <w:r w:rsidRPr="056ED209" w:rsidR="09E273AE">
        <w:rPr>
          <w:rFonts w:ascii="Times New Roman" w:hAnsi="Times New Roman" w:eastAsia="Times New Roman" w:cs="Times New Roman"/>
          <w:noProof w:val="0"/>
          <w:sz w:val="24"/>
          <w:szCs w:val="24"/>
          <w:lang w:val="en-GB"/>
        </w:rPr>
        <w:t>, A.</w:t>
      </w:r>
      <w:r w:rsidRPr="056ED209" w:rsidR="4DD8A1FB">
        <w:rPr>
          <w:rFonts w:ascii="Times New Roman" w:hAnsi="Times New Roman" w:eastAsia="Times New Roman" w:cs="Times New Roman"/>
          <w:noProof w:val="0"/>
          <w:sz w:val="24"/>
          <w:szCs w:val="24"/>
          <w:lang w:val="en-GB"/>
        </w:rPr>
        <w:t xml:space="preserve"> (2024) ‘Understanding ITBS in Athletes: A Comprehensive Systematic Review’, </w:t>
      </w:r>
      <w:r w:rsidRPr="056ED209" w:rsidR="4DD8A1FB">
        <w:rPr>
          <w:rFonts w:ascii="Times New Roman" w:hAnsi="Times New Roman" w:eastAsia="Times New Roman" w:cs="Times New Roman"/>
          <w:i w:val="1"/>
          <w:iCs w:val="1"/>
          <w:noProof w:val="0"/>
          <w:sz w:val="24"/>
          <w:szCs w:val="24"/>
          <w:lang w:val="en-GB"/>
        </w:rPr>
        <w:t>Quality in Sport</w:t>
      </w:r>
      <w:r w:rsidRPr="056ED209" w:rsidR="4DD8A1FB">
        <w:rPr>
          <w:rFonts w:ascii="Times New Roman" w:hAnsi="Times New Roman" w:eastAsia="Times New Roman" w:cs="Times New Roman"/>
          <w:noProof w:val="0"/>
          <w:sz w:val="24"/>
          <w:szCs w:val="24"/>
          <w:lang w:val="en-GB"/>
        </w:rPr>
        <w:t xml:space="preserve">, 34. Available at: </w:t>
      </w:r>
      <w:hyperlink r:id="Rfa45f5d763294331">
        <w:r w:rsidRPr="056ED209" w:rsidR="4DD8A1FB">
          <w:rPr>
            <w:rStyle w:val="Hyperlink"/>
            <w:rFonts w:ascii="Times New Roman" w:hAnsi="Times New Roman" w:eastAsia="Times New Roman" w:cs="Times New Roman"/>
            <w:noProof w:val="0"/>
            <w:sz w:val="24"/>
            <w:szCs w:val="24"/>
            <w:lang w:val="en-GB"/>
          </w:rPr>
          <w:t>https://doi.org/10.12775/QS.2024.34.56734</w:t>
        </w:r>
      </w:hyperlink>
      <w:r w:rsidRPr="056ED209" w:rsidR="4DD8A1FB">
        <w:rPr>
          <w:rFonts w:ascii="Times New Roman" w:hAnsi="Times New Roman" w:eastAsia="Times New Roman" w:cs="Times New Roman"/>
          <w:noProof w:val="0"/>
          <w:sz w:val="24"/>
          <w:szCs w:val="24"/>
          <w:lang w:val="en-GB"/>
        </w:rPr>
        <w:t>.</w:t>
      </w:r>
    </w:p>
    <w:p w:rsidR="2DB5EE56" w:rsidP="2DB5EE56" w:rsidRDefault="2DB5EE56" w14:paraId="3903CB2C" w14:textId="4C17474B">
      <w:pPr>
        <w:spacing w:before="0" w:beforeAutospacing="off" w:after="0" w:afterAutospacing="off"/>
        <w:rPr>
          <w:rFonts w:ascii="Times New Roman" w:hAnsi="Times New Roman" w:eastAsia="Times New Roman" w:cs="Times New Roman"/>
          <w:noProof w:val="0"/>
          <w:sz w:val="24"/>
          <w:szCs w:val="24"/>
          <w:lang w:val="en-GB"/>
        </w:rPr>
      </w:pPr>
    </w:p>
    <w:p w:rsidR="34FF39EB" w:rsidP="2DB5EE56" w:rsidRDefault="34FF39EB" w14:paraId="4D53CF41" w14:textId="65E1D747">
      <w:pPr>
        <w:spacing w:before="0" w:beforeAutospacing="off" w:after="0" w:afterAutospacing="off"/>
      </w:pPr>
      <w:r w:rsidRPr="056ED209" w:rsidR="72C838E2">
        <w:rPr>
          <w:rFonts w:ascii="Times New Roman" w:hAnsi="Times New Roman" w:eastAsia="Times New Roman" w:cs="Times New Roman"/>
          <w:noProof w:val="0"/>
          <w:sz w:val="24"/>
          <w:szCs w:val="24"/>
          <w:lang w:val="en-GB"/>
        </w:rPr>
        <w:t xml:space="preserve">Hutchinson, L.A. </w:t>
      </w:r>
      <w:r w:rsidRPr="056ED209" w:rsidR="72C838E2">
        <w:rPr>
          <w:rFonts w:ascii="Times New Roman" w:hAnsi="Times New Roman" w:eastAsia="Times New Roman" w:cs="Times New Roman"/>
          <w:i w:val="1"/>
          <w:iCs w:val="1"/>
          <w:noProof w:val="0"/>
          <w:sz w:val="24"/>
          <w:szCs w:val="24"/>
          <w:lang w:val="en-GB"/>
        </w:rPr>
        <w:t>et al.</w:t>
      </w:r>
      <w:r w:rsidRPr="056ED209" w:rsidR="72C838E2">
        <w:rPr>
          <w:rFonts w:ascii="Times New Roman" w:hAnsi="Times New Roman" w:eastAsia="Times New Roman" w:cs="Times New Roman"/>
          <w:noProof w:val="0"/>
          <w:sz w:val="24"/>
          <w:szCs w:val="24"/>
          <w:lang w:val="en-GB"/>
        </w:rPr>
        <w:t xml:space="preserve"> (2022) ‘The Iliotibial Band: A Complex Structure with Versatile Functions’, </w:t>
      </w:r>
      <w:r w:rsidRPr="056ED209" w:rsidR="72C838E2">
        <w:rPr>
          <w:rFonts w:ascii="Times New Roman" w:hAnsi="Times New Roman" w:eastAsia="Times New Roman" w:cs="Times New Roman"/>
          <w:i w:val="1"/>
          <w:iCs w:val="1"/>
          <w:noProof w:val="0"/>
          <w:sz w:val="24"/>
          <w:szCs w:val="24"/>
          <w:lang w:val="en-GB"/>
        </w:rPr>
        <w:t>Sports medicine (Auckland)</w:t>
      </w:r>
      <w:r w:rsidRPr="056ED209" w:rsidR="72C838E2">
        <w:rPr>
          <w:rFonts w:ascii="Times New Roman" w:hAnsi="Times New Roman" w:eastAsia="Times New Roman" w:cs="Times New Roman"/>
          <w:noProof w:val="0"/>
          <w:sz w:val="24"/>
          <w:szCs w:val="24"/>
          <w:lang w:val="en-GB"/>
        </w:rPr>
        <w:t xml:space="preserve">, 52(5), pp. 995–1008. Available at: </w:t>
      </w:r>
      <w:hyperlink r:id="R565f29b205714fa5">
        <w:r w:rsidRPr="056ED209" w:rsidR="72C838E2">
          <w:rPr>
            <w:rStyle w:val="Hyperlink"/>
            <w:rFonts w:ascii="Times New Roman" w:hAnsi="Times New Roman" w:eastAsia="Times New Roman" w:cs="Times New Roman"/>
            <w:noProof w:val="0"/>
            <w:sz w:val="24"/>
            <w:szCs w:val="24"/>
            <w:lang w:val="en-GB"/>
          </w:rPr>
          <w:t>https://doi.org/10.1007/s40279-021-01634-3</w:t>
        </w:r>
      </w:hyperlink>
      <w:r w:rsidRPr="056ED209" w:rsidR="72C838E2">
        <w:rPr>
          <w:rFonts w:ascii="Times New Roman" w:hAnsi="Times New Roman" w:eastAsia="Times New Roman" w:cs="Times New Roman"/>
          <w:noProof w:val="0"/>
          <w:sz w:val="24"/>
          <w:szCs w:val="24"/>
          <w:lang w:val="en-GB"/>
        </w:rPr>
        <w:t>.</w:t>
      </w:r>
    </w:p>
    <w:p w:rsidR="056ED209" w:rsidP="056ED209" w:rsidRDefault="056ED209" w14:paraId="3597C45E" w14:textId="3D448337">
      <w:pPr>
        <w:spacing w:before="0" w:beforeAutospacing="off" w:after="0" w:afterAutospacing="off"/>
        <w:rPr>
          <w:rFonts w:ascii="Times New Roman" w:hAnsi="Times New Roman" w:eastAsia="Times New Roman" w:cs="Times New Roman"/>
          <w:noProof w:val="0"/>
          <w:sz w:val="24"/>
          <w:szCs w:val="24"/>
          <w:lang w:val="en-GB"/>
        </w:rPr>
      </w:pPr>
    </w:p>
    <w:p w:rsidR="0AA3CB93" w:rsidP="056ED209" w:rsidRDefault="0AA3CB93" w14:paraId="06F5DAB5" w14:textId="69F2497A">
      <w:pPr>
        <w:spacing w:before="0" w:beforeAutospacing="off" w:after="0" w:afterAutospacing="off"/>
        <w:rPr>
          <w:rFonts w:ascii="Times New Roman" w:hAnsi="Times New Roman" w:eastAsia="Times New Roman" w:cs="Times New Roman"/>
          <w:noProof w:val="0"/>
          <w:sz w:val="24"/>
          <w:szCs w:val="24"/>
          <w:lang w:val="en-GB"/>
        </w:rPr>
      </w:pPr>
      <w:r w:rsidRPr="056ED209" w:rsidR="0AA3CB93">
        <w:rPr>
          <w:rFonts w:ascii="Times New Roman" w:hAnsi="Times New Roman" w:eastAsia="Times New Roman" w:cs="Times New Roman"/>
          <w:noProof w:val="0"/>
          <w:sz w:val="24"/>
          <w:szCs w:val="24"/>
          <w:lang w:val="en-GB"/>
        </w:rPr>
        <w:t>Kim Y. J. (2019). Red flag rules for knee and lower leg differential diagnosis. Annals of translational medicine, 7(Suppl 7), S250. https://doi.org/10.21037/atm.2019.07.62</w:t>
      </w:r>
    </w:p>
    <w:p w:rsidR="33B5B2C9" w:rsidP="33B5B2C9" w:rsidRDefault="33B5B2C9" w14:paraId="188B3343" w14:textId="7E278AE8">
      <w:pPr>
        <w:spacing w:before="0" w:beforeAutospacing="off" w:after="0" w:afterAutospacing="off"/>
        <w:rPr>
          <w:rFonts w:ascii="Times New Roman" w:hAnsi="Times New Roman" w:eastAsia="Times New Roman" w:cs="Times New Roman"/>
          <w:noProof w:val="0"/>
          <w:sz w:val="24"/>
          <w:szCs w:val="24"/>
          <w:lang w:val="en-GB"/>
        </w:rPr>
      </w:pPr>
    </w:p>
    <w:p w:rsidR="4A62FE95" w:rsidP="33B5B2C9" w:rsidRDefault="4A62FE95" w14:paraId="34FA0AD7" w14:textId="75BD0DBE">
      <w:pPr>
        <w:spacing w:before="0" w:beforeAutospacing="off" w:after="0" w:afterAutospacing="off"/>
      </w:pPr>
      <w:r w:rsidRPr="33B5B2C9" w:rsidR="4A62FE95">
        <w:rPr>
          <w:rFonts w:ascii="Times New Roman" w:hAnsi="Times New Roman" w:eastAsia="Times New Roman" w:cs="Times New Roman"/>
          <w:noProof w:val="0"/>
          <w:sz w:val="24"/>
          <w:szCs w:val="24"/>
          <w:lang w:val="en-GB"/>
        </w:rPr>
        <w:t xml:space="preserve">Lavine, R. (2010) ‘Iliotibial band friction syndrome’, </w:t>
      </w:r>
      <w:r w:rsidRPr="33B5B2C9" w:rsidR="4A62FE95">
        <w:rPr>
          <w:rFonts w:ascii="Times New Roman" w:hAnsi="Times New Roman" w:eastAsia="Times New Roman" w:cs="Times New Roman"/>
          <w:i w:val="1"/>
          <w:iCs w:val="1"/>
          <w:noProof w:val="0"/>
          <w:sz w:val="24"/>
          <w:szCs w:val="24"/>
          <w:lang w:val="en-GB"/>
        </w:rPr>
        <w:t>Current reviews in musculoskeletal medicine</w:t>
      </w:r>
      <w:r w:rsidRPr="33B5B2C9" w:rsidR="4A62FE95">
        <w:rPr>
          <w:rFonts w:ascii="Times New Roman" w:hAnsi="Times New Roman" w:eastAsia="Times New Roman" w:cs="Times New Roman"/>
          <w:noProof w:val="0"/>
          <w:sz w:val="24"/>
          <w:szCs w:val="24"/>
          <w:lang w:val="en-GB"/>
        </w:rPr>
        <w:t xml:space="preserve">, 3(1–4), pp. 18–22. Available at: </w:t>
      </w:r>
      <w:hyperlink r:id="R6680197562aa4204">
        <w:r w:rsidRPr="33B5B2C9" w:rsidR="4A62FE95">
          <w:rPr>
            <w:rStyle w:val="Hyperlink"/>
            <w:rFonts w:ascii="Times New Roman" w:hAnsi="Times New Roman" w:eastAsia="Times New Roman" w:cs="Times New Roman"/>
            <w:noProof w:val="0"/>
            <w:sz w:val="24"/>
            <w:szCs w:val="24"/>
            <w:lang w:val="en-GB"/>
          </w:rPr>
          <w:t>https://doi.org/10.1007/s12178-010-9061-8</w:t>
        </w:r>
      </w:hyperlink>
      <w:r w:rsidRPr="33B5B2C9" w:rsidR="4A62FE95">
        <w:rPr>
          <w:rFonts w:ascii="Times New Roman" w:hAnsi="Times New Roman" w:eastAsia="Times New Roman" w:cs="Times New Roman"/>
          <w:noProof w:val="0"/>
          <w:sz w:val="24"/>
          <w:szCs w:val="24"/>
          <w:lang w:val="en-GB"/>
        </w:rPr>
        <w:t>.</w:t>
      </w:r>
    </w:p>
    <w:p w:rsidR="33B5B2C9" w:rsidP="33B5B2C9" w:rsidRDefault="33B5B2C9" w14:paraId="3D4F2DC6" w14:textId="10B2C662">
      <w:pPr>
        <w:spacing w:before="0" w:beforeAutospacing="off" w:after="0" w:afterAutospacing="off"/>
        <w:rPr>
          <w:rFonts w:ascii="Times New Roman" w:hAnsi="Times New Roman" w:eastAsia="Times New Roman" w:cs="Times New Roman"/>
          <w:noProof w:val="0"/>
          <w:sz w:val="24"/>
          <w:szCs w:val="24"/>
          <w:lang w:val="en-GB"/>
        </w:rPr>
      </w:pPr>
    </w:p>
    <w:p w:rsidR="08BCF5FD" w:rsidP="33B5B2C9" w:rsidRDefault="08BCF5FD" w14:paraId="642C024B" w14:textId="64322B8F">
      <w:pPr>
        <w:spacing w:before="0" w:beforeAutospacing="off" w:after="0" w:afterAutospacing="off"/>
      </w:pPr>
      <w:r w:rsidRPr="2DB5EE56" w:rsidR="08BCF5FD">
        <w:rPr>
          <w:rFonts w:ascii="Times New Roman" w:hAnsi="Times New Roman" w:eastAsia="Times New Roman" w:cs="Times New Roman"/>
          <w:noProof w:val="0"/>
          <w:sz w:val="24"/>
          <w:szCs w:val="24"/>
          <w:lang w:val="en-GB"/>
        </w:rPr>
        <w:t xml:space="preserve">Marais, J.V. </w:t>
      </w:r>
      <w:r w:rsidRPr="2DB5EE56" w:rsidR="08BCF5FD">
        <w:rPr>
          <w:rFonts w:ascii="Times New Roman" w:hAnsi="Times New Roman" w:eastAsia="Times New Roman" w:cs="Times New Roman"/>
          <w:i w:val="1"/>
          <w:iCs w:val="1"/>
          <w:noProof w:val="0"/>
          <w:sz w:val="24"/>
          <w:szCs w:val="24"/>
          <w:lang w:val="en-GB"/>
        </w:rPr>
        <w:t>et al.</w:t>
      </w:r>
      <w:r w:rsidRPr="2DB5EE56" w:rsidR="08BCF5FD">
        <w:rPr>
          <w:rFonts w:ascii="Times New Roman" w:hAnsi="Times New Roman" w:eastAsia="Times New Roman" w:cs="Times New Roman"/>
          <w:noProof w:val="0"/>
          <w:sz w:val="24"/>
          <w:szCs w:val="24"/>
          <w:lang w:val="en-GB"/>
        </w:rPr>
        <w:t xml:space="preserve"> (2024) ‘Risk factors associated with a history of iliotibial band syndrome (hITBS) in distance runners: a cross-sectional study in 76 654 race entrants – a SAFER XXXIII study’, </w:t>
      </w:r>
      <w:r w:rsidRPr="2DB5EE56" w:rsidR="08BCF5FD">
        <w:rPr>
          <w:rFonts w:ascii="Times New Roman" w:hAnsi="Times New Roman" w:eastAsia="Times New Roman" w:cs="Times New Roman"/>
          <w:i w:val="1"/>
          <w:iCs w:val="1"/>
          <w:noProof w:val="0"/>
          <w:sz w:val="24"/>
          <w:szCs w:val="24"/>
          <w:lang w:val="en-GB"/>
        </w:rPr>
        <w:t>The Physician and sportsmedicine</w:t>
      </w:r>
      <w:r w:rsidRPr="2DB5EE56" w:rsidR="08BCF5FD">
        <w:rPr>
          <w:rFonts w:ascii="Times New Roman" w:hAnsi="Times New Roman" w:eastAsia="Times New Roman" w:cs="Times New Roman"/>
          <w:noProof w:val="0"/>
          <w:sz w:val="24"/>
          <w:szCs w:val="24"/>
          <w:lang w:val="en-GB"/>
        </w:rPr>
        <w:t xml:space="preserve">, 52(6), pp. 568–578. Available at: </w:t>
      </w:r>
      <w:hyperlink r:id="R712550b2273e47a8">
        <w:r w:rsidRPr="2DB5EE56" w:rsidR="08BCF5FD">
          <w:rPr>
            <w:rStyle w:val="Hyperlink"/>
            <w:rFonts w:ascii="Times New Roman" w:hAnsi="Times New Roman" w:eastAsia="Times New Roman" w:cs="Times New Roman"/>
            <w:noProof w:val="0"/>
            <w:sz w:val="24"/>
            <w:szCs w:val="24"/>
            <w:lang w:val="en-GB"/>
          </w:rPr>
          <w:t>https://doi.org/10.1080/00913847.2024.2341607</w:t>
        </w:r>
      </w:hyperlink>
      <w:r w:rsidRPr="2DB5EE56" w:rsidR="08BCF5FD">
        <w:rPr>
          <w:rFonts w:ascii="Times New Roman" w:hAnsi="Times New Roman" w:eastAsia="Times New Roman" w:cs="Times New Roman"/>
          <w:noProof w:val="0"/>
          <w:sz w:val="24"/>
          <w:szCs w:val="24"/>
          <w:lang w:val="en-GB"/>
        </w:rPr>
        <w:t>.</w:t>
      </w:r>
    </w:p>
    <w:p w:rsidR="2DB5EE56" w:rsidP="2DB5EE56" w:rsidRDefault="2DB5EE56" w14:paraId="333569F1" w14:textId="21D105F0">
      <w:pPr>
        <w:spacing w:before="0" w:beforeAutospacing="off" w:after="0" w:afterAutospacing="off"/>
        <w:rPr>
          <w:rFonts w:ascii="Times New Roman" w:hAnsi="Times New Roman" w:eastAsia="Times New Roman" w:cs="Times New Roman"/>
          <w:noProof w:val="0"/>
          <w:sz w:val="24"/>
          <w:szCs w:val="24"/>
          <w:lang w:val="en-GB"/>
        </w:rPr>
      </w:pPr>
    </w:p>
    <w:p w:rsidR="27AE2BEA" w:rsidP="2DB5EE56" w:rsidRDefault="27AE2BEA" w14:paraId="620EA727" w14:textId="53446E97">
      <w:pPr>
        <w:spacing w:before="0" w:beforeAutospacing="off" w:after="0" w:afterAutospacing="off"/>
      </w:pPr>
      <w:r w:rsidRPr="056ED209" w:rsidR="259F756D">
        <w:rPr>
          <w:rFonts w:ascii="Times New Roman" w:hAnsi="Times New Roman" w:eastAsia="Times New Roman" w:cs="Times New Roman"/>
          <w:noProof w:val="0"/>
          <w:sz w:val="24"/>
          <w:szCs w:val="24"/>
          <w:lang w:val="en-GB"/>
        </w:rPr>
        <w:t xml:space="preserve">Nguyen, A.P., </w:t>
      </w:r>
      <w:r w:rsidRPr="056ED209" w:rsidR="259F756D">
        <w:rPr>
          <w:rFonts w:ascii="Times New Roman" w:hAnsi="Times New Roman" w:eastAsia="Times New Roman" w:cs="Times New Roman"/>
          <w:noProof w:val="0"/>
          <w:sz w:val="24"/>
          <w:szCs w:val="24"/>
          <w:lang w:val="en-GB"/>
        </w:rPr>
        <w:t>Detrembleur</w:t>
      </w:r>
      <w:r w:rsidRPr="056ED209" w:rsidR="259F756D">
        <w:rPr>
          <w:rFonts w:ascii="Times New Roman" w:hAnsi="Times New Roman" w:eastAsia="Times New Roman" w:cs="Times New Roman"/>
          <w:noProof w:val="0"/>
          <w:sz w:val="24"/>
          <w:szCs w:val="24"/>
          <w:lang w:val="en-GB"/>
        </w:rPr>
        <w:t xml:space="preserve">, C. and Van </w:t>
      </w:r>
      <w:r w:rsidRPr="056ED209" w:rsidR="259F756D">
        <w:rPr>
          <w:rFonts w:ascii="Times New Roman" w:hAnsi="Times New Roman" w:eastAsia="Times New Roman" w:cs="Times New Roman"/>
          <w:noProof w:val="0"/>
          <w:sz w:val="24"/>
          <w:szCs w:val="24"/>
          <w:lang w:val="en-GB"/>
        </w:rPr>
        <w:t>Cant</w:t>
      </w:r>
      <w:r w:rsidRPr="056ED209" w:rsidR="259F756D">
        <w:rPr>
          <w:rFonts w:ascii="Times New Roman" w:hAnsi="Times New Roman" w:eastAsia="Times New Roman" w:cs="Times New Roman"/>
          <w:noProof w:val="0"/>
          <w:sz w:val="24"/>
          <w:szCs w:val="24"/>
          <w:lang w:val="en-GB"/>
        </w:rPr>
        <w:t xml:space="preserve">, J. (2023) ‘Conservative treatment for iliotibial band syndrome: Are we facing a research gap? A scoping review of 98 studies with clinical perspectives’, </w:t>
      </w:r>
      <w:r w:rsidRPr="056ED209" w:rsidR="259F756D">
        <w:rPr>
          <w:rFonts w:ascii="Times New Roman" w:hAnsi="Times New Roman" w:eastAsia="Times New Roman" w:cs="Times New Roman"/>
          <w:i w:val="1"/>
          <w:iCs w:val="1"/>
          <w:noProof w:val="0"/>
          <w:sz w:val="24"/>
          <w:szCs w:val="24"/>
          <w:lang w:val="en-GB"/>
        </w:rPr>
        <w:t>Physical therapy in sport</w:t>
      </w:r>
      <w:r w:rsidRPr="056ED209" w:rsidR="259F756D">
        <w:rPr>
          <w:rFonts w:ascii="Times New Roman" w:hAnsi="Times New Roman" w:eastAsia="Times New Roman" w:cs="Times New Roman"/>
          <w:noProof w:val="0"/>
          <w:sz w:val="24"/>
          <w:szCs w:val="24"/>
          <w:lang w:val="en-GB"/>
        </w:rPr>
        <w:t xml:space="preserve">, 62, pp. 25–31. Available at: </w:t>
      </w:r>
      <w:hyperlink r:id="R77b0173ce5884567">
        <w:r w:rsidRPr="056ED209" w:rsidR="259F756D">
          <w:rPr>
            <w:rStyle w:val="Hyperlink"/>
            <w:rFonts w:ascii="Times New Roman" w:hAnsi="Times New Roman" w:eastAsia="Times New Roman" w:cs="Times New Roman"/>
            <w:noProof w:val="0"/>
            <w:sz w:val="24"/>
            <w:szCs w:val="24"/>
            <w:lang w:val="en-GB"/>
          </w:rPr>
          <w:t>https://doi.org/10.1016/j.ptsp.2023.05.002</w:t>
        </w:r>
      </w:hyperlink>
      <w:r w:rsidRPr="056ED209" w:rsidR="259F756D">
        <w:rPr>
          <w:rFonts w:ascii="Times New Roman" w:hAnsi="Times New Roman" w:eastAsia="Times New Roman" w:cs="Times New Roman"/>
          <w:noProof w:val="0"/>
          <w:sz w:val="24"/>
          <w:szCs w:val="24"/>
          <w:lang w:val="en-GB"/>
        </w:rPr>
        <w:t>.</w:t>
      </w:r>
    </w:p>
    <w:p w:rsidR="056ED209" w:rsidP="056ED209" w:rsidRDefault="056ED209" w14:paraId="50B0F6AC" w14:textId="4E85EEF1">
      <w:pPr>
        <w:spacing w:before="0" w:beforeAutospacing="off" w:after="0" w:afterAutospacing="off"/>
        <w:rPr>
          <w:rFonts w:ascii="Times New Roman" w:hAnsi="Times New Roman" w:eastAsia="Times New Roman" w:cs="Times New Roman"/>
          <w:noProof w:val="0"/>
          <w:sz w:val="24"/>
          <w:szCs w:val="24"/>
          <w:lang w:val="en-GB"/>
        </w:rPr>
      </w:pPr>
    </w:p>
    <w:p w:rsidR="3AE3D2A4" w:rsidP="056ED209" w:rsidRDefault="3AE3D2A4" w14:paraId="6AAAF229" w14:textId="1D975C3E">
      <w:pPr>
        <w:pStyle w:val="Normal"/>
        <w:spacing w:before="0" w:beforeAutospacing="off" w:after="0" w:afterAutospacing="off"/>
      </w:pPr>
      <w:r w:rsidRPr="056ED209" w:rsidR="3AE3D2A4">
        <w:rPr>
          <w:rFonts w:ascii="Times New Roman" w:hAnsi="Times New Roman" w:eastAsia="Times New Roman" w:cs="Times New Roman"/>
          <w:noProof w:val="0"/>
          <w:sz w:val="24"/>
          <w:szCs w:val="24"/>
          <w:lang w:val="en-GB"/>
        </w:rPr>
        <w:t xml:space="preserve">Noehren, B., Schmitz, A., Hempel, R., Westlake, C. and Black, W., 2014. Assessment of strength, flexibility, and running mechanics in men with iliotibial band syndrome. </w:t>
      </w:r>
      <w:r w:rsidRPr="056ED209" w:rsidR="3AE3D2A4">
        <w:rPr>
          <w:rFonts w:ascii="Times New Roman" w:hAnsi="Times New Roman" w:eastAsia="Times New Roman" w:cs="Times New Roman"/>
          <w:i w:val="1"/>
          <w:iCs w:val="1"/>
          <w:noProof w:val="0"/>
          <w:sz w:val="24"/>
          <w:szCs w:val="24"/>
          <w:lang w:val="en-GB"/>
        </w:rPr>
        <w:t>Journal of Orthopaedic &amp; Sports Physical Therapy</w:t>
      </w:r>
      <w:r w:rsidRPr="056ED209" w:rsidR="3AE3D2A4">
        <w:rPr>
          <w:rFonts w:ascii="Times New Roman" w:hAnsi="Times New Roman" w:eastAsia="Times New Roman" w:cs="Times New Roman"/>
          <w:noProof w:val="0"/>
          <w:sz w:val="24"/>
          <w:szCs w:val="24"/>
          <w:lang w:val="en-GB"/>
        </w:rPr>
        <w:t>, 44(3), pp.217-222.</w:t>
      </w:r>
    </w:p>
    <w:p w:rsidR="056ED209" w:rsidP="056ED209" w:rsidRDefault="056ED209" w14:paraId="23E43CE9" w14:textId="3023F875">
      <w:pPr>
        <w:pStyle w:val="Normal"/>
        <w:spacing w:before="0" w:beforeAutospacing="off" w:after="0" w:afterAutospacing="off"/>
        <w:rPr>
          <w:rFonts w:ascii="Times New Roman" w:hAnsi="Times New Roman" w:eastAsia="Times New Roman" w:cs="Times New Roman"/>
          <w:noProof w:val="0"/>
          <w:sz w:val="24"/>
          <w:szCs w:val="24"/>
          <w:lang w:val="en-GB"/>
        </w:rPr>
      </w:pPr>
    </w:p>
    <w:p w:rsidR="52B7BD78" w:rsidP="056ED209" w:rsidRDefault="52B7BD78" w14:paraId="7E1707F6" w14:textId="4E1B946C">
      <w:pPr>
        <w:pStyle w:val="Normal"/>
        <w:spacing w:before="0" w:beforeAutospacing="off" w:after="0" w:afterAutospacing="off"/>
      </w:pPr>
      <w:r w:rsidRPr="056ED209" w:rsidR="52B7BD78">
        <w:rPr>
          <w:rFonts w:ascii="Times New Roman" w:hAnsi="Times New Roman" w:eastAsia="Times New Roman" w:cs="Times New Roman"/>
          <w:noProof w:val="0"/>
          <w:sz w:val="24"/>
          <w:szCs w:val="24"/>
          <w:lang w:val="en-GB"/>
        </w:rPr>
        <w:t xml:space="preserve">Orchard, J., Fricker, P., Abud, A. and Mason, B., 1996. Biomechanics of iliotibial band friction syndrome in runners. </w:t>
      </w:r>
      <w:r w:rsidRPr="056ED209" w:rsidR="52B7BD78">
        <w:rPr>
          <w:rFonts w:ascii="Times New Roman" w:hAnsi="Times New Roman" w:eastAsia="Times New Roman" w:cs="Times New Roman"/>
          <w:i w:val="1"/>
          <w:iCs w:val="1"/>
          <w:noProof w:val="0"/>
          <w:sz w:val="24"/>
          <w:szCs w:val="24"/>
          <w:lang w:val="en-GB"/>
        </w:rPr>
        <w:t>The American Journal of Sports Medicine</w:t>
      </w:r>
      <w:r w:rsidRPr="056ED209" w:rsidR="52B7BD78">
        <w:rPr>
          <w:rFonts w:ascii="Times New Roman" w:hAnsi="Times New Roman" w:eastAsia="Times New Roman" w:cs="Times New Roman"/>
          <w:noProof w:val="0"/>
          <w:sz w:val="24"/>
          <w:szCs w:val="24"/>
          <w:lang w:val="en-GB"/>
        </w:rPr>
        <w:t>, 24(3), pp.375-379.</w:t>
      </w:r>
    </w:p>
    <w:p w:rsidR="2DB5EE56" w:rsidP="2DB5EE56" w:rsidRDefault="2DB5EE56" w14:paraId="394A28CB" w14:textId="5E35713C">
      <w:pPr>
        <w:spacing w:before="0" w:beforeAutospacing="off" w:after="0" w:afterAutospacing="off"/>
        <w:rPr>
          <w:rFonts w:ascii="Times New Roman" w:hAnsi="Times New Roman" w:eastAsia="Times New Roman" w:cs="Times New Roman"/>
          <w:noProof w:val="0"/>
          <w:sz w:val="24"/>
          <w:szCs w:val="24"/>
          <w:lang w:val="en-GB"/>
        </w:rPr>
      </w:pPr>
    </w:p>
    <w:p w:rsidR="32048BD3" w:rsidP="2DB5EE56" w:rsidRDefault="32048BD3" w14:paraId="00BB65EF" w14:textId="0BE90A3F">
      <w:pPr>
        <w:spacing w:before="0" w:beforeAutospacing="off" w:after="0" w:afterAutospacing="off"/>
      </w:pPr>
      <w:r w:rsidRPr="2DB5EE56" w:rsidR="32048BD3">
        <w:rPr>
          <w:rFonts w:ascii="Times New Roman" w:hAnsi="Times New Roman" w:eastAsia="Times New Roman" w:cs="Times New Roman"/>
          <w:noProof w:val="0"/>
          <w:sz w:val="24"/>
          <w:szCs w:val="24"/>
          <w:lang w:val="en-GB"/>
        </w:rPr>
        <w:t xml:space="preserve">Opara, M. and Kozinc, Ž. (2023) ‘Stretching and Releasing of Iliotibial Band Complex in Patients with Iliotibial Band Syndrome: A Narrative Review’, </w:t>
      </w:r>
      <w:r w:rsidRPr="2DB5EE56" w:rsidR="32048BD3">
        <w:rPr>
          <w:rFonts w:ascii="Times New Roman" w:hAnsi="Times New Roman" w:eastAsia="Times New Roman" w:cs="Times New Roman"/>
          <w:i w:val="1"/>
          <w:iCs w:val="1"/>
          <w:noProof w:val="0"/>
          <w:sz w:val="24"/>
          <w:szCs w:val="24"/>
          <w:lang w:val="en-GB"/>
        </w:rPr>
        <w:t>Journal of functional morphology and kinesiology</w:t>
      </w:r>
      <w:r w:rsidRPr="2DB5EE56" w:rsidR="32048BD3">
        <w:rPr>
          <w:rFonts w:ascii="Times New Roman" w:hAnsi="Times New Roman" w:eastAsia="Times New Roman" w:cs="Times New Roman"/>
          <w:noProof w:val="0"/>
          <w:sz w:val="24"/>
          <w:szCs w:val="24"/>
          <w:lang w:val="en-GB"/>
        </w:rPr>
        <w:t xml:space="preserve">, 8(2), p. 74. Available at: </w:t>
      </w:r>
      <w:hyperlink r:id="R8bfb2fe0fa7c4ae0">
        <w:r w:rsidRPr="2DB5EE56" w:rsidR="32048BD3">
          <w:rPr>
            <w:rStyle w:val="Hyperlink"/>
            <w:rFonts w:ascii="Times New Roman" w:hAnsi="Times New Roman" w:eastAsia="Times New Roman" w:cs="Times New Roman"/>
            <w:noProof w:val="0"/>
            <w:sz w:val="24"/>
            <w:szCs w:val="24"/>
            <w:lang w:val="en-GB"/>
          </w:rPr>
          <w:t>https://doi.org/10.3390/jfmk8020074</w:t>
        </w:r>
      </w:hyperlink>
      <w:r w:rsidRPr="2DB5EE56" w:rsidR="32048BD3">
        <w:rPr>
          <w:rFonts w:ascii="Times New Roman" w:hAnsi="Times New Roman" w:eastAsia="Times New Roman" w:cs="Times New Roman"/>
          <w:noProof w:val="0"/>
          <w:sz w:val="24"/>
          <w:szCs w:val="24"/>
          <w:lang w:val="en-GB"/>
        </w:rPr>
        <w:t>.</w:t>
      </w:r>
    </w:p>
    <w:p w:rsidR="33B5B2C9" w:rsidP="33B5B2C9" w:rsidRDefault="33B5B2C9" w14:paraId="73365496" w14:textId="74650FFD">
      <w:pPr>
        <w:spacing w:before="0" w:beforeAutospacing="off" w:after="0" w:afterAutospacing="off"/>
        <w:rPr>
          <w:rFonts w:ascii="Times New Roman" w:hAnsi="Times New Roman" w:eastAsia="Times New Roman" w:cs="Times New Roman"/>
          <w:noProof w:val="0"/>
          <w:sz w:val="24"/>
          <w:szCs w:val="24"/>
          <w:lang w:val="en-GB"/>
        </w:rPr>
      </w:pPr>
    </w:p>
    <w:p w:rsidR="0136A40A" w:rsidP="33B5B2C9" w:rsidRDefault="0136A40A" w14:paraId="4C02484A" w14:textId="3C513A0A">
      <w:pPr>
        <w:spacing w:before="0" w:beforeAutospacing="off" w:after="0" w:afterAutospacing="off"/>
      </w:pPr>
      <w:r w:rsidRPr="056ED209" w:rsidR="7C64B3B9">
        <w:rPr>
          <w:rFonts w:ascii="Times New Roman" w:hAnsi="Times New Roman" w:eastAsia="Times New Roman" w:cs="Times New Roman"/>
          <w:noProof w:val="0"/>
          <w:sz w:val="24"/>
          <w:szCs w:val="24"/>
          <w:lang w:val="en-GB"/>
        </w:rPr>
        <w:t xml:space="preserve">Pegrum, J., Self, A. and Hall, N. (2019) ‘Iliotibial band syndrome’, </w:t>
      </w:r>
      <w:r w:rsidRPr="056ED209" w:rsidR="7C64B3B9">
        <w:rPr>
          <w:rFonts w:ascii="Times New Roman" w:hAnsi="Times New Roman" w:eastAsia="Times New Roman" w:cs="Times New Roman"/>
          <w:i w:val="1"/>
          <w:iCs w:val="1"/>
          <w:noProof w:val="0"/>
          <w:sz w:val="24"/>
          <w:szCs w:val="24"/>
          <w:lang w:val="en-GB"/>
        </w:rPr>
        <w:t>BMJ (Online)</w:t>
      </w:r>
      <w:r w:rsidRPr="056ED209" w:rsidR="7C64B3B9">
        <w:rPr>
          <w:rFonts w:ascii="Times New Roman" w:hAnsi="Times New Roman" w:eastAsia="Times New Roman" w:cs="Times New Roman"/>
          <w:noProof w:val="0"/>
          <w:sz w:val="24"/>
          <w:szCs w:val="24"/>
          <w:lang w:val="en-GB"/>
        </w:rPr>
        <w:t xml:space="preserve">, 364, p. l980. Available at: </w:t>
      </w:r>
      <w:hyperlink r:id="Rf91c21a3778b4ef1">
        <w:r w:rsidRPr="056ED209" w:rsidR="7C64B3B9">
          <w:rPr>
            <w:rStyle w:val="Hyperlink"/>
            <w:rFonts w:ascii="Times New Roman" w:hAnsi="Times New Roman" w:eastAsia="Times New Roman" w:cs="Times New Roman"/>
            <w:noProof w:val="0"/>
            <w:sz w:val="24"/>
            <w:szCs w:val="24"/>
            <w:lang w:val="en-GB"/>
          </w:rPr>
          <w:t>https://doi.org/10.1136/bmj.l980</w:t>
        </w:r>
      </w:hyperlink>
      <w:r w:rsidRPr="056ED209" w:rsidR="7C64B3B9">
        <w:rPr>
          <w:rFonts w:ascii="Times New Roman" w:hAnsi="Times New Roman" w:eastAsia="Times New Roman" w:cs="Times New Roman"/>
          <w:noProof w:val="0"/>
          <w:sz w:val="24"/>
          <w:szCs w:val="24"/>
          <w:lang w:val="en-GB"/>
        </w:rPr>
        <w:t>.</w:t>
      </w:r>
    </w:p>
    <w:p w:rsidR="056ED209" w:rsidP="056ED209" w:rsidRDefault="056ED209" w14:paraId="4763726A" w14:textId="75150200">
      <w:pPr>
        <w:spacing w:before="0" w:beforeAutospacing="off" w:after="0" w:afterAutospacing="off"/>
        <w:rPr>
          <w:rFonts w:ascii="Times New Roman" w:hAnsi="Times New Roman" w:eastAsia="Times New Roman" w:cs="Times New Roman"/>
          <w:noProof w:val="0"/>
          <w:sz w:val="24"/>
          <w:szCs w:val="24"/>
          <w:lang w:val="en-GB"/>
        </w:rPr>
      </w:pPr>
    </w:p>
    <w:p w:rsidR="018EB038" w:rsidP="056ED209" w:rsidRDefault="018EB038" w14:paraId="78483DFC" w14:textId="48DB9FD6">
      <w:pPr>
        <w:spacing w:before="0" w:beforeAutospacing="off" w:after="0" w:afterAutospacing="off"/>
      </w:pPr>
      <w:r w:rsidRPr="056ED209" w:rsidR="018EB038">
        <w:rPr>
          <w:rFonts w:ascii="Times New Roman" w:hAnsi="Times New Roman" w:eastAsia="Times New Roman" w:cs="Times New Roman"/>
          <w:noProof w:val="0"/>
          <w:sz w:val="24"/>
          <w:szCs w:val="24"/>
          <w:lang w:val="en-GB"/>
        </w:rPr>
        <w:t xml:space="preserve">Sanchez-Alvarado, A. </w:t>
      </w:r>
      <w:r w:rsidRPr="056ED209" w:rsidR="018EB038">
        <w:rPr>
          <w:rFonts w:ascii="Times New Roman" w:hAnsi="Times New Roman" w:eastAsia="Times New Roman" w:cs="Times New Roman"/>
          <w:i w:val="1"/>
          <w:iCs w:val="1"/>
          <w:noProof w:val="0"/>
          <w:sz w:val="24"/>
          <w:szCs w:val="24"/>
          <w:lang w:val="en-GB"/>
        </w:rPr>
        <w:t>et al.</w:t>
      </w:r>
      <w:r w:rsidRPr="056ED209" w:rsidR="018EB038">
        <w:rPr>
          <w:rFonts w:ascii="Times New Roman" w:hAnsi="Times New Roman" w:eastAsia="Times New Roman" w:cs="Times New Roman"/>
          <w:noProof w:val="0"/>
          <w:sz w:val="24"/>
          <w:szCs w:val="24"/>
          <w:lang w:val="en-GB"/>
        </w:rPr>
        <w:t xml:space="preserve"> (2024) ‘Effects of conservative treatment strategies for iliotibial band syndrome on pain and function in runners: a systematic review’, </w:t>
      </w:r>
      <w:r w:rsidRPr="056ED209" w:rsidR="018EB038">
        <w:rPr>
          <w:rFonts w:ascii="Times New Roman" w:hAnsi="Times New Roman" w:eastAsia="Times New Roman" w:cs="Times New Roman"/>
          <w:i w:val="1"/>
          <w:iCs w:val="1"/>
          <w:noProof w:val="0"/>
          <w:sz w:val="24"/>
          <w:szCs w:val="24"/>
          <w:lang w:val="en-GB"/>
        </w:rPr>
        <w:t>Frontiers in sports and active living</w:t>
      </w:r>
      <w:r w:rsidRPr="056ED209" w:rsidR="018EB038">
        <w:rPr>
          <w:rFonts w:ascii="Times New Roman" w:hAnsi="Times New Roman" w:eastAsia="Times New Roman" w:cs="Times New Roman"/>
          <w:noProof w:val="0"/>
          <w:sz w:val="24"/>
          <w:szCs w:val="24"/>
          <w:lang w:val="en-GB"/>
        </w:rPr>
        <w:t xml:space="preserve">, 6, p. 1386456. Available at: </w:t>
      </w:r>
      <w:hyperlink r:id="R91cf49fdcb6f45f8">
        <w:r w:rsidRPr="056ED209" w:rsidR="018EB038">
          <w:rPr>
            <w:rStyle w:val="Hyperlink"/>
            <w:rFonts w:ascii="Times New Roman" w:hAnsi="Times New Roman" w:eastAsia="Times New Roman" w:cs="Times New Roman"/>
            <w:noProof w:val="0"/>
            <w:sz w:val="24"/>
            <w:szCs w:val="24"/>
            <w:lang w:val="en-GB"/>
          </w:rPr>
          <w:t>https://doi.org/10.3389/fspor.2024.1386456</w:t>
        </w:r>
      </w:hyperlink>
      <w:r w:rsidRPr="056ED209" w:rsidR="018EB038">
        <w:rPr>
          <w:rFonts w:ascii="Times New Roman" w:hAnsi="Times New Roman" w:eastAsia="Times New Roman" w:cs="Times New Roman"/>
          <w:noProof w:val="0"/>
          <w:sz w:val="24"/>
          <w:szCs w:val="24"/>
          <w:lang w:val="en-GB"/>
        </w:rPr>
        <w:t>.</w:t>
      </w:r>
    </w:p>
    <w:p w:rsidR="056ED209" w:rsidP="056ED209" w:rsidRDefault="056ED209" w14:paraId="3EFE1345" w14:textId="6478DEB4">
      <w:pPr>
        <w:spacing w:before="0" w:beforeAutospacing="off" w:after="0" w:afterAutospacing="off"/>
        <w:rPr>
          <w:rFonts w:ascii="Times New Roman" w:hAnsi="Times New Roman" w:eastAsia="Times New Roman" w:cs="Times New Roman"/>
          <w:noProof w:val="0"/>
          <w:sz w:val="24"/>
          <w:szCs w:val="24"/>
          <w:lang w:val="en-GB"/>
        </w:rPr>
      </w:pPr>
    </w:p>
    <w:p w:rsidR="0548F39C" w:rsidP="056ED209" w:rsidRDefault="0548F39C" w14:paraId="41B84331" w14:textId="0541BF65">
      <w:pPr>
        <w:spacing w:before="0" w:beforeAutospacing="off" w:after="0" w:afterAutospacing="off"/>
      </w:pPr>
      <w:r w:rsidRPr="056ED209" w:rsidR="0548F39C">
        <w:rPr>
          <w:rFonts w:ascii="Times New Roman" w:hAnsi="Times New Roman" w:eastAsia="Times New Roman" w:cs="Times New Roman"/>
          <w:noProof w:val="0"/>
          <w:sz w:val="24"/>
          <w:szCs w:val="24"/>
          <w:lang w:val="en-GB"/>
        </w:rPr>
        <w:t xml:space="preserve">Storari, L. </w:t>
      </w:r>
      <w:r w:rsidRPr="056ED209" w:rsidR="0548F39C">
        <w:rPr>
          <w:rFonts w:ascii="Times New Roman" w:hAnsi="Times New Roman" w:eastAsia="Times New Roman" w:cs="Times New Roman"/>
          <w:i w:val="1"/>
          <w:iCs w:val="1"/>
          <w:noProof w:val="0"/>
          <w:sz w:val="24"/>
          <w:szCs w:val="24"/>
          <w:lang w:val="en-GB"/>
        </w:rPr>
        <w:t>et al.</w:t>
      </w:r>
      <w:r w:rsidRPr="056ED209" w:rsidR="0548F39C">
        <w:rPr>
          <w:rFonts w:ascii="Times New Roman" w:hAnsi="Times New Roman" w:eastAsia="Times New Roman" w:cs="Times New Roman"/>
          <w:noProof w:val="0"/>
          <w:sz w:val="24"/>
          <w:szCs w:val="24"/>
          <w:lang w:val="en-GB"/>
        </w:rPr>
        <w:t xml:space="preserve"> (2025) ‘Standardized Definition of Red Flags in Musculoskeletal Care: A Comprehensive Review of Clinical Practice Guidelines’, </w:t>
      </w:r>
      <w:r w:rsidRPr="056ED209" w:rsidR="0548F39C">
        <w:rPr>
          <w:rFonts w:ascii="Times New Roman" w:hAnsi="Times New Roman" w:eastAsia="Times New Roman" w:cs="Times New Roman"/>
          <w:i w:val="1"/>
          <w:iCs w:val="1"/>
          <w:noProof w:val="0"/>
          <w:sz w:val="24"/>
          <w:szCs w:val="24"/>
          <w:lang w:val="en-GB"/>
        </w:rPr>
        <w:t>Medicina (Kaunas, Lithuania)</w:t>
      </w:r>
      <w:r w:rsidRPr="056ED209" w:rsidR="0548F39C">
        <w:rPr>
          <w:rFonts w:ascii="Times New Roman" w:hAnsi="Times New Roman" w:eastAsia="Times New Roman" w:cs="Times New Roman"/>
          <w:noProof w:val="0"/>
          <w:sz w:val="24"/>
          <w:szCs w:val="24"/>
          <w:lang w:val="en-GB"/>
        </w:rPr>
        <w:t xml:space="preserve">, 61(6), p. 1002. Available at: </w:t>
      </w:r>
      <w:hyperlink r:id="R264825d526fa4f26">
        <w:r w:rsidRPr="056ED209" w:rsidR="0548F39C">
          <w:rPr>
            <w:rStyle w:val="Hyperlink"/>
            <w:rFonts w:ascii="Times New Roman" w:hAnsi="Times New Roman" w:eastAsia="Times New Roman" w:cs="Times New Roman"/>
            <w:noProof w:val="0"/>
            <w:sz w:val="24"/>
            <w:szCs w:val="24"/>
            <w:lang w:val="en-GB"/>
          </w:rPr>
          <w:t>https://doi.org/10.3390/medicina61061002</w:t>
        </w:r>
      </w:hyperlink>
      <w:r w:rsidRPr="056ED209" w:rsidR="0548F39C">
        <w:rPr>
          <w:rFonts w:ascii="Times New Roman" w:hAnsi="Times New Roman" w:eastAsia="Times New Roman" w:cs="Times New Roman"/>
          <w:noProof w:val="0"/>
          <w:sz w:val="24"/>
          <w:szCs w:val="24"/>
          <w:lang w:val="en-GB"/>
        </w:rPr>
        <w:t>.</w:t>
      </w:r>
    </w:p>
    <w:p w:rsidR="6C46DFDF" w:rsidP="6C46DFDF" w:rsidRDefault="6C46DFDF" w14:paraId="10048115" w14:textId="675C70FB">
      <w:pPr>
        <w:spacing w:before="0" w:beforeAutospacing="off" w:after="0" w:afterAutospacing="off"/>
        <w:rPr>
          <w:rFonts w:ascii="Times New Roman" w:hAnsi="Times New Roman" w:eastAsia="Times New Roman" w:cs="Times New Roman"/>
          <w:noProof w:val="0"/>
          <w:sz w:val="24"/>
          <w:szCs w:val="24"/>
          <w:lang w:val="en-GB"/>
        </w:rPr>
      </w:pPr>
    </w:p>
    <w:p w:rsidR="5796474C" w:rsidP="6C46DFDF" w:rsidRDefault="5796474C" w14:paraId="2B31D633" w14:textId="6088B509">
      <w:pPr>
        <w:spacing w:before="0" w:beforeAutospacing="off" w:after="0" w:afterAutospacing="off"/>
      </w:pPr>
      <w:r w:rsidRPr="6C46DFDF" w:rsidR="5796474C">
        <w:rPr>
          <w:rFonts w:ascii="Times New Roman" w:hAnsi="Times New Roman" w:eastAsia="Times New Roman" w:cs="Times New Roman"/>
          <w:noProof w:val="0"/>
          <w:sz w:val="24"/>
          <w:szCs w:val="24"/>
          <w:lang w:val="en-GB"/>
        </w:rPr>
        <w:t xml:space="preserve">van der </w:t>
      </w:r>
      <w:r w:rsidRPr="6C46DFDF" w:rsidR="5796474C">
        <w:rPr>
          <w:rFonts w:ascii="Times New Roman" w:hAnsi="Times New Roman" w:eastAsia="Times New Roman" w:cs="Times New Roman"/>
          <w:noProof w:val="0"/>
          <w:sz w:val="24"/>
          <w:szCs w:val="24"/>
          <w:lang w:val="en-GB"/>
        </w:rPr>
        <w:t>Worp</w:t>
      </w:r>
      <w:r w:rsidRPr="6C46DFDF" w:rsidR="5796474C">
        <w:rPr>
          <w:rFonts w:ascii="Times New Roman" w:hAnsi="Times New Roman" w:eastAsia="Times New Roman" w:cs="Times New Roman"/>
          <w:noProof w:val="0"/>
          <w:sz w:val="24"/>
          <w:szCs w:val="24"/>
          <w:lang w:val="en-GB"/>
        </w:rPr>
        <w:t xml:space="preserve">, M.P. </w:t>
      </w:r>
      <w:r w:rsidRPr="6C46DFDF" w:rsidR="5796474C">
        <w:rPr>
          <w:rFonts w:ascii="Times New Roman" w:hAnsi="Times New Roman" w:eastAsia="Times New Roman" w:cs="Times New Roman"/>
          <w:i w:val="1"/>
          <w:iCs w:val="1"/>
          <w:noProof w:val="0"/>
          <w:sz w:val="24"/>
          <w:szCs w:val="24"/>
          <w:lang w:val="en-GB"/>
        </w:rPr>
        <w:t>et al.</w:t>
      </w:r>
      <w:r w:rsidRPr="6C46DFDF" w:rsidR="5796474C">
        <w:rPr>
          <w:rFonts w:ascii="Times New Roman" w:hAnsi="Times New Roman" w:eastAsia="Times New Roman" w:cs="Times New Roman"/>
          <w:noProof w:val="0"/>
          <w:sz w:val="24"/>
          <w:szCs w:val="24"/>
          <w:lang w:val="en-GB"/>
        </w:rPr>
        <w:t xml:space="preserve"> (2012) ‘Iliotibial Band Syndrome in Runners: A Systematic Review’, </w:t>
      </w:r>
      <w:r w:rsidRPr="6C46DFDF" w:rsidR="5796474C">
        <w:rPr>
          <w:rFonts w:ascii="Times New Roman" w:hAnsi="Times New Roman" w:eastAsia="Times New Roman" w:cs="Times New Roman"/>
          <w:i w:val="1"/>
          <w:iCs w:val="1"/>
          <w:noProof w:val="0"/>
          <w:sz w:val="24"/>
          <w:szCs w:val="24"/>
          <w:lang w:val="en-GB"/>
        </w:rPr>
        <w:t>Sports medicine (Auckland)</w:t>
      </w:r>
      <w:r w:rsidRPr="6C46DFDF" w:rsidR="5796474C">
        <w:rPr>
          <w:rFonts w:ascii="Times New Roman" w:hAnsi="Times New Roman" w:eastAsia="Times New Roman" w:cs="Times New Roman"/>
          <w:noProof w:val="0"/>
          <w:sz w:val="24"/>
          <w:szCs w:val="24"/>
          <w:lang w:val="en-GB"/>
        </w:rPr>
        <w:t xml:space="preserve">, 42(11), pp. 969–992. Available at: </w:t>
      </w:r>
      <w:hyperlink r:id="R33b945b07e04409e">
        <w:r w:rsidRPr="6C46DFDF" w:rsidR="5796474C">
          <w:rPr>
            <w:rStyle w:val="Hyperlink"/>
            <w:rFonts w:ascii="Times New Roman" w:hAnsi="Times New Roman" w:eastAsia="Times New Roman" w:cs="Times New Roman"/>
            <w:noProof w:val="0"/>
            <w:sz w:val="24"/>
            <w:szCs w:val="24"/>
            <w:lang w:val="en-GB"/>
          </w:rPr>
          <w:t>https://doi.org/10.1007/BF03262306</w:t>
        </w:r>
      </w:hyperlink>
      <w:r w:rsidRPr="6C46DFDF" w:rsidR="5796474C">
        <w:rPr>
          <w:rFonts w:ascii="Times New Roman" w:hAnsi="Times New Roman" w:eastAsia="Times New Roman" w:cs="Times New Roman"/>
          <w:noProof w:val="0"/>
          <w:sz w:val="24"/>
          <w:szCs w:val="24"/>
          <w:lang w:val="en-GB"/>
        </w:rPr>
        <w:t>.</w:t>
      </w:r>
    </w:p>
    <w:p w:rsidR="6C46DFDF" w:rsidP="6C46DFDF" w:rsidRDefault="6C46DFDF" w14:paraId="70F9F4C7" w14:textId="07516CE3" w14:noSpellErr="1">
      <w:pPr>
        <w:pStyle w:val="Normal"/>
        <w:spacing w:before="0" w:beforeAutospacing="off" w:line="360" w:lineRule="auto"/>
        <w:rPr>
          <w:rFonts w:ascii="Times New Roman" w:hAnsi="Times New Roman" w:eastAsia="Times New Roman" w:cs="Times New Roman"/>
          <w:u w:val="none"/>
        </w:rPr>
      </w:pPr>
    </w:p>
    <w:p w:rsidR="6F5C294F" w:rsidP="33B5B2C9" w:rsidRDefault="6F5C294F" w14:paraId="1824191A" w14:textId="48AEF903">
      <w:pPr>
        <w:spacing w:before="0" w:beforeAutospacing="off" w:after="0" w:afterAutospacing="off"/>
      </w:pPr>
      <w:r w:rsidRPr="33B5B2C9" w:rsidR="6F5C294F">
        <w:rPr>
          <w:rFonts w:ascii="Times New Roman" w:hAnsi="Times New Roman" w:eastAsia="Times New Roman" w:cs="Times New Roman"/>
          <w:noProof w:val="0"/>
          <w:sz w:val="24"/>
          <w:szCs w:val="24"/>
          <w:lang w:val="en-GB"/>
        </w:rPr>
        <w:t xml:space="preserve">Fredericson, M. and Wolf, C. (2005) ‘Iliotibial Band Syndrome in Runners: Innovations in Treatment’, </w:t>
      </w:r>
      <w:r w:rsidRPr="33B5B2C9" w:rsidR="6F5C294F">
        <w:rPr>
          <w:rFonts w:ascii="Times New Roman" w:hAnsi="Times New Roman" w:eastAsia="Times New Roman" w:cs="Times New Roman"/>
          <w:i w:val="1"/>
          <w:iCs w:val="1"/>
          <w:noProof w:val="0"/>
          <w:sz w:val="24"/>
          <w:szCs w:val="24"/>
          <w:lang w:val="en-GB"/>
        </w:rPr>
        <w:t>Sports medicine (Auckland)</w:t>
      </w:r>
      <w:r w:rsidRPr="33B5B2C9" w:rsidR="6F5C294F">
        <w:rPr>
          <w:rFonts w:ascii="Times New Roman" w:hAnsi="Times New Roman" w:eastAsia="Times New Roman" w:cs="Times New Roman"/>
          <w:noProof w:val="0"/>
          <w:sz w:val="24"/>
          <w:szCs w:val="24"/>
          <w:lang w:val="en-GB"/>
        </w:rPr>
        <w:t xml:space="preserve">, 35(5), pp. 451–459. Available at: </w:t>
      </w:r>
      <w:hyperlink r:id="R338f4446ab42461c">
        <w:r w:rsidRPr="33B5B2C9" w:rsidR="6F5C294F">
          <w:rPr>
            <w:rStyle w:val="Hyperlink"/>
            <w:rFonts w:ascii="Times New Roman" w:hAnsi="Times New Roman" w:eastAsia="Times New Roman" w:cs="Times New Roman"/>
            <w:noProof w:val="0"/>
            <w:sz w:val="24"/>
            <w:szCs w:val="24"/>
            <w:lang w:val="en-GB"/>
          </w:rPr>
          <w:t>https://doi.org/10.2165/00007256-200535050-00006</w:t>
        </w:r>
      </w:hyperlink>
      <w:r w:rsidRPr="33B5B2C9" w:rsidR="6F5C294F">
        <w:rPr>
          <w:rFonts w:ascii="Times New Roman" w:hAnsi="Times New Roman" w:eastAsia="Times New Roman" w:cs="Times New Roman"/>
          <w:noProof w:val="0"/>
          <w:sz w:val="24"/>
          <w:szCs w:val="24"/>
          <w:lang w:val="en-GB"/>
        </w:rPr>
        <w:t>.</w:t>
      </w:r>
    </w:p>
    <w:p w:rsidR="33B5B2C9" w:rsidP="33B5B2C9" w:rsidRDefault="33B5B2C9" w14:paraId="38C1CE84" w14:textId="135F6487">
      <w:pPr>
        <w:pStyle w:val="Normal"/>
        <w:spacing w:before="0" w:beforeAutospacing="off" w:line="360" w:lineRule="auto"/>
        <w:rPr>
          <w:rFonts w:ascii="Times New Roman" w:hAnsi="Times New Roman" w:eastAsia="Times New Roman" w:cs="Times New Roman"/>
          <w:u w:val="none"/>
        </w:rPr>
      </w:pPr>
    </w:p>
    <w:sectPr>
      <w:pgSz w:w="11906" w:h="16838" w:orient="portrait"/>
      <w:pgMar w:top="1440" w:right="1440" w:bottom="1440" w:left="1440" w:header="720" w:footer="720" w:gutter="0"/>
      <w:cols w:space="720"/>
      <w:docGrid w:linePitch="360"/>
      <w:headerReference w:type="default" r:id="R82a363fd85d94ee1"/>
      <w:footerReference w:type="default" r:id="Rd3b92ff4dc5344d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C46DFDF" w:rsidTr="6C46DFDF" w14:paraId="65208D6C">
      <w:trPr>
        <w:trHeight w:val="300"/>
      </w:trPr>
      <w:tc>
        <w:tcPr>
          <w:tcW w:w="3005" w:type="dxa"/>
          <w:tcMar/>
        </w:tcPr>
        <w:p w:rsidR="6C46DFDF" w:rsidP="6C46DFDF" w:rsidRDefault="6C46DFDF" w14:paraId="4D53AA87" w14:textId="6D79D58A">
          <w:pPr>
            <w:pStyle w:val="Header"/>
            <w:bidi w:val="0"/>
            <w:ind w:left="-115"/>
            <w:jc w:val="left"/>
          </w:pPr>
        </w:p>
      </w:tc>
      <w:tc>
        <w:tcPr>
          <w:tcW w:w="3005" w:type="dxa"/>
          <w:tcMar/>
        </w:tcPr>
        <w:p w:rsidR="6C46DFDF" w:rsidP="6C46DFDF" w:rsidRDefault="6C46DFDF" w14:paraId="2E8FD383" w14:textId="721717E3">
          <w:pPr>
            <w:pStyle w:val="Header"/>
            <w:bidi w:val="0"/>
            <w:jc w:val="center"/>
          </w:pPr>
          <w:r>
            <w:fldChar w:fldCharType="begin"/>
          </w:r>
          <w:r>
            <w:instrText xml:space="preserve">PAGE</w:instrText>
          </w:r>
          <w:r>
            <w:fldChar w:fldCharType="separate"/>
          </w:r>
          <w:r>
            <w:fldChar w:fldCharType="end"/>
          </w:r>
        </w:p>
      </w:tc>
      <w:tc>
        <w:tcPr>
          <w:tcW w:w="3005" w:type="dxa"/>
          <w:tcMar/>
        </w:tcPr>
        <w:p w:rsidR="6C46DFDF" w:rsidP="6C46DFDF" w:rsidRDefault="6C46DFDF" w14:paraId="143A577C" w14:textId="7CD2A27B">
          <w:pPr>
            <w:pStyle w:val="Header"/>
            <w:bidi w:val="0"/>
            <w:ind w:right="-115"/>
            <w:jc w:val="right"/>
          </w:pPr>
        </w:p>
      </w:tc>
    </w:tr>
  </w:tbl>
  <w:p w:rsidR="6C46DFDF" w:rsidP="6C46DFDF" w:rsidRDefault="6C46DFDF" w14:paraId="01FF9A65" w14:textId="3B8B2DEB">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C46DFDF" w:rsidTr="6C46DFDF" w14:paraId="69DC89A9">
      <w:trPr>
        <w:trHeight w:val="300"/>
      </w:trPr>
      <w:tc>
        <w:tcPr>
          <w:tcW w:w="3005" w:type="dxa"/>
          <w:tcMar/>
        </w:tcPr>
        <w:p w:rsidR="6C46DFDF" w:rsidP="6C46DFDF" w:rsidRDefault="6C46DFDF" w14:paraId="4FB4083D" w14:textId="23E3CE80">
          <w:pPr>
            <w:pStyle w:val="Header"/>
            <w:bidi w:val="0"/>
            <w:ind w:left="-115"/>
            <w:jc w:val="left"/>
          </w:pPr>
          <w:r w:rsidR="6C46DFDF">
            <w:rPr/>
            <w:t>27000712</w:t>
          </w:r>
        </w:p>
      </w:tc>
      <w:tc>
        <w:tcPr>
          <w:tcW w:w="3005" w:type="dxa"/>
          <w:tcMar/>
        </w:tcPr>
        <w:p w:rsidR="6C46DFDF" w:rsidP="6C46DFDF" w:rsidRDefault="6C46DFDF" w14:paraId="00EB4EA6" w14:textId="46866D3E">
          <w:pPr>
            <w:pStyle w:val="Header"/>
            <w:bidi w:val="0"/>
            <w:jc w:val="center"/>
          </w:pPr>
          <w:r w:rsidR="6C46DFDF">
            <w:rPr/>
            <w:t>Iliotibial Band Syndrome</w:t>
          </w:r>
        </w:p>
      </w:tc>
      <w:tc>
        <w:tcPr>
          <w:tcW w:w="3005" w:type="dxa"/>
          <w:tcMar/>
        </w:tcPr>
        <w:p w:rsidR="6C46DFDF" w:rsidP="6C46DFDF" w:rsidRDefault="6C46DFDF" w14:paraId="15196ACD" w14:textId="4E7C8824">
          <w:pPr>
            <w:pStyle w:val="Header"/>
            <w:bidi w:val="0"/>
            <w:ind w:right="-115"/>
            <w:jc w:val="right"/>
          </w:pPr>
          <w:r w:rsidR="6C46DFDF">
            <w:rPr/>
            <w:t>BMST5002</w:t>
          </w:r>
        </w:p>
      </w:tc>
    </w:tr>
  </w:tbl>
  <w:p w:rsidR="6C46DFDF" w:rsidP="6C46DFDF" w:rsidRDefault="6C46DFDF" w14:paraId="2F2A0851" w14:textId="38F14715">
    <w:pPr>
      <w:pStyle w:val="Header"/>
      <w:bidi w:val="0"/>
    </w:pPr>
  </w:p>
</w:hdr>
</file>

<file path=word/intelligence2.xml><?xml version="1.0" encoding="utf-8"?>
<int2:intelligence xmlns:int2="http://schemas.microsoft.com/office/intelligence/2020/intelligence">
  <int2:observations>
    <int2:textHash int2:hashCode="lOukifGiNV9F8A" int2:id="6EVTRXR1">
      <int2:state int2:type="spell" int2:value="Rejected"/>
    </int2:textHash>
    <int2:textHash int2:hashCode="FAU34U8tY9Vrdg" int2:id="lhbc4J2J">
      <int2:state int2:type="spell" int2:value="Rejected"/>
    </int2:textHash>
    <int2:textHash int2:hashCode="jXEFxon9gysL6P" int2:id="GVkNS2pU">
      <int2:state int2:type="spell" int2:value="Rejected"/>
    </int2:textHash>
    <int2:textHash int2:hashCode="iIkoInuVVOVijR" int2:id="BloA2CYl">
      <int2:state int2:type="spell" int2:value="Rejected"/>
    </int2:textHash>
    <int2:textHash int2:hashCode="xa9BCEx3yvkwmn" int2:id="zXYfp1cS">
      <int2:state int2:type="spell" int2:value="Rejected"/>
    </int2:textHash>
    <int2:textHash int2:hashCode="mAsg1SBew1N7jK" int2:id="ZhUc2CkS">
      <int2:state int2:type="spell" int2:value="Rejected"/>
    </int2:textHash>
    <int2:textHash int2:hashCode="/vA82DFPsXhfGo" int2:id="9uqTCici">
      <int2:state int2:type="spell" int2:value="Rejected"/>
    </int2:textHash>
    <int2:textHash int2:hashCode="U9wF+dbW3twqKk" int2:id="No2oc59X">
      <int2:state int2:type="spell" int2:value="Rejected"/>
    </int2:textHash>
    <int2:textHash int2:hashCode="RDkOSpLnCD68i1" int2:id="EZWYo54I">
      <int2:state int2:type="spell" int2:value="Rejected"/>
    </int2:textHash>
    <int2:textHash int2:hashCode="ErxWO+ou/91yZx" int2:id="wSnbAWA4">
      <int2:state int2:type="spell"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D224019"/>
    <w:rsid w:val="00255A64"/>
    <w:rsid w:val="00768936"/>
    <w:rsid w:val="0078A315"/>
    <w:rsid w:val="0088FC9C"/>
    <w:rsid w:val="0136A40A"/>
    <w:rsid w:val="014B6F67"/>
    <w:rsid w:val="01747DF8"/>
    <w:rsid w:val="0179AA10"/>
    <w:rsid w:val="018EB038"/>
    <w:rsid w:val="02697825"/>
    <w:rsid w:val="028B2E57"/>
    <w:rsid w:val="02C8C2DA"/>
    <w:rsid w:val="02E142E5"/>
    <w:rsid w:val="03F86050"/>
    <w:rsid w:val="042542A3"/>
    <w:rsid w:val="05047ABD"/>
    <w:rsid w:val="05377371"/>
    <w:rsid w:val="05440DCF"/>
    <w:rsid w:val="0548F39C"/>
    <w:rsid w:val="055E03C3"/>
    <w:rsid w:val="056ED209"/>
    <w:rsid w:val="0586DF11"/>
    <w:rsid w:val="061CA761"/>
    <w:rsid w:val="0650758A"/>
    <w:rsid w:val="0689810D"/>
    <w:rsid w:val="072A3CFA"/>
    <w:rsid w:val="0800DCEE"/>
    <w:rsid w:val="08BCF5FD"/>
    <w:rsid w:val="090353D2"/>
    <w:rsid w:val="0919A58C"/>
    <w:rsid w:val="0986AA43"/>
    <w:rsid w:val="09A48DE2"/>
    <w:rsid w:val="09E273AE"/>
    <w:rsid w:val="0A246012"/>
    <w:rsid w:val="0AA3CB93"/>
    <w:rsid w:val="0AF47995"/>
    <w:rsid w:val="0B564C3E"/>
    <w:rsid w:val="0B8ADEF1"/>
    <w:rsid w:val="0BD79D76"/>
    <w:rsid w:val="0C532A2F"/>
    <w:rsid w:val="0CA0165C"/>
    <w:rsid w:val="0D6D150B"/>
    <w:rsid w:val="0D7B3C0E"/>
    <w:rsid w:val="0DFD13D0"/>
    <w:rsid w:val="0E87FD0B"/>
    <w:rsid w:val="0FC7F367"/>
    <w:rsid w:val="0FCABDAC"/>
    <w:rsid w:val="0FE3935A"/>
    <w:rsid w:val="101A2269"/>
    <w:rsid w:val="102BDF6D"/>
    <w:rsid w:val="104C3B31"/>
    <w:rsid w:val="10B3162D"/>
    <w:rsid w:val="113C447A"/>
    <w:rsid w:val="120AFDF1"/>
    <w:rsid w:val="12941670"/>
    <w:rsid w:val="13797D8A"/>
    <w:rsid w:val="14654691"/>
    <w:rsid w:val="153210DD"/>
    <w:rsid w:val="153F82BB"/>
    <w:rsid w:val="15452525"/>
    <w:rsid w:val="157C7C06"/>
    <w:rsid w:val="15E3010F"/>
    <w:rsid w:val="166AB10F"/>
    <w:rsid w:val="16EE6F08"/>
    <w:rsid w:val="1776E919"/>
    <w:rsid w:val="181A07B3"/>
    <w:rsid w:val="1832C337"/>
    <w:rsid w:val="186F0835"/>
    <w:rsid w:val="187D58EB"/>
    <w:rsid w:val="1A897FB0"/>
    <w:rsid w:val="1B25F80E"/>
    <w:rsid w:val="1C6674E0"/>
    <w:rsid w:val="1C73086B"/>
    <w:rsid w:val="1D1FC3D2"/>
    <w:rsid w:val="1D2FB21B"/>
    <w:rsid w:val="1DB07B00"/>
    <w:rsid w:val="20492C61"/>
    <w:rsid w:val="22F9103F"/>
    <w:rsid w:val="2306A892"/>
    <w:rsid w:val="23452905"/>
    <w:rsid w:val="245F9F65"/>
    <w:rsid w:val="2495BD34"/>
    <w:rsid w:val="24AE1250"/>
    <w:rsid w:val="24E012B9"/>
    <w:rsid w:val="25312F48"/>
    <w:rsid w:val="2565630D"/>
    <w:rsid w:val="259F756D"/>
    <w:rsid w:val="26CCF709"/>
    <w:rsid w:val="2745C758"/>
    <w:rsid w:val="279864A0"/>
    <w:rsid w:val="27AE2BEA"/>
    <w:rsid w:val="27F1C286"/>
    <w:rsid w:val="28A4C7E3"/>
    <w:rsid w:val="2936CE5B"/>
    <w:rsid w:val="2A37E0A6"/>
    <w:rsid w:val="2A61B475"/>
    <w:rsid w:val="2B74F706"/>
    <w:rsid w:val="2B88E528"/>
    <w:rsid w:val="2D44ED40"/>
    <w:rsid w:val="2DB5EE56"/>
    <w:rsid w:val="2E5BDAC3"/>
    <w:rsid w:val="2E63F63D"/>
    <w:rsid w:val="2E7F7187"/>
    <w:rsid w:val="2F93178C"/>
    <w:rsid w:val="2F9E7F3F"/>
    <w:rsid w:val="2FD2A9F9"/>
    <w:rsid w:val="2FD744A7"/>
    <w:rsid w:val="30918CC9"/>
    <w:rsid w:val="315B8AD6"/>
    <w:rsid w:val="3166C4AB"/>
    <w:rsid w:val="32048BD3"/>
    <w:rsid w:val="3272F011"/>
    <w:rsid w:val="32BCD659"/>
    <w:rsid w:val="32D6DFD7"/>
    <w:rsid w:val="3389E621"/>
    <w:rsid w:val="33B5B2C9"/>
    <w:rsid w:val="33CA9E41"/>
    <w:rsid w:val="33E34317"/>
    <w:rsid w:val="33EA6186"/>
    <w:rsid w:val="343348D7"/>
    <w:rsid w:val="34D03414"/>
    <w:rsid w:val="34FF39EB"/>
    <w:rsid w:val="35B53ABF"/>
    <w:rsid w:val="35E5D15D"/>
    <w:rsid w:val="36112962"/>
    <w:rsid w:val="36316660"/>
    <w:rsid w:val="36AE8217"/>
    <w:rsid w:val="36DBDAC4"/>
    <w:rsid w:val="377B1B29"/>
    <w:rsid w:val="37D11B10"/>
    <w:rsid w:val="37E0A7B7"/>
    <w:rsid w:val="381B2726"/>
    <w:rsid w:val="3913E28D"/>
    <w:rsid w:val="3969FE0C"/>
    <w:rsid w:val="39A9DE81"/>
    <w:rsid w:val="39F2200F"/>
    <w:rsid w:val="3A52EBC1"/>
    <w:rsid w:val="3A6FB74F"/>
    <w:rsid w:val="3A7B3073"/>
    <w:rsid w:val="3AE3D2A4"/>
    <w:rsid w:val="3B5E4C95"/>
    <w:rsid w:val="3C28A19F"/>
    <w:rsid w:val="3C620389"/>
    <w:rsid w:val="3C658491"/>
    <w:rsid w:val="3C66E258"/>
    <w:rsid w:val="3CF192EB"/>
    <w:rsid w:val="3D224019"/>
    <w:rsid w:val="3D4EACAD"/>
    <w:rsid w:val="3D879242"/>
    <w:rsid w:val="3DA1CADF"/>
    <w:rsid w:val="3DDB164C"/>
    <w:rsid w:val="3E33D15D"/>
    <w:rsid w:val="3E69941F"/>
    <w:rsid w:val="3E7245E2"/>
    <w:rsid w:val="3E7BDF3D"/>
    <w:rsid w:val="3E9B08BB"/>
    <w:rsid w:val="3FA0E9C9"/>
    <w:rsid w:val="3FA212E3"/>
    <w:rsid w:val="3FF2FA99"/>
    <w:rsid w:val="400B0FCA"/>
    <w:rsid w:val="40F373F6"/>
    <w:rsid w:val="4111B1AF"/>
    <w:rsid w:val="417EAF64"/>
    <w:rsid w:val="41854383"/>
    <w:rsid w:val="42043DF7"/>
    <w:rsid w:val="4271E6D3"/>
    <w:rsid w:val="428897AB"/>
    <w:rsid w:val="429D873F"/>
    <w:rsid w:val="42AB4611"/>
    <w:rsid w:val="42BF647F"/>
    <w:rsid w:val="42D52DA0"/>
    <w:rsid w:val="42E0CF20"/>
    <w:rsid w:val="43392305"/>
    <w:rsid w:val="43BA1F60"/>
    <w:rsid w:val="43DA73A6"/>
    <w:rsid w:val="43FD61E8"/>
    <w:rsid w:val="444B9203"/>
    <w:rsid w:val="447EA465"/>
    <w:rsid w:val="4485CE08"/>
    <w:rsid w:val="4506FC6C"/>
    <w:rsid w:val="45455696"/>
    <w:rsid w:val="45C8C90E"/>
    <w:rsid w:val="4699BC7A"/>
    <w:rsid w:val="46E4FF4F"/>
    <w:rsid w:val="472A22B4"/>
    <w:rsid w:val="47598EEC"/>
    <w:rsid w:val="47991BE5"/>
    <w:rsid w:val="47B40099"/>
    <w:rsid w:val="480FF58F"/>
    <w:rsid w:val="48A1E12E"/>
    <w:rsid w:val="48CEC237"/>
    <w:rsid w:val="48FC9C86"/>
    <w:rsid w:val="49860360"/>
    <w:rsid w:val="4A52C513"/>
    <w:rsid w:val="4A62FE95"/>
    <w:rsid w:val="4A72BCDB"/>
    <w:rsid w:val="4ACD6AB3"/>
    <w:rsid w:val="4B878893"/>
    <w:rsid w:val="4B9CDC13"/>
    <w:rsid w:val="4BB7BBDB"/>
    <w:rsid w:val="4BD1C4E8"/>
    <w:rsid w:val="4CB57EF1"/>
    <w:rsid w:val="4CBD7AE4"/>
    <w:rsid w:val="4CF76E45"/>
    <w:rsid w:val="4D76562B"/>
    <w:rsid w:val="4DD8A1FB"/>
    <w:rsid w:val="4E20DE0A"/>
    <w:rsid w:val="4F7537ED"/>
    <w:rsid w:val="4F9DBB0D"/>
    <w:rsid w:val="4FAA2863"/>
    <w:rsid w:val="503F89A4"/>
    <w:rsid w:val="510B6B2F"/>
    <w:rsid w:val="510E0906"/>
    <w:rsid w:val="511868C6"/>
    <w:rsid w:val="529004E6"/>
    <w:rsid w:val="52B7BD78"/>
    <w:rsid w:val="52DE3E69"/>
    <w:rsid w:val="5371FBF6"/>
    <w:rsid w:val="5372EAD2"/>
    <w:rsid w:val="53CE7449"/>
    <w:rsid w:val="542BE501"/>
    <w:rsid w:val="54595797"/>
    <w:rsid w:val="54684823"/>
    <w:rsid w:val="5494D714"/>
    <w:rsid w:val="54C34DBC"/>
    <w:rsid w:val="54E17483"/>
    <w:rsid w:val="554C7C7A"/>
    <w:rsid w:val="55A5DFA1"/>
    <w:rsid w:val="561C5C90"/>
    <w:rsid w:val="564E52C0"/>
    <w:rsid w:val="57852C73"/>
    <w:rsid w:val="5796474C"/>
    <w:rsid w:val="57FC47AF"/>
    <w:rsid w:val="58D79A46"/>
    <w:rsid w:val="58DE1558"/>
    <w:rsid w:val="5A6F287D"/>
    <w:rsid w:val="5AA2ECF6"/>
    <w:rsid w:val="5AFBFC1F"/>
    <w:rsid w:val="5B4B68EB"/>
    <w:rsid w:val="5C0DA61C"/>
    <w:rsid w:val="5C0F6663"/>
    <w:rsid w:val="5C5C7316"/>
    <w:rsid w:val="5D10EF13"/>
    <w:rsid w:val="5D99A60D"/>
    <w:rsid w:val="5E6FBBCC"/>
    <w:rsid w:val="5E81CEDF"/>
    <w:rsid w:val="5EF072F5"/>
    <w:rsid w:val="5F167E7C"/>
    <w:rsid w:val="5F1DBCA4"/>
    <w:rsid w:val="5FDD98AC"/>
    <w:rsid w:val="60388B7E"/>
    <w:rsid w:val="604E3C2A"/>
    <w:rsid w:val="60A6CC0D"/>
    <w:rsid w:val="60E7636F"/>
    <w:rsid w:val="610A27B6"/>
    <w:rsid w:val="61CBF65C"/>
    <w:rsid w:val="61EF6FEF"/>
    <w:rsid w:val="62BD656C"/>
    <w:rsid w:val="6344288A"/>
    <w:rsid w:val="63F7EBA1"/>
    <w:rsid w:val="63F9AC0E"/>
    <w:rsid w:val="645CB3DA"/>
    <w:rsid w:val="6483AAD4"/>
    <w:rsid w:val="64BC2DA4"/>
    <w:rsid w:val="65328376"/>
    <w:rsid w:val="653EA71F"/>
    <w:rsid w:val="654DF33C"/>
    <w:rsid w:val="65795540"/>
    <w:rsid w:val="66AF2F78"/>
    <w:rsid w:val="66CB2E57"/>
    <w:rsid w:val="671C311C"/>
    <w:rsid w:val="676FB199"/>
    <w:rsid w:val="6799A95E"/>
    <w:rsid w:val="67FEB0A8"/>
    <w:rsid w:val="68BECDE4"/>
    <w:rsid w:val="6958804A"/>
    <w:rsid w:val="6A097F2E"/>
    <w:rsid w:val="6A376B66"/>
    <w:rsid w:val="6AFBD052"/>
    <w:rsid w:val="6B646AC8"/>
    <w:rsid w:val="6C46DFDF"/>
    <w:rsid w:val="6DAD636D"/>
    <w:rsid w:val="6DAF2B15"/>
    <w:rsid w:val="6E194CB3"/>
    <w:rsid w:val="6F4D440F"/>
    <w:rsid w:val="6F5C294F"/>
    <w:rsid w:val="7003D0E7"/>
    <w:rsid w:val="710C1EC5"/>
    <w:rsid w:val="714F8CAD"/>
    <w:rsid w:val="717ADCF8"/>
    <w:rsid w:val="71FF984F"/>
    <w:rsid w:val="72C838E2"/>
    <w:rsid w:val="735BFF66"/>
    <w:rsid w:val="7398E79D"/>
    <w:rsid w:val="7402A4AF"/>
    <w:rsid w:val="7426A3B5"/>
    <w:rsid w:val="747E456F"/>
    <w:rsid w:val="7509E43E"/>
    <w:rsid w:val="75889E31"/>
    <w:rsid w:val="75998CBC"/>
    <w:rsid w:val="75A99F59"/>
    <w:rsid w:val="7627A850"/>
    <w:rsid w:val="764DCA74"/>
    <w:rsid w:val="771DC516"/>
    <w:rsid w:val="772EB282"/>
    <w:rsid w:val="776D4D70"/>
    <w:rsid w:val="779A285C"/>
    <w:rsid w:val="781C2B3C"/>
    <w:rsid w:val="782CB67E"/>
    <w:rsid w:val="78C35E13"/>
    <w:rsid w:val="78D2C97A"/>
    <w:rsid w:val="79779B66"/>
    <w:rsid w:val="79DE1281"/>
    <w:rsid w:val="7A70EBFF"/>
    <w:rsid w:val="7A81F82C"/>
    <w:rsid w:val="7AEFBBB0"/>
    <w:rsid w:val="7C3106A9"/>
    <w:rsid w:val="7C64B3B9"/>
    <w:rsid w:val="7D0B48F9"/>
    <w:rsid w:val="7D2AB5A7"/>
    <w:rsid w:val="7D40D119"/>
    <w:rsid w:val="7D94149F"/>
    <w:rsid w:val="7DAF33F8"/>
    <w:rsid w:val="7E22C7F1"/>
    <w:rsid w:val="7E524F0D"/>
    <w:rsid w:val="7E7840A5"/>
    <w:rsid w:val="7F2B3D5E"/>
    <w:rsid w:val="7F51D7C3"/>
    <w:rsid w:val="7F5AC044"/>
    <w:rsid w:val="7FD31F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224019"/>
  <w15:chartTrackingRefBased/>
  <w15:docId w15:val="{0116A71D-332C-473E-AA5E-AC3E6FAFD85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6C46DFDF"/>
    <w:pPr>
      <w:tabs>
        <w:tab w:val="center" w:leader="none" w:pos="4680"/>
        <w:tab w:val="right" w:leader="none" w:pos="9360"/>
      </w:tabs>
      <w:spacing w:after="0" w:line="240" w:lineRule="auto"/>
    </w:pPr>
  </w:style>
  <w:style w:type="paragraph" w:styleId="Footer">
    <w:uiPriority w:val="99"/>
    <w:name w:val="footer"/>
    <w:basedOn w:val="Normal"/>
    <w:unhideWhenUsed/>
    <w:rsid w:val="6C46DFDF"/>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6C46DFDF"/>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doi.org/10.1007/BF03262306" TargetMode="External" Id="R33b945b07e04409e" /><Relationship Type="http://schemas.openxmlformats.org/officeDocument/2006/relationships/header" Target="/word/header.xml" Id="R82a363fd85d94ee1" /><Relationship Type="http://schemas.openxmlformats.org/officeDocument/2006/relationships/footer" Target="/word/footer.xml" Id="Rd3b92ff4dc5344db" /><Relationship Type="http://schemas.microsoft.com/office/2020/10/relationships/intelligence" Target="/word/intelligence2.xml" Id="R541b88a76c30425d" /><Relationship Type="http://schemas.openxmlformats.org/officeDocument/2006/relationships/hyperlink" Target="https://doi.org/10.1007/s12178-010-9061-8" TargetMode="External" Id="R6680197562aa4204" /><Relationship Type="http://schemas.openxmlformats.org/officeDocument/2006/relationships/hyperlink" Target="https://doi.org/10.2165/00007256-200535050-00006" TargetMode="External" Id="R338f4446ab42461c" /><Relationship Type="http://schemas.openxmlformats.org/officeDocument/2006/relationships/hyperlink" Target="https://doi.org/10.1080/00913847.2024.2341607" TargetMode="External" Id="R712550b2273e47a8" /><Relationship Type="http://schemas.openxmlformats.org/officeDocument/2006/relationships/hyperlink" Target="https://doi.org/10.3390/jfmk8020074" TargetMode="External" Id="R8bfb2fe0fa7c4ae0" /><Relationship Type="http://schemas.openxmlformats.org/officeDocument/2006/relationships/hyperlink" Target="https://doi.org/10.1155/2013/367169" TargetMode="External" Id="Rdbb5225361d14d79" /><Relationship Type="http://schemas.openxmlformats.org/officeDocument/2006/relationships/hyperlink" Target="https://doi.org/10.1007/s40141-024-00442-w" TargetMode="External" Id="R97bf9021135046db" /><Relationship Type="http://schemas.openxmlformats.org/officeDocument/2006/relationships/hyperlink" Target="https://doi.org/10.1016/j.ptsp.2021.12.006" TargetMode="External" Id="Rbfe76f45d16e4f25" /><Relationship Type="http://schemas.openxmlformats.org/officeDocument/2006/relationships/hyperlink" Target="https://doi.org/10.1016/j.jsams.2006.05.017" TargetMode="External" Id="R2d656374c5d74eff" /><Relationship Type="http://schemas.openxmlformats.org/officeDocument/2006/relationships/hyperlink" Target="https://doi.org/10.4085/JAT0548-19" TargetMode="External" Id="R08d99fe109ce40ba" /><Relationship Type="http://schemas.openxmlformats.org/officeDocument/2006/relationships/hyperlink" Target="https://doi.org/10.12775/QS.2024.34.56734" TargetMode="External" Id="Rfa45f5d763294331" /><Relationship Type="http://schemas.openxmlformats.org/officeDocument/2006/relationships/hyperlink" Target="https://doi.org/10.1007/s40279-021-01634-3" TargetMode="External" Id="R565f29b205714fa5" /><Relationship Type="http://schemas.openxmlformats.org/officeDocument/2006/relationships/hyperlink" Target="https://doi.org/10.1016/j.ptsp.2023.05.002" TargetMode="External" Id="R77b0173ce5884567" /><Relationship Type="http://schemas.openxmlformats.org/officeDocument/2006/relationships/hyperlink" Target="https://doi.org/10.1136/bmj.l980" TargetMode="External" Id="Rf91c21a3778b4ef1" /><Relationship Type="http://schemas.openxmlformats.org/officeDocument/2006/relationships/hyperlink" Target="https://doi.org/10.3389/fspor.2024.1386456" TargetMode="External" Id="R91cf49fdcb6f45f8" /><Relationship Type="http://schemas.openxmlformats.org/officeDocument/2006/relationships/hyperlink" Target="https://doi.org/10.3390/medicina61061002" TargetMode="External" Id="R264825d526fa4f2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Sam Lucitt-Rees (27000712)</dc:creator>
  <keywords/>
  <dc:description/>
  <lastModifiedBy>Sam Lucitt-Rees (27000712)</lastModifiedBy>
  <revision>5</revision>
  <dcterms:created xsi:type="dcterms:W3CDTF">2025-10-29T11:54:09.8455993Z</dcterms:created>
  <dcterms:modified xsi:type="dcterms:W3CDTF">2025-11-24T08:08:36.4757088Z</dcterms:modified>
</coreProperties>
</file>