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A56482" w14:textId="77777777" w:rsidR="00823BEE" w:rsidRDefault="00823BEE">
      <w:pPr>
        <w:pStyle w:val="Normal1"/>
        <w:spacing w:line="360" w:lineRule="auto"/>
        <w:jc w:val="both"/>
        <w:rPr>
          <w:b/>
          <w:sz w:val="24"/>
          <w:szCs w:val="24"/>
        </w:rPr>
      </w:pPr>
    </w:p>
    <w:p w14:paraId="070DCCBC" w14:textId="77777777" w:rsidR="00823BEE" w:rsidRDefault="00823BEE">
      <w:pPr>
        <w:pStyle w:val="Normal1"/>
        <w:spacing w:line="360" w:lineRule="auto"/>
        <w:jc w:val="both"/>
        <w:rPr>
          <w:b/>
          <w:sz w:val="24"/>
          <w:szCs w:val="24"/>
        </w:rPr>
      </w:pPr>
    </w:p>
    <w:p w14:paraId="3774055D" w14:textId="77777777" w:rsidR="00823BEE" w:rsidRDefault="00823BEE">
      <w:pPr>
        <w:pStyle w:val="Normal1"/>
        <w:spacing w:line="360" w:lineRule="auto"/>
        <w:jc w:val="both"/>
        <w:rPr>
          <w:b/>
          <w:sz w:val="24"/>
          <w:szCs w:val="24"/>
        </w:rPr>
      </w:pPr>
    </w:p>
    <w:p w14:paraId="78FE9C0B" w14:textId="77777777" w:rsidR="00823BEE" w:rsidRDefault="00823BEE">
      <w:pPr>
        <w:pStyle w:val="Normal1"/>
        <w:spacing w:line="360" w:lineRule="auto"/>
        <w:jc w:val="both"/>
        <w:rPr>
          <w:b/>
          <w:sz w:val="24"/>
          <w:szCs w:val="24"/>
        </w:rPr>
      </w:pPr>
    </w:p>
    <w:p w14:paraId="5AB55B57" w14:textId="77777777" w:rsidR="00823BEE" w:rsidRDefault="00823BEE">
      <w:pPr>
        <w:pStyle w:val="Normal1"/>
        <w:spacing w:line="360" w:lineRule="auto"/>
        <w:jc w:val="both"/>
        <w:rPr>
          <w:b/>
          <w:sz w:val="24"/>
          <w:szCs w:val="24"/>
        </w:rPr>
      </w:pPr>
    </w:p>
    <w:p w14:paraId="231A550E" w14:textId="02FAFC1D" w:rsidR="00823BEE" w:rsidRPr="000A1F09" w:rsidRDefault="000A1F09" w:rsidP="000A1F09">
      <w:pPr>
        <w:pStyle w:val="Normal1"/>
        <w:spacing w:line="360" w:lineRule="auto"/>
        <w:rPr>
          <w:b/>
          <w:sz w:val="36"/>
          <w:szCs w:val="36"/>
        </w:rPr>
      </w:pPr>
      <w:r w:rsidRPr="000A1F09">
        <w:rPr>
          <w:b/>
          <w:sz w:val="36"/>
          <w:szCs w:val="36"/>
        </w:rPr>
        <w:t xml:space="preserve">                     </w:t>
      </w:r>
      <w:r w:rsidR="002A0599" w:rsidRPr="000A1F09">
        <w:rPr>
          <w:b/>
          <w:sz w:val="36"/>
          <w:szCs w:val="36"/>
        </w:rPr>
        <w:t>BSc Health and Social Care</w:t>
      </w:r>
    </w:p>
    <w:p w14:paraId="58EE4115" w14:textId="4743AA1B" w:rsidR="000A1F09" w:rsidRPr="000A1F09" w:rsidRDefault="002A0599" w:rsidP="000A1F09">
      <w:pPr>
        <w:pStyle w:val="Normal1"/>
        <w:spacing w:line="360" w:lineRule="auto"/>
        <w:jc w:val="center"/>
        <w:rPr>
          <w:b/>
          <w:sz w:val="36"/>
          <w:szCs w:val="36"/>
        </w:rPr>
      </w:pPr>
      <w:r w:rsidRPr="000A1F09">
        <w:rPr>
          <w:b/>
          <w:sz w:val="36"/>
          <w:szCs w:val="36"/>
        </w:rPr>
        <w:t>Living with Care: The Older Person</w:t>
      </w:r>
      <w:r w:rsidR="000A1F09" w:rsidRPr="000A1F09">
        <w:rPr>
          <w:b/>
          <w:sz w:val="36"/>
          <w:szCs w:val="36"/>
        </w:rPr>
        <w:t xml:space="preserve">- </w:t>
      </w:r>
      <w:r w:rsidR="000A1F09" w:rsidRPr="000A1F09">
        <w:rPr>
          <w:b/>
          <w:sz w:val="36"/>
          <w:szCs w:val="36"/>
        </w:rPr>
        <w:t>BMHP6009</w:t>
      </w:r>
    </w:p>
    <w:p w14:paraId="443DB13C" w14:textId="60A75A0F" w:rsidR="00823BEE" w:rsidRPr="00D00152" w:rsidRDefault="00823BEE">
      <w:pPr>
        <w:pStyle w:val="Normal1"/>
        <w:spacing w:line="360" w:lineRule="auto"/>
        <w:jc w:val="center"/>
        <w:rPr>
          <w:b/>
          <w:sz w:val="28"/>
          <w:szCs w:val="28"/>
        </w:rPr>
      </w:pPr>
    </w:p>
    <w:p w14:paraId="0DC518A7" w14:textId="6E62BE5F" w:rsidR="00823BEE" w:rsidRDefault="002A0599">
      <w:pPr>
        <w:pStyle w:val="Normal1"/>
        <w:spacing w:line="360" w:lineRule="auto"/>
        <w:jc w:val="center"/>
        <w:rPr>
          <w:b/>
          <w:sz w:val="36"/>
          <w:szCs w:val="36"/>
        </w:rPr>
      </w:pPr>
      <w:r w:rsidRPr="000A1F09">
        <w:rPr>
          <w:b/>
          <w:sz w:val="36"/>
          <w:szCs w:val="36"/>
        </w:rPr>
        <w:t>Component 2 – Written Report</w:t>
      </w:r>
    </w:p>
    <w:p w14:paraId="5D2E3B5F" w14:textId="28035126" w:rsidR="000A1F09" w:rsidRDefault="000A1F09">
      <w:pPr>
        <w:pStyle w:val="Normal1"/>
        <w:spacing w:line="360" w:lineRule="auto"/>
        <w:jc w:val="center"/>
        <w:rPr>
          <w:b/>
          <w:sz w:val="36"/>
          <w:szCs w:val="36"/>
        </w:rPr>
      </w:pPr>
    </w:p>
    <w:p w14:paraId="224CEDB5" w14:textId="77777777" w:rsidR="000A1F09" w:rsidRPr="000A1F09" w:rsidRDefault="000A1F09">
      <w:pPr>
        <w:pStyle w:val="Normal1"/>
        <w:spacing w:line="360" w:lineRule="auto"/>
        <w:jc w:val="center"/>
        <w:rPr>
          <w:b/>
          <w:sz w:val="36"/>
          <w:szCs w:val="36"/>
        </w:rPr>
      </w:pPr>
    </w:p>
    <w:p w14:paraId="5D4F6794" w14:textId="0C0971B3" w:rsidR="00823BEE" w:rsidRPr="000A1F09" w:rsidRDefault="000A1F09">
      <w:pPr>
        <w:pStyle w:val="Normal1"/>
        <w:spacing w:line="360" w:lineRule="auto"/>
        <w:jc w:val="both"/>
        <w:rPr>
          <w:b/>
          <w:sz w:val="28"/>
          <w:szCs w:val="28"/>
        </w:rPr>
      </w:pPr>
      <w:r w:rsidRPr="000A1F09">
        <w:rPr>
          <w:b/>
          <w:sz w:val="28"/>
          <w:szCs w:val="28"/>
        </w:rPr>
        <w:t xml:space="preserve">                                       Lecturer; Rebecca Stewart</w:t>
      </w:r>
    </w:p>
    <w:p w14:paraId="08E50A19" w14:textId="30333C23" w:rsidR="000A1F09" w:rsidRPr="000A1F09" w:rsidRDefault="000A1F09">
      <w:pPr>
        <w:pStyle w:val="Normal1"/>
        <w:spacing w:line="360" w:lineRule="auto"/>
        <w:jc w:val="both"/>
        <w:rPr>
          <w:b/>
          <w:sz w:val="28"/>
          <w:szCs w:val="28"/>
        </w:rPr>
      </w:pPr>
      <w:r w:rsidRPr="000A1F09">
        <w:rPr>
          <w:b/>
          <w:sz w:val="28"/>
          <w:szCs w:val="28"/>
        </w:rPr>
        <w:t xml:space="preserve">                               Student </w:t>
      </w:r>
      <w:r>
        <w:rPr>
          <w:b/>
          <w:sz w:val="28"/>
          <w:szCs w:val="28"/>
        </w:rPr>
        <w:t>-</w:t>
      </w:r>
      <w:r w:rsidRPr="000A1F09">
        <w:rPr>
          <w:b/>
          <w:sz w:val="28"/>
          <w:szCs w:val="28"/>
        </w:rPr>
        <w:t xml:space="preserve"> Nahar Sultana Sumi 2122279</w:t>
      </w:r>
    </w:p>
    <w:p w14:paraId="6E37F745" w14:textId="337B3EA6" w:rsidR="000A1F09" w:rsidRPr="000A1F09" w:rsidRDefault="000A1F09">
      <w:pPr>
        <w:pStyle w:val="Normal1"/>
        <w:spacing w:line="360" w:lineRule="auto"/>
        <w:jc w:val="both"/>
        <w:rPr>
          <w:b/>
          <w:sz w:val="28"/>
          <w:szCs w:val="28"/>
        </w:rPr>
      </w:pPr>
    </w:p>
    <w:p w14:paraId="1A1F3342" w14:textId="58D68F59" w:rsidR="000A1F09" w:rsidRDefault="000A1F09">
      <w:pPr>
        <w:pStyle w:val="Normal1"/>
        <w:spacing w:line="360" w:lineRule="auto"/>
        <w:jc w:val="both"/>
        <w:rPr>
          <w:b/>
          <w:sz w:val="24"/>
          <w:szCs w:val="24"/>
        </w:rPr>
      </w:pPr>
    </w:p>
    <w:p w14:paraId="3A46414B" w14:textId="169BE522" w:rsidR="000A1F09" w:rsidRDefault="000A1F09">
      <w:pPr>
        <w:pStyle w:val="Normal1"/>
        <w:spacing w:line="360" w:lineRule="auto"/>
        <w:jc w:val="both"/>
        <w:rPr>
          <w:b/>
          <w:sz w:val="24"/>
          <w:szCs w:val="24"/>
        </w:rPr>
      </w:pPr>
    </w:p>
    <w:p w14:paraId="75B20404" w14:textId="61D86CB1" w:rsidR="000A1F09" w:rsidRDefault="000A1F09">
      <w:pPr>
        <w:pStyle w:val="Normal1"/>
        <w:spacing w:line="360" w:lineRule="auto"/>
        <w:jc w:val="both"/>
        <w:rPr>
          <w:b/>
          <w:sz w:val="24"/>
          <w:szCs w:val="24"/>
        </w:rPr>
      </w:pPr>
    </w:p>
    <w:p w14:paraId="46CEB684" w14:textId="79D369B2" w:rsidR="000A1F09" w:rsidRDefault="000A1F09">
      <w:pPr>
        <w:pStyle w:val="Normal1"/>
        <w:spacing w:line="360" w:lineRule="auto"/>
        <w:jc w:val="both"/>
        <w:rPr>
          <w:b/>
          <w:sz w:val="24"/>
          <w:szCs w:val="24"/>
        </w:rPr>
      </w:pPr>
    </w:p>
    <w:p w14:paraId="3E8ABA90" w14:textId="2134D369" w:rsidR="000A1F09" w:rsidRDefault="000A1F09">
      <w:pPr>
        <w:pStyle w:val="Normal1"/>
        <w:spacing w:line="360" w:lineRule="auto"/>
        <w:jc w:val="both"/>
        <w:rPr>
          <w:b/>
          <w:sz w:val="24"/>
          <w:szCs w:val="24"/>
        </w:rPr>
      </w:pPr>
    </w:p>
    <w:p w14:paraId="029F1760" w14:textId="70C243B3" w:rsidR="000A1F09" w:rsidRDefault="000A1F09">
      <w:pPr>
        <w:pStyle w:val="Normal1"/>
        <w:spacing w:line="360" w:lineRule="auto"/>
        <w:jc w:val="both"/>
        <w:rPr>
          <w:b/>
          <w:sz w:val="24"/>
          <w:szCs w:val="24"/>
        </w:rPr>
      </w:pPr>
    </w:p>
    <w:p w14:paraId="67AC1D91" w14:textId="50961C5D" w:rsidR="000A1F09" w:rsidRDefault="000A1F09">
      <w:pPr>
        <w:pStyle w:val="Normal1"/>
        <w:spacing w:line="360" w:lineRule="auto"/>
        <w:jc w:val="both"/>
        <w:rPr>
          <w:b/>
          <w:sz w:val="24"/>
          <w:szCs w:val="24"/>
        </w:rPr>
      </w:pPr>
    </w:p>
    <w:p w14:paraId="29CB0A3B" w14:textId="278707D2" w:rsidR="000A1F09" w:rsidRDefault="000A1F09">
      <w:pPr>
        <w:pStyle w:val="Normal1"/>
        <w:spacing w:line="360" w:lineRule="auto"/>
        <w:jc w:val="both"/>
        <w:rPr>
          <w:b/>
          <w:sz w:val="24"/>
          <w:szCs w:val="24"/>
        </w:rPr>
      </w:pPr>
    </w:p>
    <w:p w14:paraId="0243DC88" w14:textId="7C444510" w:rsidR="000A1F09" w:rsidRDefault="000A1F09">
      <w:pPr>
        <w:pStyle w:val="Normal1"/>
        <w:spacing w:line="360" w:lineRule="auto"/>
        <w:jc w:val="both"/>
        <w:rPr>
          <w:b/>
          <w:sz w:val="24"/>
          <w:szCs w:val="24"/>
        </w:rPr>
      </w:pPr>
    </w:p>
    <w:p w14:paraId="621A7C8F" w14:textId="54BA6D69" w:rsidR="000A1F09" w:rsidRDefault="000A1F09">
      <w:pPr>
        <w:pStyle w:val="Normal1"/>
        <w:spacing w:line="360" w:lineRule="auto"/>
        <w:jc w:val="both"/>
        <w:rPr>
          <w:b/>
          <w:sz w:val="24"/>
          <w:szCs w:val="24"/>
        </w:rPr>
      </w:pPr>
    </w:p>
    <w:p w14:paraId="0F0448FD" w14:textId="07BB5ECD" w:rsidR="000A1F09" w:rsidRDefault="000A1F09">
      <w:pPr>
        <w:pStyle w:val="Normal1"/>
        <w:spacing w:line="360" w:lineRule="auto"/>
        <w:jc w:val="both"/>
        <w:rPr>
          <w:b/>
          <w:sz w:val="24"/>
          <w:szCs w:val="24"/>
        </w:rPr>
      </w:pPr>
    </w:p>
    <w:p w14:paraId="3A3087FC" w14:textId="0B81619A" w:rsidR="000A1F09" w:rsidRDefault="000A1F09">
      <w:pPr>
        <w:pStyle w:val="Normal1"/>
        <w:spacing w:line="360" w:lineRule="auto"/>
        <w:jc w:val="both"/>
        <w:rPr>
          <w:b/>
          <w:sz w:val="24"/>
          <w:szCs w:val="24"/>
        </w:rPr>
      </w:pPr>
    </w:p>
    <w:p w14:paraId="7D8A0398" w14:textId="5A074A29" w:rsidR="000A1F09" w:rsidRDefault="000A1F09">
      <w:pPr>
        <w:pStyle w:val="Normal1"/>
        <w:spacing w:line="360" w:lineRule="auto"/>
        <w:jc w:val="both"/>
        <w:rPr>
          <w:b/>
          <w:sz w:val="24"/>
          <w:szCs w:val="24"/>
        </w:rPr>
      </w:pPr>
    </w:p>
    <w:p w14:paraId="64B4FD21" w14:textId="52FFA5C4" w:rsidR="000A1F09" w:rsidRDefault="000A1F09">
      <w:pPr>
        <w:pStyle w:val="Normal1"/>
        <w:spacing w:line="360" w:lineRule="auto"/>
        <w:jc w:val="both"/>
        <w:rPr>
          <w:b/>
          <w:sz w:val="24"/>
          <w:szCs w:val="24"/>
        </w:rPr>
      </w:pPr>
    </w:p>
    <w:p w14:paraId="34873A27" w14:textId="48A1D215" w:rsidR="000A1F09" w:rsidRDefault="000A1F09">
      <w:pPr>
        <w:pStyle w:val="Normal1"/>
        <w:spacing w:line="360" w:lineRule="auto"/>
        <w:jc w:val="both"/>
        <w:rPr>
          <w:b/>
          <w:sz w:val="24"/>
          <w:szCs w:val="24"/>
        </w:rPr>
      </w:pPr>
    </w:p>
    <w:p w14:paraId="03055516" w14:textId="6E764F9A" w:rsidR="000A1F09" w:rsidRDefault="000A1F09">
      <w:pPr>
        <w:pStyle w:val="Normal1"/>
        <w:spacing w:line="360" w:lineRule="auto"/>
        <w:jc w:val="both"/>
        <w:rPr>
          <w:b/>
          <w:sz w:val="24"/>
          <w:szCs w:val="24"/>
        </w:rPr>
      </w:pPr>
    </w:p>
    <w:p w14:paraId="4BD8A79A" w14:textId="7AFE0830" w:rsidR="000A1F09" w:rsidRDefault="000A1F09">
      <w:pPr>
        <w:pStyle w:val="Normal1"/>
        <w:spacing w:line="360" w:lineRule="auto"/>
        <w:jc w:val="both"/>
        <w:rPr>
          <w:b/>
          <w:sz w:val="24"/>
          <w:szCs w:val="24"/>
        </w:rPr>
      </w:pPr>
    </w:p>
    <w:p w14:paraId="7E8D1BBC" w14:textId="17181ED4" w:rsidR="000A1F09" w:rsidRDefault="000A1F09">
      <w:pPr>
        <w:pStyle w:val="Normal1"/>
        <w:spacing w:line="360" w:lineRule="auto"/>
        <w:jc w:val="both"/>
        <w:rPr>
          <w:b/>
          <w:sz w:val="24"/>
          <w:szCs w:val="24"/>
        </w:rPr>
      </w:pPr>
    </w:p>
    <w:p w14:paraId="1363604B" w14:textId="4AF93D7B" w:rsidR="000A1F09" w:rsidRDefault="000A1F09">
      <w:pPr>
        <w:pStyle w:val="Normal1"/>
        <w:spacing w:line="360" w:lineRule="auto"/>
        <w:jc w:val="both"/>
        <w:rPr>
          <w:b/>
          <w:sz w:val="24"/>
          <w:szCs w:val="24"/>
        </w:rPr>
      </w:pPr>
    </w:p>
    <w:p w14:paraId="282CF0DF" w14:textId="44E84C82" w:rsidR="000A1F09" w:rsidRDefault="000A1F09">
      <w:pPr>
        <w:pStyle w:val="Normal1"/>
        <w:spacing w:line="360" w:lineRule="auto"/>
        <w:jc w:val="both"/>
        <w:rPr>
          <w:b/>
          <w:sz w:val="24"/>
          <w:szCs w:val="24"/>
        </w:rPr>
      </w:pPr>
    </w:p>
    <w:p w14:paraId="4A457959" w14:textId="6ED1D0AA" w:rsidR="00823BEE" w:rsidRDefault="00823BEE">
      <w:pPr>
        <w:pStyle w:val="Normal1"/>
        <w:spacing w:line="360" w:lineRule="auto"/>
        <w:jc w:val="both"/>
        <w:rPr>
          <w:b/>
          <w:sz w:val="24"/>
          <w:szCs w:val="24"/>
        </w:rPr>
      </w:pPr>
    </w:p>
    <w:sdt>
      <w:sdtPr>
        <w:rPr>
          <w:rFonts w:ascii="Times New Roman" w:eastAsia="Arial" w:hAnsi="Times New Roman" w:cs="Times New Roman"/>
          <w:color w:val="auto"/>
          <w:sz w:val="24"/>
          <w:szCs w:val="24"/>
          <w:lang w:val=""/>
        </w:rPr>
        <w:id w:val="-284032659"/>
        <w:docPartObj>
          <w:docPartGallery w:val="Table of Contents"/>
          <w:docPartUnique/>
        </w:docPartObj>
      </w:sdtPr>
      <w:sdtEndPr>
        <w:rPr>
          <w:rFonts w:ascii="Arial" w:hAnsi="Arial" w:cs="Arial"/>
          <w:b/>
          <w:bCs/>
          <w:noProof/>
        </w:rPr>
      </w:sdtEndPr>
      <w:sdtContent>
        <w:p w14:paraId="17D523AA" w14:textId="6716FA36" w:rsidR="00C267A9" w:rsidRPr="00C267A9" w:rsidRDefault="00C267A9" w:rsidP="00C267A9">
          <w:pPr>
            <w:pStyle w:val="TOCHeading"/>
            <w:spacing w:line="360" w:lineRule="auto"/>
            <w:jc w:val="center"/>
            <w:rPr>
              <w:rFonts w:ascii="Times New Roman" w:hAnsi="Times New Roman" w:cs="Times New Roman"/>
              <w:b/>
              <w:bCs/>
              <w:color w:val="auto"/>
              <w:sz w:val="28"/>
              <w:szCs w:val="28"/>
            </w:rPr>
          </w:pPr>
          <w:r w:rsidRPr="00C267A9">
            <w:rPr>
              <w:rFonts w:ascii="Times New Roman" w:hAnsi="Times New Roman" w:cs="Times New Roman"/>
              <w:b/>
              <w:bCs/>
              <w:color w:val="auto"/>
              <w:sz w:val="28"/>
              <w:szCs w:val="28"/>
            </w:rPr>
            <w:t>Table of Contents</w:t>
          </w:r>
        </w:p>
        <w:p w14:paraId="0C054E0B" w14:textId="1EE49D0A" w:rsidR="0053652F" w:rsidRDefault="00C267A9">
          <w:pPr>
            <w:pStyle w:val="TOC1"/>
            <w:tabs>
              <w:tab w:val="right" w:leader="dot" w:pos="9019"/>
            </w:tabs>
            <w:rPr>
              <w:rFonts w:asciiTheme="minorHAnsi" w:eastAsiaTheme="minorEastAsia" w:hAnsiTheme="minorHAnsi" w:cstheme="minorBidi"/>
              <w:noProof/>
              <w:lang w:val="en-IN" w:eastAsia="en-IN"/>
            </w:rPr>
          </w:pPr>
          <w:r w:rsidRPr="00F91516">
            <w:rPr>
              <w:sz w:val="24"/>
              <w:szCs w:val="24"/>
            </w:rPr>
            <w:fldChar w:fldCharType="begin"/>
          </w:r>
          <w:r w:rsidRPr="00F91516">
            <w:rPr>
              <w:sz w:val="24"/>
              <w:szCs w:val="24"/>
            </w:rPr>
            <w:instrText xml:space="preserve"> TOC \o "1-3" \h \z \u </w:instrText>
          </w:r>
          <w:r w:rsidRPr="00F91516">
            <w:rPr>
              <w:sz w:val="24"/>
              <w:szCs w:val="24"/>
            </w:rPr>
            <w:fldChar w:fldCharType="separate"/>
          </w:r>
          <w:hyperlink w:anchor="_Toc158824350" w:history="1">
            <w:r w:rsidR="0053652F" w:rsidRPr="00271C71">
              <w:rPr>
                <w:rStyle w:val="Hyperlink"/>
                <w:noProof/>
              </w:rPr>
              <w:t>Introduction</w:t>
            </w:r>
            <w:r w:rsidR="0053652F">
              <w:rPr>
                <w:noProof/>
                <w:webHidden/>
              </w:rPr>
              <w:tab/>
            </w:r>
            <w:r w:rsidR="0053652F">
              <w:rPr>
                <w:noProof/>
                <w:webHidden/>
              </w:rPr>
              <w:fldChar w:fldCharType="begin"/>
            </w:r>
            <w:r w:rsidR="0053652F">
              <w:rPr>
                <w:noProof/>
                <w:webHidden/>
              </w:rPr>
              <w:instrText xml:space="preserve"> PAGEREF _Toc158824350 \h </w:instrText>
            </w:r>
            <w:r w:rsidR="0053652F">
              <w:rPr>
                <w:noProof/>
                <w:webHidden/>
              </w:rPr>
            </w:r>
            <w:r w:rsidR="0053652F">
              <w:rPr>
                <w:noProof/>
                <w:webHidden/>
              </w:rPr>
              <w:fldChar w:fldCharType="separate"/>
            </w:r>
            <w:r w:rsidR="0053652F">
              <w:rPr>
                <w:noProof/>
                <w:webHidden/>
              </w:rPr>
              <w:t>3</w:t>
            </w:r>
            <w:r w:rsidR="0053652F">
              <w:rPr>
                <w:noProof/>
                <w:webHidden/>
              </w:rPr>
              <w:fldChar w:fldCharType="end"/>
            </w:r>
          </w:hyperlink>
        </w:p>
        <w:p w14:paraId="428FC128" w14:textId="43C027AD" w:rsidR="0053652F" w:rsidRDefault="00561479">
          <w:pPr>
            <w:pStyle w:val="TOC1"/>
            <w:tabs>
              <w:tab w:val="right" w:leader="dot" w:pos="9019"/>
            </w:tabs>
            <w:rPr>
              <w:rFonts w:asciiTheme="minorHAnsi" w:eastAsiaTheme="minorEastAsia" w:hAnsiTheme="minorHAnsi" w:cstheme="minorBidi"/>
              <w:noProof/>
              <w:lang w:val="en-IN" w:eastAsia="en-IN"/>
            </w:rPr>
          </w:pPr>
          <w:hyperlink w:anchor="_Toc158824351" w:history="1">
            <w:r w:rsidR="0053652F" w:rsidRPr="00271C71">
              <w:rPr>
                <w:rStyle w:val="Hyperlink"/>
                <w:noProof/>
              </w:rPr>
              <w:t>Discussion</w:t>
            </w:r>
            <w:r w:rsidR="0053652F">
              <w:rPr>
                <w:noProof/>
                <w:webHidden/>
              </w:rPr>
              <w:tab/>
            </w:r>
            <w:r w:rsidR="0053652F">
              <w:rPr>
                <w:noProof/>
                <w:webHidden/>
              </w:rPr>
              <w:fldChar w:fldCharType="begin"/>
            </w:r>
            <w:r w:rsidR="0053652F">
              <w:rPr>
                <w:noProof/>
                <w:webHidden/>
              </w:rPr>
              <w:instrText xml:space="preserve"> PAGEREF _Toc158824351 \h </w:instrText>
            </w:r>
            <w:r w:rsidR="0053652F">
              <w:rPr>
                <w:noProof/>
                <w:webHidden/>
              </w:rPr>
            </w:r>
            <w:r w:rsidR="0053652F">
              <w:rPr>
                <w:noProof/>
                <w:webHidden/>
              </w:rPr>
              <w:fldChar w:fldCharType="separate"/>
            </w:r>
            <w:r w:rsidR="0053652F">
              <w:rPr>
                <w:noProof/>
                <w:webHidden/>
              </w:rPr>
              <w:t>3</w:t>
            </w:r>
            <w:r w:rsidR="0053652F">
              <w:rPr>
                <w:noProof/>
                <w:webHidden/>
              </w:rPr>
              <w:fldChar w:fldCharType="end"/>
            </w:r>
          </w:hyperlink>
        </w:p>
        <w:p w14:paraId="1FF1E81C" w14:textId="03CD0F0F" w:rsidR="0053652F" w:rsidRDefault="00561479">
          <w:pPr>
            <w:pStyle w:val="TOC2"/>
            <w:tabs>
              <w:tab w:val="right" w:leader="dot" w:pos="9019"/>
            </w:tabs>
            <w:rPr>
              <w:rFonts w:asciiTheme="minorHAnsi" w:eastAsiaTheme="minorEastAsia" w:hAnsiTheme="minorHAnsi" w:cstheme="minorBidi"/>
              <w:noProof/>
              <w:lang w:val="en-IN" w:eastAsia="en-IN"/>
            </w:rPr>
          </w:pPr>
          <w:hyperlink w:anchor="_Toc158824352" w:history="1">
            <w:r w:rsidR="0053652F" w:rsidRPr="00271C71">
              <w:rPr>
                <w:rStyle w:val="Hyperlink"/>
                <w:noProof/>
              </w:rPr>
              <w:t>Definition of old age</w:t>
            </w:r>
            <w:r w:rsidR="0053652F">
              <w:rPr>
                <w:noProof/>
                <w:webHidden/>
              </w:rPr>
              <w:tab/>
            </w:r>
            <w:r w:rsidR="0053652F">
              <w:rPr>
                <w:noProof/>
                <w:webHidden/>
              </w:rPr>
              <w:fldChar w:fldCharType="begin"/>
            </w:r>
            <w:r w:rsidR="0053652F">
              <w:rPr>
                <w:noProof/>
                <w:webHidden/>
              </w:rPr>
              <w:instrText xml:space="preserve"> PAGEREF _Toc158824352 \h </w:instrText>
            </w:r>
            <w:r w:rsidR="0053652F">
              <w:rPr>
                <w:noProof/>
                <w:webHidden/>
              </w:rPr>
            </w:r>
            <w:r w:rsidR="0053652F">
              <w:rPr>
                <w:noProof/>
                <w:webHidden/>
              </w:rPr>
              <w:fldChar w:fldCharType="separate"/>
            </w:r>
            <w:r w:rsidR="0053652F">
              <w:rPr>
                <w:noProof/>
                <w:webHidden/>
              </w:rPr>
              <w:t>3</w:t>
            </w:r>
            <w:r w:rsidR="0053652F">
              <w:rPr>
                <w:noProof/>
                <w:webHidden/>
              </w:rPr>
              <w:fldChar w:fldCharType="end"/>
            </w:r>
          </w:hyperlink>
        </w:p>
        <w:p w14:paraId="1E624614" w14:textId="00AE0513" w:rsidR="0053652F" w:rsidRDefault="00561479">
          <w:pPr>
            <w:pStyle w:val="TOC2"/>
            <w:tabs>
              <w:tab w:val="right" w:leader="dot" w:pos="9019"/>
            </w:tabs>
            <w:rPr>
              <w:rFonts w:asciiTheme="minorHAnsi" w:eastAsiaTheme="minorEastAsia" w:hAnsiTheme="minorHAnsi" w:cstheme="minorBidi"/>
              <w:noProof/>
              <w:lang w:val="en-IN" w:eastAsia="en-IN"/>
            </w:rPr>
          </w:pPr>
          <w:hyperlink w:anchor="_Toc158824353" w:history="1">
            <w:r w:rsidR="0053652F" w:rsidRPr="00271C71">
              <w:rPr>
                <w:rStyle w:val="Hyperlink"/>
                <w:noProof/>
              </w:rPr>
              <w:t xml:space="preserve">Brief discussion on the </w:t>
            </w:r>
            <w:r w:rsidR="000A1F09">
              <w:rPr>
                <w:rStyle w:val="Hyperlink"/>
                <w:noProof/>
              </w:rPr>
              <w:t>ageing</w:t>
            </w:r>
            <w:r w:rsidR="0053652F" w:rsidRPr="00271C71">
              <w:rPr>
                <w:rStyle w:val="Hyperlink"/>
                <w:noProof/>
              </w:rPr>
              <w:t xml:space="preserve"> population and change in the number of older people</w:t>
            </w:r>
            <w:r w:rsidR="0053652F">
              <w:rPr>
                <w:noProof/>
                <w:webHidden/>
              </w:rPr>
              <w:tab/>
            </w:r>
            <w:r w:rsidR="0053652F">
              <w:rPr>
                <w:noProof/>
                <w:webHidden/>
              </w:rPr>
              <w:fldChar w:fldCharType="begin"/>
            </w:r>
            <w:r w:rsidR="0053652F">
              <w:rPr>
                <w:noProof/>
                <w:webHidden/>
              </w:rPr>
              <w:instrText xml:space="preserve"> PAGEREF _Toc158824353 \h </w:instrText>
            </w:r>
            <w:r w:rsidR="0053652F">
              <w:rPr>
                <w:noProof/>
                <w:webHidden/>
              </w:rPr>
            </w:r>
            <w:r w:rsidR="0053652F">
              <w:rPr>
                <w:noProof/>
                <w:webHidden/>
              </w:rPr>
              <w:fldChar w:fldCharType="separate"/>
            </w:r>
            <w:r w:rsidR="0053652F">
              <w:rPr>
                <w:noProof/>
                <w:webHidden/>
              </w:rPr>
              <w:t>3</w:t>
            </w:r>
            <w:r w:rsidR="0053652F">
              <w:rPr>
                <w:noProof/>
                <w:webHidden/>
              </w:rPr>
              <w:fldChar w:fldCharType="end"/>
            </w:r>
          </w:hyperlink>
        </w:p>
        <w:p w14:paraId="3B2720D1" w14:textId="0D68B407" w:rsidR="0053652F" w:rsidRDefault="00561479">
          <w:pPr>
            <w:pStyle w:val="TOC2"/>
            <w:tabs>
              <w:tab w:val="right" w:leader="dot" w:pos="9019"/>
            </w:tabs>
            <w:rPr>
              <w:rFonts w:asciiTheme="minorHAnsi" w:eastAsiaTheme="minorEastAsia" w:hAnsiTheme="minorHAnsi" w:cstheme="minorBidi"/>
              <w:noProof/>
              <w:lang w:val="en-IN" w:eastAsia="en-IN"/>
            </w:rPr>
          </w:pPr>
          <w:hyperlink w:anchor="_Toc158824354" w:history="1">
            <w:r w:rsidR="0053652F" w:rsidRPr="00271C71">
              <w:rPr>
                <w:rStyle w:val="Hyperlink"/>
                <w:noProof/>
              </w:rPr>
              <w:t>The issues experienced by older people in the UK</w:t>
            </w:r>
            <w:r w:rsidR="0053652F">
              <w:rPr>
                <w:noProof/>
                <w:webHidden/>
              </w:rPr>
              <w:tab/>
            </w:r>
            <w:r w:rsidR="0053652F">
              <w:rPr>
                <w:noProof/>
                <w:webHidden/>
              </w:rPr>
              <w:fldChar w:fldCharType="begin"/>
            </w:r>
            <w:r w:rsidR="0053652F">
              <w:rPr>
                <w:noProof/>
                <w:webHidden/>
              </w:rPr>
              <w:instrText xml:space="preserve"> PAGEREF _Toc158824354 \h </w:instrText>
            </w:r>
            <w:r w:rsidR="0053652F">
              <w:rPr>
                <w:noProof/>
                <w:webHidden/>
              </w:rPr>
            </w:r>
            <w:r w:rsidR="0053652F">
              <w:rPr>
                <w:noProof/>
                <w:webHidden/>
              </w:rPr>
              <w:fldChar w:fldCharType="separate"/>
            </w:r>
            <w:r w:rsidR="0053652F">
              <w:rPr>
                <w:noProof/>
                <w:webHidden/>
              </w:rPr>
              <w:t>6</w:t>
            </w:r>
            <w:r w:rsidR="0053652F">
              <w:rPr>
                <w:noProof/>
                <w:webHidden/>
              </w:rPr>
              <w:fldChar w:fldCharType="end"/>
            </w:r>
          </w:hyperlink>
        </w:p>
        <w:p w14:paraId="6722CA90" w14:textId="708ED9B1" w:rsidR="0053652F" w:rsidRDefault="00561479">
          <w:pPr>
            <w:pStyle w:val="TOC2"/>
            <w:tabs>
              <w:tab w:val="right" w:leader="dot" w:pos="9019"/>
            </w:tabs>
            <w:rPr>
              <w:rFonts w:asciiTheme="minorHAnsi" w:eastAsiaTheme="minorEastAsia" w:hAnsiTheme="minorHAnsi" w:cstheme="minorBidi"/>
              <w:noProof/>
              <w:lang w:val="en-IN" w:eastAsia="en-IN"/>
            </w:rPr>
          </w:pPr>
          <w:hyperlink w:anchor="_Toc158824355" w:history="1">
            <w:r w:rsidR="0053652F" w:rsidRPr="00271C71">
              <w:rPr>
                <w:rStyle w:val="Hyperlink"/>
                <w:noProof/>
                <w:lang w:val="en"/>
              </w:rPr>
              <w:t>Current health and Social care provision in the United Kingdom</w:t>
            </w:r>
            <w:r w:rsidR="0053652F">
              <w:rPr>
                <w:noProof/>
                <w:webHidden/>
              </w:rPr>
              <w:tab/>
            </w:r>
            <w:r w:rsidR="0053652F">
              <w:rPr>
                <w:noProof/>
                <w:webHidden/>
              </w:rPr>
              <w:fldChar w:fldCharType="begin"/>
            </w:r>
            <w:r w:rsidR="0053652F">
              <w:rPr>
                <w:noProof/>
                <w:webHidden/>
              </w:rPr>
              <w:instrText xml:space="preserve"> PAGEREF _Toc158824355 \h </w:instrText>
            </w:r>
            <w:r w:rsidR="0053652F">
              <w:rPr>
                <w:noProof/>
                <w:webHidden/>
              </w:rPr>
            </w:r>
            <w:r w:rsidR="0053652F">
              <w:rPr>
                <w:noProof/>
                <w:webHidden/>
              </w:rPr>
              <w:fldChar w:fldCharType="separate"/>
            </w:r>
            <w:r w:rsidR="0053652F">
              <w:rPr>
                <w:noProof/>
                <w:webHidden/>
              </w:rPr>
              <w:t>9</w:t>
            </w:r>
            <w:r w:rsidR="0053652F">
              <w:rPr>
                <w:noProof/>
                <w:webHidden/>
              </w:rPr>
              <w:fldChar w:fldCharType="end"/>
            </w:r>
          </w:hyperlink>
        </w:p>
        <w:p w14:paraId="3CC1F1F2" w14:textId="6DB41B42" w:rsidR="0053652F" w:rsidRDefault="00561479">
          <w:pPr>
            <w:pStyle w:val="TOC2"/>
            <w:tabs>
              <w:tab w:val="right" w:leader="dot" w:pos="9019"/>
            </w:tabs>
            <w:rPr>
              <w:rFonts w:asciiTheme="minorHAnsi" w:eastAsiaTheme="minorEastAsia" w:hAnsiTheme="minorHAnsi" w:cstheme="minorBidi"/>
              <w:noProof/>
              <w:lang w:val="en-IN" w:eastAsia="en-IN"/>
            </w:rPr>
          </w:pPr>
          <w:hyperlink w:anchor="_Toc158824356" w:history="1">
            <w:r w:rsidR="0053652F" w:rsidRPr="00271C71">
              <w:rPr>
                <w:rStyle w:val="Hyperlink"/>
                <w:noProof/>
                <w:lang w:val="en"/>
              </w:rPr>
              <w:t>Explanation of theories and policies</w:t>
            </w:r>
            <w:r w:rsidR="0053652F">
              <w:rPr>
                <w:noProof/>
                <w:webHidden/>
              </w:rPr>
              <w:tab/>
            </w:r>
            <w:r w:rsidR="0053652F">
              <w:rPr>
                <w:noProof/>
                <w:webHidden/>
              </w:rPr>
              <w:fldChar w:fldCharType="begin"/>
            </w:r>
            <w:r w:rsidR="0053652F">
              <w:rPr>
                <w:noProof/>
                <w:webHidden/>
              </w:rPr>
              <w:instrText xml:space="preserve"> PAGEREF _Toc158824356 \h </w:instrText>
            </w:r>
            <w:r w:rsidR="0053652F">
              <w:rPr>
                <w:noProof/>
                <w:webHidden/>
              </w:rPr>
            </w:r>
            <w:r w:rsidR="0053652F">
              <w:rPr>
                <w:noProof/>
                <w:webHidden/>
              </w:rPr>
              <w:fldChar w:fldCharType="separate"/>
            </w:r>
            <w:r w:rsidR="0053652F">
              <w:rPr>
                <w:noProof/>
                <w:webHidden/>
              </w:rPr>
              <w:t>9</w:t>
            </w:r>
            <w:r w:rsidR="0053652F">
              <w:rPr>
                <w:noProof/>
                <w:webHidden/>
              </w:rPr>
              <w:fldChar w:fldCharType="end"/>
            </w:r>
          </w:hyperlink>
        </w:p>
        <w:p w14:paraId="776B9F83" w14:textId="6858FB09" w:rsidR="0053652F" w:rsidRDefault="00561479">
          <w:pPr>
            <w:pStyle w:val="TOC2"/>
            <w:tabs>
              <w:tab w:val="right" w:leader="dot" w:pos="9019"/>
            </w:tabs>
            <w:rPr>
              <w:rFonts w:asciiTheme="minorHAnsi" w:eastAsiaTheme="minorEastAsia" w:hAnsiTheme="minorHAnsi" w:cstheme="minorBidi"/>
              <w:noProof/>
              <w:lang w:val="en-IN" w:eastAsia="en-IN"/>
            </w:rPr>
          </w:pPr>
          <w:hyperlink w:anchor="_Toc158824357" w:history="1">
            <w:r w:rsidR="0053652F" w:rsidRPr="00271C71">
              <w:rPr>
                <w:rStyle w:val="Hyperlink"/>
                <w:noProof/>
                <w:lang w:val="en"/>
              </w:rPr>
              <w:t>Analysis of government and health service response</w:t>
            </w:r>
            <w:r w:rsidR="0053652F">
              <w:rPr>
                <w:noProof/>
                <w:webHidden/>
              </w:rPr>
              <w:tab/>
            </w:r>
            <w:r w:rsidR="0053652F">
              <w:rPr>
                <w:noProof/>
                <w:webHidden/>
              </w:rPr>
              <w:fldChar w:fldCharType="begin"/>
            </w:r>
            <w:r w:rsidR="0053652F">
              <w:rPr>
                <w:noProof/>
                <w:webHidden/>
              </w:rPr>
              <w:instrText xml:space="preserve"> PAGEREF _Toc158824357 \h </w:instrText>
            </w:r>
            <w:r w:rsidR="0053652F">
              <w:rPr>
                <w:noProof/>
                <w:webHidden/>
              </w:rPr>
            </w:r>
            <w:r w:rsidR="0053652F">
              <w:rPr>
                <w:noProof/>
                <w:webHidden/>
              </w:rPr>
              <w:fldChar w:fldCharType="separate"/>
            </w:r>
            <w:r w:rsidR="0053652F">
              <w:rPr>
                <w:noProof/>
                <w:webHidden/>
              </w:rPr>
              <w:t>10</w:t>
            </w:r>
            <w:r w:rsidR="0053652F">
              <w:rPr>
                <w:noProof/>
                <w:webHidden/>
              </w:rPr>
              <w:fldChar w:fldCharType="end"/>
            </w:r>
          </w:hyperlink>
        </w:p>
        <w:p w14:paraId="76D3532E" w14:textId="0C95223C" w:rsidR="0053652F" w:rsidRDefault="00561479">
          <w:pPr>
            <w:pStyle w:val="TOC2"/>
            <w:tabs>
              <w:tab w:val="right" w:leader="dot" w:pos="9019"/>
            </w:tabs>
            <w:rPr>
              <w:rFonts w:asciiTheme="minorHAnsi" w:eastAsiaTheme="minorEastAsia" w:hAnsiTheme="minorHAnsi" w:cstheme="minorBidi"/>
              <w:noProof/>
              <w:lang w:val="en-IN" w:eastAsia="en-IN"/>
            </w:rPr>
          </w:pPr>
          <w:hyperlink w:anchor="_Toc158824358" w:history="1">
            <w:r w:rsidR="0053652F" w:rsidRPr="00271C71">
              <w:rPr>
                <w:rStyle w:val="Hyperlink"/>
                <w:noProof/>
                <w:lang w:val="en"/>
              </w:rPr>
              <w:t>Recommendations</w:t>
            </w:r>
            <w:r w:rsidR="0053652F">
              <w:rPr>
                <w:noProof/>
                <w:webHidden/>
              </w:rPr>
              <w:tab/>
            </w:r>
            <w:r w:rsidR="0053652F">
              <w:rPr>
                <w:noProof/>
                <w:webHidden/>
              </w:rPr>
              <w:fldChar w:fldCharType="begin"/>
            </w:r>
            <w:r w:rsidR="0053652F">
              <w:rPr>
                <w:noProof/>
                <w:webHidden/>
              </w:rPr>
              <w:instrText xml:space="preserve"> PAGEREF _Toc158824358 \h </w:instrText>
            </w:r>
            <w:r w:rsidR="0053652F">
              <w:rPr>
                <w:noProof/>
                <w:webHidden/>
              </w:rPr>
            </w:r>
            <w:r w:rsidR="0053652F">
              <w:rPr>
                <w:noProof/>
                <w:webHidden/>
              </w:rPr>
              <w:fldChar w:fldCharType="separate"/>
            </w:r>
            <w:r w:rsidR="0053652F">
              <w:rPr>
                <w:noProof/>
                <w:webHidden/>
              </w:rPr>
              <w:t>11</w:t>
            </w:r>
            <w:r w:rsidR="0053652F">
              <w:rPr>
                <w:noProof/>
                <w:webHidden/>
              </w:rPr>
              <w:fldChar w:fldCharType="end"/>
            </w:r>
          </w:hyperlink>
        </w:p>
        <w:p w14:paraId="242B0FD0" w14:textId="1B0743A7" w:rsidR="0053652F" w:rsidRDefault="00561479">
          <w:pPr>
            <w:pStyle w:val="TOC1"/>
            <w:tabs>
              <w:tab w:val="right" w:leader="dot" w:pos="9019"/>
            </w:tabs>
            <w:rPr>
              <w:rFonts w:asciiTheme="minorHAnsi" w:eastAsiaTheme="minorEastAsia" w:hAnsiTheme="minorHAnsi" w:cstheme="minorBidi"/>
              <w:noProof/>
              <w:lang w:val="en-IN" w:eastAsia="en-IN"/>
            </w:rPr>
          </w:pPr>
          <w:hyperlink w:anchor="_Toc158824359" w:history="1">
            <w:r w:rsidR="0053652F" w:rsidRPr="0053652F">
              <w:rPr>
                <w:rStyle w:val="Hyperlink"/>
                <w:noProof/>
                <w:lang w:val="en"/>
              </w:rPr>
              <w:t>Conclusion</w:t>
            </w:r>
            <w:r w:rsidR="0053652F">
              <w:rPr>
                <w:noProof/>
                <w:webHidden/>
              </w:rPr>
              <w:tab/>
            </w:r>
            <w:r w:rsidR="0053652F">
              <w:rPr>
                <w:noProof/>
                <w:webHidden/>
              </w:rPr>
              <w:fldChar w:fldCharType="begin"/>
            </w:r>
            <w:r w:rsidR="0053652F">
              <w:rPr>
                <w:noProof/>
                <w:webHidden/>
              </w:rPr>
              <w:instrText xml:space="preserve"> PAGEREF _Toc158824359 \h </w:instrText>
            </w:r>
            <w:r w:rsidR="0053652F">
              <w:rPr>
                <w:noProof/>
                <w:webHidden/>
              </w:rPr>
            </w:r>
            <w:r w:rsidR="0053652F">
              <w:rPr>
                <w:noProof/>
                <w:webHidden/>
              </w:rPr>
              <w:fldChar w:fldCharType="separate"/>
            </w:r>
            <w:r w:rsidR="0053652F">
              <w:rPr>
                <w:noProof/>
                <w:webHidden/>
              </w:rPr>
              <w:t>11</w:t>
            </w:r>
            <w:r w:rsidR="0053652F">
              <w:rPr>
                <w:noProof/>
                <w:webHidden/>
              </w:rPr>
              <w:fldChar w:fldCharType="end"/>
            </w:r>
          </w:hyperlink>
        </w:p>
        <w:p w14:paraId="230A5B08" w14:textId="1B3C4927" w:rsidR="0053652F" w:rsidRDefault="00561479">
          <w:pPr>
            <w:pStyle w:val="TOC1"/>
            <w:tabs>
              <w:tab w:val="right" w:leader="dot" w:pos="9019"/>
            </w:tabs>
            <w:rPr>
              <w:rFonts w:asciiTheme="minorHAnsi" w:eastAsiaTheme="minorEastAsia" w:hAnsiTheme="minorHAnsi" w:cstheme="minorBidi"/>
              <w:noProof/>
              <w:lang w:val="en-IN" w:eastAsia="en-IN"/>
            </w:rPr>
          </w:pPr>
          <w:hyperlink w:anchor="_Toc158824360" w:history="1">
            <w:r w:rsidR="0053652F" w:rsidRPr="00271C71">
              <w:rPr>
                <w:rStyle w:val="Hyperlink"/>
                <w:noProof/>
              </w:rPr>
              <w:t>References</w:t>
            </w:r>
            <w:r w:rsidR="0053652F">
              <w:rPr>
                <w:noProof/>
                <w:webHidden/>
              </w:rPr>
              <w:tab/>
            </w:r>
            <w:r w:rsidR="0053652F">
              <w:rPr>
                <w:noProof/>
                <w:webHidden/>
              </w:rPr>
              <w:fldChar w:fldCharType="begin"/>
            </w:r>
            <w:r w:rsidR="0053652F">
              <w:rPr>
                <w:noProof/>
                <w:webHidden/>
              </w:rPr>
              <w:instrText xml:space="preserve"> PAGEREF _Toc158824360 \h </w:instrText>
            </w:r>
            <w:r w:rsidR="0053652F">
              <w:rPr>
                <w:noProof/>
                <w:webHidden/>
              </w:rPr>
            </w:r>
            <w:r w:rsidR="0053652F">
              <w:rPr>
                <w:noProof/>
                <w:webHidden/>
              </w:rPr>
              <w:fldChar w:fldCharType="separate"/>
            </w:r>
            <w:r w:rsidR="0053652F">
              <w:rPr>
                <w:noProof/>
                <w:webHidden/>
              </w:rPr>
              <w:t>13</w:t>
            </w:r>
            <w:r w:rsidR="0053652F">
              <w:rPr>
                <w:noProof/>
                <w:webHidden/>
              </w:rPr>
              <w:fldChar w:fldCharType="end"/>
            </w:r>
          </w:hyperlink>
        </w:p>
        <w:p w14:paraId="66C5E727" w14:textId="276FEDDF" w:rsidR="00C267A9" w:rsidRPr="00F91516" w:rsidRDefault="00C267A9" w:rsidP="00F91516">
          <w:pPr>
            <w:spacing w:line="360" w:lineRule="auto"/>
            <w:rPr>
              <w:sz w:val="24"/>
              <w:szCs w:val="24"/>
            </w:rPr>
          </w:pPr>
          <w:r w:rsidRPr="00F91516">
            <w:rPr>
              <w:b/>
              <w:bCs/>
              <w:noProof/>
              <w:sz w:val="24"/>
              <w:szCs w:val="24"/>
            </w:rPr>
            <w:fldChar w:fldCharType="end"/>
          </w:r>
        </w:p>
      </w:sdtContent>
    </w:sdt>
    <w:p w14:paraId="17A89E4B" w14:textId="77777777" w:rsidR="00C267A9" w:rsidRDefault="00C267A9">
      <w:pPr>
        <w:rPr>
          <w:b/>
          <w:sz w:val="28"/>
          <w:szCs w:val="28"/>
        </w:rPr>
      </w:pPr>
      <w:r>
        <w:rPr>
          <w:sz w:val="28"/>
          <w:szCs w:val="28"/>
        </w:rPr>
        <w:br w:type="page"/>
      </w:r>
    </w:p>
    <w:p w14:paraId="664D2A57" w14:textId="7EA1939B" w:rsidR="00823BEE" w:rsidRPr="00934623" w:rsidRDefault="002A0599" w:rsidP="00934623">
      <w:pPr>
        <w:pStyle w:val="Heading1"/>
        <w:spacing w:after="240"/>
        <w:rPr>
          <w:sz w:val="28"/>
          <w:szCs w:val="28"/>
        </w:rPr>
      </w:pPr>
      <w:bookmarkStart w:id="0" w:name="_Toc158824350"/>
      <w:r w:rsidRPr="00934623">
        <w:rPr>
          <w:sz w:val="28"/>
          <w:szCs w:val="28"/>
        </w:rPr>
        <w:lastRenderedPageBreak/>
        <w:t>Introduction</w:t>
      </w:r>
      <w:bookmarkEnd w:id="0"/>
      <w:r w:rsidRPr="00934623">
        <w:rPr>
          <w:sz w:val="28"/>
          <w:szCs w:val="28"/>
        </w:rPr>
        <w:t xml:space="preserve"> </w:t>
      </w:r>
    </w:p>
    <w:p w14:paraId="395E31BC" w14:textId="77777777" w:rsidR="00823BEE" w:rsidRDefault="002A0599">
      <w:pPr>
        <w:pStyle w:val="Normal1"/>
        <w:spacing w:line="360" w:lineRule="auto"/>
        <w:jc w:val="both"/>
        <w:rPr>
          <w:sz w:val="24"/>
          <w:szCs w:val="24"/>
        </w:rPr>
      </w:pPr>
      <w:r>
        <w:rPr>
          <w:sz w:val="24"/>
          <w:szCs w:val="24"/>
        </w:rPr>
        <w:t>The rise in the number of older people above the age of 65 is increasing day by day in the United Kingdom, which can be regarded as a positive development for society. Due to the increase in this age group, huge pressure is created in health and social care, which requires betterment in health and social care with the application of artificial intelligence and other technologies in health and care provisions, as well as the improvement of current policies and initiatives to provide better care to older people in the United Kingdom. For that, this report has included a definition of old age and a discussion on the change in the number of older people and the ageing population in the UK, as well as the issues faced by them. Further, this report has examined the current health and social care provisions, government responses, and health service responses regarding policies, practices, and interventions for older people. Lastly, the activity, disengagement and continuity theory of ageing have been thoroughly used in this report.</w:t>
      </w:r>
    </w:p>
    <w:p w14:paraId="6DA6C2E0" w14:textId="77777777" w:rsidR="00823BEE" w:rsidRPr="00FC4EF9" w:rsidRDefault="002A0599" w:rsidP="00FC4EF9">
      <w:pPr>
        <w:pStyle w:val="Heading1"/>
        <w:spacing w:before="240" w:after="240"/>
        <w:rPr>
          <w:sz w:val="28"/>
          <w:szCs w:val="28"/>
        </w:rPr>
      </w:pPr>
      <w:bookmarkStart w:id="1" w:name="_Toc158824351"/>
      <w:r w:rsidRPr="00FC4EF9">
        <w:rPr>
          <w:sz w:val="28"/>
          <w:szCs w:val="28"/>
        </w:rPr>
        <w:t>Discussion</w:t>
      </w:r>
      <w:bookmarkEnd w:id="1"/>
      <w:r w:rsidRPr="00FC4EF9">
        <w:rPr>
          <w:sz w:val="28"/>
          <w:szCs w:val="28"/>
        </w:rPr>
        <w:t xml:space="preserve"> </w:t>
      </w:r>
    </w:p>
    <w:p w14:paraId="318EF374" w14:textId="77777777" w:rsidR="00823BEE" w:rsidRPr="00FC4EF9" w:rsidRDefault="002A0599" w:rsidP="00FC4EF9">
      <w:pPr>
        <w:pStyle w:val="Heading2"/>
        <w:spacing w:after="240"/>
        <w:rPr>
          <w:sz w:val="26"/>
          <w:szCs w:val="26"/>
        </w:rPr>
      </w:pPr>
      <w:bookmarkStart w:id="2" w:name="_Toc158824352"/>
      <w:r w:rsidRPr="00FC4EF9">
        <w:rPr>
          <w:sz w:val="26"/>
          <w:szCs w:val="26"/>
        </w:rPr>
        <w:t>Definition of old age</w:t>
      </w:r>
      <w:bookmarkEnd w:id="2"/>
      <w:r w:rsidRPr="00FC4EF9">
        <w:rPr>
          <w:sz w:val="26"/>
          <w:szCs w:val="26"/>
        </w:rPr>
        <w:t xml:space="preserve"> </w:t>
      </w:r>
    </w:p>
    <w:p w14:paraId="541E6828" w14:textId="7AD61DDA" w:rsidR="00823BEE" w:rsidRDefault="002A0599">
      <w:pPr>
        <w:pStyle w:val="Normal1"/>
        <w:spacing w:line="360" w:lineRule="auto"/>
        <w:jc w:val="both"/>
        <w:rPr>
          <w:sz w:val="24"/>
          <w:szCs w:val="24"/>
        </w:rPr>
      </w:pPr>
      <w:r>
        <w:rPr>
          <w:sz w:val="24"/>
          <w:szCs w:val="24"/>
        </w:rPr>
        <w:t xml:space="preserve">Old age can be defined as the age of retirement, which is around the age of 65 and above, demonstrating the age change from middle age to old age. On the other hand, the World Health Organisation has described old age as a chronological age, including individuals over 65 who are referred to as old-aged </w:t>
      </w:r>
      <w:r w:rsidR="00051B56">
        <w:rPr>
          <w:sz w:val="24"/>
          <w:szCs w:val="24"/>
        </w:rPr>
        <w:t xml:space="preserve">individuals </w:t>
      </w:r>
      <w:r>
        <w:rPr>
          <w:sz w:val="24"/>
          <w:szCs w:val="24"/>
        </w:rPr>
        <w:t xml:space="preserve">(World Health Organisation, 2024). However, as per </w:t>
      </w:r>
      <w:r>
        <w:rPr>
          <w:color w:val="222222"/>
          <w:sz w:val="24"/>
          <w:szCs w:val="24"/>
          <w:highlight w:val="white"/>
        </w:rPr>
        <w:t>Wenger, (2021)</w:t>
      </w:r>
      <w:r>
        <w:rPr>
          <w:sz w:val="24"/>
          <w:szCs w:val="24"/>
        </w:rPr>
        <w:t>, old age is regarded as the range of ages for individuals and their near life expectancy, and they are referred to as old people, elderly people, elders, etc. Based on these three definitions individuals aged above 65 are considered as old age individuals.</w:t>
      </w:r>
    </w:p>
    <w:p w14:paraId="2D8E9728" w14:textId="77777777" w:rsidR="00823BEE" w:rsidRPr="00B85FB2" w:rsidRDefault="002A0599" w:rsidP="00B85FB2">
      <w:pPr>
        <w:pStyle w:val="Heading2"/>
        <w:spacing w:before="240" w:after="240"/>
        <w:rPr>
          <w:sz w:val="26"/>
          <w:szCs w:val="26"/>
        </w:rPr>
      </w:pPr>
      <w:bookmarkStart w:id="3" w:name="_Toc158824353"/>
      <w:r w:rsidRPr="00B85FB2">
        <w:rPr>
          <w:sz w:val="26"/>
          <w:szCs w:val="26"/>
        </w:rPr>
        <w:t>Brief discussion on the ageing population and change in the number of older people</w:t>
      </w:r>
      <w:bookmarkEnd w:id="3"/>
      <w:r w:rsidRPr="00B85FB2">
        <w:rPr>
          <w:sz w:val="26"/>
          <w:szCs w:val="26"/>
        </w:rPr>
        <w:t xml:space="preserve"> </w:t>
      </w:r>
    </w:p>
    <w:p w14:paraId="52499E17" w14:textId="77777777" w:rsidR="00823BEE" w:rsidRDefault="002A0599">
      <w:pPr>
        <w:pStyle w:val="Normal1"/>
        <w:spacing w:line="360" w:lineRule="auto"/>
        <w:jc w:val="both"/>
        <w:rPr>
          <w:sz w:val="24"/>
          <w:szCs w:val="24"/>
        </w:rPr>
      </w:pPr>
      <w:r>
        <w:rPr>
          <w:sz w:val="24"/>
          <w:szCs w:val="24"/>
        </w:rPr>
        <w:t xml:space="preserve">The ageing population in the 21st century can be regarded as a dominant demographic phenomenon. In the United Kingdom, the ageing population, as well as </w:t>
      </w:r>
      <w:r>
        <w:rPr>
          <w:sz w:val="24"/>
          <w:szCs w:val="24"/>
        </w:rPr>
        <w:lastRenderedPageBreak/>
        <w:t xml:space="preserve">their needs in medical and societal factors, have altered, and there are 15.5 million people regarded as old age people, who are 23% of the UK population (AgeUK,2024). </w:t>
      </w:r>
    </w:p>
    <w:p w14:paraId="6D42B9E9" w14:textId="77777777" w:rsidR="00823BEE" w:rsidRDefault="002A0599">
      <w:pPr>
        <w:pStyle w:val="Normal1"/>
        <w:spacing w:line="360" w:lineRule="auto"/>
        <w:jc w:val="center"/>
        <w:rPr>
          <w:sz w:val="24"/>
          <w:szCs w:val="24"/>
        </w:rPr>
      </w:pPr>
      <w:r>
        <w:rPr>
          <w:noProof/>
          <w:sz w:val="24"/>
          <w:szCs w:val="24"/>
          <w:lang w:val="en-GB" w:eastAsia="en-GB" w:bidi="bn-BD"/>
        </w:rPr>
        <w:drawing>
          <wp:inline distT="114300" distB="114300" distL="114300" distR="114300" wp14:anchorId="60CD01E9" wp14:editId="33CF2D9F">
            <wp:extent cx="4224338" cy="33612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4224338" cy="3361225"/>
                    </a:xfrm>
                    <a:prstGeom prst="rect">
                      <a:avLst/>
                    </a:prstGeom>
                  </pic:spPr>
                </pic:pic>
              </a:graphicData>
            </a:graphic>
          </wp:inline>
        </w:drawing>
      </w:r>
    </w:p>
    <w:p w14:paraId="33E30C84" w14:textId="77777777" w:rsidR="00823BEE" w:rsidRDefault="002A0599">
      <w:pPr>
        <w:pStyle w:val="Normal1"/>
        <w:spacing w:line="360" w:lineRule="auto"/>
        <w:jc w:val="center"/>
        <w:rPr>
          <w:b/>
          <w:sz w:val="24"/>
          <w:szCs w:val="24"/>
        </w:rPr>
      </w:pPr>
      <w:r>
        <w:rPr>
          <w:b/>
          <w:sz w:val="24"/>
          <w:szCs w:val="24"/>
        </w:rPr>
        <w:t>Figure 1:Number of older individuals in the UK between 2011-2021</w:t>
      </w:r>
    </w:p>
    <w:p w14:paraId="2863FAF2" w14:textId="77777777" w:rsidR="00823BEE" w:rsidRDefault="002A0599">
      <w:pPr>
        <w:pStyle w:val="Normal1"/>
        <w:spacing w:line="360" w:lineRule="auto"/>
        <w:jc w:val="center"/>
        <w:rPr>
          <w:sz w:val="24"/>
          <w:szCs w:val="24"/>
        </w:rPr>
      </w:pPr>
      <w:r>
        <w:rPr>
          <w:sz w:val="24"/>
          <w:szCs w:val="24"/>
        </w:rPr>
        <w:t>(Source: Statista,2022)</w:t>
      </w:r>
    </w:p>
    <w:p w14:paraId="1E9EEB56" w14:textId="124076C9" w:rsidR="00823BEE" w:rsidRDefault="002A0599">
      <w:pPr>
        <w:pStyle w:val="Normal1"/>
        <w:spacing w:line="360" w:lineRule="auto"/>
        <w:jc w:val="both"/>
        <w:rPr>
          <w:sz w:val="24"/>
          <w:szCs w:val="24"/>
        </w:rPr>
      </w:pPr>
      <w:r>
        <w:rPr>
          <w:sz w:val="24"/>
          <w:szCs w:val="24"/>
        </w:rPr>
        <w:t>Between the period 2011 and 2021, the number of people aged above 65 increased to 11 million in the United Kingdom, and the proportion of people aged above 65 increased from 16.4% to 18.6% (Statista,2022). As a result of decreasing fertility rates and rising longevity, individuals in the UK are living longer with the help of preventive care, health, and diet. For example, in 2007, the number of people over 65 outnumbered the number of people under the age of 16. The improvements in life expectancy are making people live longer and reaching older ages, which is anticipated to double by 2025 when old age people will reach nearly 2.1 billion, and this can be considered a societal achievement as a result of improved life expectancy (</w:t>
      </w:r>
      <w:r>
        <w:t>National Institutes of Health, 2024)</w:t>
      </w:r>
      <w:r>
        <w:rPr>
          <w:sz w:val="24"/>
          <w:szCs w:val="24"/>
        </w:rPr>
        <w:t xml:space="preserve">. </w:t>
      </w:r>
    </w:p>
    <w:p w14:paraId="51B6F86A" w14:textId="77777777" w:rsidR="00823BEE" w:rsidRDefault="002A0599">
      <w:pPr>
        <w:pStyle w:val="Normal1"/>
        <w:spacing w:line="360" w:lineRule="auto"/>
        <w:jc w:val="center"/>
        <w:rPr>
          <w:sz w:val="24"/>
          <w:szCs w:val="24"/>
        </w:rPr>
      </w:pPr>
      <w:r>
        <w:rPr>
          <w:noProof/>
          <w:sz w:val="24"/>
          <w:szCs w:val="24"/>
          <w:lang w:val="en-GB" w:eastAsia="en-GB" w:bidi="bn-BD"/>
        </w:rPr>
        <w:lastRenderedPageBreak/>
        <w:drawing>
          <wp:inline distT="114300" distB="114300" distL="114300" distR="114300" wp14:anchorId="2E160EC5" wp14:editId="1F416586">
            <wp:extent cx="5731200" cy="21082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731200" cy="2108200"/>
                    </a:xfrm>
                    <a:prstGeom prst="rect">
                      <a:avLst/>
                    </a:prstGeom>
                  </pic:spPr>
                </pic:pic>
              </a:graphicData>
            </a:graphic>
          </wp:inline>
        </w:drawing>
      </w:r>
    </w:p>
    <w:p w14:paraId="7364E0DB" w14:textId="77777777" w:rsidR="00823BEE" w:rsidRDefault="002A0599">
      <w:pPr>
        <w:pStyle w:val="Normal1"/>
        <w:spacing w:line="360" w:lineRule="auto"/>
        <w:jc w:val="center"/>
        <w:rPr>
          <w:b/>
          <w:sz w:val="24"/>
          <w:szCs w:val="24"/>
        </w:rPr>
      </w:pPr>
      <w:r>
        <w:rPr>
          <w:b/>
          <w:sz w:val="24"/>
          <w:szCs w:val="24"/>
        </w:rPr>
        <w:t xml:space="preserve">Figure 2: Changed number of older individuals in the UK </w:t>
      </w:r>
    </w:p>
    <w:p w14:paraId="00133669" w14:textId="77777777" w:rsidR="00823BEE" w:rsidRDefault="002A0599">
      <w:pPr>
        <w:pStyle w:val="Normal1"/>
        <w:spacing w:line="360" w:lineRule="auto"/>
        <w:jc w:val="center"/>
        <w:rPr>
          <w:sz w:val="24"/>
          <w:szCs w:val="24"/>
        </w:rPr>
      </w:pPr>
      <w:r>
        <w:rPr>
          <w:sz w:val="24"/>
          <w:szCs w:val="24"/>
        </w:rPr>
        <w:t>(Source: Office of National Statistics,2021)</w:t>
      </w:r>
    </w:p>
    <w:p w14:paraId="7C1B0F91" w14:textId="07496898" w:rsidR="00823BEE" w:rsidRDefault="002A0599">
      <w:pPr>
        <w:pStyle w:val="Normal1"/>
        <w:spacing w:line="360" w:lineRule="auto"/>
        <w:jc w:val="both"/>
        <w:rPr>
          <w:sz w:val="24"/>
          <w:szCs w:val="24"/>
        </w:rPr>
      </w:pPr>
      <w:r>
        <w:rPr>
          <w:sz w:val="24"/>
          <w:szCs w:val="24"/>
        </w:rPr>
        <w:t>The above statistics show the improved health of people aged between 65-69 which has caused the number of older people to increase. Due to this, the need for long-term healthcare has increased to support the physical health of older age individuals in the UK. Medical interventions are highly important, at this age, as different diseases such as cancer, dementia, obesity, diabetes, and other injuries are increasing for this age group (</w:t>
      </w:r>
      <w:r>
        <w:rPr>
          <w:color w:val="222222"/>
          <w:sz w:val="24"/>
          <w:szCs w:val="24"/>
          <w:highlight w:val="white"/>
        </w:rPr>
        <w:t xml:space="preserve">Lin </w:t>
      </w:r>
      <w:r>
        <w:rPr>
          <w:i/>
          <w:color w:val="222222"/>
          <w:sz w:val="24"/>
          <w:szCs w:val="24"/>
          <w:highlight w:val="white"/>
        </w:rPr>
        <w:t>et al.</w:t>
      </w:r>
      <w:r>
        <w:rPr>
          <w:color w:val="222222"/>
          <w:sz w:val="24"/>
          <w:szCs w:val="24"/>
          <w:highlight w:val="white"/>
        </w:rPr>
        <w:t xml:space="preserve"> 2020)</w:t>
      </w:r>
      <w:r>
        <w:rPr>
          <w:sz w:val="24"/>
          <w:szCs w:val="24"/>
        </w:rPr>
        <w:t xml:space="preserve">. For example, cancer among old people is anticipated to rise by 27 million in 2030, dementia by 150 million, and obesity by 34%. In the same way, the social needs of having frequent social interactions, significant relationships, adequate support, safety, and security are required to support the mental health of older people due to being exposed to mental illness at this age. In this regard, activity theory suggests that if the ageing process is delayed or slow, then the quality of life is improved, especially when elderly people </w:t>
      </w:r>
      <w:r w:rsidR="00A9195E">
        <w:rPr>
          <w:sz w:val="24"/>
          <w:szCs w:val="24"/>
        </w:rPr>
        <w:t>stay</w:t>
      </w:r>
      <w:r>
        <w:rPr>
          <w:sz w:val="24"/>
          <w:szCs w:val="24"/>
        </w:rPr>
        <w:t xml:space="preserve"> socially active. For example, 50% of older individuals in the UK remain socially active as well as get intensive care, which has improved the quality of life among older people in the UK (AgeUK,2024). </w:t>
      </w:r>
    </w:p>
    <w:p w14:paraId="35311B13" w14:textId="6F122E27" w:rsidR="00823BEE" w:rsidRDefault="002A0599">
      <w:pPr>
        <w:pStyle w:val="Normal1"/>
        <w:spacing w:line="360" w:lineRule="auto"/>
        <w:jc w:val="both"/>
        <w:rPr>
          <w:sz w:val="24"/>
          <w:szCs w:val="24"/>
        </w:rPr>
      </w:pPr>
      <w:r>
        <w:rPr>
          <w:sz w:val="24"/>
          <w:szCs w:val="24"/>
        </w:rPr>
        <w:t xml:space="preserve">As per </w:t>
      </w:r>
      <w:r>
        <w:rPr>
          <w:color w:val="222222"/>
          <w:sz w:val="24"/>
          <w:szCs w:val="24"/>
          <w:highlight w:val="white"/>
        </w:rPr>
        <w:t xml:space="preserve">Sugimoto </w:t>
      </w:r>
      <w:r>
        <w:rPr>
          <w:i/>
          <w:color w:val="222222"/>
          <w:sz w:val="24"/>
          <w:szCs w:val="24"/>
          <w:highlight w:val="white"/>
        </w:rPr>
        <w:t>et al.</w:t>
      </w:r>
      <w:r>
        <w:rPr>
          <w:color w:val="222222"/>
          <w:sz w:val="24"/>
          <w:szCs w:val="24"/>
          <w:highlight w:val="white"/>
        </w:rPr>
        <w:t xml:space="preserve"> (2022)</w:t>
      </w:r>
      <w:r>
        <w:rPr>
          <w:sz w:val="24"/>
          <w:szCs w:val="24"/>
        </w:rPr>
        <w:t xml:space="preserve">, the disengagement theory of ageing older people decreases interaction as a result of their deteriorated ability to engage with others in social life, which also increases mental and physical challenges for individuals aged above 65. For example, over half a million, or 579,803 individuals, at this age experience anxiety disorder, depression, and chronic depressive disorders altering their numbers and needs in the UK. The continuity theory of ageing suggests adaptive techniques for older adults to maintain appropriate behaviour, connections, and activities, just as their past experiences have a vibrant and evolutionary </w:t>
      </w:r>
      <w:r w:rsidR="00CD692C">
        <w:rPr>
          <w:sz w:val="24"/>
          <w:szCs w:val="24"/>
        </w:rPr>
        <w:t xml:space="preserve">growth </w:t>
      </w:r>
      <w:r>
        <w:rPr>
          <w:sz w:val="24"/>
          <w:szCs w:val="24"/>
        </w:rPr>
        <w:t>process (</w:t>
      </w:r>
      <w:r>
        <w:rPr>
          <w:color w:val="222222"/>
          <w:sz w:val="24"/>
          <w:szCs w:val="24"/>
          <w:highlight w:val="white"/>
        </w:rPr>
        <w:t>Pazan and Wehling, 2021)</w:t>
      </w:r>
      <w:r>
        <w:rPr>
          <w:sz w:val="24"/>
          <w:szCs w:val="24"/>
        </w:rPr>
        <w:t xml:space="preserve">. For example, the strategies and adaptive choices </w:t>
      </w:r>
      <w:r>
        <w:rPr>
          <w:sz w:val="24"/>
          <w:szCs w:val="24"/>
        </w:rPr>
        <w:lastRenderedPageBreak/>
        <w:t>as per this theory have enhanced social approval and connections for older individuals in the UK, which has improved life expectancy and increased the number of older people.</w:t>
      </w:r>
    </w:p>
    <w:p w14:paraId="37E870A9" w14:textId="5E129744" w:rsidR="00823BEE" w:rsidRPr="00CC7D80" w:rsidRDefault="002A0599" w:rsidP="00CC7D80">
      <w:pPr>
        <w:pStyle w:val="Heading2"/>
        <w:spacing w:before="240" w:after="240"/>
        <w:rPr>
          <w:sz w:val="26"/>
          <w:szCs w:val="26"/>
        </w:rPr>
      </w:pPr>
      <w:bookmarkStart w:id="4" w:name="_Toc158824354"/>
      <w:r w:rsidRPr="00CC7D80">
        <w:rPr>
          <w:sz w:val="26"/>
          <w:szCs w:val="26"/>
        </w:rPr>
        <w:t>The issues experienced by older people</w:t>
      </w:r>
      <w:r w:rsidR="004630B6">
        <w:rPr>
          <w:sz w:val="26"/>
          <w:szCs w:val="26"/>
        </w:rPr>
        <w:t xml:space="preserve"> in the UK</w:t>
      </w:r>
      <w:bookmarkEnd w:id="4"/>
    </w:p>
    <w:p w14:paraId="6B36C52E" w14:textId="77777777" w:rsidR="00823BEE" w:rsidRDefault="002A0599">
      <w:pPr>
        <w:pStyle w:val="Normal1"/>
        <w:spacing w:line="360" w:lineRule="auto"/>
        <w:jc w:val="both"/>
        <w:rPr>
          <w:sz w:val="24"/>
          <w:szCs w:val="24"/>
        </w:rPr>
      </w:pPr>
      <w:r>
        <w:rPr>
          <w:sz w:val="24"/>
          <w:szCs w:val="24"/>
        </w:rPr>
        <w:t>The different challenges experienced by older people in the United Kingdom are discussed below.</w:t>
      </w:r>
    </w:p>
    <w:p w14:paraId="2F3761FC" w14:textId="77777777" w:rsidR="00823BEE" w:rsidRDefault="002A0599">
      <w:pPr>
        <w:pStyle w:val="Normal1"/>
        <w:spacing w:line="360" w:lineRule="auto"/>
        <w:jc w:val="both"/>
        <w:rPr>
          <w:b/>
          <w:sz w:val="24"/>
          <w:szCs w:val="24"/>
        </w:rPr>
      </w:pPr>
      <w:r>
        <w:rPr>
          <w:b/>
          <w:sz w:val="24"/>
          <w:szCs w:val="24"/>
        </w:rPr>
        <w:t>Physical issues</w:t>
      </w:r>
    </w:p>
    <w:p w14:paraId="7AB6C627" w14:textId="77777777" w:rsidR="00823BEE" w:rsidRDefault="002A0599">
      <w:pPr>
        <w:pStyle w:val="Normal1"/>
        <w:spacing w:line="360" w:lineRule="auto"/>
        <w:jc w:val="both"/>
        <w:rPr>
          <w:sz w:val="24"/>
          <w:szCs w:val="24"/>
        </w:rPr>
      </w:pPr>
      <w:r>
        <w:rPr>
          <w:sz w:val="24"/>
          <w:szCs w:val="24"/>
        </w:rPr>
        <w:t>In the United Kingdom, older people are more exposed to different physical diseases, such as dementia, hypertension, chronic bronchitis, cardiovascular disease, diabetes, cancer, blindness, hearing loss, back and neck pain, chronic obstructive pulmonary disease, asthma, chronic kidney disease, coronary heart disease, hypertension, epilepsy, high cholesterol, dementia and deep vein thrombosis, etc., one in every three older people has one of these diseases that is harming their physical health as well as emotional and mental health (World Health Organisation,2024). The real-life example of the National Health Service (NHS) demonstrates that it provides primary care, intermediate care, and intensive care to older people, as more than 50% of older people are suffering from these physical health problems.</w:t>
      </w:r>
    </w:p>
    <w:p w14:paraId="50DCBC8E" w14:textId="77777777" w:rsidR="00823BEE" w:rsidRDefault="002A0599">
      <w:pPr>
        <w:pStyle w:val="Normal1"/>
        <w:spacing w:line="360" w:lineRule="auto"/>
        <w:jc w:val="both"/>
        <w:rPr>
          <w:b/>
          <w:sz w:val="24"/>
          <w:szCs w:val="24"/>
        </w:rPr>
      </w:pPr>
      <w:r>
        <w:rPr>
          <w:b/>
          <w:sz w:val="24"/>
          <w:szCs w:val="24"/>
        </w:rPr>
        <w:t>Mental problems</w:t>
      </w:r>
    </w:p>
    <w:p w14:paraId="3F3A6D20" w14:textId="1CAD6CFC" w:rsidR="00823BEE" w:rsidRDefault="002A0599">
      <w:pPr>
        <w:pStyle w:val="Normal1"/>
        <w:spacing w:line="360" w:lineRule="auto"/>
        <w:jc w:val="both"/>
        <w:rPr>
          <w:sz w:val="24"/>
          <w:szCs w:val="24"/>
        </w:rPr>
      </w:pPr>
      <w:r>
        <w:rPr>
          <w:sz w:val="24"/>
          <w:szCs w:val="24"/>
        </w:rPr>
        <w:t>Different mental issues experienced by older people include depression and abuse</w:t>
      </w:r>
      <w:r w:rsidR="005F5865">
        <w:rPr>
          <w:sz w:val="24"/>
          <w:szCs w:val="24"/>
        </w:rPr>
        <w:t>s</w:t>
      </w:r>
      <w:r>
        <w:rPr>
          <w:sz w:val="24"/>
          <w:szCs w:val="24"/>
        </w:rPr>
        <w:t>, and one in every four older people lives with these common mental health conditions. Even between the ages 65-74, the chances of mental illness are 0.25% greater than other age groups (Office of National Statistics,2021). As a result of dementia among older people, 20 to 40% of people in the United Kingdom in this age group have depression. Due to loneliness, 2 million people in the UK aged above 65 are at risk of mental health conditions such as depression and anxiety. Likewise, decreased social interactions, being diagnosed with different physical conditions, and decreased independence cause different mental health issues in older people in the UK, lowering mental well-being.</w:t>
      </w:r>
    </w:p>
    <w:p w14:paraId="3F7940CA" w14:textId="77777777" w:rsidR="00823BEE" w:rsidRDefault="002A0599">
      <w:pPr>
        <w:pStyle w:val="Normal1"/>
        <w:spacing w:line="360" w:lineRule="auto"/>
        <w:jc w:val="center"/>
        <w:rPr>
          <w:sz w:val="24"/>
          <w:szCs w:val="24"/>
        </w:rPr>
      </w:pPr>
      <w:r>
        <w:rPr>
          <w:noProof/>
          <w:sz w:val="24"/>
          <w:szCs w:val="24"/>
          <w:lang w:val="en-GB" w:eastAsia="en-GB" w:bidi="bn-BD"/>
        </w:rPr>
        <w:lastRenderedPageBreak/>
        <w:drawing>
          <wp:inline distT="114300" distB="114300" distL="114300" distR="114300" wp14:anchorId="2AE083DF" wp14:editId="022FD2B7">
            <wp:extent cx="5731200" cy="1282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5731200" cy="1282700"/>
                    </a:xfrm>
                    <a:prstGeom prst="rect">
                      <a:avLst/>
                    </a:prstGeom>
                  </pic:spPr>
                </pic:pic>
              </a:graphicData>
            </a:graphic>
          </wp:inline>
        </w:drawing>
      </w:r>
    </w:p>
    <w:p w14:paraId="29B748E5" w14:textId="77777777" w:rsidR="00823BEE" w:rsidRDefault="002A0599">
      <w:pPr>
        <w:pStyle w:val="Normal1"/>
        <w:spacing w:line="360" w:lineRule="auto"/>
        <w:jc w:val="center"/>
        <w:rPr>
          <w:b/>
          <w:sz w:val="24"/>
          <w:szCs w:val="24"/>
        </w:rPr>
      </w:pPr>
      <w:r>
        <w:rPr>
          <w:b/>
          <w:sz w:val="24"/>
          <w:szCs w:val="24"/>
        </w:rPr>
        <w:t>Figure 3: Mental illness in different age groups in the UK</w:t>
      </w:r>
    </w:p>
    <w:p w14:paraId="777445EA" w14:textId="77777777" w:rsidR="00823BEE" w:rsidRDefault="002A0599">
      <w:pPr>
        <w:pStyle w:val="Normal1"/>
        <w:spacing w:line="360" w:lineRule="auto"/>
        <w:jc w:val="center"/>
        <w:rPr>
          <w:sz w:val="24"/>
          <w:szCs w:val="24"/>
        </w:rPr>
      </w:pPr>
      <w:r>
        <w:rPr>
          <w:sz w:val="24"/>
          <w:szCs w:val="24"/>
        </w:rPr>
        <w:t>(Source: Office of National Statistics,2021)</w:t>
      </w:r>
    </w:p>
    <w:p w14:paraId="42AB2236" w14:textId="77777777" w:rsidR="00823BEE" w:rsidRDefault="002A0599">
      <w:pPr>
        <w:pStyle w:val="Normal1"/>
        <w:spacing w:line="360" w:lineRule="auto"/>
        <w:jc w:val="both"/>
        <w:rPr>
          <w:b/>
          <w:sz w:val="24"/>
          <w:szCs w:val="24"/>
        </w:rPr>
      </w:pPr>
      <w:r>
        <w:rPr>
          <w:b/>
          <w:sz w:val="24"/>
          <w:szCs w:val="24"/>
        </w:rPr>
        <w:t>Social isolation</w:t>
      </w:r>
    </w:p>
    <w:p w14:paraId="3A4C435D" w14:textId="26B84B41" w:rsidR="00823BEE" w:rsidRDefault="002A0599">
      <w:pPr>
        <w:pStyle w:val="Normal1"/>
        <w:spacing w:line="360" w:lineRule="auto"/>
        <w:jc w:val="both"/>
        <w:rPr>
          <w:sz w:val="24"/>
          <w:szCs w:val="24"/>
        </w:rPr>
      </w:pPr>
      <w:r>
        <w:rPr>
          <w:sz w:val="24"/>
          <w:szCs w:val="24"/>
        </w:rPr>
        <w:t>Different social issues, such as inadequate family relationships, decreased social interactions, concerns regarding home, transportation, access to different goods and services, disability and illness, loss of touch with friends and relatives, lack of adequate social opportunities, corroborating community assistance, and huge stress in life are making older people in the UK reduce their social interaction, which makes them experience social isolation. For example, the real-life case study of Roy justifies the social isolation problems he faced as a result of being old in UK society that has caused him to be deprived of society</w:t>
      </w:r>
      <w:r w:rsidR="00EE38EB">
        <w:rPr>
          <w:sz w:val="24"/>
          <w:szCs w:val="24"/>
        </w:rPr>
        <w:t xml:space="preserve"> (</w:t>
      </w:r>
      <w:r w:rsidR="00EE38EB">
        <w:rPr>
          <w:color w:val="222222"/>
          <w:sz w:val="24"/>
          <w:szCs w:val="24"/>
          <w:highlight w:val="white"/>
        </w:rPr>
        <w:t>Aroogh and Shahboulaghi, 2020)</w:t>
      </w:r>
      <w:r>
        <w:rPr>
          <w:sz w:val="24"/>
          <w:szCs w:val="24"/>
        </w:rPr>
        <w:t>.</w:t>
      </w:r>
    </w:p>
    <w:p w14:paraId="1AC12725" w14:textId="77777777" w:rsidR="00823BEE" w:rsidRDefault="002A0599">
      <w:pPr>
        <w:pStyle w:val="Normal1"/>
        <w:spacing w:line="360" w:lineRule="auto"/>
        <w:jc w:val="both"/>
        <w:rPr>
          <w:b/>
          <w:sz w:val="24"/>
          <w:szCs w:val="24"/>
        </w:rPr>
      </w:pPr>
      <w:r>
        <w:rPr>
          <w:b/>
          <w:sz w:val="24"/>
          <w:szCs w:val="24"/>
        </w:rPr>
        <w:t>Challenges due to COVID-19</w:t>
      </w:r>
    </w:p>
    <w:p w14:paraId="7F07808B" w14:textId="0541B492" w:rsidR="00823BEE" w:rsidRDefault="002A0599">
      <w:pPr>
        <w:pStyle w:val="Normal1"/>
        <w:spacing w:line="360" w:lineRule="auto"/>
        <w:jc w:val="both"/>
        <w:rPr>
          <w:sz w:val="24"/>
          <w:szCs w:val="24"/>
        </w:rPr>
      </w:pPr>
      <w:r>
        <w:rPr>
          <w:sz w:val="24"/>
          <w:szCs w:val="24"/>
        </w:rPr>
        <w:t>The outbreak of COVID-19 and lockdowns due to it have resulted in physical, mental, social, emotional, and financial consequences. COVID-19 has caused many older people to die, suffering from depression and anxiety due to loneliness. Even older people with pr</w:t>
      </w:r>
      <w:r w:rsidR="00F062E6">
        <w:rPr>
          <w:sz w:val="24"/>
          <w:szCs w:val="24"/>
        </w:rPr>
        <w:t>ior</w:t>
      </w:r>
      <w:r>
        <w:rPr>
          <w:sz w:val="24"/>
          <w:szCs w:val="24"/>
        </w:rPr>
        <w:t xml:space="preserve"> mental illnesses have seen the severity of their symptoms, struggling emotionally and mentally. The social consequences of being deprived of society and the financial consequences of losing earning opportunities have resulted in decreased healthcare support for them (AgeUK,2024). Thus, due to COVID-19 the long-term negative impact on the physical, social, mental, emotional</w:t>
      </w:r>
      <w:r w:rsidR="000A1F09">
        <w:rPr>
          <w:sz w:val="24"/>
          <w:szCs w:val="24"/>
        </w:rPr>
        <w:t>,</w:t>
      </w:r>
      <w:r>
        <w:rPr>
          <w:sz w:val="24"/>
          <w:szCs w:val="24"/>
        </w:rPr>
        <w:t xml:space="preserve"> and financial well-being of older people in the UK is found.</w:t>
      </w:r>
    </w:p>
    <w:p w14:paraId="5DDB46FC" w14:textId="77777777" w:rsidR="00823BEE" w:rsidRDefault="002A0599">
      <w:pPr>
        <w:pStyle w:val="Normal1"/>
        <w:spacing w:line="360" w:lineRule="auto"/>
        <w:jc w:val="both"/>
        <w:rPr>
          <w:b/>
          <w:sz w:val="24"/>
          <w:szCs w:val="24"/>
        </w:rPr>
      </w:pPr>
      <w:r>
        <w:rPr>
          <w:b/>
          <w:sz w:val="24"/>
          <w:szCs w:val="24"/>
        </w:rPr>
        <w:t xml:space="preserve">Financial concerns </w:t>
      </w:r>
    </w:p>
    <w:p w14:paraId="403F205E" w14:textId="77777777" w:rsidR="00823BEE" w:rsidRDefault="002A0599">
      <w:pPr>
        <w:pStyle w:val="Normal1"/>
        <w:spacing w:line="360" w:lineRule="auto"/>
        <w:jc w:val="both"/>
        <w:rPr>
          <w:sz w:val="24"/>
          <w:szCs w:val="24"/>
        </w:rPr>
      </w:pPr>
      <w:r>
        <w:rPr>
          <w:sz w:val="24"/>
          <w:szCs w:val="24"/>
        </w:rPr>
        <w:t>Having insufficient money due to losing the capability to work has caused financial concerns that have reduced the capability of older people to get healthcare services. For example, more than 25% of individuals aged above 65 are living at the highest rate of poverty.</w:t>
      </w:r>
    </w:p>
    <w:p w14:paraId="50C9826D" w14:textId="77777777" w:rsidR="00823BEE" w:rsidRDefault="002A0599">
      <w:pPr>
        <w:pStyle w:val="Normal1"/>
        <w:spacing w:line="360" w:lineRule="auto"/>
        <w:jc w:val="both"/>
        <w:rPr>
          <w:sz w:val="24"/>
          <w:szCs w:val="24"/>
        </w:rPr>
      </w:pPr>
      <w:r>
        <w:rPr>
          <w:b/>
          <w:sz w:val="24"/>
          <w:szCs w:val="24"/>
        </w:rPr>
        <w:t>Discrimination</w:t>
      </w:r>
      <w:r>
        <w:rPr>
          <w:sz w:val="24"/>
          <w:szCs w:val="24"/>
        </w:rPr>
        <w:t xml:space="preserve"> </w:t>
      </w:r>
    </w:p>
    <w:p w14:paraId="5D9D65FD" w14:textId="77777777" w:rsidR="00823BEE" w:rsidRDefault="002A0599">
      <w:pPr>
        <w:pStyle w:val="Normal1"/>
        <w:spacing w:line="360" w:lineRule="auto"/>
        <w:jc w:val="both"/>
        <w:rPr>
          <w:sz w:val="24"/>
          <w:szCs w:val="24"/>
        </w:rPr>
      </w:pPr>
      <w:r>
        <w:rPr>
          <w:sz w:val="24"/>
          <w:szCs w:val="24"/>
        </w:rPr>
        <w:lastRenderedPageBreak/>
        <w:t>In different places, older people due to ageism face discrimination, prejudice, unfair treatment, and the wrong attitude towards them, especially in terms of healthcare due to their old age. For example, the English Longitudinal Study of Ageing (ELSA) has revealed that 33% of older people experience discrimination, prejudice, and unfair treatment in the UK.</w:t>
      </w:r>
    </w:p>
    <w:p w14:paraId="7A5E854E" w14:textId="77777777" w:rsidR="00823BEE" w:rsidRPr="005021CC" w:rsidRDefault="002A0599" w:rsidP="005021CC">
      <w:pPr>
        <w:rPr>
          <w:b/>
          <w:bCs/>
          <w:sz w:val="24"/>
          <w:szCs w:val="24"/>
        </w:rPr>
      </w:pPr>
      <w:r w:rsidRPr="005021CC">
        <w:rPr>
          <w:b/>
          <w:bCs/>
          <w:sz w:val="24"/>
          <w:szCs w:val="24"/>
        </w:rPr>
        <w:t>Challenges in accessing health and social care</w:t>
      </w:r>
    </w:p>
    <w:p w14:paraId="631BBCE6" w14:textId="0C009961" w:rsidR="00384EDB" w:rsidRDefault="002A0599">
      <w:pPr>
        <w:pStyle w:val="Normal1"/>
        <w:spacing w:line="360" w:lineRule="auto"/>
        <w:jc w:val="both"/>
        <w:rPr>
          <w:sz w:val="24"/>
          <w:szCs w:val="24"/>
        </w:rPr>
      </w:pPr>
      <w:r>
        <w:rPr>
          <w:sz w:val="24"/>
          <w:szCs w:val="24"/>
        </w:rPr>
        <w:t xml:space="preserve">People aged 65 and older have complex needs and age disabilities that require multiple services. However, they only obtain primary care, which cannot treat their diverse range of diseases that make health and social care provisions efficient. Older patients in different health and social care organisations, such as the NHS, have </w:t>
      </w:r>
      <w:r w:rsidR="000A1F09">
        <w:rPr>
          <w:sz w:val="24"/>
          <w:szCs w:val="24"/>
        </w:rPr>
        <w:t xml:space="preserve">a </w:t>
      </w:r>
      <w:r>
        <w:rPr>
          <w:sz w:val="24"/>
          <w:szCs w:val="24"/>
        </w:rPr>
        <w:t xml:space="preserve">lower quality of care as frailer old people are not appropriately assessed </w:t>
      </w:r>
      <w:r w:rsidR="00BF152D">
        <w:rPr>
          <w:sz w:val="24"/>
          <w:szCs w:val="24"/>
        </w:rPr>
        <w:t>and</w:t>
      </w:r>
      <w:r>
        <w:rPr>
          <w:sz w:val="24"/>
          <w:szCs w:val="24"/>
        </w:rPr>
        <w:t xml:space="preserve"> diagnosed, which decreases the quality of care and health assistance for them (Nhs.uk,2024). Even older people accessing healthcare face discrimination where ageist attitudes, lack of coordination and inappropriate communication towards elder people are present that creates challenges in getting care and different clinicians, GPs, and other health professionals often discriminate due to older people's financial status, old age</w:t>
      </w:r>
      <w:r w:rsidR="000A1F09">
        <w:rPr>
          <w:sz w:val="24"/>
          <w:szCs w:val="24"/>
        </w:rPr>
        <w:t>,</w:t>
      </w:r>
      <w:r>
        <w:rPr>
          <w:sz w:val="24"/>
          <w:szCs w:val="24"/>
        </w:rPr>
        <w:t xml:space="preserve"> and poverty that makes care inappropriate. Lack of technological intelligence among older people in the UK often makes them unable to perform different primary care interventions, which makes it difficult for them to access care (</w:t>
      </w:r>
      <w:r>
        <w:rPr>
          <w:color w:val="222222"/>
          <w:sz w:val="24"/>
          <w:szCs w:val="24"/>
          <w:highlight w:val="white"/>
        </w:rPr>
        <w:t xml:space="preserve">Gordon </w:t>
      </w:r>
      <w:r>
        <w:rPr>
          <w:i/>
          <w:color w:val="222222"/>
          <w:sz w:val="24"/>
          <w:szCs w:val="24"/>
          <w:highlight w:val="white"/>
        </w:rPr>
        <w:t>et al.</w:t>
      </w:r>
      <w:r>
        <w:rPr>
          <w:color w:val="222222"/>
          <w:sz w:val="24"/>
          <w:szCs w:val="24"/>
          <w:highlight w:val="white"/>
        </w:rPr>
        <w:t>2020)</w:t>
      </w:r>
      <w:r>
        <w:rPr>
          <w:sz w:val="24"/>
          <w:szCs w:val="24"/>
        </w:rPr>
        <w:t>.</w:t>
      </w:r>
    </w:p>
    <w:p w14:paraId="7C39DAE1" w14:textId="4C309BD6" w:rsidR="00384EDB" w:rsidRDefault="002A0599">
      <w:pPr>
        <w:pStyle w:val="Normal1"/>
        <w:spacing w:line="360" w:lineRule="auto"/>
        <w:jc w:val="both"/>
        <w:rPr>
          <w:sz w:val="24"/>
          <w:szCs w:val="24"/>
        </w:rPr>
      </w:pPr>
      <w:r>
        <w:rPr>
          <w:sz w:val="24"/>
          <w:szCs w:val="24"/>
        </w:rPr>
        <w:t>Even in terms of accessing treatments, older people in the UK are the most vulnerable due to not getting equal access to health and social care services, as well as getting treatment for different severe diseases such as cancer, cardiovascular disease, and other diseases. For example, the NHS follows the Equality Act 2010 for providing equal treatment and services</w:t>
      </w:r>
      <w:r w:rsidR="00D06220">
        <w:rPr>
          <w:sz w:val="24"/>
          <w:szCs w:val="24"/>
        </w:rPr>
        <w:t xml:space="preserve"> however</w:t>
      </w:r>
      <w:r>
        <w:rPr>
          <w:sz w:val="24"/>
          <w:szCs w:val="24"/>
        </w:rPr>
        <w:t>, many cases of unequal treatment among older people have been recorded</w:t>
      </w:r>
      <w:r w:rsidR="00D06220">
        <w:rPr>
          <w:sz w:val="24"/>
          <w:szCs w:val="24"/>
        </w:rPr>
        <w:t xml:space="preserve"> here</w:t>
      </w:r>
      <w:r>
        <w:rPr>
          <w:sz w:val="24"/>
          <w:szCs w:val="24"/>
        </w:rPr>
        <w:t xml:space="preserve"> (Nhs.</w:t>
      </w:r>
      <w:r w:rsidR="000A1F09">
        <w:rPr>
          <w:sz w:val="24"/>
          <w:szCs w:val="24"/>
        </w:rPr>
        <w:t xml:space="preserve"> </w:t>
      </w:r>
      <w:bookmarkStart w:id="5" w:name="_GoBack"/>
      <w:bookmarkEnd w:id="5"/>
      <w:r>
        <w:rPr>
          <w:sz w:val="24"/>
          <w:szCs w:val="24"/>
        </w:rPr>
        <w:t>uk,2024). Also, due to a lack of healthcare employees, lack of knowledge of services and inappropriate infrastructure regarding older people's treatment, 55% of older people in the UK experience delayed or missed treatment and care. Not having healthcare information and solutions often restricts older people's accessibility to healthcare services. Lack of professional guidance on self-care strategies makes it impossible to guide older people to take care of their health and recover from different diseases (</w:t>
      </w:r>
      <w:r>
        <w:rPr>
          <w:color w:val="222222"/>
          <w:sz w:val="24"/>
          <w:szCs w:val="24"/>
          <w:highlight w:val="white"/>
        </w:rPr>
        <w:t xml:space="preserve">Johnson </w:t>
      </w:r>
      <w:r>
        <w:rPr>
          <w:i/>
          <w:color w:val="222222"/>
          <w:sz w:val="24"/>
          <w:szCs w:val="24"/>
          <w:highlight w:val="white"/>
        </w:rPr>
        <w:t>et al.</w:t>
      </w:r>
      <w:r>
        <w:rPr>
          <w:color w:val="222222"/>
          <w:sz w:val="24"/>
          <w:szCs w:val="24"/>
          <w:highlight w:val="white"/>
        </w:rPr>
        <w:t xml:space="preserve"> 2021)</w:t>
      </w:r>
      <w:r>
        <w:rPr>
          <w:sz w:val="24"/>
          <w:szCs w:val="24"/>
        </w:rPr>
        <w:t xml:space="preserve">. </w:t>
      </w:r>
    </w:p>
    <w:p w14:paraId="172CFED8" w14:textId="219BC389" w:rsidR="00823BEE" w:rsidRDefault="002A0599">
      <w:pPr>
        <w:pStyle w:val="Normal1"/>
        <w:spacing w:line="360" w:lineRule="auto"/>
        <w:jc w:val="both"/>
        <w:rPr>
          <w:sz w:val="24"/>
          <w:szCs w:val="24"/>
        </w:rPr>
      </w:pPr>
      <w:r>
        <w:rPr>
          <w:sz w:val="24"/>
          <w:szCs w:val="24"/>
        </w:rPr>
        <w:t xml:space="preserve">Moreover, the demand for older people's healthcare is increasing day by day, as is the expectation of these people, but that expectation is not being met due to a lack of control, autonomy, and </w:t>
      </w:r>
      <w:r w:rsidR="00D06220">
        <w:rPr>
          <w:sz w:val="24"/>
          <w:szCs w:val="24"/>
        </w:rPr>
        <w:t>preferences</w:t>
      </w:r>
      <w:r>
        <w:rPr>
          <w:sz w:val="24"/>
          <w:szCs w:val="24"/>
        </w:rPr>
        <w:t xml:space="preserve"> of care that is increasing frailty. Due to these </w:t>
      </w:r>
      <w:r>
        <w:rPr>
          <w:sz w:val="24"/>
          <w:szCs w:val="24"/>
        </w:rPr>
        <w:lastRenderedPageBreak/>
        <w:t>challenges, the free health and social care services of the NHS could not be helpful for older individuals in the UK.</w:t>
      </w:r>
    </w:p>
    <w:p w14:paraId="038BA059" w14:textId="77777777" w:rsidR="00E265BE" w:rsidRPr="00E265BE" w:rsidRDefault="00E265BE" w:rsidP="00574341">
      <w:pPr>
        <w:pStyle w:val="Heading2"/>
        <w:rPr>
          <w:lang w:val="en"/>
        </w:rPr>
      </w:pPr>
      <w:bookmarkStart w:id="6" w:name="_d6ct2hhbl945" w:colFirst="0" w:colLast="0"/>
      <w:bookmarkStart w:id="7" w:name="_Toc158824355"/>
      <w:bookmarkEnd w:id="6"/>
      <w:r w:rsidRPr="00E265BE">
        <w:rPr>
          <w:lang w:val="en"/>
        </w:rPr>
        <w:t>Current health and Social care provision in the United Kingdom</w:t>
      </w:r>
      <w:bookmarkEnd w:id="7"/>
      <w:r w:rsidRPr="00E265BE">
        <w:rPr>
          <w:lang w:val="en"/>
        </w:rPr>
        <w:t xml:space="preserve"> </w:t>
      </w:r>
    </w:p>
    <w:p w14:paraId="1E932A2F" w14:textId="77777777" w:rsidR="00E265BE" w:rsidRPr="00E265BE" w:rsidRDefault="00E265BE" w:rsidP="00E265BE">
      <w:pPr>
        <w:spacing w:line="360" w:lineRule="auto"/>
        <w:jc w:val="both"/>
        <w:rPr>
          <w:sz w:val="24"/>
          <w:szCs w:val="24"/>
          <w:lang w:val="en"/>
        </w:rPr>
      </w:pPr>
      <w:r w:rsidRPr="00E265BE">
        <w:rPr>
          <w:sz w:val="24"/>
          <w:szCs w:val="24"/>
          <w:lang w:val="en"/>
        </w:rPr>
        <w:t xml:space="preserve">The terms health and social provisions signify the activities and process of planning, assessment, and applications to provide better care services. In the United Kingdom, government bodies and local authorities are involved in delivering and managing health and care services for the population's good health and care to meet the expectations of aging people (Lloyd-Sherlock). The primary aim of the health and social care provision of the United Kingdom is to intensify health outcomes and fulfill the demands and expectations of the Population. However, this country provides various types of health and social care provision for older people to provide medical services and support. Hospitals, practitioner offices, and surgical centers represent the United Kingdom where an old age person gets proper medical support and care services. “National Health Services (NHS)” is one of the most effective public healthcare service providers in the UK (England.nhs.uk, 2024). This organization provides guidelines, a self-management strategy, and best intervention practices to overcome health aging problems for the good health of the older population. This organization also focuses on the delivery of personalized care services according to the needs and expectations of old age people. </w:t>
      </w:r>
    </w:p>
    <w:p w14:paraId="0EC61B3A" w14:textId="77777777" w:rsidR="00E265BE" w:rsidRPr="00E265BE" w:rsidRDefault="00E265BE" w:rsidP="00E265BE">
      <w:pPr>
        <w:spacing w:line="360" w:lineRule="auto"/>
        <w:jc w:val="both"/>
        <w:rPr>
          <w:sz w:val="24"/>
          <w:szCs w:val="24"/>
          <w:lang w:val="en"/>
        </w:rPr>
      </w:pPr>
      <w:r w:rsidRPr="00E265BE">
        <w:rPr>
          <w:sz w:val="24"/>
          <w:szCs w:val="24"/>
          <w:lang w:val="en"/>
        </w:rPr>
        <w:t xml:space="preserve">“Home health care services and community services” are also available in the United Kingdom and are responsible for the delivery of medical, social, and financial support to old age people who are suffering from issues of mental and physical health due to aging. Grieco et al., (2021), stated that this type of service helps provide face-to-face healthcare support and services at the home of the person. This type of healthcare provision plays a crucial role in the reduction of long-term support and care in hospitals. A wide range of agencies and trustees also provide health and social care services to older people in the United Kingdom. They provide medical services, homes, and a better environment to foster a sense of care and happiness among them. This type of agency provides well-trained and educated nurses, and other staff for the care of older people. Local authorities also provide emotional and social support to old age people and help them in resolving the issues of abuse, social isolation, and others. </w:t>
      </w:r>
    </w:p>
    <w:p w14:paraId="610F44DA" w14:textId="77777777" w:rsidR="00E265BE" w:rsidRPr="00E265BE" w:rsidRDefault="00E265BE" w:rsidP="00574341">
      <w:pPr>
        <w:pStyle w:val="Heading2"/>
        <w:rPr>
          <w:lang w:val="en"/>
        </w:rPr>
      </w:pPr>
      <w:bookmarkStart w:id="8" w:name="_698b0dk2u55s" w:colFirst="0" w:colLast="0"/>
      <w:bookmarkStart w:id="9" w:name="_Toc158824356"/>
      <w:bookmarkEnd w:id="8"/>
      <w:r w:rsidRPr="00E265BE">
        <w:rPr>
          <w:lang w:val="en"/>
        </w:rPr>
        <w:t>Explanation of theories and policies</w:t>
      </w:r>
      <w:bookmarkEnd w:id="9"/>
      <w:r w:rsidRPr="00E265BE">
        <w:rPr>
          <w:lang w:val="en"/>
        </w:rPr>
        <w:t xml:space="preserve"> </w:t>
      </w:r>
    </w:p>
    <w:p w14:paraId="21D155A9" w14:textId="77777777" w:rsidR="00E265BE" w:rsidRPr="00E265BE" w:rsidRDefault="00E265BE" w:rsidP="00E265BE">
      <w:pPr>
        <w:spacing w:line="360" w:lineRule="auto"/>
        <w:jc w:val="both"/>
        <w:rPr>
          <w:sz w:val="24"/>
          <w:szCs w:val="24"/>
          <w:lang w:val="en"/>
        </w:rPr>
      </w:pPr>
      <w:r w:rsidRPr="00E265BE">
        <w:rPr>
          <w:sz w:val="24"/>
          <w:szCs w:val="24"/>
          <w:lang w:val="en"/>
        </w:rPr>
        <w:t xml:space="preserve">In the “health and social care system”, different types of theories and policies are considered by the healthcare system and government for the delivery of the best </w:t>
      </w:r>
      <w:r w:rsidRPr="00E265BE">
        <w:rPr>
          <w:sz w:val="24"/>
          <w:szCs w:val="24"/>
          <w:lang w:val="en"/>
        </w:rPr>
        <w:lastRenderedPageBreak/>
        <w:t xml:space="preserve">services and support to overcome the challenges of aging. Activity theory and disengagement theory are suitable theories of aging that were developed by </w:t>
      </w:r>
      <w:r w:rsidRPr="00E265BE">
        <w:rPr>
          <w:sz w:val="24"/>
          <w:szCs w:val="24"/>
          <w:highlight w:val="white"/>
          <w:lang w:val="en"/>
        </w:rPr>
        <w:t xml:space="preserve">Robert James Havighurst. According to the theory of aging, people who have the happiest life and focus on social interaction have a positive impact and successful aging process (Kooij, </w:t>
      </w:r>
      <w:r w:rsidRPr="00E265BE">
        <w:rPr>
          <w:i/>
          <w:sz w:val="24"/>
          <w:szCs w:val="24"/>
          <w:highlight w:val="white"/>
          <w:lang w:val="en"/>
        </w:rPr>
        <w:t>et al.,</w:t>
      </w:r>
      <w:r w:rsidRPr="00E265BE">
        <w:rPr>
          <w:sz w:val="24"/>
          <w:szCs w:val="24"/>
          <w:highlight w:val="white"/>
          <w:lang w:val="en"/>
        </w:rPr>
        <w:t xml:space="preserve"> 2020). This theory is helpful for people in the establishment of a positive relationship between the satisfaction of life and activities. </w:t>
      </w:r>
      <w:r w:rsidRPr="00E265BE">
        <w:rPr>
          <w:sz w:val="26"/>
          <w:szCs w:val="26"/>
          <w:highlight w:val="white"/>
          <w:lang w:val="en"/>
        </w:rPr>
        <w:t xml:space="preserve">On the other hand, the theory of disengagement signifies the social engagement of people within society. According to this theory, People who do not interact with people of the society in their elder age, have a high chance of aging at an early age. Also, social interaction with people is important for better cognitive outcomes and health conditions. In the United Kingdom, the "Health and Care Act 2022" has been implemented by the UK government for the enhancement of partnership and collaboration to deliver an effective patient care system to the people (Rayner, 2022). This policy is effective for the removal of barriers and delivery of integrated services for the betterment of life and enhancement of the quality of the health and social care system.  A legislative framework has been also implemented with the help of this policy to satisfy the needs and expectations of patients. </w:t>
      </w:r>
    </w:p>
    <w:p w14:paraId="76CFEE89" w14:textId="77777777" w:rsidR="00E265BE" w:rsidRPr="00E265BE" w:rsidRDefault="00E265BE" w:rsidP="00574341">
      <w:pPr>
        <w:pStyle w:val="Heading2"/>
        <w:rPr>
          <w:lang w:val="en"/>
        </w:rPr>
      </w:pPr>
      <w:bookmarkStart w:id="10" w:name="_6k52cg6cmua8" w:colFirst="0" w:colLast="0"/>
      <w:bookmarkStart w:id="11" w:name="_Toc158824357"/>
      <w:bookmarkEnd w:id="10"/>
      <w:r w:rsidRPr="00E265BE">
        <w:rPr>
          <w:lang w:val="en"/>
        </w:rPr>
        <w:t>Analysis of government and health service response</w:t>
      </w:r>
      <w:bookmarkEnd w:id="11"/>
      <w:r w:rsidRPr="00E265BE">
        <w:rPr>
          <w:lang w:val="en"/>
        </w:rPr>
        <w:t xml:space="preserve"> </w:t>
      </w:r>
    </w:p>
    <w:p w14:paraId="21FEFC2D" w14:textId="77777777" w:rsidR="00E265BE" w:rsidRPr="00E265BE" w:rsidRDefault="00E265BE" w:rsidP="00E265BE">
      <w:pPr>
        <w:spacing w:line="360" w:lineRule="auto"/>
        <w:jc w:val="both"/>
        <w:rPr>
          <w:sz w:val="24"/>
          <w:szCs w:val="24"/>
          <w:lang w:val="en"/>
        </w:rPr>
      </w:pPr>
      <w:r w:rsidRPr="00E265BE">
        <w:rPr>
          <w:sz w:val="24"/>
          <w:szCs w:val="24"/>
          <w:lang w:val="en"/>
        </w:rPr>
        <w:t xml:space="preserve">From the evaluation of government and health service response in the context of aging issues of older age people, it has been analyzed that it has positive as well as negative impacts. The government of the United Kingdom implemented effective rules and regulations for the improvement of health and social care facilities and the quality of services to meet the needs and expectations of older people. In the year 2022, a legislative framework has been implemented with the help of the "Health and Care Act 2022" to collectively work and deliver the best patient care facility and services to the population (Toh, and Haynes, 2022). It has been also identified that the government also involved local partners and authorities in the development of collaborative planning and strategy to resolve the aging problems of people such as physical and mental health issues, social and financial problems along emotional problems like abuse. They also focused on the identification of core issues of aging among older people to make an effective decision and solutions to help them. However, it has been </w:t>
      </w:r>
      <w:r w:rsidRPr="00E265BE">
        <w:rPr>
          <w:sz w:val="24"/>
          <w:szCs w:val="24"/>
          <w:lang w:val="en"/>
        </w:rPr>
        <w:lastRenderedPageBreak/>
        <w:t xml:space="preserve">identified that the government and healthcare system of the United Kingdom faced issues in the delivery of services on time and improvement of awareness among the population due to a lack of services management system and poor communication channels. Social barriers also influence the services and strategy of the health and social care system. As a result, older people experience a lot of issues in old age like mental disorders, abuse, homelessness, and others.  </w:t>
      </w:r>
    </w:p>
    <w:p w14:paraId="4E1D0E4F" w14:textId="77777777" w:rsidR="00E265BE" w:rsidRPr="00E265BE" w:rsidRDefault="00E265BE" w:rsidP="00574341">
      <w:pPr>
        <w:pStyle w:val="Heading2"/>
        <w:rPr>
          <w:lang w:val="en"/>
        </w:rPr>
      </w:pPr>
      <w:bookmarkStart w:id="12" w:name="_lzml2mwruu4j" w:colFirst="0" w:colLast="0"/>
      <w:bookmarkStart w:id="13" w:name="_Toc158824358"/>
      <w:bookmarkEnd w:id="12"/>
      <w:r w:rsidRPr="00E265BE">
        <w:rPr>
          <w:lang w:val="en"/>
        </w:rPr>
        <w:t>Recommendations</w:t>
      </w:r>
      <w:bookmarkEnd w:id="13"/>
      <w:r w:rsidRPr="00E265BE">
        <w:rPr>
          <w:lang w:val="en"/>
        </w:rPr>
        <w:t xml:space="preserve"> </w:t>
      </w:r>
    </w:p>
    <w:p w14:paraId="4BBABCDF" w14:textId="77777777" w:rsidR="00E265BE" w:rsidRPr="00E265BE" w:rsidRDefault="00E265BE" w:rsidP="00E265BE">
      <w:pPr>
        <w:spacing w:line="360" w:lineRule="auto"/>
        <w:jc w:val="both"/>
        <w:rPr>
          <w:sz w:val="24"/>
          <w:szCs w:val="24"/>
          <w:lang w:val="en"/>
        </w:rPr>
      </w:pPr>
      <w:r w:rsidRPr="00E265BE">
        <w:rPr>
          <w:sz w:val="24"/>
          <w:szCs w:val="24"/>
          <w:lang w:val="en"/>
        </w:rPr>
        <w:t xml:space="preserve">Therefore, the suggestion given to the government of the United Kingdom as well as health and social care services providers is to focus on the integration of advanced tools and technology like AI tools and Information technology. Integration of these types of tools and technology can help them in the establishment of a strong communication system to reach a wide range of the population to collect information about their needs related to the problem of aging (Sheikh, </w:t>
      </w:r>
      <w:r w:rsidRPr="00E265BE">
        <w:rPr>
          <w:i/>
          <w:sz w:val="24"/>
          <w:szCs w:val="24"/>
          <w:lang w:val="en"/>
        </w:rPr>
        <w:t>et al.,</w:t>
      </w:r>
      <w:r w:rsidRPr="00E265BE">
        <w:rPr>
          <w:sz w:val="24"/>
          <w:szCs w:val="24"/>
          <w:lang w:val="en"/>
        </w:rPr>
        <w:t xml:space="preserve"> 2021). The use of information technology can be used for the collection of data and its analysis to make appropriate solutions according to the problem. Old-age people can also use this technology to share their problems and get instant support from the health and social care system from anywhere and anytime. Integration of technology is beneficial for the improvement of the management system of the health and social care system to satisfy the present and future needs of older people. AI can help them in the utilization of smart tools and technology for health checkups like blood pressure, sugar level, oxygen level, and others (Xie </w:t>
      </w:r>
      <w:r w:rsidRPr="00E265BE">
        <w:rPr>
          <w:i/>
          <w:sz w:val="24"/>
          <w:szCs w:val="24"/>
          <w:lang w:val="en"/>
        </w:rPr>
        <w:t>et al.</w:t>
      </w:r>
      <w:r w:rsidRPr="00E265BE">
        <w:rPr>
          <w:sz w:val="24"/>
          <w:szCs w:val="24"/>
          <w:lang w:val="en"/>
        </w:rPr>
        <w:t xml:space="preserve">, 2021).  It is beneficial to resolve the query in real-time and deliver authentic and reliable solutions to resolve their problems related to mental and physical health. It is also effective for the improvement of social media engagement and the utilization of a secure payment system to provide social and financial support in the future. </w:t>
      </w:r>
    </w:p>
    <w:p w14:paraId="55EC9E7D" w14:textId="77777777" w:rsidR="00E265BE" w:rsidRPr="00E265BE" w:rsidRDefault="00E265BE" w:rsidP="00E265BE">
      <w:pPr>
        <w:keepNext/>
        <w:keepLines/>
        <w:spacing w:line="360" w:lineRule="auto"/>
        <w:jc w:val="both"/>
        <w:outlineLvl w:val="0"/>
        <w:rPr>
          <w:b/>
          <w:sz w:val="28"/>
          <w:szCs w:val="28"/>
          <w:lang w:val="en"/>
        </w:rPr>
      </w:pPr>
      <w:bookmarkStart w:id="14" w:name="_gufxrtnzxj6r" w:colFirst="0" w:colLast="0"/>
      <w:bookmarkStart w:id="15" w:name="_Toc158824359"/>
      <w:bookmarkEnd w:id="14"/>
      <w:r w:rsidRPr="00E265BE">
        <w:rPr>
          <w:b/>
          <w:sz w:val="28"/>
          <w:szCs w:val="28"/>
          <w:lang w:val="en"/>
        </w:rPr>
        <w:t>Conclusion</w:t>
      </w:r>
      <w:bookmarkEnd w:id="15"/>
    </w:p>
    <w:p w14:paraId="7188F554" w14:textId="77777777" w:rsidR="00E265BE" w:rsidRPr="00E265BE" w:rsidRDefault="00E265BE" w:rsidP="00E265BE">
      <w:pPr>
        <w:spacing w:line="360" w:lineRule="auto"/>
        <w:jc w:val="both"/>
        <w:rPr>
          <w:sz w:val="24"/>
          <w:szCs w:val="24"/>
          <w:lang w:val="en"/>
        </w:rPr>
      </w:pPr>
      <w:r w:rsidRPr="00E265BE">
        <w:rPr>
          <w:sz w:val="24"/>
          <w:szCs w:val="24"/>
          <w:lang w:val="en"/>
        </w:rPr>
        <w:t xml:space="preserve">From the above discussion and analysis of the aging population, its challenges, and its impact, it has been concluded that aging among the population is a natural phenomenon but people are not getting proper support and services from the health and social care system. A wide range of populations experienced issues of physical, mental, social, and emotional challenges at this age. It has been also concluded that the government and health care system have considered the theories and policies to mitigate the issues but it is not sufficient. Therefore, It has been recommended that </w:t>
      </w:r>
      <w:r w:rsidRPr="00E265BE">
        <w:rPr>
          <w:sz w:val="24"/>
          <w:szCs w:val="24"/>
          <w:lang w:val="en"/>
        </w:rPr>
        <w:lastRenderedPageBreak/>
        <w:t xml:space="preserve">they have to focus on the utilization of AI tools and information technology to meet the present and future needs of older people. </w:t>
      </w:r>
    </w:p>
    <w:p w14:paraId="2E388224" w14:textId="77777777" w:rsidR="00E265BE" w:rsidRPr="00E265BE" w:rsidRDefault="00E265BE" w:rsidP="00E265BE">
      <w:pPr>
        <w:spacing w:line="360" w:lineRule="auto"/>
        <w:jc w:val="both"/>
        <w:rPr>
          <w:sz w:val="24"/>
          <w:szCs w:val="24"/>
          <w:lang w:val="en"/>
        </w:rPr>
      </w:pPr>
    </w:p>
    <w:p w14:paraId="6FA92354" w14:textId="77777777" w:rsidR="00316B70" w:rsidRDefault="00316B70">
      <w:pPr>
        <w:pStyle w:val="Normal1"/>
        <w:spacing w:line="360" w:lineRule="auto"/>
        <w:jc w:val="both"/>
        <w:rPr>
          <w:sz w:val="24"/>
          <w:szCs w:val="24"/>
        </w:rPr>
      </w:pPr>
    </w:p>
    <w:p w14:paraId="263D1635" w14:textId="77777777" w:rsidR="00B87F34" w:rsidRDefault="00B87F34">
      <w:pPr>
        <w:rPr>
          <w:b/>
          <w:sz w:val="24"/>
          <w:szCs w:val="24"/>
        </w:rPr>
      </w:pPr>
      <w:r>
        <w:rPr>
          <w:b/>
          <w:sz w:val="24"/>
          <w:szCs w:val="24"/>
        </w:rPr>
        <w:br w:type="page"/>
      </w:r>
    </w:p>
    <w:p w14:paraId="34396189" w14:textId="449BC0B7" w:rsidR="00823BEE" w:rsidRPr="00B87F34" w:rsidRDefault="002A0599" w:rsidP="00B87F34">
      <w:pPr>
        <w:pStyle w:val="Heading1"/>
        <w:spacing w:after="240"/>
        <w:rPr>
          <w:sz w:val="28"/>
          <w:szCs w:val="28"/>
        </w:rPr>
      </w:pPr>
      <w:bookmarkStart w:id="16" w:name="_Toc158824360"/>
      <w:r w:rsidRPr="00B87F34">
        <w:rPr>
          <w:sz w:val="28"/>
          <w:szCs w:val="28"/>
        </w:rPr>
        <w:lastRenderedPageBreak/>
        <w:t>References</w:t>
      </w:r>
      <w:bookmarkEnd w:id="16"/>
      <w:r w:rsidRPr="00B87F34">
        <w:rPr>
          <w:sz w:val="28"/>
          <w:szCs w:val="28"/>
        </w:rPr>
        <w:t xml:space="preserve"> </w:t>
      </w:r>
    </w:p>
    <w:p w14:paraId="1AB07AC5" w14:textId="77777777" w:rsidR="00E265BE" w:rsidRPr="00B87F34" w:rsidRDefault="00E265BE" w:rsidP="00B87F34">
      <w:pPr>
        <w:pStyle w:val="Normal1"/>
        <w:spacing w:after="240" w:line="360" w:lineRule="auto"/>
        <w:jc w:val="both"/>
        <w:rPr>
          <w:sz w:val="24"/>
          <w:szCs w:val="24"/>
        </w:rPr>
      </w:pPr>
      <w:r w:rsidRPr="00B87F34">
        <w:rPr>
          <w:sz w:val="24"/>
          <w:szCs w:val="24"/>
        </w:rPr>
        <w:t>AgeUK,2024.Available at:</w:t>
      </w:r>
      <w:hyperlink r:id="rId10">
        <w:r w:rsidRPr="00B87F34">
          <w:rPr>
            <w:color w:val="1155CC"/>
            <w:sz w:val="24"/>
            <w:szCs w:val="24"/>
            <w:u w:val="single"/>
          </w:rPr>
          <w:t>https://www.ageuk.org.uk/globalassets/age-uk/documents/policy-positions/care-and-support/age-uk-improving-healthcare-policy-position.pdf</w:t>
        </w:r>
      </w:hyperlink>
      <w:r w:rsidRPr="00B87F34">
        <w:rPr>
          <w:sz w:val="24"/>
          <w:szCs w:val="24"/>
        </w:rPr>
        <w:t xml:space="preserve"> [Accessed on:14/02/24]</w:t>
      </w:r>
    </w:p>
    <w:p w14:paraId="7F628964" w14:textId="77777777" w:rsidR="00E265BE" w:rsidRPr="00B87F34" w:rsidRDefault="00E265BE" w:rsidP="00B87F34">
      <w:pPr>
        <w:pStyle w:val="Normal1"/>
        <w:spacing w:after="240" w:line="360" w:lineRule="auto"/>
        <w:jc w:val="both"/>
        <w:rPr>
          <w:color w:val="222222"/>
          <w:sz w:val="24"/>
          <w:szCs w:val="24"/>
          <w:highlight w:val="white"/>
        </w:rPr>
      </w:pPr>
      <w:r w:rsidRPr="00B87F34">
        <w:rPr>
          <w:color w:val="222222"/>
          <w:sz w:val="24"/>
          <w:szCs w:val="24"/>
          <w:highlight w:val="white"/>
        </w:rPr>
        <w:t xml:space="preserve">Aroogh, M.D. and Shahboulaghi, F.M., 2020. Social participation of older adults: A concept analysis. </w:t>
      </w:r>
      <w:r w:rsidRPr="00B87F34">
        <w:rPr>
          <w:i/>
          <w:color w:val="222222"/>
          <w:sz w:val="24"/>
          <w:szCs w:val="24"/>
          <w:highlight w:val="white"/>
        </w:rPr>
        <w:t>International Journal of community nursing and Midwifery</w:t>
      </w:r>
      <w:r w:rsidRPr="00B87F34">
        <w:rPr>
          <w:color w:val="222222"/>
          <w:sz w:val="24"/>
          <w:szCs w:val="24"/>
          <w:highlight w:val="white"/>
        </w:rPr>
        <w:t xml:space="preserve">, </w:t>
      </w:r>
      <w:r w:rsidRPr="00B87F34">
        <w:rPr>
          <w:i/>
          <w:color w:val="222222"/>
          <w:sz w:val="24"/>
          <w:szCs w:val="24"/>
          <w:highlight w:val="white"/>
        </w:rPr>
        <w:t>8</w:t>
      </w:r>
      <w:r w:rsidRPr="00B87F34">
        <w:rPr>
          <w:color w:val="222222"/>
          <w:sz w:val="24"/>
          <w:szCs w:val="24"/>
          <w:highlight w:val="white"/>
        </w:rPr>
        <w:t>(1), p.55.</w:t>
      </w:r>
    </w:p>
    <w:p w14:paraId="023DB984" w14:textId="77777777" w:rsidR="00E265BE" w:rsidRPr="001E494E" w:rsidRDefault="00E265BE" w:rsidP="001E494E">
      <w:pPr>
        <w:pStyle w:val="Normal1"/>
        <w:spacing w:after="240" w:line="360" w:lineRule="auto"/>
        <w:jc w:val="both"/>
        <w:rPr>
          <w:sz w:val="24"/>
          <w:szCs w:val="24"/>
          <w:lang w:val="en-IN"/>
        </w:rPr>
      </w:pPr>
      <w:r w:rsidRPr="001E494E">
        <w:rPr>
          <w:sz w:val="24"/>
          <w:szCs w:val="24"/>
          <w:lang w:val="en-IN"/>
        </w:rPr>
        <w:t>England.nhs.uk, 2024, NHS England [Online]. Available at:</w:t>
      </w:r>
      <w:hyperlink r:id="rId11" w:history="1">
        <w:r w:rsidRPr="001E494E">
          <w:rPr>
            <w:rStyle w:val="Hyperlink"/>
            <w:sz w:val="24"/>
            <w:szCs w:val="24"/>
            <w:lang w:val="en-IN"/>
          </w:rPr>
          <w:t>https://www.england.nhs.uk/</w:t>
        </w:r>
      </w:hyperlink>
      <w:r w:rsidRPr="001E494E">
        <w:rPr>
          <w:sz w:val="24"/>
          <w:szCs w:val="24"/>
          <w:lang w:val="en-IN"/>
        </w:rPr>
        <w:t> </w:t>
      </w:r>
      <w:r w:rsidRPr="00B87F34">
        <w:rPr>
          <w:sz w:val="24"/>
          <w:szCs w:val="24"/>
        </w:rPr>
        <w:t>[Accessed on:14/02/24]</w:t>
      </w:r>
    </w:p>
    <w:p w14:paraId="1502BDEB" w14:textId="77777777" w:rsidR="00E265BE" w:rsidRPr="00B87F34" w:rsidRDefault="00E265BE" w:rsidP="00B87F34">
      <w:pPr>
        <w:pStyle w:val="Normal1"/>
        <w:spacing w:after="240" w:line="360" w:lineRule="auto"/>
        <w:jc w:val="both"/>
        <w:rPr>
          <w:color w:val="222222"/>
          <w:sz w:val="24"/>
          <w:szCs w:val="24"/>
          <w:highlight w:val="white"/>
        </w:rPr>
      </w:pPr>
      <w:r w:rsidRPr="00B87F34">
        <w:rPr>
          <w:color w:val="222222"/>
          <w:sz w:val="24"/>
          <w:szCs w:val="24"/>
          <w:highlight w:val="white"/>
        </w:rPr>
        <w:t xml:space="preserve">Gordon, A.L., Goodman, C., Achterberg, W., Barker, R.O., Burns, E., Hanratty, B., Martin, F.C., Meyer, J., O’Neill, D., Schols, J. and Spilsbury, K., 2020. Commentary: COVID in care homes—challenges and dilemmas in healthcare delivery. </w:t>
      </w:r>
      <w:r w:rsidRPr="00B87F34">
        <w:rPr>
          <w:i/>
          <w:color w:val="222222"/>
          <w:sz w:val="24"/>
          <w:szCs w:val="24"/>
          <w:highlight w:val="white"/>
        </w:rPr>
        <w:t>Age and Ageing</w:t>
      </w:r>
      <w:r w:rsidRPr="00B87F34">
        <w:rPr>
          <w:color w:val="222222"/>
          <w:sz w:val="24"/>
          <w:szCs w:val="24"/>
          <w:highlight w:val="white"/>
        </w:rPr>
        <w:t xml:space="preserve">, </w:t>
      </w:r>
      <w:r w:rsidRPr="00B87F34">
        <w:rPr>
          <w:i/>
          <w:color w:val="222222"/>
          <w:sz w:val="24"/>
          <w:szCs w:val="24"/>
          <w:highlight w:val="white"/>
        </w:rPr>
        <w:t>49</w:t>
      </w:r>
      <w:r w:rsidRPr="00B87F34">
        <w:rPr>
          <w:color w:val="222222"/>
          <w:sz w:val="24"/>
          <w:szCs w:val="24"/>
          <w:highlight w:val="white"/>
        </w:rPr>
        <w:t>(5), pp.701-705.</w:t>
      </w:r>
    </w:p>
    <w:p w14:paraId="253CA65C" w14:textId="77777777" w:rsidR="00E265BE" w:rsidRDefault="00E265BE" w:rsidP="001E494E">
      <w:pPr>
        <w:pStyle w:val="Normal1"/>
        <w:spacing w:after="240" w:line="360" w:lineRule="auto"/>
        <w:jc w:val="both"/>
        <w:rPr>
          <w:sz w:val="24"/>
          <w:szCs w:val="24"/>
          <w:lang w:val="en-IN"/>
        </w:rPr>
      </w:pPr>
      <w:r w:rsidRPr="001E494E">
        <w:rPr>
          <w:sz w:val="24"/>
          <w:szCs w:val="24"/>
          <w:lang w:val="en-IN"/>
        </w:rPr>
        <w:t>Grieco, L., Utley, M. and Crowe, S., 2021. Operational research applied to decisions in home health care: A systematic literature review. Journal of the Operational Research Society, 72(9), pp.1960-1991.</w:t>
      </w:r>
      <w:r>
        <w:rPr>
          <w:sz w:val="24"/>
          <w:szCs w:val="24"/>
          <w:lang w:val="en-IN"/>
        </w:rPr>
        <w:t xml:space="preserve"> </w:t>
      </w:r>
    </w:p>
    <w:p w14:paraId="22C6D491" w14:textId="77777777" w:rsidR="00E265BE" w:rsidRPr="00B87F34" w:rsidRDefault="00E265BE" w:rsidP="00B87F34">
      <w:pPr>
        <w:pStyle w:val="Normal1"/>
        <w:spacing w:after="240" w:line="360" w:lineRule="auto"/>
        <w:jc w:val="both"/>
        <w:rPr>
          <w:color w:val="222222"/>
          <w:sz w:val="24"/>
          <w:szCs w:val="24"/>
          <w:highlight w:val="white"/>
        </w:rPr>
      </w:pPr>
      <w:r w:rsidRPr="00B87F34">
        <w:rPr>
          <w:color w:val="222222"/>
          <w:sz w:val="24"/>
          <w:szCs w:val="24"/>
          <w:highlight w:val="white"/>
        </w:rPr>
        <w:t xml:space="preserve">Johnson, S., Dalton-Locke, C., Vera San Juan, N., Foye, U., Oram, S., Papamichail, A., Landau, S., Rowan Olive, R., Jeynes, T., Shah, P. and Sheridan Rains, L., 2021. Impact on mental health care and mental health service users of the COVID-19 pandemic: a mixed methods survey of UK mental health care staff. </w:t>
      </w:r>
      <w:r w:rsidRPr="00B87F34">
        <w:rPr>
          <w:i/>
          <w:color w:val="222222"/>
          <w:sz w:val="24"/>
          <w:szCs w:val="24"/>
          <w:highlight w:val="white"/>
        </w:rPr>
        <w:t>Social psychiatry and psychiatric epidemiology</w:t>
      </w:r>
      <w:r w:rsidRPr="00B87F34">
        <w:rPr>
          <w:color w:val="222222"/>
          <w:sz w:val="24"/>
          <w:szCs w:val="24"/>
          <w:highlight w:val="white"/>
        </w:rPr>
        <w:t xml:space="preserve">, </w:t>
      </w:r>
      <w:r w:rsidRPr="00B87F34">
        <w:rPr>
          <w:i/>
          <w:color w:val="222222"/>
          <w:sz w:val="24"/>
          <w:szCs w:val="24"/>
          <w:highlight w:val="white"/>
        </w:rPr>
        <w:t>56</w:t>
      </w:r>
      <w:r w:rsidRPr="00B87F34">
        <w:rPr>
          <w:color w:val="222222"/>
          <w:sz w:val="24"/>
          <w:szCs w:val="24"/>
          <w:highlight w:val="white"/>
        </w:rPr>
        <w:t>, pp.25-37.</w:t>
      </w:r>
    </w:p>
    <w:p w14:paraId="40D57A8B" w14:textId="77777777" w:rsidR="00E265BE" w:rsidRPr="00E265BE" w:rsidRDefault="00E265BE" w:rsidP="00E265BE">
      <w:pPr>
        <w:pStyle w:val="Normal1"/>
        <w:spacing w:after="240"/>
        <w:rPr>
          <w:sz w:val="24"/>
          <w:szCs w:val="24"/>
          <w:lang w:val="en"/>
        </w:rPr>
      </w:pPr>
      <w:r w:rsidRPr="00E265BE">
        <w:rPr>
          <w:sz w:val="24"/>
          <w:szCs w:val="24"/>
          <w:lang w:val="en"/>
        </w:rPr>
        <w:t>Kooij, D.T., Zacher, H., Wang, M. and Heckhausen, J., 2020. Successful aging at work: A process model to guide future research and practice. Industrial and Organizational Psychology, 13(3), pp.345-365.</w:t>
      </w:r>
    </w:p>
    <w:p w14:paraId="58CB055B" w14:textId="77777777" w:rsidR="00E265BE" w:rsidRPr="00B87F34" w:rsidRDefault="00E265BE" w:rsidP="00B87F34">
      <w:pPr>
        <w:pStyle w:val="Normal1"/>
        <w:spacing w:after="240" w:line="360" w:lineRule="auto"/>
        <w:jc w:val="both"/>
        <w:rPr>
          <w:color w:val="222222"/>
          <w:sz w:val="24"/>
          <w:szCs w:val="24"/>
          <w:highlight w:val="white"/>
        </w:rPr>
      </w:pPr>
      <w:r w:rsidRPr="00B87F34">
        <w:rPr>
          <w:color w:val="222222"/>
          <w:sz w:val="24"/>
          <w:szCs w:val="24"/>
          <w:highlight w:val="white"/>
        </w:rPr>
        <w:t xml:space="preserve">Lin, X., Chen, Y., Zhang, P., Chen, G., Zhou, Y. and Yu, X., 2020. The potential mechanism of postoperative cognitive dysfunction in older people. </w:t>
      </w:r>
      <w:r w:rsidRPr="00B87F34">
        <w:rPr>
          <w:i/>
          <w:color w:val="222222"/>
          <w:sz w:val="24"/>
          <w:szCs w:val="24"/>
          <w:highlight w:val="white"/>
        </w:rPr>
        <w:t>Experimental gerontology</w:t>
      </w:r>
      <w:r w:rsidRPr="00B87F34">
        <w:rPr>
          <w:color w:val="222222"/>
          <w:sz w:val="24"/>
          <w:szCs w:val="24"/>
          <w:highlight w:val="white"/>
        </w:rPr>
        <w:t xml:space="preserve">, </w:t>
      </w:r>
      <w:r w:rsidRPr="00B87F34">
        <w:rPr>
          <w:i/>
          <w:color w:val="222222"/>
          <w:sz w:val="24"/>
          <w:szCs w:val="24"/>
          <w:highlight w:val="white"/>
        </w:rPr>
        <w:t>130</w:t>
      </w:r>
      <w:r w:rsidRPr="00B87F34">
        <w:rPr>
          <w:color w:val="222222"/>
          <w:sz w:val="24"/>
          <w:szCs w:val="24"/>
          <w:highlight w:val="white"/>
        </w:rPr>
        <w:t>, p.110791.</w:t>
      </w:r>
    </w:p>
    <w:p w14:paraId="7F994C3F" w14:textId="77777777" w:rsidR="00E265BE" w:rsidRPr="001E494E" w:rsidRDefault="00E265BE" w:rsidP="001E494E">
      <w:pPr>
        <w:pStyle w:val="Normal1"/>
        <w:spacing w:after="240" w:line="360" w:lineRule="auto"/>
        <w:jc w:val="both"/>
        <w:rPr>
          <w:sz w:val="24"/>
          <w:szCs w:val="24"/>
          <w:lang w:val="en-IN"/>
        </w:rPr>
      </w:pPr>
      <w:r w:rsidRPr="001E494E">
        <w:rPr>
          <w:sz w:val="24"/>
          <w:szCs w:val="24"/>
          <w:lang w:val="en-IN"/>
        </w:rPr>
        <w:t xml:space="preserve">Lloyd-Sherlock, P., Billings, J., Aredes, J.D.S., Freire Neto, J.B., Camarano, A.A., Coelho Filho, M., Firmo, J.O.A., Kalache, A., Macinko, J., Sempé, L. and Giacomin, </w:t>
      </w:r>
      <w:r w:rsidRPr="001E494E">
        <w:rPr>
          <w:sz w:val="24"/>
          <w:szCs w:val="24"/>
          <w:lang w:val="en-IN"/>
        </w:rPr>
        <w:lastRenderedPageBreak/>
        <w:t>K.C., 2020. Meeting the complex challenge of health and social care provision for rapidly-aging populations: introducing the concept of “avoidable displacement from home”. Cadernos de Saúde Pública, 36.</w:t>
      </w:r>
    </w:p>
    <w:p w14:paraId="370F0513" w14:textId="77777777" w:rsidR="00E265BE" w:rsidRPr="00B87F34" w:rsidRDefault="00E265BE" w:rsidP="00B87F34">
      <w:pPr>
        <w:pStyle w:val="Normal1"/>
        <w:spacing w:after="240" w:line="360" w:lineRule="auto"/>
        <w:jc w:val="both"/>
        <w:rPr>
          <w:sz w:val="24"/>
          <w:szCs w:val="24"/>
        </w:rPr>
      </w:pPr>
      <w:r w:rsidRPr="00B87F34">
        <w:rPr>
          <w:sz w:val="24"/>
          <w:szCs w:val="24"/>
        </w:rPr>
        <w:t>National Institutes of Health,2024.Available at:</w:t>
      </w:r>
      <w:hyperlink r:id="rId12">
        <w:r w:rsidRPr="00B87F34">
          <w:rPr>
            <w:color w:val="1155CC"/>
            <w:sz w:val="24"/>
            <w:szCs w:val="24"/>
            <w:u w:val="single"/>
          </w:rPr>
          <w:t>https://www.ncbi.nlm.nih.gov/pmc/articles/PMC3404305/</w:t>
        </w:r>
      </w:hyperlink>
      <w:r w:rsidRPr="00B87F34">
        <w:rPr>
          <w:sz w:val="24"/>
          <w:szCs w:val="24"/>
        </w:rPr>
        <w:t xml:space="preserve"> [Accessed on:14/02/24]</w:t>
      </w:r>
    </w:p>
    <w:p w14:paraId="56426ADD" w14:textId="77777777" w:rsidR="00E265BE" w:rsidRPr="00B87F34" w:rsidRDefault="00E265BE" w:rsidP="00B87F34">
      <w:pPr>
        <w:pStyle w:val="Normal1"/>
        <w:spacing w:after="240" w:line="360" w:lineRule="auto"/>
        <w:jc w:val="both"/>
        <w:rPr>
          <w:sz w:val="24"/>
          <w:szCs w:val="24"/>
        </w:rPr>
      </w:pPr>
      <w:r w:rsidRPr="00B87F34">
        <w:rPr>
          <w:sz w:val="24"/>
          <w:szCs w:val="24"/>
        </w:rPr>
        <w:t>Nhs.uk,2024.Available at:</w:t>
      </w:r>
      <w:hyperlink r:id="rId13">
        <w:r w:rsidRPr="00B87F34">
          <w:rPr>
            <w:color w:val="1155CC"/>
            <w:sz w:val="24"/>
            <w:szCs w:val="24"/>
            <w:u w:val="single"/>
          </w:rPr>
          <w:t>https://www.nhs.uk/</w:t>
        </w:r>
      </w:hyperlink>
      <w:r w:rsidRPr="00B87F34">
        <w:rPr>
          <w:sz w:val="24"/>
          <w:szCs w:val="24"/>
        </w:rPr>
        <w:t xml:space="preserve"> [Accessed on:14/02/24]</w:t>
      </w:r>
    </w:p>
    <w:p w14:paraId="4D0A8CA2" w14:textId="77777777" w:rsidR="00E265BE" w:rsidRPr="00B87F34" w:rsidRDefault="00E265BE" w:rsidP="00B87F34">
      <w:pPr>
        <w:pStyle w:val="Normal1"/>
        <w:spacing w:after="240" w:line="360" w:lineRule="auto"/>
        <w:jc w:val="both"/>
        <w:rPr>
          <w:sz w:val="24"/>
          <w:szCs w:val="24"/>
        </w:rPr>
      </w:pPr>
      <w:r w:rsidRPr="00B87F34">
        <w:rPr>
          <w:sz w:val="24"/>
          <w:szCs w:val="24"/>
        </w:rPr>
        <w:t>Office of National Statistics, 2021.Available at:</w:t>
      </w:r>
      <w:hyperlink r:id="rId14" w:anchor=":~:text=Census%202021%20results%20show%20the,from%2016.4%25%20to%2018.6%25">
        <w:r w:rsidRPr="00B87F34">
          <w:rPr>
            <w:color w:val="1155CC"/>
            <w:sz w:val="24"/>
            <w:szCs w:val="24"/>
            <w:u w:val="single"/>
          </w:rPr>
          <w:t>https://www.ons.gov.uk/peoplepopulationandcommunity/birthsdeathsandmarriages/ageing/articles/profileoftheolderpopulationlivinginenglandandwalesin2021andchangessince2011/2023-04-03#:~:text=Census%202021%20results%20show%20the,from%2016.4%25%20to%2018.6%25</w:t>
        </w:r>
      </w:hyperlink>
      <w:r w:rsidRPr="00B87F34">
        <w:rPr>
          <w:sz w:val="24"/>
          <w:szCs w:val="24"/>
        </w:rPr>
        <w:t>.[Accessed on:14/02/24]</w:t>
      </w:r>
    </w:p>
    <w:p w14:paraId="28C1EF5B" w14:textId="77777777" w:rsidR="00E265BE" w:rsidRPr="00B87F34" w:rsidRDefault="00E265BE" w:rsidP="00B87F34">
      <w:pPr>
        <w:pStyle w:val="Normal1"/>
        <w:spacing w:after="240" w:line="360" w:lineRule="auto"/>
        <w:jc w:val="both"/>
        <w:rPr>
          <w:color w:val="222222"/>
          <w:sz w:val="24"/>
          <w:szCs w:val="24"/>
          <w:highlight w:val="white"/>
        </w:rPr>
      </w:pPr>
      <w:r w:rsidRPr="00B87F34">
        <w:rPr>
          <w:color w:val="222222"/>
          <w:sz w:val="24"/>
          <w:szCs w:val="24"/>
          <w:highlight w:val="white"/>
        </w:rPr>
        <w:t xml:space="preserve">Pazan, F. and Wehling, M., 2021. Polypharmacy in older adults: a narrative review of definitions, epidemiology and consequences. </w:t>
      </w:r>
      <w:r w:rsidRPr="00B87F34">
        <w:rPr>
          <w:i/>
          <w:color w:val="222222"/>
          <w:sz w:val="24"/>
          <w:szCs w:val="24"/>
          <w:highlight w:val="white"/>
        </w:rPr>
        <w:t>European geriatric medicine</w:t>
      </w:r>
      <w:r w:rsidRPr="00B87F34">
        <w:rPr>
          <w:color w:val="222222"/>
          <w:sz w:val="24"/>
          <w:szCs w:val="24"/>
          <w:highlight w:val="white"/>
        </w:rPr>
        <w:t xml:space="preserve">, </w:t>
      </w:r>
      <w:r w:rsidRPr="00B87F34">
        <w:rPr>
          <w:i/>
          <w:color w:val="222222"/>
          <w:sz w:val="24"/>
          <w:szCs w:val="24"/>
          <w:highlight w:val="white"/>
        </w:rPr>
        <w:t>12</w:t>
      </w:r>
      <w:r w:rsidRPr="00B87F34">
        <w:rPr>
          <w:color w:val="222222"/>
          <w:sz w:val="24"/>
          <w:szCs w:val="24"/>
          <w:highlight w:val="white"/>
        </w:rPr>
        <w:t>, pp.443-452.</w:t>
      </w:r>
    </w:p>
    <w:p w14:paraId="33083AFE" w14:textId="77777777" w:rsidR="00E265BE" w:rsidRPr="00E265BE" w:rsidRDefault="00E265BE" w:rsidP="00E265BE">
      <w:pPr>
        <w:pStyle w:val="Normal1"/>
        <w:spacing w:after="240"/>
        <w:rPr>
          <w:sz w:val="24"/>
          <w:szCs w:val="24"/>
          <w:lang w:val="en"/>
        </w:rPr>
      </w:pPr>
      <w:r w:rsidRPr="00E265BE">
        <w:rPr>
          <w:sz w:val="24"/>
          <w:szCs w:val="24"/>
          <w:lang w:val="en"/>
        </w:rPr>
        <w:t>Rayner, M., 2022. The Care Quality Commission: A Regulatory Evolution. Judicial Review, 27(2), pp.126-131.</w:t>
      </w:r>
    </w:p>
    <w:p w14:paraId="5DCC004F" w14:textId="77777777" w:rsidR="00E265BE" w:rsidRPr="00E265BE" w:rsidRDefault="00E265BE" w:rsidP="00E265BE">
      <w:pPr>
        <w:pStyle w:val="Normal1"/>
        <w:spacing w:after="240"/>
        <w:rPr>
          <w:sz w:val="24"/>
          <w:szCs w:val="24"/>
          <w:lang w:val="en"/>
        </w:rPr>
      </w:pPr>
      <w:r w:rsidRPr="00E265BE">
        <w:rPr>
          <w:sz w:val="24"/>
          <w:szCs w:val="24"/>
          <w:lang w:val="en"/>
        </w:rPr>
        <w:t>Sheikh, A., Anderson, M., Albala, S., Casadei, B., Franklin, B.D., Richards, M., Taylor, D., Tibble, H. and Mossialos, E., 2021. Health information technology and digital innovation for national learning health and care systems. The Lancet Digital Health, 3(6), pp.e383-e396.</w:t>
      </w:r>
    </w:p>
    <w:p w14:paraId="7634AEF6" w14:textId="77777777" w:rsidR="00E265BE" w:rsidRPr="00B87F34" w:rsidRDefault="00E265BE" w:rsidP="00B87F34">
      <w:pPr>
        <w:pStyle w:val="Normal1"/>
        <w:spacing w:after="240" w:line="360" w:lineRule="auto"/>
        <w:jc w:val="both"/>
        <w:rPr>
          <w:sz w:val="24"/>
          <w:szCs w:val="24"/>
        </w:rPr>
      </w:pPr>
      <w:r w:rsidRPr="00B87F34">
        <w:rPr>
          <w:sz w:val="24"/>
          <w:szCs w:val="24"/>
        </w:rPr>
        <w:t>Statista,2022.Available at:</w:t>
      </w:r>
      <w:hyperlink r:id="rId15">
        <w:r w:rsidRPr="00B87F34">
          <w:rPr>
            <w:color w:val="1155CC"/>
            <w:sz w:val="24"/>
            <w:szCs w:val="24"/>
            <w:u w:val="single"/>
          </w:rPr>
          <w:t>https://www.statista.com/chart/27697/census-shows-population-of-england-and-wales/</w:t>
        </w:r>
      </w:hyperlink>
      <w:r w:rsidRPr="00B87F34">
        <w:rPr>
          <w:sz w:val="24"/>
          <w:szCs w:val="24"/>
        </w:rPr>
        <w:t xml:space="preserve"> [Accessed on:14/02/24]</w:t>
      </w:r>
    </w:p>
    <w:p w14:paraId="5E291285" w14:textId="77777777" w:rsidR="00E265BE" w:rsidRPr="00B87F34" w:rsidRDefault="00E265BE" w:rsidP="00B87F34">
      <w:pPr>
        <w:pStyle w:val="Normal1"/>
        <w:spacing w:after="240" w:line="360" w:lineRule="auto"/>
        <w:jc w:val="both"/>
        <w:rPr>
          <w:color w:val="222222"/>
          <w:sz w:val="24"/>
          <w:szCs w:val="24"/>
          <w:highlight w:val="white"/>
        </w:rPr>
      </w:pPr>
      <w:r w:rsidRPr="00B87F34">
        <w:rPr>
          <w:color w:val="222222"/>
          <w:sz w:val="24"/>
          <w:szCs w:val="24"/>
          <w:highlight w:val="white"/>
        </w:rPr>
        <w:t xml:space="preserve">Sugimoto, T., Arai, H. and Sakurai, T., 2022. An update on cognitive frailty: Its definition, impact, associated factors and underlying mechanisms, and interventions. </w:t>
      </w:r>
      <w:r w:rsidRPr="00B87F34">
        <w:rPr>
          <w:i/>
          <w:color w:val="222222"/>
          <w:sz w:val="24"/>
          <w:szCs w:val="24"/>
          <w:highlight w:val="white"/>
        </w:rPr>
        <w:t>Geriatrics &amp; Gerontology International</w:t>
      </w:r>
      <w:r w:rsidRPr="00B87F34">
        <w:rPr>
          <w:color w:val="222222"/>
          <w:sz w:val="24"/>
          <w:szCs w:val="24"/>
          <w:highlight w:val="white"/>
        </w:rPr>
        <w:t xml:space="preserve">, </w:t>
      </w:r>
      <w:r w:rsidRPr="00B87F34">
        <w:rPr>
          <w:i/>
          <w:color w:val="222222"/>
          <w:sz w:val="24"/>
          <w:szCs w:val="24"/>
          <w:highlight w:val="white"/>
        </w:rPr>
        <w:t>22</w:t>
      </w:r>
      <w:r w:rsidRPr="00B87F34">
        <w:rPr>
          <w:color w:val="222222"/>
          <w:sz w:val="24"/>
          <w:szCs w:val="24"/>
          <w:highlight w:val="white"/>
        </w:rPr>
        <w:t>(2), pp.99-109.</w:t>
      </w:r>
    </w:p>
    <w:p w14:paraId="68B85B98" w14:textId="77777777" w:rsidR="00E265BE" w:rsidRPr="00E265BE" w:rsidRDefault="00E265BE" w:rsidP="00E265BE">
      <w:pPr>
        <w:pStyle w:val="Normal1"/>
        <w:spacing w:after="240"/>
        <w:rPr>
          <w:sz w:val="24"/>
          <w:szCs w:val="24"/>
          <w:lang w:val="en"/>
        </w:rPr>
      </w:pPr>
      <w:r w:rsidRPr="00E265BE">
        <w:rPr>
          <w:sz w:val="24"/>
          <w:szCs w:val="24"/>
          <w:lang w:val="en"/>
        </w:rPr>
        <w:t>Toh, C.H. and Haynes, R., 2022. The Health and Care Act 2022: challenges and priorities for embedding research in the NHS. The Lancet, 400(10349), pp.343-345.</w:t>
      </w:r>
    </w:p>
    <w:p w14:paraId="039EC9E9" w14:textId="77777777" w:rsidR="00E265BE" w:rsidRPr="00B87F34" w:rsidRDefault="00E265BE" w:rsidP="00B87F34">
      <w:pPr>
        <w:pStyle w:val="Normal1"/>
        <w:spacing w:after="240" w:line="360" w:lineRule="auto"/>
        <w:jc w:val="both"/>
        <w:rPr>
          <w:color w:val="222222"/>
          <w:sz w:val="24"/>
          <w:szCs w:val="24"/>
          <w:highlight w:val="white"/>
        </w:rPr>
      </w:pPr>
      <w:r w:rsidRPr="00B87F34">
        <w:rPr>
          <w:color w:val="222222"/>
          <w:sz w:val="24"/>
          <w:szCs w:val="24"/>
          <w:highlight w:val="white"/>
        </w:rPr>
        <w:t xml:space="preserve">Wenger, G.C., 2021. </w:t>
      </w:r>
      <w:r w:rsidRPr="00B87F34">
        <w:rPr>
          <w:i/>
          <w:color w:val="222222"/>
          <w:sz w:val="24"/>
          <w:szCs w:val="24"/>
          <w:highlight w:val="white"/>
        </w:rPr>
        <w:t>The supportive network: Coping with old age</w:t>
      </w:r>
      <w:r w:rsidRPr="00B87F34">
        <w:rPr>
          <w:color w:val="222222"/>
          <w:sz w:val="24"/>
          <w:szCs w:val="24"/>
          <w:highlight w:val="white"/>
        </w:rPr>
        <w:t>. Routledge.</w:t>
      </w:r>
    </w:p>
    <w:p w14:paraId="7DB4B480" w14:textId="77777777" w:rsidR="00E265BE" w:rsidRDefault="00E265BE" w:rsidP="00B87F34">
      <w:pPr>
        <w:pStyle w:val="Normal1"/>
        <w:spacing w:after="240" w:line="360" w:lineRule="auto"/>
        <w:jc w:val="both"/>
        <w:rPr>
          <w:sz w:val="24"/>
          <w:szCs w:val="24"/>
        </w:rPr>
      </w:pPr>
      <w:r w:rsidRPr="00B87F34">
        <w:rPr>
          <w:sz w:val="24"/>
          <w:szCs w:val="24"/>
        </w:rPr>
        <w:lastRenderedPageBreak/>
        <w:t>World Health Organisation,2024.Available at:</w:t>
      </w:r>
      <w:hyperlink r:id="rId16">
        <w:r w:rsidRPr="00B87F34">
          <w:rPr>
            <w:color w:val="1155CC"/>
            <w:sz w:val="24"/>
            <w:szCs w:val="24"/>
            <w:u w:val="single"/>
          </w:rPr>
          <w:t>https://www.who.int/news-room/fact-sheets/detail/ageing-and-health</w:t>
        </w:r>
      </w:hyperlink>
      <w:r w:rsidRPr="00B87F34">
        <w:rPr>
          <w:sz w:val="24"/>
          <w:szCs w:val="24"/>
        </w:rPr>
        <w:t xml:space="preserve"> [Accessed on:14/02/24]</w:t>
      </w:r>
    </w:p>
    <w:p w14:paraId="187D8FEF" w14:textId="77777777" w:rsidR="00E265BE" w:rsidRPr="00E265BE" w:rsidRDefault="00E265BE" w:rsidP="00E265BE">
      <w:pPr>
        <w:pStyle w:val="Normal1"/>
        <w:spacing w:after="240"/>
        <w:rPr>
          <w:sz w:val="24"/>
          <w:szCs w:val="24"/>
          <w:lang w:val="en"/>
        </w:rPr>
      </w:pPr>
      <w:r w:rsidRPr="00E265BE">
        <w:rPr>
          <w:sz w:val="24"/>
          <w:szCs w:val="24"/>
          <w:lang w:val="en"/>
        </w:rPr>
        <w:t>Xie, Y., Lu, L., Gao, F., He, S.J., Zhao, H.J., Fang, Y., Yang, J.M., An, Y., Ye, Z.W. and Dong, Z., 2021. Integration of artificial intelligence, blockchain, and wearable technology for chronic disease management: a new paradigm in smart healthcare. Current Medical Science, 41, pp.1123-1133.</w:t>
      </w:r>
    </w:p>
    <w:p w14:paraId="149AB2DF" w14:textId="77777777" w:rsidR="00E265BE" w:rsidRPr="00E265BE" w:rsidRDefault="00E265BE" w:rsidP="00E265BE">
      <w:pPr>
        <w:pStyle w:val="Normal1"/>
        <w:spacing w:after="240"/>
        <w:rPr>
          <w:sz w:val="24"/>
          <w:szCs w:val="24"/>
          <w:lang w:val="en"/>
        </w:rPr>
      </w:pPr>
    </w:p>
    <w:p w14:paraId="292A965E" w14:textId="77777777" w:rsidR="00E265BE" w:rsidRPr="001E494E" w:rsidRDefault="00E265BE" w:rsidP="001E494E">
      <w:pPr>
        <w:pStyle w:val="Normal1"/>
        <w:spacing w:after="240" w:line="360" w:lineRule="auto"/>
        <w:jc w:val="both"/>
        <w:rPr>
          <w:sz w:val="24"/>
          <w:szCs w:val="24"/>
          <w:lang w:val="en-IN"/>
        </w:rPr>
      </w:pPr>
    </w:p>
    <w:p w14:paraId="20A09B59" w14:textId="77777777" w:rsidR="001E494E" w:rsidRPr="00B87F34" w:rsidRDefault="001E494E" w:rsidP="00B87F34">
      <w:pPr>
        <w:pStyle w:val="Normal1"/>
        <w:spacing w:after="240" w:line="360" w:lineRule="auto"/>
        <w:jc w:val="both"/>
        <w:rPr>
          <w:sz w:val="24"/>
          <w:szCs w:val="24"/>
        </w:rPr>
      </w:pPr>
    </w:p>
    <w:p w14:paraId="6AB5F035" w14:textId="77777777" w:rsidR="00823BEE" w:rsidRDefault="00823BEE">
      <w:pPr>
        <w:pStyle w:val="Normal1"/>
        <w:spacing w:line="360" w:lineRule="auto"/>
        <w:jc w:val="both"/>
        <w:rPr>
          <w:sz w:val="24"/>
          <w:szCs w:val="24"/>
        </w:rPr>
      </w:pPr>
    </w:p>
    <w:sectPr w:rsidR="00823BEE" w:rsidSect="00FE39D8">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494F8D" w14:textId="77777777" w:rsidR="00561479" w:rsidRDefault="00561479" w:rsidP="00CD1625">
      <w:pPr>
        <w:spacing w:line="240" w:lineRule="auto"/>
      </w:pPr>
      <w:r>
        <w:separator/>
      </w:r>
    </w:p>
  </w:endnote>
  <w:endnote w:type="continuationSeparator" w:id="0">
    <w:p w14:paraId="1CDA3A91" w14:textId="77777777" w:rsidR="00561479" w:rsidRDefault="00561479" w:rsidP="00CD16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03736377"/>
      <w:docPartObj>
        <w:docPartGallery w:val="Page Numbers (Bottom of Page)"/>
        <w:docPartUnique/>
      </w:docPartObj>
    </w:sdtPr>
    <w:sdtEndPr>
      <w:rPr>
        <w:noProof/>
        <w:sz w:val="20"/>
        <w:szCs w:val="20"/>
      </w:rPr>
    </w:sdtEndPr>
    <w:sdtContent>
      <w:p w14:paraId="396E072D" w14:textId="49E1DA98" w:rsidR="00CD1625" w:rsidRPr="00CD1625" w:rsidRDefault="00CD1625">
        <w:pPr>
          <w:pStyle w:val="Footer"/>
          <w:jc w:val="right"/>
          <w:rPr>
            <w:sz w:val="20"/>
            <w:szCs w:val="20"/>
          </w:rPr>
        </w:pPr>
        <w:r w:rsidRPr="00CD1625">
          <w:rPr>
            <w:sz w:val="20"/>
            <w:szCs w:val="20"/>
          </w:rPr>
          <w:fldChar w:fldCharType="begin"/>
        </w:r>
        <w:r w:rsidRPr="00CD1625">
          <w:rPr>
            <w:sz w:val="20"/>
            <w:szCs w:val="20"/>
          </w:rPr>
          <w:instrText xml:space="preserve"> PAGE   \* MERGEFORMAT </w:instrText>
        </w:r>
        <w:r w:rsidRPr="00CD1625">
          <w:rPr>
            <w:sz w:val="20"/>
            <w:szCs w:val="20"/>
          </w:rPr>
          <w:fldChar w:fldCharType="separate"/>
        </w:r>
        <w:r w:rsidR="000A1F09">
          <w:rPr>
            <w:noProof/>
            <w:sz w:val="20"/>
            <w:szCs w:val="20"/>
          </w:rPr>
          <w:t>14</w:t>
        </w:r>
        <w:r w:rsidRPr="00CD1625">
          <w:rPr>
            <w:noProof/>
            <w:sz w:val="20"/>
            <w:szCs w:val="20"/>
          </w:rPr>
          <w:fldChar w:fldCharType="end"/>
        </w:r>
      </w:p>
    </w:sdtContent>
  </w:sdt>
  <w:p w14:paraId="79DD0258" w14:textId="77777777" w:rsidR="00CD1625" w:rsidRDefault="00CD1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046C98" w14:textId="77777777" w:rsidR="00561479" w:rsidRDefault="00561479" w:rsidP="00CD1625">
      <w:pPr>
        <w:spacing w:line="240" w:lineRule="auto"/>
      </w:pPr>
      <w:r>
        <w:separator/>
      </w:r>
    </w:p>
  </w:footnote>
  <w:footnote w:type="continuationSeparator" w:id="0">
    <w:p w14:paraId="49BACF17" w14:textId="77777777" w:rsidR="00561479" w:rsidRDefault="00561479" w:rsidP="00CD162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3BEE"/>
    <w:rsid w:val="00051B56"/>
    <w:rsid w:val="00067E1F"/>
    <w:rsid w:val="000A1F09"/>
    <w:rsid w:val="001E494E"/>
    <w:rsid w:val="002A0599"/>
    <w:rsid w:val="002B0415"/>
    <w:rsid w:val="00316B70"/>
    <w:rsid w:val="003236F4"/>
    <w:rsid w:val="00384EDB"/>
    <w:rsid w:val="00392266"/>
    <w:rsid w:val="003D58D7"/>
    <w:rsid w:val="004630B6"/>
    <w:rsid w:val="004C2FAB"/>
    <w:rsid w:val="005021CC"/>
    <w:rsid w:val="0053652F"/>
    <w:rsid w:val="00561479"/>
    <w:rsid w:val="00574341"/>
    <w:rsid w:val="005F5865"/>
    <w:rsid w:val="006905C1"/>
    <w:rsid w:val="006C0AC2"/>
    <w:rsid w:val="006D5103"/>
    <w:rsid w:val="00746BB4"/>
    <w:rsid w:val="007746EA"/>
    <w:rsid w:val="00823BEE"/>
    <w:rsid w:val="00934623"/>
    <w:rsid w:val="00A9195E"/>
    <w:rsid w:val="00B85FB2"/>
    <w:rsid w:val="00B87F34"/>
    <w:rsid w:val="00B90ACE"/>
    <w:rsid w:val="00BF152D"/>
    <w:rsid w:val="00C267A9"/>
    <w:rsid w:val="00CC7D80"/>
    <w:rsid w:val="00CD1625"/>
    <w:rsid w:val="00CD692C"/>
    <w:rsid w:val="00D00152"/>
    <w:rsid w:val="00D06220"/>
    <w:rsid w:val="00DF0E74"/>
    <w:rsid w:val="00E265BE"/>
    <w:rsid w:val="00EE38EB"/>
    <w:rsid w:val="00F062E6"/>
    <w:rsid w:val="00F91516"/>
    <w:rsid w:val="00FC4934"/>
    <w:rsid w:val="00FC4EF9"/>
    <w:rsid w:val="00FE39D8"/>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2EB520"/>
  <w15:docId w15:val="{C68E006A-222D-4126-B491-FC6D443FF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rsid w:val="00934623"/>
    <w:pPr>
      <w:spacing w:line="360" w:lineRule="auto"/>
      <w:jc w:val="both"/>
      <w:outlineLvl w:val="0"/>
    </w:pPr>
    <w:rPr>
      <w:b/>
      <w:sz w:val="24"/>
      <w:szCs w:val="24"/>
    </w:rPr>
  </w:style>
  <w:style w:type="paragraph" w:styleId="Heading2">
    <w:name w:val="heading 2"/>
    <w:basedOn w:val="Normal1"/>
    <w:next w:val="Normal1"/>
    <w:rsid w:val="00FC4EF9"/>
    <w:pPr>
      <w:spacing w:line="360" w:lineRule="auto"/>
      <w:jc w:val="both"/>
      <w:outlineLvl w:val="1"/>
    </w:pPr>
    <w:rPr>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CD1625"/>
    <w:pPr>
      <w:tabs>
        <w:tab w:val="center" w:pos="4513"/>
        <w:tab w:val="right" w:pos="9026"/>
      </w:tabs>
      <w:spacing w:line="240" w:lineRule="auto"/>
    </w:pPr>
  </w:style>
  <w:style w:type="character" w:customStyle="1" w:styleId="HeaderChar">
    <w:name w:val="Header Char"/>
    <w:basedOn w:val="DefaultParagraphFont"/>
    <w:link w:val="Header"/>
    <w:uiPriority w:val="99"/>
    <w:rsid w:val="00CD1625"/>
  </w:style>
  <w:style w:type="paragraph" w:styleId="Footer">
    <w:name w:val="footer"/>
    <w:basedOn w:val="Normal"/>
    <w:link w:val="FooterChar"/>
    <w:uiPriority w:val="99"/>
    <w:unhideWhenUsed/>
    <w:rsid w:val="00CD1625"/>
    <w:pPr>
      <w:tabs>
        <w:tab w:val="center" w:pos="4513"/>
        <w:tab w:val="right" w:pos="9026"/>
      </w:tabs>
      <w:spacing w:line="240" w:lineRule="auto"/>
    </w:pPr>
  </w:style>
  <w:style w:type="character" w:customStyle="1" w:styleId="FooterChar">
    <w:name w:val="Footer Char"/>
    <w:basedOn w:val="DefaultParagraphFont"/>
    <w:link w:val="Footer"/>
    <w:uiPriority w:val="99"/>
    <w:rsid w:val="00CD1625"/>
  </w:style>
  <w:style w:type="paragraph" w:styleId="TOCHeading">
    <w:name w:val="TOC Heading"/>
    <w:basedOn w:val="Heading1"/>
    <w:next w:val="Normal"/>
    <w:uiPriority w:val="39"/>
    <w:unhideWhenUsed/>
    <w:qFormat/>
    <w:rsid w:val="00C267A9"/>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267A9"/>
    <w:pPr>
      <w:spacing w:after="100"/>
    </w:pPr>
  </w:style>
  <w:style w:type="paragraph" w:styleId="TOC2">
    <w:name w:val="toc 2"/>
    <w:basedOn w:val="Normal"/>
    <w:next w:val="Normal"/>
    <w:autoRedefine/>
    <w:uiPriority w:val="39"/>
    <w:unhideWhenUsed/>
    <w:rsid w:val="00C267A9"/>
    <w:pPr>
      <w:spacing w:after="100"/>
      <w:ind w:left="220"/>
    </w:pPr>
  </w:style>
  <w:style w:type="character" w:styleId="Hyperlink">
    <w:name w:val="Hyperlink"/>
    <w:basedOn w:val="DefaultParagraphFont"/>
    <w:uiPriority w:val="99"/>
    <w:unhideWhenUsed/>
    <w:rsid w:val="00C267A9"/>
    <w:rPr>
      <w:color w:val="0000FF" w:themeColor="hyperlink"/>
      <w:u w:val="single"/>
    </w:rPr>
  </w:style>
  <w:style w:type="character" w:customStyle="1" w:styleId="UnresolvedMention">
    <w:name w:val="Unresolved Mention"/>
    <w:basedOn w:val="DefaultParagraphFont"/>
    <w:uiPriority w:val="99"/>
    <w:semiHidden/>
    <w:unhideWhenUsed/>
    <w:rsid w:val="001E49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9304451">
      <w:bodyDiv w:val="1"/>
      <w:marLeft w:val="0"/>
      <w:marRight w:val="0"/>
      <w:marTop w:val="0"/>
      <w:marBottom w:val="0"/>
      <w:divBdr>
        <w:top w:val="none" w:sz="0" w:space="0" w:color="auto"/>
        <w:left w:val="none" w:sz="0" w:space="0" w:color="auto"/>
        <w:bottom w:val="none" w:sz="0" w:space="0" w:color="auto"/>
        <w:right w:val="none" w:sz="0" w:space="0" w:color="auto"/>
      </w:divBdr>
    </w:div>
    <w:div w:id="11206842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hs.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cbi.nlm.nih.gov/pmc/articles/PMC340430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o.int/news-room/fact-sheets/detail/ageing-and-health"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5" Type="http://schemas.openxmlformats.org/officeDocument/2006/relationships/hyperlink" Target="https://www.statista.com/chart/27697/census-shows-population-of-england-and-wales/" TargetMode="External"/><Relationship Id="rId10" Type="http://schemas.openxmlformats.org/officeDocument/2006/relationships/hyperlink" Target="https://www.ageuk.org.uk/globalassets/age-uk/documents/policy-positions/care-and-support/age-uk-improving-healthcare-policy-position.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ons.gov.uk/peoplepopulationandcommunity/birthsdeathsandmarriages/ageing/articles/profileoftheolderpopulationlivinginenglandandwalesin2021andchangessince2011/2023-04-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DF4C4D-3190-4A04-9F41-A37FF322C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3887</Words>
  <Characters>21965</Characters>
  <Application>Microsoft Office Word</Application>
  <DocSecurity>0</DocSecurity>
  <Lines>406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nahar sumi</dc:creator>
  <cp:lastModifiedBy>nahar sumi</cp:lastModifiedBy>
  <cp:revision>2</cp:revision>
  <dcterms:created xsi:type="dcterms:W3CDTF">2024-03-21T20:26:00Z</dcterms:created>
  <dcterms:modified xsi:type="dcterms:W3CDTF">2024-03-21T20:26:00Z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b42ef64db25e0496b887ed6eea2b6a0348c38eee0b6fe90dfde7a09d4d363a1c</vt:lpwstr>
  </property>
</Properties>
</file>