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32E95" w14:textId="6FC93DE4" w:rsidR="003175DE" w:rsidRDefault="003825C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A72D0A">
        <w:rPr>
          <w:noProof/>
        </w:rPr>
        <w:drawing>
          <wp:inline distT="0" distB="0" distL="0" distR="0" wp14:anchorId="3E9D567F" wp14:editId="350C2945">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165848CB" w14:textId="53ED5C0D" w:rsidR="003825C2" w:rsidRDefault="003825C2">
      <w:pPr>
        <w:spacing w:line="360" w:lineRule="auto"/>
        <w:rPr>
          <w:rFonts w:ascii="Times New Roman" w:eastAsia="Times New Roman" w:hAnsi="Times New Roman" w:cs="Times New Roman"/>
          <w:sz w:val="24"/>
          <w:szCs w:val="24"/>
        </w:rPr>
      </w:pPr>
    </w:p>
    <w:p w14:paraId="53F1436D" w14:textId="77777777" w:rsidR="003825C2" w:rsidRDefault="003825C2">
      <w:pPr>
        <w:spacing w:line="360" w:lineRule="auto"/>
        <w:rPr>
          <w:rFonts w:ascii="Times New Roman" w:eastAsia="Times New Roman" w:hAnsi="Times New Roman" w:cs="Times New Roman"/>
          <w:sz w:val="24"/>
          <w:szCs w:val="24"/>
        </w:rPr>
      </w:pPr>
    </w:p>
    <w:p w14:paraId="3056DF30" w14:textId="4AC4AA70" w:rsidR="003175DE" w:rsidRDefault="003825C2" w:rsidP="003825C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b/>
          <w:sz w:val="24"/>
          <w:szCs w:val="24"/>
        </w:rPr>
        <w:t>EXTERNAL AND INTERNAL ANALYSIS FOR BOOST GUARANA</w:t>
      </w:r>
    </w:p>
    <w:p w14:paraId="0FBCFA59" w14:textId="77777777" w:rsidR="003175DE" w:rsidRDefault="003175DE">
      <w:pPr>
        <w:spacing w:line="360" w:lineRule="auto"/>
        <w:jc w:val="center"/>
        <w:rPr>
          <w:rFonts w:ascii="Times New Roman" w:eastAsia="Times New Roman" w:hAnsi="Times New Roman" w:cs="Times New Roman"/>
          <w:sz w:val="24"/>
          <w:szCs w:val="24"/>
        </w:rPr>
      </w:pPr>
    </w:p>
    <w:p w14:paraId="399E26B4" w14:textId="77777777" w:rsidR="003175DE" w:rsidRDefault="003175DE" w:rsidP="003825C2">
      <w:pPr>
        <w:spacing w:line="360" w:lineRule="auto"/>
        <w:rPr>
          <w:rFonts w:ascii="Times New Roman" w:eastAsia="Times New Roman" w:hAnsi="Times New Roman" w:cs="Times New Roman"/>
          <w:sz w:val="24"/>
          <w:szCs w:val="24"/>
        </w:rPr>
      </w:pPr>
    </w:p>
    <w:p w14:paraId="5FCD37FF" w14:textId="77777777" w:rsidR="003825C2" w:rsidRDefault="003825C2" w:rsidP="003825C2">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Student </w:t>
      </w:r>
      <w:proofErr w:type="spellStart"/>
      <w:proofErr w:type="gramStart"/>
      <w:r w:rsidRPr="00C967CD">
        <w:rPr>
          <w:rFonts w:ascii="Times New Roman" w:eastAsia="Times New Roman" w:hAnsi="Times New Roman" w:cs="Times New Roman"/>
          <w:sz w:val="36"/>
          <w:szCs w:val="36"/>
        </w:rPr>
        <w:t>Name:Vasilena</w:t>
      </w:r>
      <w:proofErr w:type="spellEnd"/>
      <w:proofErr w:type="gramEnd"/>
      <w:r w:rsidRPr="00C967CD">
        <w:rPr>
          <w:rFonts w:ascii="Times New Roman" w:eastAsia="Times New Roman" w:hAnsi="Times New Roman" w:cs="Times New Roman"/>
          <w:sz w:val="36"/>
          <w:szCs w:val="36"/>
        </w:rPr>
        <w:t xml:space="preserve"> </w:t>
      </w:r>
      <w:proofErr w:type="spellStart"/>
      <w:r w:rsidRPr="00C967CD">
        <w:rPr>
          <w:rFonts w:ascii="Times New Roman" w:eastAsia="Times New Roman" w:hAnsi="Times New Roman" w:cs="Times New Roman"/>
          <w:sz w:val="36"/>
          <w:szCs w:val="36"/>
        </w:rPr>
        <w:t>Mersinkova</w:t>
      </w:r>
      <w:proofErr w:type="spellEnd"/>
      <w:r w:rsidRPr="00C967CD">
        <w:rPr>
          <w:rFonts w:ascii="Times New Roman" w:eastAsia="Times New Roman" w:hAnsi="Times New Roman" w:cs="Times New Roman"/>
          <w:sz w:val="36"/>
          <w:szCs w:val="36"/>
        </w:rPr>
        <w:t xml:space="preserve"> </w:t>
      </w:r>
    </w:p>
    <w:p w14:paraId="5EEA2B05" w14:textId="77777777" w:rsidR="003825C2" w:rsidRPr="00C967CD" w:rsidRDefault="003825C2" w:rsidP="003825C2">
      <w:pPr>
        <w:spacing w:line="480" w:lineRule="auto"/>
        <w:jc w:val="center"/>
        <w:rPr>
          <w:rFonts w:ascii="Times New Roman" w:eastAsia="Times New Roman" w:hAnsi="Times New Roman" w:cs="Times New Roman"/>
          <w:sz w:val="36"/>
          <w:szCs w:val="36"/>
        </w:rPr>
      </w:pPr>
    </w:p>
    <w:p w14:paraId="5881428B" w14:textId="77777777" w:rsidR="003825C2" w:rsidRPr="00C967CD" w:rsidRDefault="003825C2" w:rsidP="003825C2">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Student ID: 2014054</w:t>
      </w:r>
    </w:p>
    <w:p w14:paraId="71E2C5A1" w14:textId="77777777" w:rsidR="003825C2" w:rsidRPr="00C967CD" w:rsidRDefault="003825C2" w:rsidP="003825C2">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University of W</w:t>
      </w:r>
      <w:r>
        <w:rPr>
          <w:rFonts w:ascii="Times New Roman" w:eastAsia="Times New Roman" w:hAnsi="Times New Roman" w:cs="Times New Roman"/>
          <w:sz w:val="36"/>
          <w:szCs w:val="36"/>
        </w:rPr>
        <w:t>ale</w:t>
      </w:r>
      <w:r w:rsidRPr="00C967CD">
        <w:rPr>
          <w:rFonts w:ascii="Times New Roman" w:eastAsia="Times New Roman" w:hAnsi="Times New Roman" w:cs="Times New Roman"/>
          <w:sz w:val="36"/>
          <w:szCs w:val="36"/>
        </w:rPr>
        <w:t xml:space="preserve">s Trinity Saint David </w:t>
      </w:r>
    </w:p>
    <w:p w14:paraId="23C4AA5A" w14:textId="77777777" w:rsidR="003825C2" w:rsidRDefault="003825C2" w:rsidP="003825C2">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Marketing Fundamentals</w:t>
      </w:r>
    </w:p>
    <w:p w14:paraId="4AC7F1B9" w14:textId="77777777" w:rsidR="003825C2" w:rsidRPr="00C967CD" w:rsidRDefault="003825C2" w:rsidP="003825C2">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Module </w:t>
      </w:r>
      <w:proofErr w:type="gramStart"/>
      <w:r>
        <w:rPr>
          <w:rFonts w:ascii="Times New Roman" w:eastAsia="Times New Roman" w:hAnsi="Times New Roman" w:cs="Times New Roman"/>
          <w:sz w:val="36"/>
          <w:szCs w:val="36"/>
        </w:rPr>
        <w:t>code:LCBB</w:t>
      </w:r>
      <w:proofErr w:type="gramEnd"/>
      <w:r>
        <w:rPr>
          <w:rFonts w:ascii="Times New Roman" w:eastAsia="Times New Roman" w:hAnsi="Times New Roman" w:cs="Times New Roman"/>
          <w:sz w:val="36"/>
          <w:szCs w:val="36"/>
        </w:rPr>
        <w:t>4004</w:t>
      </w:r>
    </w:p>
    <w:p w14:paraId="1FC9B214" w14:textId="69B48B3B" w:rsidR="003825C2" w:rsidRDefault="003825C2" w:rsidP="003825C2">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 xml:space="preserve">Mohammad </w:t>
      </w:r>
      <w:proofErr w:type="spellStart"/>
      <w:r>
        <w:rPr>
          <w:rFonts w:ascii="Times New Roman" w:eastAsia="Times New Roman" w:hAnsi="Times New Roman" w:cs="Times New Roman"/>
          <w:sz w:val="36"/>
          <w:szCs w:val="36"/>
        </w:rPr>
        <w:t>Rahmad</w:t>
      </w:r>
      <w:proofErr w:type="spellEnd"/>
    </w:p>
    <w:p w14:paraId="17C17552" w14:textId="77777777" w:rsidR="003825C2" w:rsidRPr="0002768F" w:rsidRDefault="003825C2" w:rsidP="003825C2">
      <w:pPr>
        <w:spacing w:line="480" w:lineRule="auto"/>
        <w:jc w:val="center"/>
        <w:rPr>
          <w:rFonts w:ascii="Times New Roman" w:eastAsia="Times New Roman" w:hAnsi="Times New Roman" w:cs="Times New Roman"/>
          <w:sz w:val="36"/>
          <w:szCs w:val="36"/>
        </w:rPr>
      </w:pPr>
      <w:r w:rsidRPr="0002768F">
        <w:rPr>
          <w:rFonts w:ascii="Times New Roman" w:eastAsia="Times New Roman" w:hAnsi="Times New Roman" w:cs="Times New Roman"/>
          <w:sz w:val="36"/>
          <w:szCs w:val="36"/>
        </w:rPr>
        <w:t xml:space="preserve">   Date: </w:t>
      </w:r>
      <w:r>
        <w:rPr>
          <w:rFonts w:ascii="Times New Roman" w:eastAsia="Times New Roman" w:hAnsi="Times New Roman" w:cs="Times New Roman"/>
          <w:sz w:val="36"/>
          <w:szCs w:val="36"/>
        </w:rPr>
        <w:t>13</w:t>
      </w:r>
      <w:r w:rsidRPr="0002768F">
        <w:rPr>
          <w:rFonts w:ascii="Times New Roman" w:eastAsia="Times New Roman" w:hAnsi="Times New Roman" w:cs="Times New Roman"/>
          <w:sz w:val="36"/>
          <w:szCs w:val="36"/>
        </w:rPr>
        <w:t>.</w:t>
      </w:r>
      <w:r>
        <w:rPr>
          <w:rFonts w:ascii="Times New Roman" w:eastAsia="Times New Roman" w:hAnsi="Times New Roman" w:cs="Times New Roman"/>
          <w:sz w:val="36"/>
          <w:szCs w:val="36"/>
        </w:rPr>
        <w:t>01</w:t>
      </w:r>
      <w:r w:rsidRPr="0002768F">
        <w:rPr>
          <w:rFonts w:ascii="Times New Roman" w:eastAsia="Times New Roman" w:hAnsi="Times New Roman" w:cs="Times New Roman"/>
          <w:sz w:val="36"/>
          <w:szCs w:val="36"/>
        </w:rPr>
        <w:t>.202</w:t>
      </w:r>
      <w:r>
        <w:rPr>
          <w:rFonts w:ascii="Times New Roman" w:eastAsia="Times New Roman" w:hAnsi="Times New Roman" w:cs="Times New Roman"/>
          <w:sz w:val="36"/>
          <w:szCs w:val="36"/>
        </w:rPr>
        <w:t>3</w:t>
      </w:r>
    </w:p>
    <w:p w14:paraId="4E03F963" w14:textId="77777777" w:rsidR="003175DE" w:rsidRDefault="003175DE">
      <w:pPr>
        <w:spacing w:line="360" w:lineRule="auto"/>
        <w:rPr>
          <w:rFonts w:ascii="Times New Roman" w:eastAsia="Times New Roman" w:hAnsi="Times New Roman" w:cs="Times New Roman"/>
          <w:sz w:val="24"/>
          <w:szCs w:val="24"/>
        </w:rPr>
      </w:pPr>
    </w:p>
    <w:p w14:paraId="0983348B" w14:textId="77777777" w:rsidR="003175DE" w:rsidRDefault="00000000">
      <w:pPr>
        <w:pStyle w:val="Heading1"/>
        <w:spacing w:line="360" w:lineRule="auto"/>
        <w:rPr>
          <w:rFonts w:ascii="Times New Roman" w:eastAsia="Times New Roman" w:hAnsi="Times New Roman" w:cs="Times New Roman"/>
          <w:b/>
        </w:rPr>
      </w:pPr>
      <w:bookmarkStart w:id="0" w:name="_gjdgxs" w:colFirst="0" w:colLast="0"/>
      <w:bookmarkEnd w:id="0"/>
      <w:r>
        <w:rPr>
          <w:rFonts w:ascii="Times New Roman" w:eastAsia="Times New Roman" w:hAnsi="Times New Roman" w:cs="Times New Roman"/>
          <w:b/>
        </w:rPr>
        <w:t>Executive Summary</w:t>
      </w:r>
    </w:p>
    <w:p w14:paraId="0983695A"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 company is owned by Mondelez International, the second largest confectionery company globally. Specifically, Cadbury operates in over 150 countries across the globe and has been in the market since 1831. The company is known for its major brands, such as Oreo, easter egg, and Cadbury dairy milk, among many others. In the last few years, the confectionary market has significantly shrunk, forcing companies to rethink revitalisation strategies. Cadbury is working on a move to introduce energy chocolate bars in the luxurious food energy market. The food energy market has significantly grown in the last few years and could provide an opportunity for Cadbury to increase its profits. However, the company faces numerous external and internal threats that may hamper its success in the energy market. Some of the threats include the presence of stronger energy drink brands such as Monster and Red Bull. However, despite the challenges, the present research shows that Cadbury's Boost Guarana is well-positioned to succeed in the market. In specific, the huge financial power of the parent company, Mondelez International, years of experience, and targeted marketing tips put the company in a good position to excel in the food energy market. </w:t>
      </w:r>
    </w:p>
    <w:p w14:paraId="116D65A9" w14:textId="77777777" w:rsidR="003175DE" w:rsidRDefault="00000000">
      <w:pPr>
        <w:spacing w:line="360" w:lineRule="auto"/>
        <w:rPr>
          <w:rFonts w:ascii="Times New Roman" w:eastAsia="Times New Roman" w:hAnsi="Times New Roman" w:cs="Times New Roman"/>
          <w:sz w:val="24"/>
          <w:szCs w:val="24"/>
        </w:rPr>
      </w:pPr>
      <w:r>
        <w:br w:type="page"/>
      </w:r>
    </w:p>
    <w:p w14:paraId="2CE1AE35" w14:textId="77777777" w:rsidR="003175DE" w:rsidRDefault="003175DE">
      <w:pPr>
        <w:spacing w:line="360" w:lineRule="auto"/>
        <w:rPr>
          <w:rFonts w:ascii="Times New Roman" w:eastAsia="Times New Roman" w:hAnsi="Times New Roman" w:cs="Times New Roman"/>
          <w:sz w:val="24"/>
          <w:szCs w:val="24"/>
        </w:rPr>
      </w:pPr>
    </w:p>
    <w:p w14:paraId="68E4E85D" w14:textId="77777777" w:rsidR="003175DE" w:rsidRDefault="00000000">
      <w:pPr>
        <w:keepNext/>
        <w:keepLines/>
        <w:pBdr>
          <w:top w:val="nil"/>
          <w:left w:val="nil"/>
          <w:bottom w:val="nil"/>
          <w:right w:val="nil"/>
          <w:between w:val="nil"/>
        </w:pBdr>
        <w:spacing w:before="240" w:after="0" w:line="240" w:lineRule="auto"/>
        <w:jc w:val="center"/>
        <w:rPr>
          <w:rFonts w:ascii="Times New Roman" w:eastAsia="Times New Roman" w:hAnsi="Times New Roman" w:cs="Times New Roman"/>
          <w:b/>
          <w:color w:val="2F5496"/>
          <w:sz w:val="32"/>
          <w:szCs w:val="32"/>
        </w:rPr>
      </w:pPr>
      <w:r>
        <w:rPr>
          <w:rFonts w:ascii="Times New Roman" w:eastAsia="Times New Roman" w:hAnsi="Times New Roman" w:cs="Times New Roman"/>
          <w:b/>
          <w:color w:val="2F5496"/>
          <w:sz w:val="32"/>
          <w:szCs w:val="32"/>
        </w:rPr>
        <w:t>Contents</w:t>
      </w:r>
    </w:p>
    <w:sdt>
      <w:sdtPr>
        <w:id w:val="1121647400"/>
        <w:docPartObj>
          <w:docPartGallery w:val="Table of Contents"/>
          <w:docPartUnique/>
        </w:docPartObj>
      </w:sdtPr>
      <w:sdtContent>
        <w:p w14:paraId="30B33212" w14:textId="77777777" w:rsidR="003175DE" w:rsidRDefault="00000000">
          <w:pPr>
            <w:tabs>
              <w:tab w:val="right" w:pos="9360"/>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Executive Summary</w:t>
            </w:r>
          </w:hyperlink>
          <w:r>
            <w:rPr>
              <w:rFonts w:ascii="Times New Roman" w:eastAsia="Times New Roman" w:hAnsi="Times New Roman" w:cs="Times New Roman"/>
              <w:color w:val="000000"/>
              <w:sz w:val="24"/>
              <w:szCs w:val="24"/>
            </w:rPr>
            <w:tab/>
          </w:r>
          <w:r>
            <w:fldChar w:fldCharType="begin"/>
          </w:r>
          <w:r>
            <w:instrText xml:space="preserve"> PAGEREF _gjdgxs \h </w:instrText>
          </w:r>
          <w:r>
            <w:fldChar w:fldCharType="separate"/>
          </w:r>
          <w:r>
            <w:rPr>
              <w:rFonts w:ascii="Times New Roman" w:eastAsia="Times New Roman" w:hAnsi="Times New Roman" w:cs="Times New Roman"/>
              <w:color w:val="000000"/>
              <w:sz w:val="24"/>
              <w:szCs w:val="24"/>
            </w:rPr>
            <w:t>2</w:t>
          </w:r>
          <w:r>
            <w:fldChar w:fldCharType="end"/>
          </w:r>
        </w:p>
        <w:p w14:paraId="6594A0CC"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30j0zll">
            <w:r>
              <w:rPr>
                <w:rFonts w:ascii="Times New Roman" w:eastAsia="Times New Roman" w:hAnsi="Times New Roman" w:cs="Times New Roman"/>
                <w:color w:val="000000"/>
              </w:rPr>
              <w:t>Introduction</w:t>
            </w:r>
          </w:hyperlink>
          <w:r>
            <w:rPr>
              <w:rFonts w:ascii="Times New Roman" w:eastAsia="Times New Roman" w:hAnsi="Times New Roman" w:cs="Times New Roman"/>
              <w:color w:val="000000"/>
            </w:rPr>
            <w:tab/>
          </w:r>
          <w:r>
            <w:fldChar w:fldCharType="begin"/>
          </w:r>
          <w:r>
            <w:instrText xml:space="preserve"> PAGEREF _30j0zll \h </w:instrText>
          </w:r>
          <w:r>
            <w:fldChar w:fldCharType="separate"/>
          </w:r>
          <w:r>
            <w:rPr>
              <w:rFonts w:ascii="Times New Roman" w:eastAsia="Times New Roman" w:hAnsi="Times New Roman" w:cs="Times New Roman"/>
              <w:color w:val="000000"/>
            </w:rPr>
            <w:t>5</w:t>
          </w:r>
          <w:r>
            <w:fldChar w:fldCharType="end"/>
          </w:r>
        </w:p>
        <w:p w14:paraId="11E99E29"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1fob9te">
            <w:r>
              <w:rPr>
                <w:rFonts w:ascii="Times New Roman" w:eastAsia="Times New Roman" w:hAnsi="Times New Roman" w:cs="Times New Roman"/>
                <w:color w:val="000000"/>
              </w:rPr>
              <w:t>Market Overview/ Presentation of Data (The UK’s energy drink market)</w:t>
            </w:r>
          </w:hyperlink>
          <w:r>
            <w:rPr>
              <w:rFonts w:ascii="Times New Roman" w:eastAsia="Times New Roman" w:hAnsi="Times New Roman" w:cs="Times New Roman"/>
              <w:color w:val="000000"/>
            </w:rPr>
            <w:tab/>
          </w:r>
          <w:r>
            <w:fldChar w:fldCharType="begin"/>
          </w:r>
          <w:r>
            <w:instrText xml:space="preserve"> PAGEREF _1fob9te \h </w:instrText>
          </w:r>
          <w:r>
            <w:fldChar w:fldCharType="separate"/>
          </w:r>
          <w:r>
            <w:rPr>
              <w:rFonts w:ascii="Times New Roman" w:eastAsia="Times New Roman" w:hAnsi="Times New Roman" w:cs="Times New Roman"/>
              <w:color w:val="000000"/>
            </w:rPr>
            <w:t>5</w:t>
          </w:r>
          <w:r>
            <w:fldChar w:fldCharType="end"/>
          </w:r>
        </w:p>
        <w:p w14:paraId="4A653B86"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tyjcwt">
            <w:r>
              <w:rPr>
                <w:rFonts w:ascii="Times New Roman" w:eastAsia="Times New Roman" w:hAnsi="Times New Roman" w:cs="Times New Roman"/>
                <w:color w:val="000000"/>
              </w:rPr>
              <w:t>Market Overview Chocolate Industry (The UK Chocolate Industry</w:t>
            </w:r>
          </w:hyperlink>
          <w:r>
            <w:rPr>
              <w:rFonts w:ascii="Times New Roman" w:eastAsia="Times New Roman" w:hAnsi="Times New Roman" w:cs="Times New Roman"/>
              <w:color w:val="000000"/>
            </w:rPr>
            <w:tab/>
          </w:r>
          <w:r>
            <w:fldChar w:fldCharType="begin"/>
          </w:r>
          <w:r>
            <w:instrText xml:space="preserve"> PAGEREF _tyjcwt \h </w:instrText>
          </w:r>
          <w:r>
            <w:fldChar w:fldCharType="separate"/>
          </w:r>
          <w:r>
            <w:rPr>
              <w:rFonts w:ascii="Times New Roman" w:eastAsia="Times New Roman" w:hAnsi="Times New Roman" w:cs="Times New Roman"/>
              <w:color w:val="000000"/>
            </w:rPr>
            <w:t>6</w:t>
          </w:r>
          <w:r>
            <w:fldChar w:fldCharType="end"/>
          </w:r>
        </w:p>
        <w:p w14:paraId="28A9591A"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3dy6vkm">
            <w:r>
              <w:rPr>
                <w:rFonts w:ascii="Times New Roman" w:eastAsia="Times New Roman" w:hAnsi="Times New Roman" w:cs="Times New Roman"/>
                <w:color w:val="000000"/>
              </w:rPr>
              <w:t>Cadbury Outlook and key Objective</w:t>
            </w:r>
          </w:hyperlink>
          <w:r>
            <w:rPr>
              <w:rFonts w:ascii="Times New Roman" w:eastAsia="Times New Roman" w:hAnsi="Times New Roman" w:cs="Times New Roman"/>
              <w:color w:val="000000"/>
            </w:rPr>
            <w:tab/>
          </w:r>
          <w:r>
            <w:fldChar w:fldCharType="begin"/>
          </w:r>
          <w:r>
            <w:instrText xml:space="preserve"> PAGEREF _3dy6vkm \h </w:instrText>
          </w:r>
          <w:r>
            <w:fldChar w:fldCharType="separate"/>
          </w:r>
          <w:r>
            <w:rPr>
              <w:rFonts w:ascii="Times New Roman" w:eastAsia="Times New Roman" w:hAnsi="Times New Roman" w:cs="Times New Roman"/>
              <w:color w:val="000000"/>
            </w:rPr>
            <w:t>8</w:t>
          </w:r>
          <w:r>
            <w:fldChar w:fldCharType="end"/>
          </w:r>
        </w:p>
        <w:p w14:paraId="03CBF09F"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Competitor Analysis (Chocolate Industry)</w:t>
            </w:r>
          </w:hyperlink>
          <w:r>
            <w:rPr>
              <w:rFonts w:ascii="Times New Roman" w:eastAsia="Times New Roman" w:hAnsi="Times New Roman" w:cs="Times New Roman"/>
              <w:color w:val="000000"/>
            </w:rPr>
            <w:tab/>
          </w:r>
          <w:r>
            <w:fldChar w:fldCharType="begin"/>
          </w:r>
          <w:r>
            <w:instrText xml:space="preserve"> PAGEREF _1t3h5sf \h </w:instrText>
          </w:r>
          <w:r>
            <w:fldChar w:fldCharType="separate"/>
          </w:r>
          <w:r>
            <w:rPr>
              <w:rFonts w:ascii="Times New Roman" w:eastAsia="Times New Roman" w:hAnsi="Times New Roman" w:cs="Times New Roman"/>
              <w:color w:val="000000"/>
            </w:rPr>
            <w:t>8</w:t>
          </w:r>
          <w:r>
            <w:fldChar w:fldCharType="end"/>
          </w:r>
        </w:p>
        <w:p w14:paraId="41DAC3C0"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4d34og8">
            <w:r>
              <w:rPr>
                <w:rFonts w:ascii="Times New Roman" w:eastAsia="Times New Roman" w:hAnsi="Times New Roman" w:cs="Times New Roman"/>
                <w:color w:val="000000"/>
              </w:rPr>
              <w:t>Mars (Wrigley’s)</w:t>
            </w:r>
          </w:hyperlink>
          <w:r>
            <w:rPr>
              <w:rFonts w:ascii="Times New Roman" w:eastAsia="Times New Roman" w:hAnsi="Times New Roman" w:cs="Times New Roman"/>
              <w:color w:val="000000"/>
            </w:rPr>
            <w:tab/>
          </w:r>
          <w:r>
            <w:fldChar w:fldCharType="begin"/>
          </w:r>
          <w:r>
            <w:instrText xml:space="preserve"> PAGEREF _4d34og8 \h </w:instrText>
          </w:r>
          <w:r>
            <w:fldChar w:fldCharType="separate"/>
          </w:r>
          <w:r>
            <w:rPr>
              <w:rFonts w:ascii="Times New Roman" w:eastAsia="Times New Roman" w:hAnsi="Times New Roman" w:cs="Times New Roman"/>
              <w:color w:val="000000"/>
            </w:rPr>
            <w:t>8</w:t>
          </w:r>
          <w:r>
            <w:fldChar w:fldCharType="end"/>
          </w:r>
        </w:p>
        <w:p w14:paraId="00947B3D"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2s8eyo1">
            <w:r>
              <w:rPr>
                <w:rFonts w:ascii="Times New Roman" w:eastAsia="Times New Roman" w:hAnsi="Times New Roman" w:cs="Times New Roman"/>
                <w:color w:val="000000"/>
              </w:rPr>
              <w:t>Hershey</w:t>
            </w:r>
          </w:hyperlink>
          <w:r>
            <w:rPr>
              <w:rFonts w:ascii="Times New Roman" w:eastAsia="Times New Roman" w:hAnsi="Times New Roman" w:cs="Times New Roman"/>
              <w:color w:val="000000"/>
            </w:rPr>
            <w:tab/>
          </w:r>
          <w:r>
            <w:fldChar w:fldCharType="begin"/>
          </w:r>
          <w:r>
            <w:instrText xml:space="preserve"> PAGEREF _2s8eyo1 \h </w:instrText>
          </w:r>
          <w:r>
            <w:fldChar w:fldCharType="separate"/>
          </w:r>
          <w:r>
            <w:rPr>
              <w:rFonts w:ascii="Times New Roman" w:eastAsia="Times New Roman" w:hAnsi="Times New Roman" w:cs="Times New Roman"/>
              <w:color w:val="000000"/>
            </w:rPr>
            <w:t>8</w:t>
          </w:r>
          <w:r>
            <w:fldChar w:fldCharType="end"/>
          </w:r>
        </w:p>
        <w:p w14:paraId="5B488882"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17dp8vu">
            <w:r>
              <w:rPr>
                <w:rFonts w:ascii="Times New Roman" w:eastAsia="Times New Roman" w:hAnsi="Times New Roman" w:cs="Times New Roman"/>
                <w:color w:val="000000"/>
              </w:rPr>
              <w:t>Nestle</w:t>
            </w:r>
          </w:hyperlink>
          <w:r>
            <w:rPr>
              <w:rFonts w:ascii="Times New Roman" w:eastAsia="Times New Roman" w:hAnsi="Times New Roman" w:cs="Times New Roman"/>
              <w:color w:val="000000"/>
            </w:rPr>
            <w:tab/>
          </w:r>
          <w:r>
            <w:fldChar w:fldCharType="begin"/>
          </w:r>
          <w:r>
            <w:instrText xml:space="preserve"> PAGEREF _17dp8vu \h </w:instrText>
          </w:r>
          <w:r>
            <w:fldChar w:fldCharType="separate"/>
          </w:r>
          <w:r>
            <w:rPr>
              <w:rFonts w:ascii="Times New Roman" w:eastAsia="Times New Roman" w:hAnsi="Times New Roman" w:cs="Times New Roman"/>
              <w:color w:val="000000"/>
            </w:rPr>
            <w:t>9</w:t>
          </w:r>
          <w:r>
            <w:fldChar w:fldCharType="end"/>
          </w:r>
        </w:p>
        <w:p w14:paraId="08A9C9A9"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3rdcrjn">
            <w:r>
              <w:rPr>
                <w:rFonts w:ascii="Times New Roman" w:eastAsia="Times New Roman" w:hAnsi="Times New Roman" w:cs="Times New Roman"/>
                <w:color w:val="000000"/>
              </w:rPr>
              <w:t>Competitor’s Analysis (Energy Drink Market)</w:t>
            </w:r>
          </w:hyperlink>
          <w:r>
            <w:rPr>
              <w:rFonts w:ascii="Times New Roman" w:eastAsia="Times New Roman" w:hAnsi="Times New Roman" w:cs="Times New Roman"/>
              <w:color w:val="000000"/>
            </w:rPr>
            <w:tab/>
          </w:r>
          <w:r>
            <w:fldChar w:fldCharType="begin"/>
          </w:r>
          <w:r>
            <w:instrText xml:space="preserve"> PAGEREF _3rdcrjn \h </w:instrText>
          </w:r>
          <w:r>
            <w:fldChar w:fldCharType="separate"/>
          </w:r>
          <w:r>
            <w:rPr>
              <w:rFonts w:ascii="Times New Roman" w:eastAsia="Times New Roman" w:hAnsi="Times New Roman" w:cs="Times New Roman"/>
              <w:color w:val="000000"/>
            </w:rPr>
            <w:t>9</w:t>
          </w:r>
          <w:r>
            <w:fldChar w:fldCharType="end"/>
          </w:r>
        </w:p>
        <w:p w14:paraId="74A9FC95"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26in1rg">
            <w:r>
              <w:rPr>
                <w:rFonts w:ascii="Times New Roman" w:eastAsia="Times New Roman" w:hAnsi="Times New Roman" w:cs="Times New Roman"/>
                <w:color w:val="000000"/>
              </w:rPr>
              <w:t>Suntory Beverage &amp; Food Limited</w:t>
            </w:r>
          </w:hyperlink>
          <w:r>
            <w:rPr>
              <w:rFonts w:ascii="Times New Roman" w:eastAsia="Times New Roman" w:hAnsi="Times New Roman" w:cs="Times New Roman"/>
              <w:color w:val="000000"/>
            </w:rPr>
            <w:tab/>
          </w:r>
          <w:r>
            <w:fldChar w:fldCharType="begin"/>
          </w:r>
          <w:r>
            <w:instrText xml:space="preserve"> PAGEREF _26in1rg \h </w:instrText>
          </w:r>
          <w:r>
            <w:fldChar w:fldCharType="separate"/>
          </w:r>
          <w:r>
            <w:rPr>
              <w:rFonts w:ascii="Times New Roman" w:eastAsia="Times New Roman" w:hAnsi="Times New Roman" w:cs="Times New Roman"/>
              <w:color w:val="000000"/>
            </w:rPr>
            <w:t>9</w:t>
          </w:r>
          <w:r>
            <w:fldChar w:fldCharType="end"/>
          </w:r>
        </w:p>
        <w:p w14:paraId="384BD611"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lnxbz9">
            <w:r>
              <w:rPr>
                <w:rFonts w:ascii="Times New Roman" w:eastAsia="Times New Roman" w:hAnsi="Times New Roman" w:cs="Times New Roman"/>
                <w:color w:val="000000"/>
              </w:rPr>
              <w:t>Red Bull Gmbh</w:t>
            </w:r>
          </w:hyperlink>
          <w:r>
            <w:rPr>
              <w:rFonts w:ascii="Times New Roman" w:eastAsia="Times New Roman" w:hAnsi="Times New Roman" w:cs="Times New Roman"/>
              <w:color w:val="000000"/>
            </w:rPr>
            <w:tab/>
          </w:r>
          <w:r>
            <w:fldChar w:fldCharType="begin"/>
          </w:r>
          <w:r>
            <w:instrText xml:space="preserve"> PAGEREF _lnxbz9 \h </w:instrText>
          </w:r>
          <w:r>
            <w:fldChar w:fldCharType="separate"/>
          </w:r>
          <w:r>
            <w:rPr>
              <w:rFonts w:ascii="Times New Roman" w:eastAsia="Times New Roman" w:hAnsi="Times New Roman" w:cs="Times New Roman"/>
              <w:color w:val="000000"/>
            </w:rPr>
            <w:t>9</w:t>
          </w:r>
          <w:r>
            <w:fldChar w:fldCharType="end"/>
          </w:r>
        </w:p>
        <w:p w14:paraId="5060206B"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35nkun2">
            <w:r>
              <w:rPr>
                <w:rFonts w:ascii="Times New Roman" w:eastAsia="Times New Roman" w:hAnsi="Times New Roman" w:cs="Times New Roman"/>
                <w:color w:val="000000"/>
              </w:rPr>
              <w:t>Monster Beverage Corporation</w:t>
            </w:r>
          </w:hyperlink>
          <w:r>
            <w:rPr>
              <w:rFonts w:ascii="Times New Roman" w:eastAsia="Times New Roman" w:hAnsi="Times New Roman" w:cs="Times New Roman"/>
              <w:color w:val="000000"/>
            </w:rPr>
            <w:tab/>
          </w:r>
          <w:r>
            <w:fldChar w:fldCharType="begin"/>
          </w:r>
          <w:r>
            <w:instrText xml:space="preserve"> PAGEREF _35nkun2 \h </w:instrText>
          </w:r>
          <w:r>
            <w:fldChar w:fldCharType="separate"/>
          </w:r>
          <w:r>
            <w:rPr>
              <w:rFonts w:ascii="Times New Roman" w:eastAsia="Times New Roman" w:hAnsi="Times New Roman" w:cs="Times New Roman"/>
              <w:color w:val="000000"/>
            </w:rPr>
            <w:t>10</w:t>
          </w:r>
          <w:r>
            <w:fldChar w:fldCharType="end"/>
          </w:r>
        </w:p>
        <w:p w14:paraId="12C88556"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1ksv4uv">
            <w:r>
              <w:rPr>
                <w:rFonts w:ascii="Times New Roman" w:eastAsia="Times New Roman" w:hAnsi="Times New Roman" w:cs="Times New Roman"/>
                <w:color w:val="000000"/>
              </w:rPr>
              <w:t>Presentation of Models and Theories</w:t>
            </w:r>
          </w:hyperlink>
          <w:r>
            <w:rPr>
              <w:rFonts w:ascii="Times New Roman" w:eastAsia="Times New Roman" w:hAnsi="Times New Roman" w:cs="Times New Roman"/>
              <w:color w:val="000000"/>
            </w:rPr>
            <w:tab/>
          </w:r>
          <w:r>
            <w:fldChar w:fldCharType="begin"/>
          </w:r>
          <w:r>
            <w:instrText xml:space="preserve"> PAGEREF _1ksv4uv \h </w:instrText>
          </w:r>
          <w:r>
            <w:fldChar w:fldCharType="separate"/>
          </w:r>
          <w:r>
            <w:rPr>
              <w:rFonts w:ascii="Times New Roman" w:eastAsia="Times New Roman" w:hAnsi="Times New Roman" w:cs="Times New Roman"/>
              <w:color w:val="000000"/>
            </w:rPr>
            <w:t>10</w:t>
          </w:r>
          <w:r>
            <w:fldChar w:fldCharType="end"/>
          </w:r>
        </w:p>
        <w:p w14:paraId="31AFED44"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44sinio">
            <w:r>
              <w:rPr>
                <w:rFonts w:ascii="Times New Roman" w:eastAsia="Times New Roman" w:hAnsi="Times New Roman" w:cs="Times New Roman"/>
                <w:color w:val="000000"/>
              </w:rPr>
              <w:t>Marketing Mix for Cadburys</w:t>
            </w:r>
          </w:hyperlink>
          <w:r>
            <w:rPr>
              <w:rFonts w:ascii="Times New Roman" w:eastAsia="Times New Roman" w:hAnsi="Times New Roman" w:cs="Times New Roman"/>
              <w:color w:val="000000"/>
            </w:rPr>
            <w:tab/>
          </w:r>
          <w:r>
            <w:fldChar w:fldCharType="begin"/>
          </w:r>
          <w:r>
            <w:instrText xml:space="preserve"> PAGEREF _44sinio \h </w:instrText>
          </w:r>
          <w:r>
            <w:fldChar w:fldCharType="separate"/>
          </w:r>
          <w:r>
            <w:rPr>
              <w:rFonts w:ascii="Times New Roman" w:eastAsia="Times New Roman" w:hAnsi="Times New Roman" w:cs="Times New Roman"/>
              <w:color w:val="000000"/>
            </w:rPr>
            <w:t>10</w:t>
          </w:r>
          <w:r>
            <w:fldChar w:fldCharType="end"/>
          </w:r>
        </w:p>
        <w:p w14:paraId="452E05F2"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2jxsxqh">
            <w:r>
              <w:rPr>
                <w:rFonts w:ascii="Times New Roman" w:eastAsia="Times New Roman" w:hAnsi="Times New Roman" w:cs="Times New Roman"/>
                <w:color w:val="000000"/>
              </w:rPr>
              <w:t>Product</w:t>
            </w:r>
          </w:hyperlink>
          <w:r>
            <w:rPr>
              <w:rFonts w:ascii="Times New Roman" w:eastAsia="Times New Roman" w:hAnsi="Times New Roman" w:cs="Times New Roman"/>
              <w:color w:val="000000"/>
            </w:rPr>
            <w:tab/>
          </w:r>
          <w:r>
            <w:fldChar w:fldCharType="begin"/>
          </w:r>
          <w:r>
            <w:instrText xml:space="preserve"> PAGEREF _2jxsxqh \h </w:instrText>
          </w:r>
          <w:r>
            <w:fldChar w:fldCharType="separate"/>
          </w:r>
          <w:r>
            <w:rPr>
              <w:rFonts w:ascii="Times New Roman" w:eastAsia="Times New Roman" w:hAnsi="Times New Roman" w:cs="Times New Roman"/>
              <w:color w:val="000000"/>
            </w:rPr>
            <w:t>10</w:t>
          </w:r>
          <w:r>
            <w:fldChar w:fldCharType="end"/>
          </w:r>
        </w:p>
        <w:p w14:paraId="11A6F041"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z337ya">
            <w:r>
              <w:rPr>
                <w:rFonts w:ascii="Times New Roman" w:eastAsia="Times New Roman" w:hAnsi="Times New Roman" w:cs="Times New Roman"/>
                <w:color w:val="000000"/>
              </w:rPr>
              <w:t>Price mix of Cadburys</w:t>
            </w:r>
          </w:hyperlink>
          <w:r>
            <w:rPr>
              <w:rFonts w:ascii="Times New Roman" w:eastAsia="Times New Roman" w:hAnsi="Times New Roman" w:cs="Times New Roman"/>
              <w:color w:val="000000"/>
            </w:rPr>
            <w:tab/>
          </w:r>
          <w:r>
            <w:fldChar w:fldCharType="begin"/>
          </w:r>
          <w:r>
            <w:instrText xml:space="preserve"> PAGEREF _z337ya \h </w:instrText>
          </w:r>
          <w:r>
            <w:fldChar w:fldCharType="separate"/>
          </w:r>
          <w:r>
            <w:rPr>
              <w:rFonts w:ascii="Times New Roman" w:eastAsia="Times New Roman" w:hAnsi="Times New Roman" w:cs="Times New Roman"/>
              <w:color w:val="000000"/>
            </w:rPr>
            <w:t>11</w:t>
          </w:r>
          <w:r>
            <w:fldChar w:fldCharType="end"/>
          </w:r>
        </w:p>
        <w:p w14:paraId="4C5BB133"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3j2qqm3">
            <w:r>
              <w:rPr>
                <w:rFonts w:ascii="Times New Roman" w:eastAsia="Times New Roman" w:hAnsi="Times New Roman" w:cs="Times New Roman"/>
                <w:color w:val="000000"/>
              </w:rPr>
              <w:t>Place mix for Cadburys</w:t>
            </w:r>
          </w:hyperlink>
          <w:r>
            <w:rPr>
              <w:rFonts w:ascii="Times New Roman" w:eastAsia="Times New Roman" w:hAnsi="Times New Roman" w:cs="Times New Roman"/>
              <w:color w:val="000000"/>
            </w:rPr>
            <w:tab/>
          </w:r>
          <w:r>
            <w:fldChar w:fldCharType="begin"/>
          </w:r>
          <w:r>
            <w:instrText xml:space="preserve"> PAGEREF _3j2qqm3 \h </w:instrText>
          </w:r>
          <w:r>
            <w:fldChar w:fldCharType="separate"/>
          </w:r>
          <w:r>
            <w:rPr>
              <w:rFonts w:ascii="Times New Roman" w:eastAsia="Times New Roman" w:hAnsi="Times New Roman" w:cs="Times New Roman"/>
              <w:color w:val="000000"/>
            </w:rPr>
            <w:t>11</w:t>
          </w:r>
          <w:r>
            <w:fldChar w:fldCharType="end"/>
          </w:r>
        </w:p>
        <w:p w14:paraId="74A9C538"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1y810tw">
            <w:r>
              <w:rPr>
                <w:rFonts w:ascii="Times New Roman" w:eastAsia="Times New Roman" w:hAnsi="Times New Roman" w:cs="Times New Roman"/>
                <w:color w:val="000000"/>
              </w:rPr>
              <w:t>Promotion Mix</w:t>
            </w:r>
          </w:hyperlink>
          <w:r>
            <w:rPr>
              <w:rFonts w:ascii="Times New Roman" w:eastAsia="Times New Roman" w:hAnsi="Times New Roman" w:cs="Times New Roman"/>
              <w:color w:val="000000"/>
            </w:rPr>
            <w:tab/>
          </w:r>
          <w:r>
            <w:fldChar w:fldCharType="begin"/>
          </w:r>
          <w:r>
            <w:instrText xml:space="preserve"> PAGEREF _1y810tw \h </w:instrText>
          </w:r>
          <w:r>
            <w:fldChar w:fldCharType="separate"/>
          </w:r>
          <w:r>
            <w:rPr>
              <w:rFonts w:ascii="Times New Roman" w:eastAsia="Times New Roman" w:hAnsi="Times New Roman" w:cs="Times New Roman"/>
              <w:color w:val="000000"/>
            </w:rPr>
            <w:t>11</w:t>
          </w:r>
          <w:r>
            <w:fldChar w:fldCharType="end"/>
          </w:r>
        </w:p>
        <w:p w14:paraId="2FFFF16D"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4i7ojhp">
            <w:r>
              <w:rPr>
                <w:rFonts w:ascii="Times New Roman" w:eastAsia="Times New Roman" w:hAnsi="Times New Roman" w:cs="Times New Roman"/>
                <w:color w:val="000000"/>
              </w:rPr>
              <w:t>External Environment</w:t>
            </w:r>
          </w:hyperlink>
          <w:r>
            <w:rPr>
              <w:rFonts w:ascii="Times New Roman" w:eastAsia="Times New Roman" w:hAnsi="Times New Roman" w:cs="Times New Roman"/>
              <w:color w:val="000000"/>
            </w:rPr>
            <w:tab/>
          </w:r>
          <w:r>
            <w:fldChar w:fldCharType="begin"/>
          </w:r>
          <w:r>
            <w:instrText xml:space="preserve"> PAGEREF _4i7ojhp \h </w:instrText>
          </w:r>
          <w:r>
            <w:fldChar w:fldCharType="separate"/>
          </w:r>
          <w:r>
            <w:rPr>
              <w:rFonts w:ascii="Times New Roman" w:eastAsia="Times New Roman" w:hAnsi="Times New Roman" w:cs="Times New Roman"/>
              <w:color w:val="000000"/>
            </w:rPr>
            <w:t>11</w:t>
          </w:r>
          <w:r>
            <w:fldChar w:fldCharType="end"/>
          </w:r>
        </w:p>
        <w:p w14:paraId="08DDB4A6"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2xcytpi">
            <w:r>
              <w:rPr>
                <w:rFonts w:ascii="Times New Roman" w:eastAsia="Times New Roman" w:hAnsi="Times New Roman" w:cs="Times New Roman"/>
                <w:color w:val="000000"/>
              </w:rPr>
              <w:t>PESTLE Analysis for Cadbury and Boost Guarana</w:t>
            </w:r>
          </w:hyperlink>
          <w:r>
            <w:rPr>
              <w:rFonts w:ascii="Times New Roman" w:eastAsia="Times New Roman" w:hAnsi="Times New Roman" w:cs="Times New Roman"/>
              <w:color w:val="000000"/>
            </w:rPr>
            <w:tab/>
          </w:r>
          <w:r>
            <w:fldChar w:fldCharType="begin"/>
          </w:r>
          <w:r>
            <w:instrText xml:space="preserve"> PAGEREF _2xcytpi \h </w:instrText>
          </w:r>
          <w:r>
            <w:fldChar w:fldCharType="separate"/>
          </w:r>
          <w:r>
            <w:rPr>
              <w:rFonts w:ascii="Times New Roman" w:eastAsia="Times New Roman" w:hAnsi="Times New Roman" w:cs="Times New Roman"/>
              <w:color w:val="000000"/>
            </w:rPr>
            <w:t>11</w:t>
          </w:r>
          <w:r>
            <w:fldChar w:fldCharType="end"/>
          </w:r>
        </w:p>
        <w:p w14:paraId="3C67F3CF"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1ci93xb">
            <w:r>
              <w:rPr>
                <w:rFonts w:ascii="Times New Roman" w:eastAsia="Times New Roman" w:hAnsi="Times New Roman" w:cs="Times New Roman"/>
                <w:color w:val="000000"/>
              </w:rPr>
              <w:t>Political</w:t>
            </w:r>
          </w:hyperlink>
          <w:r>
            <w:rPr>
              <w:rFonts w:ascii="Times New Roman" w:eastAsia="Times New Roman" w:hAnsi="Times New Roman" w:cs="Times New Roman"/>
              <w:color w:val="000000"/>
            </w:rPr>
            <w:tab/>
          </w:r>
          <w:r>
            <w:fldChar w:fldCharType="begin"/>
          </w:r>
          <w:r>
            <w:instrText xml:space="preserve"> PAGEREF _1ci93xb \h </w:instrText>
          </w:r>
          <w:r>
            <w:fldChar w:fldCharType="separate"/>
          </w:r>
          <w:r>
            <w:rPr>
              <w:rFonts w:ascii="Times New Roman" w:eastAsia="Times New Roman" w:hAnsi="Times New Roman" w:cs="Times New Roman"/>
              <w:color w:val="000000"/>
            </w:rPr>
            <w:t>12</w:t>
          </w:r>
          <w:r>
            <w:fldChar w:fldCharType="end"/>
          </w:r>
        </w:p>
        <w:p w14:paraId="7B012C2E"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qsh70q">
            <w:r>
              <w:rPr>
                <w:rFonts w:ascii="Times New Roman" w:eastAsia="Times New Roman" w:hAnsi="Times New Roman" w:cs="Times New Roman"/>
                <w:color w:val="000000"/>
              </w:rPr>
              <w:t>Economic</w:t>
            </w:r>
          </w:hyperlink>
          <w:r>
            <w:rPr>
              <w:rFonts w:ascii="Times New Roman" w:eastAsia="Times New Roman" w:hAnsi="Times New Roman" w:cs="Times New Roman"/>
              <w:color w:val="000000"/>
            </w:rPr>
            <w:tab/>
          </w:r>
          <w:r>
            <w:fldChar w:fldCharType="begin"/>
          </w:r>
          <w:r>
            <w:instrText xml:space="preserve"> PAGEREF _qsh70q \h </w:instrText>
          </w:r>
          <w:r>
            <w:fldChar w:fldCharType="separate"/>
          </w:r>
          <w:r>
            <w:rPr>
              <w:rFonts w:ascii="Times New Roman" w:eastAsia="Times New Roman" w:hAnsi="Times New Roman" w:cs="Times New Roman"/>
              <w:color w:val="000000"/>
            </w:rPr>
            <w:t>12</w:t>
          </w:r>
          <w:r>
            <w:fldChar w:fldCharType="end"/>
          </w:r>
        </w:p>
        <w:p w14:paraId="7708D4B2"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49x2ik5">
            <w:r>
              <w:rPr>
                <w:rFonts w:ascii="Times New Roman" w:eastAsia="Times New Roman" w:hAnsi="Times New Roman" w:cs="Times New Roman"/>
                <w:color w:val="000000"/>
              </w:rPr>
              <w:t>Social</w:t>
            </w:r>
          </w:hyperlink>
          <w:r>
            <w:rPr>
              <w:rFonts w:ascii="Times New Roman" w:eastAsia="Times New Roman" w:hAnsi="Times New Roman" w:cs="Times New Roman"/>
              <w:color w:val="000000"/>
            </w:rPr>
            <w:tab/>
          </w:r>
          <w:r>
            <w:fldChar w:fldCharType="begin"/>
          </w:r>
          <w:r>
            <w:instrText xml:space="preserve"> PAGEREF _49x2ik5 \h </w:instrText>
          </w:r>
          <w:r>
            <w:fldChar w:fldCharType="separate"/>
          </w:r>
          <w:r>
            <w:rPr>
              <w:rFonts w:ascii="Times New Roman" w:eastAsia="Times New Roman" w:hAnsi="Times New Roman" w:cs="Times New Roman"/>
              <w:color w:val="000000"/>
            </w:rPr>
            <w:t>12</w:t>
          </w:r>
          <w:r>
            <w:fldChar w:fldCharType="end"/>
          </w:r>
        </w:p>
        <w:p w14:paraId="28D4B7C3"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3o7alnk">
            <w:r>
              <w:rPr>
                <w:rFonts w:ascii="Times New Roman" w:eastAsia="Times New Roman" w:hAnsi="Times New Roman" w:cs="Times New Roman"/>
                <w:color w:val="000000"/>
              </w:rPr>
              <w:t>Technological</w:t>
            </w:r>
          </w:hyperlink>
          <w:r>
            <w:rPr>
              <w:rFonts w:ascii="Times New Roman" w:eastAsia="Times New Roman" w:hAnsi="Times New Roman" w:cs="Times New Roman"/>
              <w:color w:val="000000"/>
            </w:rPr>
            <w:tab/>
          </w:r>
          <w:r>
            <w:fldChar w:fldCharType="begin"/>
          </w:r>
          <w:r>
            <w:instrText xml:space="preserve"> PAGEREF _3o7alnk \h </w:instrText>
          </w:r>
          <w:r>
            <w:fldChar w:fldCharType="separate"/>
          </w:r>
          <w:r>
            <w:rPr>
              <w:rFonts w:ascii="Times New Roman" w:eastAsia="Times New Roman" w:hAnsi="Times New Roman" w:cs="Times New Roman"/>
              <w:color w:val="000000"/>
            </w:rPr>
            <w:t>13</w:t>
          </w:r>
          <w:r>
            <w:fldChar w:fldCharType="end"/>
          </w:r>
        </w:p>
        <w:p w14:paraId="039A7A80"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32hioqz">
            <w:r>
              <w:rPr>
                <w:rFonts w:ascii="Times New Roman" w:eastAsia="Times New Roman" w:hAnsi="Times New Roman" w:cs="Times New Roman"/>
                <w:color w:val="000000"/>
              </w:rPr>
              <w:t>Legal</w:t>
            </w:r>
          </w:hyperlink>
          <w:r>
            <w:rPr>
              <w:rFonts w:ascii="Times New Roman" w:eastAsia="Times New Roman" w:hAnsi="Times New Roman" w:cs="Times New Roman"/>
              <w:color w:val="000000"/>
            </w:rPr>
            <w:tab/>
          </w:r>
          <w:r>
            <w:fldChar w:fldCharType="begin"/>
          </w:r>
          <w:r>
            <w:instrText xml:space="preserve"> PAGEREF _32hioqz \h </w:instrText>
          </w:r>
          <w:r>
            <w:fldChar w:fldCharType="separate"/>
          </w:r>
          <w:r>
            <w:rPr>
              <w:rFonts w:ascii="Times New Roman" w:eastAsia="Times New Roman" w:hAnsi="Times New Roman" w:cs="Times New Roman"/>
              <w:color w:val="000000"/>
            </w:rPr>
            <w:t>13</w:t>
          </w:r>
          <w:r>
            <w:fldChar w:fldCharType="end"/>
          </w:r>
        </w:p>
        <w:p w14:paraId="585A3EFD"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2grqrue">
            <w:r>
              <w:rPr>
                <w:rFonts w:ascii="Times New Roman" w:eastAsia="Times New Roman" w:hAnsi="Times New Roman" w:cs="Times New Roman"/>
                <w:color w:val="000000"/>
              </w:rPr>
              <w:t>Environmental</w:t>
            </w:r>
          </w:hyperlink>
          <w:r>
            <w:rPr>
              <w:rFonts w:ascii="Times New Roman" w:eastAsia="Times New Roman" w:hAnsi="Times New Roman" w:cs="Times New Roman"/>
              <w:color w:val="000000"/>
            </w:rPr>
            <w:tab/>
          </w:r>
          <w:r>
            <w:fldChar w:fldCharType="begin"/>
          </w:r>
          <w:r>
            <w:instrText xml:space="preserve"> PAGEREF _2grqrue \h </w:instrText>
          </w:r>
          <w:r>
            <w:fldChar w:fldCharType="separate"/>
          </w:r>
          <w:r>
            <w:rPr>
              <w:rFonts w:ascii="Times New Roman" w:eastAsia="Times New Roman" w:hAnsi="Times New Roman" w:cs="Times New Roman"/>
              <w:color w:val="000000"/>
            </w:rPr>
            <w:t>13</w:t>
          </w:r>
          <w:r>
            <w:fldChar w:fldCharType="end"/>
          </w:r>
        </w:p>
        <w:p w14:paraId="192F5C7C"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1v1yuxt">
            <w:r>
              <w:rPr>
                <w:rFonts w:ascii="Times New Roman" w:eastAsia="Times New Roman" w:hAnsi="Times New Roman" w:cs="Times New Roman"/>
                <w:color w:val="000000"/>
              </w:rPr>
              <w:t>Porter’s 5 Forces Model</w:t>
            </w:r>
          </w:hyperlink>
          <w:r>
            <w:rPr>
              <w:rFonts w:ascii="Times New Roman" w:eastAsia="Times New Roman" w:hAnsi="Times New Roman" w:cs="Times New Roman"/>
              <w:color w:val="000000"/>
            </w:rPr>
            <w:tab/>
          </w:r>
          <w:r>
            <w:fldChar w:fldCharType="begin"/>
          </w:r>
          <w:r>
            <w:instrText xml:space="preserve"> PAGEREF _1v1yuxt \h </w:instrText>
          </w:r>
          <w:r>
            <w:fldChar w:fldCharType="separate"/>
          </w:r>
          <w:r>
            <w:rPr>
              <w:rFonts w:ascii="Times New Roman" w:eastAsia="Times New Roman" w:hAnsi="Times New Roman" w:cs="Times New Roman"/>
              <w:color w:val="000000"/>
            </w:rPr>
            <w:t>13</w:t>
          </w:r>
          <w:r>
            <w:fldChar w:fldCharType="end"/>
          </w:r>
        </w:p>
        <w:p w14:paraId="48FBBC17"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4f1mdlm">
            <w:r>
              <w:rPr>
                <w:rFonts w:ascii="Times New Roman" w:eastAsia="Times New Roman" w:hAnsi="Times New Roman" w:cs="Times New Roman"/>
                <w:color w:val="000000"/>
              </w:rPr>
              <w:t>Entry of the competitor</w:t>
            </w:r>
          </w:hyperlink>
          <w:r>
            <w:rPr>
              <w:rFonts w:ascii="Times New Roman" w:eastAsia="Times New Roman" w:hAnsi="Times New Roman" w:cs="Times New Roman"/>
              <w:color w:val="000000"/>
            </w:rPr>
            <w:tab/>
          </w:r>
          <w:r>
            <w:fldChar w:fldCharType="begin"/>
          </w:r>
          <w:r>
            <w:instrText xml:space="preserve"> PAGEREF _4f1mdlm \h </w:instrText>
          </w:r>
          <w:r>
            <w:fldChar w:fldCharType="separate"/>
          </w:r>
          <w:r>
            <w:rPr>
              <w:rFonts w:ascii="Times New Roman" w:eastAsia="Times New Roman" w:hAnsi="Times New Roman" w:cs="Times New Roman"/>
              <w:color w:val="000000"/>
            </w:rPr>
            <w:t>14</w:t>
          </w:r>
          <w:r>
            <w:fldChar w:fldCharType="end"/>
          </w:r>
        </w:p>
        <w:p w14:paraId="7C6B9D49"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2u6wntf">
            <w:r>
              <w:rPr>
                <w:rFonts w:ascii="Times New Roman" w:eastAsia="Times New Roman" w:hAnsi="Times New Roman" w:cs="Times New Roman"/>
                <w:color w:val="000000"/>
              </w:rPr>
              <w:t>Threat of substitutes</w:t>
            </w:r>
          </w:hyperlink>
          <w:r>
            <w:rPr>
              <w:rFonts w:ascii="Times New Roman" w:eastAsia="Times New Roman" w:hAnsi="Times New Roman" w:cs="Times New Roman"/>
              <w:color w:val="000000"/>
            </w:rPr>
            <w:tab/>
          </w:r>
          <w:r>
            <w:fldChar w:fldCharType="begin"/>
          </w:r>
          <w:r>
            <w:instrText xml:space="preserve"> PAGEREF _2u6wntf \h </w:instrText>
          </w:r>
          <w:r>
            <w:fldChar w:fldCharType="separate"/>
          </w:r>
          <w:r>
            <w:rPr>
              <w:rFonts w:ascii="Times New Roman" w:eastAsia="Times New Roman" w:hAnsi="Times New Roman" w:cs="Times New Roman"/>
              <w:color w:val="000000"/>
            </w:rPr>
            <w:t>14</w:t>
          </w:r>
          <w:r>
            <w:fldChar w:fldCharType="end"/>
          </w:r>
        </w:p>
        <w:p w14:paraId="477DFF0B"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19c6y18">
            <w:r>
              <w:rPr>
                <w:rFonts w:ascii="Times New Roman" w:eastAsia="Times New Roman" w:hAnsi="Times New Roman" w:cs="Times New Roman"/>
                <w:color w:val="000000"/>
              </w:rPr>
              <w:t>Bargaining Power of buyers</w:t>
            </w:r>
          </w:hyperlink>
          <w:r>
            <w:rPr>
              <w:rFonts w:ascii="Times New Roman" w:eastAsia="Times New Roman" w:hAnsi="Times New Roman" w:cs="Times New Roman"/>
              <w:color w:val="000000"/>
            </w:rPr>
            <w:tab/>
          </w:r>
          <w:r>
            <w:fldChar w:fldCharType="begin"/>
          </w:r>
          <w:r>
            <w:instrText xml:space="preserve"> PAGEREF _19c6y18 \h </w:instrText>
          </w:r>
          <w:r>
            <w:fldChar w:fldCharType="separate"/>
          </w:r>
          <w:r>
            <w:rPr>
              <w:rFonts w:ascii="Times New Roman" w:eastAsia="Times New Roman" w:hAnsi="Times New Roman" w:cs="Times New Roman"/>
              <w:color w:val="000000"/>
            </w:rPr>
            <w:t>14</w:t>
          </w:r>
          <w:r>
            <w:fldChar w:fldCharType="end"/>
          </w:r>
        </w:p>
        <w:p w14:paraId="47AE16D9"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3tbugp1">
            <w:r>
              <w:rPr>
                <w:rFonts w:ascii="Times New Roman" w:eastAsia="Times New Roman" w:hAnsi="Times New Roman" w:cs="Times New Roman"/>
                <w:color w:val="000000"/>
              </w:rPr>
              <w:t>Bargaining power of suppliers</w:t>
            </w:r>
          </w:hyperlink>
          <w:r>
            <w:rPr>
              <w:rFonts w:ascii="Times New Roman" w:eastAsia="Times New Roman" w:hAnsi="Times New Roman" w:cs="Times New Roman"/>
              <w:color w:val="000000"/>
            </w:rPr>
            <w:tab/>
          </w:r>
          <w:r>
            <w:fldChar w:fldCharType="begin"/>
          </w:r>
          <w:r>
            <w:instrText xml:space="preserve"> PAGEREF _3tbugp1 \h </w:instrText>
          </w:r>
          <w:r>
            <w:fldChar w:fldCharType="separate"/>
          </w:r>
          <w:r>
            <w:rPr>
              <w:rFonts w:ascii="Times New Roman" w:eastAsia="Times New Roman" w:hAnsi="Times New Roman" w:cs="Times New Roman"/>
              <w:color w:val="000000"/>
            </w:rPr>
            <w:t>14</w:t>
          </w:r>
          <w:r>
            <w:fldChar w:fldCharType="end"/>
          </w:r>
        </w:p>
        <w:p w14:paraId="7CAF521A"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28h4qwu">
            <w:r>
              <w:rPr>
                <w:rFonts w:ascii="Times New Roman" w:eastAsia="Times New Roman" w:hAnsi="Times New Roman" w:cs="Times New Roman"/>
                <w:color w:val="000000"/>
              </w:rPr>
              <w:t>Rivalry among the existing players</w:t>
            </w:r>
          </w:hyperlink>
          <w:r>
            <w:rPr>
              <w:rFonts w:ascii="Times New Roman" w:eastAsia="Times New Roman" w:hAnsi="Times New Roman" w:cs="Times New Roman"/>
              <w:color w:val="000000"/>
            </w:rPr>
            <w:tab/>
          </w:r>
          <w:r>
            <w:fldChar w:fldCharType="begin"/>
          </w:r>
          <w:r>
            <w:instrText xml:space="preserve"> PAGEREF _28h4qwu \h </w:instrText>
          </w:r>
          <w:r>
            <w:fldChar w:fldCharType="separate"/>
          </w:r>
          <w:r>
            <w:rPr>
              <w:rFonts w:ascii="Times New Roman" w:eastAsia="Times New Roman" w:hAnsi="Times New Roman" w:cs="Times New Roman"/>
              <w:color w:val="000000"/>
            </w:rPr>
            <w:t>15</w:t>
          </w:r>
          <w:r>
            <w:fldChar w:fldCharType="end"/>
          </w:r>
        </w:p>
        <w:p w14:paraId="6CEDB664"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nmf14n">
            <w:r>
              <w:rPr>
                <w:rFonts w:ascii="Times New Roman" w:eastAsia="Times New Roman" w:hAnsi="Times New Roman" w:cs="Times New Roman"/>
                <w:color w:val="000000"/>
              </w:rPr>
              <w:t>Internal Environment</w:t>
            </w:r>
          </w:hyperlink>
          <w:r>
            <w:rPr>
              <w:rFonts w:ascii="Times New Roman" w:eastAsia="Times New Roman" w:hAnsi="Times New Roman" w:cs="Times New Roman"/>
              <w:color w:val="000000"/>
            </w:rPr>
            <w:tab/>
          </w:r>
          <w:r>
            <w:fldChar w:fldCharType="begin"/>
          </w:r>
          <w:r>
            <w:instrText xml:space="preserve"> PAGEREF _nmf14n \h </w:instrText>
          </w:r>
          <w:r>
            <w:fldChar w:fldCharType="separate"/>
          </w:r>
          <w:r>
            <w:rPr>
              <w:rFonts w:ascii="Times New Roman" w:eastAsia="Times New Roman" w:hAnsi="Times New Roman" w:cs="Times New Roman"/>
              <w:color w:val="000000"/>
            </w:rPr>
            <w:t>15</w:t>
          </w:r>
          <w:r>
            <w:fldChar w:fldCharType="end"/>
          </w:r>
        </w:p>
        <w:p w14:paraId="767AF969" w14:textId="77777777" w:rsidR="003175DE" w:rsidRDefault="00000000">
          <w:pPr>
            <w:tabs>
              <w:tab w:val="right" w:pos="9360"/>
            </w:tabs>
            <w:spacing w:before="60" w:line="240" w:lineRule="auto"/>
            <w:ind w:left="360"/>
            <w:rPr>
              <w:rFonts w:ascii="Times New Roman" w:eastAsia="Times New Roman" w:hAnsi="Times New Roman" w:cs="Times New Roman"/>
              <w:color w:val="000000"/>
            </w:rPr>
          </w:pPr>
          <w:hyperlink w:anchor="_37m2jsg">
            <w:r>
              <w:rPr>
                <w:rFonts w:ascii="Times New Roman" w:eastAsia="Times New Roman" w:hAnsi="Times New Roman" w:cs="Times New Roman"/>
                <w:color w:val="000000"/>
              </w:rPr>
              <w:t>SWOT Analysis for Boost Guarana and Cadburys</w:t>
            </w:r>
          </w:hyperlink>
          <w:r>
            <w:rPr>
              <w:rFonts w:ascii="Times New Roman" w:eastAsia="Times New Roman" w:hAnsi="Times New Roman" w:cs="Times New Roman"/>
              <w:color w:val="000000"/>
            </w:rPr>
            <w:tab/>
          </w:r>
          <w:r>
            <w:fldChar w:fldCharType="begin"/>
          </w:r>
          <w:r>
            <w:instrText xml:space="preserve"> PAGEREF _37m2jsg \h </w:instrText>
          </w:r>
          <w:r>
            <w:fldChar w:fldCharType="separate"/>
          </w:r>
          <w:r>
            <w:rPr>
              <w:rFonts w:ascii="Times New Roman" w:eastAsia="Times New Roman" w:hAnsi="Times New Roman" w:cs="Times New Roman"/>
              <w:color w:val="000000"/>
            </w:rPr>
            <w:t>15</w:t>
          </w:r>
          <w:r>
            <w:fldChar w:fldCharType="end"/>
          </w:r>
        </w:p>
        <w:p w14:paraId="66BF1E50"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1mrcu09">
            <w:r>
              <w:rPr>
                <w:rFonts w:ascii="Times New Roman" w:eastAsia="Times New Roman" w:hAnsi="Times New Roman" w:cs="Times New Roman"/>
                <w:color w:val="000000"/>
              </w:rPr>
              <w:t>Strength</w:t>
            </w:r>
          </w:hyperlink>
          <w:r>
            <w:rPr>
              <w:rFonts w:ascii="Times New Roman" w:eastAsia="Times New Roman" w:hAnsi="Times New Roman" w:cs="Times New Roman"/>
              <w:color w:val="000000"/>
            </w:rPr>
            <w:tab/>
          </w:r>
          <w:r>
            <w:fldChar w:fldCharType="begin"/>
          </w:r>
          <w:r>
            <w:instrText xml:space="preserve"> PAGEREF _1mrcu09 \h </w:instrText>
          </w:r>
          <w:r>
            <w:fldChar w:fldCharType="separate"/>
          </w:r>
          <w:r>
            <w:rPr>
              <w:rFonts w:ascii="Times New Roman" w:eastAsia="Times New Roman" w:hAnsi="Times New Roman" w:cs="Times New Roman"/>
              <w:color w:val="000000"/>
            </w:rPr>
            <w:t>15</w:t>
          </w:r>
          <w:r>
            <w:fldChar w:fldCharType="end"/>
          </w:r>
        </w:p>
        <w:p w14:paraId="4CFAD5ED"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111kx3o">
            <w:r>
              <w:rPr>
                <w:rFonts w:ascii="Times New Roman" w:eastAsia="Times New Roman" w:hAnsi="Times New Roman" w:cs="Times New Roman"/>
                <w:color w:val="000000"/>
              </w:rPr>
              <w:t>Weaknesses</w:t>
            </w:r>
          </w:hyperlink>
          <w:r>
            <w:rPr>
              <w:rFonts w:ascii="Times New Roman" w:eastAsia="Times New Roman" w:hAnsi="Times New Roman" w:cs="Times New Roman"/>
              <w:color w:val="000000"/>
            </w:rPr>
            <w:tab/>
          </w:r>
          <w:r>
            <w:fldChar w:fldCharType="begin"/>
          </w:r>
          <w:r>
            <w:instrText xml:space="preserve"> PAGEREF _111kx3o \h </w:instrText>
          </w:r>
          <w:r>
            <w:fldChar w:fldCharType="separate"/>
          </w:r>
          <w:r>
            <w:rPr>
              <w:rFonts w:ascii="Times New Roman" w:eastAsia="Times New Roman" w:hAnsi="Times New Roman" w:cs="Times New Roman"/>
              <w:color w:val="000000"/>
            </w:rPr>
            <w:t>15</w:t>
          </w:r>
          <w:r>
            <w:fldChar w:fldCharType="end"/>
          </w:r>
        </w:p>
        <w:p w14:paraId="4DEDD065"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4k668n3">
            <w:r>
              <w:rPr>
                <w:rFonts w:ascii="Times New Roman" w:eastAsia="Times New Roman" w:hAnsi="Times New Roman" w:cs="Times New Roman"/>
                <w:color w:val="000000"/>
              </w:rPr>
              <w:t>Opportunities</w:t>
            </w:r>
          </w:hyperlink>
          <w:r>
            <w:rPr>
              <w:rFonts w:ascii="Times New Roman" w:eastAsia="Times New Roman" w:hAnsi="Times New Roman" w:cs="Times New Roman"/>
              <w:color w:val="000000"/>
            </w:rPr>
            <w:tab/>
          </w:r>
          <w:r>
            <w:fldChar w:fldCharType="begin"/>
          </w:r>
          <w:r>
            <w:instrText xml:space="preserve"> PAGEREF _4k668n3 \h </w:instrText>
          </w:r>
          <w:r>
            <w:fldChar w:fldCharType="separate"/>
          </w:r>
          <w:r>
            <w:rPr>
              <w:rFonts w:ascii="Times New Roman" w:eastAsia="Times New Roman" w:hAnsi="Times New Roman" w:cs="Times New Roman"/>
              <w:color w:val="000000"/>
            </w:rPr>
            <w:t>16</w:t>
          </w:r>
          <w:r>
            <w:fldChar w:fldCharType="end"/>
          </w:r>
        </w:p>
        <w:p w14:paraId="376090BA" w14:textId="77777777" w:rsidR="003175DE" w:rsidRDefault="00000000">
          <w:pPr>
            <w:tabs>
              <w:tab w:val="right" w:pos="9360"/>
            </w:tabs>
            <w:spacing w:before="60" w:line="240" w:lineRule="auto"/>
            <w:ind w:left="720"/>
            <w:rPr>
              <w:rFonts w:ascii="Times New Roman" w:eastAsia="Times New Roman" w:hAnsi="Times New Roman" w:cs="Times New Roman"/>
              <w:color w:val="000000"/>
            </w:rPr>
          </w:pPr>
          <w:hyperlink w:anchor="_3ygebqi">
            <w:r>
              <w:rPr>
                <w:rFonts w:ascii="Times New Roman" w:eastAsia="Times New Roman" w:hAnsi="Times New Roman" w:cs="Times New Roman"/>
                <w:color w:val="000000"/>
              </w:rPr>
              <w:t>Threats</w:t>
            </w:r>
          </w:hyperlink>
          <w:r>
            <w:rPr>
              <w:rFonts w:ascii="Times New Roman" w:eastAsia="Times New Roman" w:hAnsi="Times New Roman" w:cs="Times New Roman"/>
              <w:color w:val="000000"/>
            </w:rPr>
            <w:tab/>
          </w:r>
          <w:r>
            <w:fldChar w:fldCharType="begin"/>
          </w:r>
          <w:r>
            <w:instrText xml:space="preserve"> PAGEREF _3ygebqi \h </w:instrText>
          </w:r>
          <w:r>
            <w:fldChar w:fldCharType="separate"/>
          </w:r>
          <w:r>
            <w:rPr>
              <w:rFonts w:ascii="Times New Roman" w:eastAsia="Times New Roman" w:hAnsi="Times New Roman" w:cs="Times New Roman"/>
              <w:color w:val="000000"/>
            </w:rPr>
            <w:t>16</w:t>
          </w:r>
          <w:r>
            <w:fldChar w:fldCharType="end"/>
          </w:r>
        </w:p>
        <w:p w14:paraId="0E9D07D7"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3cqmetx">
            <w:r>
              <w:rPr>
                <w:rFonts w:ascii="Times New Roman" w:eastAsia="Times New Roman" w:hAnsi="Times New Roman" w:cs="Times New Roman"/>
                <w:color w:val="000000"/>
              </w:rPr>
              <w:t>Cadburys Market Segmentation, targeting and positioning</w:t>
            </w:r>
          </w:hyperlink>
          <w:r>
            <w:rPr>
              <w:rFonts w:ascii="Times New Roman" w:eastAsia="Times New Roman" w:hAnsi="Times New Roman" w:cs="Times New Roman"/>
              <w:color w:val="000000"/>
            </w:rPr>
            <w:tab/>
          </w:r>
          <w:r>
            <w:fldChar w:fldCharType="begin"/>
          </w:r>
          <w:r>
            <w:instrText xml:space="preserve"> PAGEREF _3cqmetx \h </w:instrText>
          </w:r>
          <w:r>
            <w:fldChar w:fldCharType="separate"/>
          </w:r>
          <w:r>
            <w:rPr>
              <w:rFonts w:ascii="Times New Roman" w:eastAsia="Times New Roman" w:hAnsi="Times New Roman" w:cs="Times New Roman"/>
              <w:color w:val="000000"/>
            </w:rPr>
            <w:t>16</w:t>
          </w:r>
          <w:r>
            <w:fldChar w:fldCharType="end"/>
          </w:r>
        </w:p>
        <w:p w14:paraId="39427588" w14:textId="77777777" w:rsidR="003175DE" w:rsidRDefault="00000000">
          <w:pPr>
            <w:tabs>
              <w:tab w:val="right" w:pos="9360"/>
            </w:tabs>
            <w:spacing w:before="200" w:line="240" w:lineRule="auto"/>
            <w:rPr>
              <w:rFonts w:ascii="Times New Roman" w:eastAsia="Times New Roman" w:hAnsi="Times New Roman" w:cs="Times New Roman"/>
              <w:color w:val="000000"/>
            </w:rPr>
          </w:pPr>
          <w:hyperlink w:anchor="_1rvwp1q">
            <w:r>
              <w:rPr>
                <w:rFonts w:ascii="Times New Roman" w:eastAsia="Times New Roman" w:hAnsi="Times New Roman" w:cs="Times New Roman"/>
                <w:color w:val="000000"/>
              </w:rPr>
              <w:t>Conclusion and Recommendations</w:t>
            </w:r>
          </w:hyperlink>
          <w:r>
            <w:rPr>
              <w:rFonts w:ascii="Times New Roman" w:eastAsia="Times New Roman" w:hAnsi="Times New Roman" w:cs="Times New Roman"/>
              <w:color w:val="000000"/>
            </w:rPr>
            <w:tab/>
          </w:r>
          <w:r>
            <w:fldChar w:fldCharType="begin"/>
          </w:r>
          <w:r>
            <w:instrText xml:space="preserve"> PAGEREF _1rvwp1q \h </w:instrText>
          </w:r>
          <w:r>
            <w:fldChar w:fldCharType="separate"/>
          </w:r>
          <w:r>
            <w:rPr>
              <w:rFonts w:ascii="Times New Roman" w:eastAsia="Times New Roman" w:hAnsi="Times New Roman" w:cs="Times New Roman"/>
              <w:color w:val="000000"/>
            </w:rPr>
            <w:t>17</w:t>
          </w:r>
          <w:r>
            <w:fldChar w:fldCharType="end"/>
          </w:r>
        </w:p>
        <w:p w14:paraId="45A3C59C" w14:textId="77777777" w:rsidR="003175DE" w:rsidRDefault="00000000">
          <w:pPr>
            <w:tabs>
              <w:tab w:val="right" w:pos="9360"/>
            </w:tabs>
            <w:spacing w:before="200" w:after="80" w:line="240" w:lineRule="auto"/>
            <w:rPr>
              <w:rFonts w:ascii="Times New Roman" w:eastAsia="Times New Roman" w:hAnsi="Times New Roman" w:cs="Times New Roman"/>
              <w:color w:val="000000"/>
            </w:rPr>
          </w:pPr>
          <w:hyperlink w:anchor="_4bvk7pj">
            <w:r>
              <w:rPr>
                <w:rFonts w:ascii="Times New Roman" w:eastAsia="Times New Roman" w:hAnsi="Times New Roman" w:cs="Times New Roman"/>
                <w:color w:val="000000"/>
              </w:rPr>
              <w:t>References</w:t>
            </w:r>
          </w:hyperlink>
          <w:r>
            <w:rPr>
              <w:rFonts w:ascii="Times New Roman" w:eastAsia="Times New Roman" w:hAnsi="Times New Roman" w:cs="Times New Roman"/>
              <w:color w:val="000000"/>
            </w:rPr>
            <w:tab/>
          </w:r>
          <w:r>
            <w:fldChar w:fldCharType="begin"/>
          </w:r>
          <w:r>
            <w:instrText xml:space="preserve"> PAGEREF _4bvk7pj \h </w:instrText>
          </w:r>
          <w:r>
            <w:fldChar w:fldCharType="separate"/>
          </w:r>
          <w:r>
            <w:rPr>
              <w:rFonts w:ascii="Times New Roman" w:eastAsia="Times New Roman" w:hAnsi="Times New Roman" w:cs="Times New Roman"/>
              <w:color w:val="000000"/>
            </w:rPr>
            <w:t>18</w:t>
          </w:r>
          <w:r>
            <w:fldChar w:fldCharType="end"/>
          </w:r>
          <w:r>
            <w:fldChar w:fldCharType="end"/>
          </w:r>
        </w:p>
      </w:sdtContent>
    </w:sdt>
    <w:p w14:paraId="36E0DE65" w14:textId="77777777" w:rsidR="003175DE" w:rsidRDefault="003175DE">
      <w:pPr>
        <w:spacing w:line="360" w:lineRule="auto"/>
        <w:rPr>
          <w:rFonts w:ascii="Times New Roman" w:eastAsia="Times New Roman" w:hAnsi="Times New Roman" w:cs="Times New Roman"/>
          <w:sz w:val="24"/>
          <w:szCs w:val="24"/>
        </w:rPr>
      </w:pPr>
    </w:p>
    <w:p w14:paraId="6BC091AB" w14:textId="77777777" w:rsidR="003175DE" w:rsidRDefault="003175DE">
      <w:pPr>
        <w:spacing w:line="360" w:lineRule="auto"/>
        <w:rPr>
          <w:rFonts w:ascii="Times New Roman" w:eastAsia="Times New Roman" w:hAnsi="Times New Roman" w:cs="Times New Roman"/>
          <w:sz w:val="24"/>
          <w:szCs w:val="24"/>
        </w:rPr>
      </w:pPr>
    </w:p>
    <w:p w14:paraId="55A14A2D" w14:textId="77777777" w:rsidR="003175DE" w:rsidRDefault="003175DE">
      <w:pPr>
        <w:spacing w:line="360" w:lineRule="auto"/>
        <w:rPr>
          <w:rFonts w:ascii="Times New Roman" w:eastAsia="Times New Roman" w:hAnsi="Times New Roman" w:cs="Times New Roman"/>
          <w:sz w:val="24"/>
          <w:szCs w:val="24"/>
        </w:rPr>
      </w:pPr>
    </w:p>
    <w:p w14:paraId="27A78055" w14:textId="77777777" w:rsidR="003175DE" w:rsidRDefault="003175DE">
      <w:pPr>
        <w:spacing w:line="360" w:lineRule="auto"/>
        <w:rPr>
          <w:rFonts w:ascii="Times New Roman" w:eastAsia="Times New Roman" w:hAnsi="Times New Roman" w:cs="Times New Roman"/>
          <w:sz w:val="24"/>
          <w:szCs w:val="24"/>
        </w:rPr>
      </w:pPr>
    </w:p>
    <w:p w14:paraId="5FF30A81" w14:textId="77777777" w:rsidR="003175DE" w:rsidRDefault="003175DE">
      <w:pPr>
        <w:spacing w:line="360" w:lineRule="auto"/>
        <w:rPr>
          <w:rFonts w:ascii="Times New Roman" w:eastAsia="Times New Roman" w:hAnsi="Times New Roman" w:cs="Times New Roman"/>
          <w:sz w:val="24"/>
          <w:szCs w:val="24"/>
        </w:rPr>
      </w:pPr>
    </w:p>
    <w:p w14:paraId="09E6D799" w14:textId="77777777" w:rsidR="003175DE" w:rsidRDefault="003175DE">
      <w:pPr>
        <w:spacing w:line="360" w:lineRule="auto"/>
        <w:rPr>
          <w:rFonts w:ascii="Times New Roman" w:eastAsia="Times New Roman" w:hAnsi="Times New Roman" w:cs="Times New Roman"/>
          <w:sz w:val="24"/>
          <w:szCs w:val="24"/>
        </w:rPr>
      </w:pPr>
    </w:p>
    <w:p w14:paraId="77E9CF29" w14:textId="77777777" w:rsidR="003175DE" w:rsidRDefault="003175DE">
      <w:pPr>
        <w:spacing w:line="360" w:lineRule="auto"/>
        <w:rPr>
          <w:rFonts w:ascii="Times New Roman" w:eastAsia="Times New Roman" w:hAnsi="Times New Roman" w:cs="Times New Roman"/>
          <w:sz w:val="24"/>
          <w:szCs w:val="24"/>
        </w:rPr>
      </w:pPr>
    </w:p>
    <w:p w14:paraId="5FBD5C24" w14:textId="77777777" w:rsidR="003175DE" w:rsidRDefault="003175DE">
      <w:pPr>
        <w:spacing w:line="360" w:lineRule="auto"/>
        <w:rPr>
          <w:rFonts w:ascii="Times New Roman" w:eastAsia="Times New Roman" w:hAnsi="Times New Roman" w:cs="Times New Roman"/>
          <w:sz w:val="24"/>
          <w:szCs w:val="24"/>
        </w:rPr>
      </w:pPr>
    </w:p>
    <w:p w14:paraId="7E84C1D7" w14:textId="77777777" w:rsidR="003175DE" w:rsidRDefault="003175DE">
      <w:pPr>
        <w:spacing w:line="360" w:lineRule="auto"/>
        <w:rPr>
          <w:rFonts w:ascii="Times New Roman" w:eastAsia="Times New Roman" w:hAnsi="Times New Roman" w:cs="Times New Roman"/>
          <w:sz w:val="24"/>
          <w:szCs w:val="24"/>
        </w:rPr>
      </w:pPr>
    </w:p>
    <w:p w14:paraId="460D6378" w14:textId="77777777" w:rsidR="003175DE" w:rsidRDefault="003175DE">
      <w:pPr>
        <w:spacing w:line="360" w:lineRule="auto"/>
        <w:rPr>
          <w:rFonts w:ascii="Times New Roman" w:eastAsia="Times New Roman" w:hAnsi="Times New Roman" w:cs="Times New Roman"/>
          <w:sz w:val="24"/>
          <w:szCs w:val="24"/>
        </w:rPr>
      </w:pPr>
    </w:p>
    <w:p w14:paraId="0AADD0EF" w14:textId="77777777" w:rsidR="003175DE" w:rsidRDefault="003175DE">
      <w:pPr>
        <w:spacing w:line="360" w:lineRule="auto"/>
        <w:rPr>
          <w:rFonts w:ascii="Times New Roman" w:eastAsia="Times New Roman" w:hAnsi="Times New Roman" w:cs="Times New Roman"/>
          <w:sz w:val="24"/>
          <w:szCs w:val="24"/>
        </w:rPr>
      </w:pPr>
    </w:p>
    <w:p w14:paraId="4935083C" w14:textId="77777777" w:rsidR="003175DE" w:rsidRDefault="003175DE">
      <w:pPr>
        <w:spacing w:line="360" w:lineRule="auto"/>
        <w:rPr>
          <w:rFonts w:ascii="Times New Roman" w:eastAsia="Times New Roman" w:hAnsi="Times New Roman" w:cs="Times New Roman"/>
          <w:sz w:val="24"/>
          <w:szCs w:val="24"/>
        </w:rPr>
      </w:pPr>
    </w:p>
    <w:p w14:paraId="1289D478" w14:textId="77777777" w:rsidR="003175DE" w:rsidRDefault="003175DE">
      <w:pPr>
        <w:spacing w:line="360" w:lineRule="auto"/>
        <w:rPr>
          <w:rFonts w:ascii="Times New Roman" w:eastAsia="Times New Roman" w:hAnsi="Times New Roman" w:cs="Times New Roman"/>
          <w:sz w:val="24"/>
          <w:szCs w:val="24"/>
        </w:rPr>
      </w:pPr>
    </w:p>
    <w:p w14:paraId="4CA8BDEF" w14:textId="77777777" w:rsidR="003175DE" w:rsidRDefault="00000000">
      <w:pPr>
        <w:pStyle w:val="Heading1"/>
        <w:spacing w:line="360" w:lineRule="auto"/>
        <w:jc w:val="center"/>
        <w:rPr>
          <w:rFonts w:ascii="Times New Roman" w:eastAsia="Times New Roman" w:hAnsi="Times New Roman" w:cs="Times New Roman"/>
          <w:b/>
        </w:rPr>
      </w:pPr>
      <w:bookmarkStart w:id="1" w:name="_30j0zll" w:colFirst="0" w:colLast="0"/>
      <w:bookmarkEnd w:id="1"/>
      <w:r>
        <w:rPr>
          <w:rFonts w:ascii="Times New Roman" w:eastAsia="Times New Roman" w:hAnsi="Times New Roman" w:cs="Times New Roman"/>
          <w:b/>
        </w:rPr>
        <w:t>Introduction</w:t>
      </w:r>
    </w:p>
    <w:p w14:paraId="008B5876"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history of Cadbury Chocolate </w:t>
      </w:r>
      <w:proofErr w:type="gramStart"/>
      <w:r>
        <w:rPr>
          <w:rFonts w:ascii="Times New Roman" w:eastAsia="Times New Roman" w:hAnsi="Times New Roman" w:cs="Times New Roman"/>
          <w:sz w:val="24"/>
          <w:szCs w:val="24"/>
        </w:rPr>
        <w:t>dates back to</w:t>
      </w:r>
      <w:proofErr w:type="gramEnd"/>
      <w:r>
        <w:rPr>
          <w:rFonts w:ascii="Times New Roman" w:eastAsia="Times New Roman" w:hAnsi="Times New Roman" w:cs="Times New Roman"/>
          <w:sz w:val="24"/>
          <w:szCs w:val="24"/>
        </w:rPr>
        <w:t xml:space="preserve"> 1824 when the company’s founder John Cadbury opened a grocery shop at 93 Bull Street in Birmingham (Bailey and Alexander 2019). Specifically, John Cadbury dealt with cocoa and chocolate drinks, among many other things, which he made using just a pestle and mortar. The inventor's manufacturing opportunity saw the light in 1831 when he decided to start producing his products on a commercial scale. The manufacturing business started after John purchased a four-storey building nearby (Cadbury.co.uk 2022). John's businesses quickly blossomed, and by 1842 he was selling not less than 16 varieties of drinking chocolate and over ten different cocoas. During that period, the inventor retailed pressed cakes and powdered chocolate. Some of the famous varieties during that period were Churchman's Chocolate and Spanish Chocolate.</w:t>
      </w:r>
    </w:p>
    <w:p w14:paraId="7CCD6A26"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Using innovation tactics and targeted market segmentation, the Cadbury Company produced its first chocolate bar in 1847 using a mixture of cocoa powder, sugar, and a little mixture of cocoa butter. This was a real breakthrough that has continued to benefit the company up to date. Other inventions that followed include innovative processing techniques, the first milk chocolate in 1875, the easter egg in 1875, Cadbury milk chocolate in 1897, Cadbury dairy milk launched in 1905, fudge in 1948, and picnic in 1958, among many others (Cadbury.co.uk 2022). The key objective of the present research is to assess how the slow UK chocolate market can be revitalised with the launch of the first chocolate bar to stimulate the brain (Boost Guarana) by Cadburys company. The new product offers as much extra energy as an energy drink. </w:t>
      </w:r>
    </w:p>
    <w:p w14:paraId="6F6E385A" w14:textId="77777777" w:rsidR="003175DE" w:rsidRDefault="003175DE">
      <w:pPr>
        <w:spacing w:line="360" w:lineRule="auto"/>
        <w:ind w:firstLine="720"/>
        <w:rPr>
          <w:rFonts w:ascii="Times New Roman" w:eastAsia="Times New Roman" w:hAnsi="Times New Roman" w:cs="Times New Roman"/>
          <w:sz w:val="24"/>
          <w:szCs w:val="24"/>
        </w:rPr>
      </w:pPr>
    </w:p>
    <w:p w14:paraId="7274C682" w14:textId="77777777" w:rsidR="003175DE" w:rsidRDefault="00000000">
      <w:pPr>
        <w:pStyle w:val="Heading2"/>
        <w:spacing w:line="360" w:lineRule="auto"/>
        <w:rPr>
          <w:rFonts w:ascii="Times New Roman" w:eastAsia="Times New Roman" w:hAnsi="Times New Roman" w:cs="Times New Roman"/>
          <w:b/>
          <w:sz w:val="28"/>
          <w:szCs w:val="28"/>
        </w:rPr>
      </w:pPr>
      <w:bookmarkStart w:id="2" w:name="_1fob9te" w:colFirst="0" w:colLast="0"/>
      <w:bookmarkEnd w:id="2"/>
      <w:r>
        <w:rPr>
          <w:rFonts w:ascii="Times New Roman" w:eastAsia="Times New Roman" w:hAnsi="Times New Roman" w:cs="Times New Roman"/>
          <w:b/>
          <w:sz w:val="28"/>
          <w:szCs w:val="28"/>
        </w:rPr>
        <w:t>Market Overview/ Presentation of Data (The UK’s energy drink market)</w:t>
      </w:r>
    </w:p>
    <w:p w14:paraId="04F06623"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Grandviewresearch.com (2022), the global market size for energy drinks was around $86.35 billion in 2021. This figure is projected to increase at a compound annual growth rate of 8.3% from 2022 to 2030. This growth is associated with increased demand for energy boosters to boost physical and cognitive performance. Specifically, energy drinks are manufactured to boost consumers’ alertness, energy, and concentration. This is accomplished by </w:t>
      </w:r>
      <w:r>
        <w:rPr>
          <w:rFonts w:ascii="Times New Roman" w:eastAsia="Times New Roman" w:hAnsi="Times New Roman" w:cs="Times New Roman"/>
          <w:sz w:val="24"/>
          <w:szCs w:val="24"/>
        </w:rPr>
        <w:lastRenderedPageBreak/>
        <w:t xml:space="preserve">using energy-enhancing substances, such as caffeine, guarana, taurine, and others. The energy beverages market in the UK reported </w:t>
      </w:r>
      <w:proofErr w:type="gramStart"/>
      <w:r>
        <w:rPr>
          <w:rFonts w:ascii="Times New Roman" w:eastAsia="Times New Roman" w:hAnsi="Times New Roman" w:cs="Times New Roman"/>
          <w:sz w:val="24"/>
          <w:szCs w:val="24"/>
        </w:rPr>
        <w:t>a positive growth</w:t>
      </w:r>
      <w:proofErr w:type="gramEnd"/>
      <w:r>
        <w:rPr>
          <w:rFonts w:ascii="Times New Roman" w:eastAsia="Times New Roman" w:hAnsi="Times New Roman" w:cs="Times New Roman"/>
          <w:sz w:val="24"/>
          <w:szCs w:val="24"/>
        </w:rPr>
        <w:t xml:space="preserve"> rate (CAGR) of 1.83% between 2015 and 2020. </w:t>
      </w:r>
    </w:p>
    <w:p w14:paraId="158AF867" w14:textId="77777777" w:rsidR="003175DE" w:rsidRDefault="00000000">
      <w:pPr>
        <w:spacing w:line="360" w:lineRule="auto"/>
        <w:ind w:firstLine="720"/>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sz w:val="24"/>
          <w:szCs w:val="24"/>
        </w:rPr>
        <w:t xml:space="preserve">The sales averaged between GBP 1,870.32 million in 2020, a decrease of -1.55% in 2019. Statista.com (2022) states the market is expected to grow annually by 7.48% by the end of 2022. The above achievement is an improvement from the recently ended COVID-19 pandemic, during which many energy drink companies witnessed one of the worst performances in the industry's history (De Vet et al. 2021). According to a recent publication by Mordorinintelligence.com (2022), the slowed market growth between 2019 and 2021 was mainly because of the disruption and uncertainties caused by the COVID-19 pandemic. </w:t>
      </w:r>
    </w:p>
    <w:p w14:paraId="0F6836ED" w14:textId="77777777" w:rsidR="003175DE" w:rsidRDefault="003175DE">
      <w:pPr>
        <w:spacing w:line="360" w:lineRule="auto"/>
        <w:ind w:firstLine="720"/>
        <w:rPr>
          <w:rFonts w:ascii="Times New Roman" w:eastAsia="Times New Roman" w:hAnsi="Times New Roman" w:cs="Times New Roman"/>
          <w:sz w:val="24"/>
          <w:szCs w:val="24"/>
        </w:rPr>
      </w:pPr>
      <w:bookmarkStart w:id="4" w:name="_2et92p0" w:colFirst="0" w:colLast="0"/>
      <w:bookmarkEnd w:id="4"/>
    </w:p>
    <w:p w14:paraId="2C0FDBB8" w14:textId="77777777" w:rsidR="003175DE" w:rsidRDefault="00000000">
      <w:pPr>
        <w:pStyle w:val="Heading2"/>
        <w:spacing w:line="360" w:lineRule="auto"/>
        <w:rPr>
          <w:rFonts w:ascii="Times New Roman" w:eastAsia="Times New Roman" w:hAnsi="Times New Roman" w:cs="Times New Roman"/>
          <w:b/>
          <w:sz w:val="28"/>
          <w:szCs w:val="28"/>
        </w:rPr>
      </w:pPr>
      <w:bookmarkStart w:id="5" w:name="_tyjcwt" w:colFirst="0" w:colLast="0"/>
      <w:bookmarkEnd w:id="5"/>
      <w:r>
        <w:rPr>
          <w:rFonts w:ascii="Times New Roman" w:eastAsia="Times New Roman" w:hAnsi="Times New Roman" w:cs="Times New Roman"/>
          <w:b/>
          <w:sz w:val="28"/>
          <w:szCs w:val="28"/>
        </w:rPr>
        <w:t>Market Overview Chocolate Industry (The UK Chocolate Industry</w:t>
      </w:r>
    </w:p>
    <w:p w14:paraId="776CEF77"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total turnover for the UK chocolate and confectionary industry is approximately 4.6 billion British pounds. Unfortunately, in the period 2011 - 2020, the turnover significantly fluctuated. Relatedly, a recent publication by the CBI showed that the UK’s chocolate market significantly declined due to Brexit (CBI 2022). However, before 2011, the turnover was at its highest, reaching over 5 billion pounds in 2008 (See Fig. 1). The figures were in line with another report by Ibisworld.com (See Fig. 2). Additionally, Ibisworld.com (2022) report estimated the Chocolate and Confectionery Production industry at £3.8bn in 2022.</w:t>
      </w:r>
    </w:p>
    <w:p w14:paraId="292BAF54"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same report found that the market has constantly declined by an average of 1.0% per year between 2017 and 2022. Furthermore, according to Ibisworld.com (2022), the UK chocolate and confectionery production industry is the 33</w:t>
      </w:r>
      <w:r>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largest manufacturing entity by market size. Additionally, the industry is also the 194</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largest in the UK market. According to Statistica.com (2022b), consumers spend around GBP 1.32 on different types of confectionery per week. The greatest threat affecting the company is increased import costs, and the greatest opportunity in the industry is the rising consumer confidence (Ibisworld.com 2022).</w:t>
      </w:r>
    </w:p>
    <w:p w14:paraId="0BF1F02D"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8C8EFE2" wp14:editId="6FA76566">
            <wp:extent cx="5886450" cy="2724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886450" cy="2724150"/>
                    </a:xfrm>
                    <a:prstGeom prst="rect">
                      <a:avLst/>
                    </a:prstGeom>
                    <a:ln/>
                  </pic:spPr>
                </pic:pic>
              </a:graphicData>
            </a:graphic>
          </wp:inline>
        </w:drawing>
      </w:r>
    </w:p>
    <w:p w14:paraId="5B97ACD6" w14:textId="77777777" w:rsidR="003175DE" w:rsidRDefault="00000000">
      <w:pPr>
        <w:pBdr>
          <w:top w:val="nil"/>
          <w:left w:val="nil"/>
          <w:bottom w:val="nil"/>
          <w:right w:val="nil"/>
          <w:between w:val="nil"/>
        </w:pBdr>
        <w:spacing w:after="200" w:line="360" w:lineRule="auto"/>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1: Turnover of companies for the manufacturing of cocoa, chocolate, and candy between 2008 to 2021 (UK market) (Source: statitisca.com)</w:t>
      </w:r>
    </w:p>
    <w:p w14:paraId="64CE7A50" w14:textId="77777777" w:rsidR="003175DE" w:rsidRDefault="003175DE">
      <w:pPr>
        <w:pBdr>
          <w:top w:val="nil"/>
          <w:left w:val="nil"/>
          <w:bottom w:val="nil"/>
          <w:right w:val="nil"/>
          <w:between w:val="nil"/>
        </w:pBdr>
        <w:spacing w:after="200" w:line="360" w:lineRule="auto"/>
        <w:rPr>
          <w:rFonts w:ascii="Times New Roman" w:eastAsia="Times New Roman" w:hAnsi="Times New Roman" w:cs="Times New Roman"/>
          <w:i/>
          <w:color w:val="44546A"/>
          <w:sz w:val="24"/>
          <w:szCs w:val="24"/>
        </w:rPr>
      </w:pPr>
    </w:p>
    <w:p w14:paraId="60373078" w14:textId="77777777" w:rsidR="003175DE"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03E9F205" wp14:editId="40F655F3">
            <wp:extent cx="5819775" cy="28765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819775" cy="2876550"/>
                    </a:xfrm>
                    <a:prstGeom prst="rect">
                      <a:avLst/>
                    </a:prstGeom>
                    <a:ln/>
                  </pic:spPr>
                </pic:pic>
              </a:graphicData>
            </a:graphic>
          </wp:inline>
        </w:drawing>
      </w:r>
    </w:p>
    <w:p w14:paraId="404B4A87" w14:textId="77777777" w:rsidR="003175DE" w:rsidRDefault="00000000">
      <w:pPr>
        <w:pBdr>
          <w:top w:val="nil"/>
          <w:left w:val="nil"/>
          <w:bottom w:val="nil"/>
          <w:right w:val="nil"/>
          <w:between w:val="nil"/>
        </w:pBdr>
        <w:spacing w:after="200" w:line="360" w:lineRule="auto"/>
        <w:rPr>
          <w:rFonts w:ascii="Times New Roman" w:eastAsia="Times New Roman" w:hAnsi="Times New Roman" w:cs="Times New Roman"/>
          <w:i/>
          <w:color w:val="44546A"/>
          <w:sz w:val="24"/>
          <w:szCs w:val="24"/>
        </w:rPr>
      </w:pPr>
      <w:r>
        <w:rPr>
          <w:rFonts w:ascii="Times New Roman" w:eastAsia="Times New Roman" w:hAnsi="Times New Roman" w:cs="Times New Roman"/>
          <w:i/>
          <w:color w:val="44546A"/>
          <w:sz w:val="24"/>
          <w:szCs w:val="24"/>
        </w:rPr>
        <w:t>Figure 2: Chocolate &amp; Confectionery production market size between 2011 and 2025 (Source; Ibisworld.com, 2022)</w:t>
      </w:r>
    </w:p>
    <w:p w14:paraId="2376FC34" w14:textId="77777777" w:rsidR="003175DE" w:rsidRDefault="003175DE">
      <w:pPr>
        <w:pBdr>
          <w:top w:val="nil"/>
          <w:left w:val="nil"/>
          <w:bottom w:val="nil"/>
          <w:right w:val="nil"/>
          <w:between w:val="nil"/>
        </w:pBdr>
        <w:spacing w:after="200" w:line="360" w:lineRule="auto"/>
        <w:rPr>
          <w:rFonts w:ascii="Times New Roman" w:eastAsia="Times New Roman" w:hAnsi="Times New Roman" w:cs="Times New Roman"/>
          <w:i/>
          <w:color w:val="44546A"/>
          <w:sz w:val="24"/>
          <w:szCs w:val="24"/>
        </w:rPr>
      </w:pPr>
    </w:p>
    <w:p w14:paraId="26B62498" w14:textId="77777777" w:rsidR="003175DE" w:rsidRDefault="00000000">
      <w:pPr>
        <w:pStyle w:val="Heading2"/>
        <w:rPr>
          <w:rFonts w:ascii="Times New Roman" w:eastAsia="Times New Roman" w:hAnsi="Times New Roman" w:cs="Times New Roman"/>
          <w:b/>
          <w:sz w:val="28"/>
          <w:szCs w:val="28"/>
        </w:rPr>
      </w:pPr>
      <w:bookmarkStart w:id="6" w:name="_3dy6vkm" w:colFirst="0" w:colLast="0"/>
      <w:bookmarkEnd w:id="6"/>
      <w:r>
        <w:rPr>
          <w:rFonts w:ascii="Times New Roman" w:eastAsia="Times New Roman" w:hAnsi="Times New Roman" w:cs="Times New Roman"/>
          <w:b/>
          <w:sz w:val="28"/>
          <w:szCs w:val="28"/>
        </w:rPr>
        <w:lastRenderedPageBreak/>
        <w:t>Cadbury Outlook and key Objective</w:t>
      </w:r>
    </w:p>
    <w:p w14:paraId="34A69C8F"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 is a British multinational confectionery company that Mondelez International has fully owned since 2010. The company is the second-largest confectionery producer globally, after the Mars company. Mondelez international company, the parent company of Cadbury and Oreo, operates in over 150 countries globally (Sensi 2022). The company's key objective is "to deliver a broad range of delicious, high-quality snacks that nourish life's moments" (Mondelez Internationa.com 2022). The company's (Mondelez International Inc.) key brands are biscuits, chocolate, Gum &amp; Candy, beverages, cheese, and grocery. In the financial year that ended in 2021, the company reported an 8% increase in organic net revenues-which was way past the 4% projected growth. Additionally, the company’s gross profit increased by £ 8.3 million. The current company’s projection is over 8% of the organic net revenue growth. </w:t>
      </w:r>
    </w:p>
    <w:p w14:paraId="76D0DC68" w14:textId="77777777" w:rsidR="003175DE" w:rsidRDefault="003175DE">
      <w:pPr>
        <w:spacing w:line="360" w:lineRule="auto"/>
        <w:rPr>
          <w:rFonts w:ascii="Times New Roman" w:eastAsia="Times New Roman" w:hAnsi="Times New Roman" w:cs="Times New Roman"/>
          <w:sz w:val="24"/>
          <w:szCs w:val="24"/>
        </w:rPr>
      </w:pPr>
    </w:p>
    <w:p w14:paraId="45A48668" w14:textId="77777777" w:rsidR="003175DE" w:rsidRDefault="00000000">
      <w:pPr>
        <w:pStyle w:val="Heading1"/>
        <w:spacing w:line="360" w:lineRule="auto"/>
        <w:jc w:val="center"/>
        <w:rPr>
          <w:rFonts w:ascii="Times New Roman" w:eastAsia="Times New Roman" w:hAnsi="Times New Roman" w:cs="Times New Roman"/>
          <w:b/>
        </w:rPr>
      </w:pPr>
      <w:bookmarkStart w:id="7" w:name="_1t3h5sf" w:colFirst="0" w:colLast="0"/>
      <w:bookmarkEnd w:id="7"/>
      <w:r>
        <w:rPr>
          <w:rFonts w:ascii="Times New Roman" w:eastAsia="Times New Roman" w:hAnsi="Times New Roman" w:cs="Times New Roman"/>
          <w:b/>
        </w:rPr>
        <w:t>Competitor Analysis (Chocolate Industry)</w:t>
      </w:r>
    </w:p>
    <w:p w14:paraId="53C50ABD" w14:textId="77777777" w:rsidR="003175DE" w:rsidRDefault="00000000">
      <w:pPr>
        <w:pStyle w:val="Heading2"/>
        <w:spacing w:line="360" w:lineRule="auto"/>
        <w:rPr>
          <w:rFonts w:ascii="Times New Roman" w:eastAsia="Times New Roman" w:hAnsi="Times New Roman" w:cs="Times New Roman"/>
          <w:b/>
          <w:sz w:val="28"/>
          <w:szCs w:val="28"/>
        </w:rPr>
      </w:pPr>
      <w:bookmarkStart w:id="8" w:name="_4d34og8" w:colFirst="0" w:colLast="0"/>
      <w:bookmarkEnd w:id="8"/>
      <w:r>
        <w:rPr>
          <w:rFonts w:ascii="Times New Roman" w:eastAsia="Times New Roman" w:hAnsi="Times New Roman" w:cs="Times New Roman"/>
          <w:b/>
          <w:sz w:val="28"/>
          <w:szCs w:val="28"/>
        </w:rPr>
        <w:t>Mars (Wrigley’s)</w:t>
      </w:r>
    </w:p>
    <w:p w14:paraId="4939CF06"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Founded in 1911, Mars is one of the world's largest food companies. The US-based company mainly deals in food, soft beverages, alcohol &amp; tobacco. The company's renowned products include Whiskas, Skittles, Dove, M&amp;M’s, Mars, Snickers, and VCA, among many others. The company reported a revenue of $ 40 billion in the financial year ending in 2021 (Forbes.com 2022). Furthermore, the company's global market share is around 19%. The company's key pillars are strong financial performance, quality growth, positive social impact, and trusted partnership (Mars.com 2022). Mars's top-tier performance allows the company to create the world it wants for tomorrow. </w:t>
      </w:r>
    </w:p>
    <w:p w14:paraId="49C7F544" w14:textId="77777777" w:rsidR="003175DE" w:rsidRDefault="003175DE">
      <w:pPr>
        <w:spacing w:line="360" w:lineRule="auto"/>
        <w:rPr>
          <w:rFonts w:ascii="Times New Roman" w:eastAsia="Times New Roman" w:hAnsi="Times New Roman" w:cs="Times New Roman"/>
          <w:sz w:val="24"/>
          <w:szCs w:val="24"/>
        </w:rPr>
      </w:pPr>
    </w:p>
    <w:p w14:paraId="1719149C" w14:textId="77777777" w:rsidR="003175DE" w:rsidRDefault="00000000">
      <w:pPr>
        <w:pStyle w:val="Heading2"/>
        <w:spacing w:line="360" w:lineRule="auto"/>
        <w:rPr>
          <w:rFonts w:ascii="Times New Roman" w:eastAsia="Times New Roman" w:hAnsi="Times New Roman" w:cs="Times New Roman"/>
          <w:b/>
          <w:sz w:val="28"/>
          <w:szCs w:val="28"/>
        </w:rPr>
      </w:pPr>
      <w:bookmarkStart w:id="9" w:name="_2s8eyo1" w:colFirst="0" w:colLast="0"/>
      <w:bookmarkEnd w:id="9"/>
      <w:r>
        <w:rPr>
          <w:rFonts w:ascii="Times New Roman" w:eastAsia="Times New Roman" w:hAnsi="Times New Roman" w:cs="Times New Roman"/>
          <w:b/>
          <w:sz w:val="28"/>
          <w:szCs w:val="28"/>
        </w:rPr>
        <w:t>Hershey</w:t>
      </w:r>
    </w:p>
    <w:p w14:paraId="38387585"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 over 125 years, Hershey International has been exploring new heights of delicious candy potential. The company’s key products include 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avenue, </w:t>
      </w:r>
      <w:proofErr w:type="spellStart"/>
      <w:r>
        <w:rPr>
          <w:rFonts w:ascii="Times New Roman" w:eastAsia="Times New Roman" w:hAnsi="Times New Roman" w:cs="Times New Roman"/>
          <w:sz w:val="24"/>
          <w:szCs w:val="24"/>
        </w:rPr>
        <w:t>barkThins</w:t>
      </w:r>
      <w:proofErr w:type="spellEnd"/>
      <w:r>
        <w:rPr>
          <w:rFonts w:ascii="Times New Roman" w:eastAsia="Times New Roman" w:hAnsi="Times New Roman" w:cs="Times New Roman"/>
          <w:sz w:val="24"/>
          <w:szCs w:val="24"/>
        </w:rPr>
        <w:t xml:space="preserve">, Almond Joy, Breath savers, Bubble Yum, and Brookside dark chocolate. The company reported a record year of production and double sales. The company’s net sales increased by $ 2,326.1 million, which was an increase of 6.4% (PR News Wire 2022). One of the company’s strengths is that it is one of the </w:t>
      </w:r>
      <w:r>
        <w:rPr>
          <w:rFonts w:ascii="Times New Roman" w:eastAsia="Times New Roman" w:hAnsi="Times New Roman" w:cs="Times New Roman"/>
          <w:sz w:val="24"/>
          <w:szCs w:val="24"/>
        </w:rPr>
        <w:lastRenderedPageBreak/>
        <w:t>oldest chocolate companies in North America. The company also has high-quality &amp; tasty chocolates and produces over 70 million candies daily (</w:t>
      </w:r>
      <w:proofErr w:type="spellStart"/>
      <w:r>
        <w:rPr>
          <w:rFonts w:ascii="Times New Roman" w:eastAsia="Times New Roman" w:hAnsi="Times New Roman" w:cs="Times New Roman"/>
          <w:sz w:val="24"/>
          <w:szCs w:val="24"/>
        </w:rPr>
        <w:t>Mba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Skool</w:t>
      </w:r>
      <w:proofErr w:type="spellEnd"/>
      <w:r>
        <w:rPr>
          <w:rFonts w:ascii="Times New Roman" w:eastAsia="Times New Roman" w:hAnsi="Times New Roman" w:cs="Times New Roman"/>
          <w:sz w:val="24"/>
          <w:szCs w:val="24"/>
        </w:rPr>
        <w:t xml:space="preserve"> 2022). </w:t>
      </w:r>
    </w:p>
    <w:p w14:paraId="690148C7" w14:textId="77777777" w:rsidR="003175DE" w:rsidRDefault="003175DE">
      <w:pPr>
        <w:spacing w:line="360" w:lineRule="auto"/>
        <w:rPr>
          <w:rFonts w:ascii="Times New Roman" w:eastAsia="Times New Roman" w:hAnsi="Times New Roman" w:cs="Times New Roman"/>
          <w:sz w:val="24"/>
          <w:szCs w:val="24"/>
        </w:rPr>
      </w:pPr>
    </w:p>
    <w:p w14:paraId="7151F5D9" w14:textId="77777777" w:rsidR="003175DE" w:rsidRDefault="00000000">
      <w:pPr>
        <w:pStyle w:val="Heading2"/>
        <w:spacing w:line="360" w:lineRule="auto"/>
        <w:rPr>
          <w:rFonts w:ascii="Times New Roman" w:eastAsia="Times New Roman" w:hAnsi="Times New Roman" w:cs="Times New Roman"/>
          <w:b/>
          <w:sz w:val="28"/>
          <w:szCs w:val="28"/>
        </w:rPr>
      </w:pPr>
      <w:bookmarkStart w:id="10" w:name="_17dp8vu" w:colFirst="0" w:colLast="0"/>
      <w:bookmarkEnd w:id="10"/>
      <w:r>
        <w:rPr>
          <w:rFonts w:ascii="Times New Roman" w:eastAsia="Times New Roman" w:hAnsi="Times New Roman" w:cs="Times New Roman"/>
          <w:b/>
          <w:sz w:val="28"/>
          <w:szCs w:val="28"/>
        </w:rPr>
        <w:t>Nestle</w:t>
      </w:r>
    </w:p>
    <w:p w14:paraId="705173D3"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Nestle is the largest food and drinks company in the world, serving nearly 190 countries across the globe, and has 44.9% regional share in America. The company has employed nearly 300,000 employees, committed to "Nestle's purpose of unlocking the power of food to enhance quality for everyone" (Nestle-esar.com 2022; </w:t>
      </w:r>
      <w:proofErr w:type="spellStart"/>
      <w:r>
        <w:rPr>
          <w:rFonts w:ascii="Times New Roman" w:eastAsia="Times New Roman" w:hAnsi="Times New Roman" w:cs="Times New Roman"/>
          <w:sz w:val="24"/>
          <w:szCs w:val="24"/>
        </w:rPr>
        <w:t>Nagarathinam</w:t>
      </w:r>
      <w:proofErr w:type="spellEnd"/>
      <w:r>
        <w:rPr>
          <w:rFonts w:ascii="Times New Roman" w:eastAsia="Times New Roman" w:hAnsi="Times New Roman" w:cs="Times New Roman"/>
          <w:sz w:val="24"/>
          <w:szCs w:val="24"/>
        </w:rPr>
        <w:t xml:space="preserve"> et al. 2021). The company’s largest subsegment is chocolate, and its key products include baby foods, bottled water, ice cream, Nescafe, Kit Kat, Nestle Ice Cream, and </w:t>
      </w:r>
      <w:proofErr w:type="spellStart"/>
      <w:r>
        <w:rPr>
          <w:rFonts w:ascii="Times New Roman" w:eastAsia="Times New Roman" w:hAnsi="Times New Roman" w:cs="Times New Roman"/>
          <w:sz w:val="24"/>
          <w:szCs w:val="24"/>
        </w:rPr>
        <w:t>Cerelac</w:t>
      </w:r>
      <w:proofErr w:type="spellEnd"/>
      <w:r>
        <w:rPr>
          <w:rFonts w:ascii="Times New Roman" w:eastAsia="Times New Roman" w:hAnsi="Times New Roman" w:cs="Times New Roman"/>
          <w:sz w:val="24"/>
          <w:szCs w:val="24"/>
        </w:rPr>
        <w:t>, among many others. The company’s net income increased by 38.2% in the financial year ending in 2021 (Global data 2022). Nestle’s key strengths include an experience of over 140 years, offers a wide range of products, mergers and acquisitions, and a big global reach.</w:t>
      </w:r>
    </w:p>
    <w:p w14:paraId="7FD5585D" w14:textId="77777777" w:rsidR="003175DE" w:rsidRDefault="003175DE">
      <w:pPr>
        <w:spacing w:line="360" w:lineRule="auto"/>
        <w:rPr>
          <w:rFonts w:ascii="Times New Roman" w:eastAsia="Times New Roman" w:hAnsi="Times New Roman" w:cs="Times New Roman"/>
          <w:sz w:val="24"/>
          <w:szCs w:val="24"/>
        </w:rPr>
      </w:pPr>
    </w:p>
    <w:p w14:paraId="36ABEB96" w14:textId="77777777" w:rsidR="003175DE" w:rsidRDefault="00000000">
      <w:pPr>
        <w:pStyle w:val="Heading1"/>
        <w:spacing w:line="360" w:lineRule="auto"/>
        <w:jc w:val="center"/>
        <w:rPr>
          <w:rFonts w:ascii="Times New Roman" w:eastAsia="Times New Roman" w:hAnsi="Times New Roman" w:cs="Times New Roman"/>
          <w:b/>
        </w:rPr>
      </w:pPr>
      <w:bookmarkStart w:id="11" w:name="_3rdcrjn" w:colFirst="0" w:colLast="0"/>
      <w:bookmarkEnd w:id="11"/>
      <w:r>
        <w:rPr>
          <w:rFonts w:ascii="Times New Roman" w:eastAsia="Times New Roman" w:hAnsi="Times New Roman" w:cs="Times New Roman"/>
          <w:b/>
        </w:rPr>
        <w:t>Competitor’s Analysis (Energy Drink Market)</w:t>
      </w:r>
    </w:p>
    <w:p w14:paraId="7C79A072" w14:textId="77777777" w:rsidR="003175DE" w:rsidRDefault="00000000">
      <w:pPr>
        <w:pStyle w:val="Heading2"/>
        <w:spacing w:line="360" w:lineRule="auto"/>
        <w:rPr>
          <w:rFonts w:ascii="Times New Roman" w:eastAsia="Times New Roman" w:hAnsi="Times New Roman" w:cs="Times New Roman"/>
          <w:b/>
          <w:sz w:val="28"/>
          <w:szCs w:val="28"/>
        </w:rPr>
      </w:pPr>
      <w:bookmarkStart w:id="12" w:name="_26in1rg" w:colFirst="0" w:colLast="0"/>
      <w:bookmarkEnd w:id="12"/>
      <w:r>
        <w:rPr>
          <w:rFonts w:ascii="Times New Roman" w:eastAsia="Times New Roman" w:hAnsi="Times New Roman" w:cs="Times New Roman"/>
          <w:b/>
          <w:sz w:val="28"/>
          <w:szCs w:val="28"/>
        </w:rPr>
        <w:t>Suntory Beverage &amp; Food Limited</w:t>
      </w:r>
    </w:p>
    <w:p w14:paraId="610D3624"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Suntory Beverage &amp; Limited is one of the world’s largest manufacturers and marketers of non-alcoholic beverages and food products. The company’s mission is to achieve strong growth through “Full-value chain excellence.” Suntory’s major strength lies in its support of its parent entity and the growth of worldwide operations. The company’s key products include the renowned Lucozade energy, Ribena, and </w:t>
      </w:r>
      <w:proofErr w:type="spellStart"/>
      <w:r>
        <w:rPr>
          <w:rFonts w:ascii="Times New Roman" w:eastAsia="Times New Roman" w:hAnsi="Times New Roman" w:cs="Times New Roman"/>
          <w:sz w:val="24"/>
          <w:szCs w:val="24"/>
        </w:rPr>
        <w:t>Orangina</w:t>
      </w:r>
      <w:proofErr w:type="spellEnd"/>
      <w:r>
        <w:rPr>
          <w:rFonts w:ascii="Times New Roman" w:eastAsia="Times New Roman" w:hAnsi="Times New Roman" w:cs="Times New Roman"/>
          <w:sz w:val="24"/>
          <w:szCs w:val="24"/>
        </w:rPr>
        <w:t>. The company has also invested in zero and no added sugar options to meet increased healthy lifestyle demands (Suntory Beverages food-</w:t>
      </w:r>
      <w:proofErr w:type="spellStart"/>
      <w:r>
        <w:rPr>
          <w:rFonts w:ascii="Times New Roman" w:eastAsia="Times New Roman" w:hAnsi="Times New Roman" w:cs="Times New Roman"/>
          <w:sz w:val="24"/>
          <w:szCs w:val="24"/>
        </w:rPr>
        <w:t>europe</w:t>
      </w:r>
      <w:proofErr w:type="spellEnd"/>
      <w:r>
        <w:rPr>
          <w:rFonts w:ascii="Times New Roman" w:eastAsia="Times New Roman" w:hAnsi="Times New Roman" w:cs="Times New Roman"/>
          <w:sz w:val="24"/>
          <w:szCs w:val="24"/>
        </w:rPr>
        <w:t xml:space="preserve"> 2022). </w:t>
      </w:r>
    </w:p>
    <w:p w14:paraId="52E2DF50" w14:textId="77777777" w:rsidR="003175DE" w:rsidRDefault="003175DE">
      <w:pPr>
        <w:spacing w:line="360" w:lineRule="auto"/>
        <w:rPr>
          <w:rFonts w:ascii="Times New Roman" w:eastAsia="Times New Roman" w:hAnsi="Times New Roman" w:cs="Times New Roman"/>
          <w:sz w:val="24"/>
          <w:szCs w:val="24"/>
        </w:rPr>
      </w:pPr>
    </w:p>
    <w:p w14:paraId="649DF0E7" w14:textId="77777777" w:rsidR="003175DE" w:rsidRDefault="00000000">
      <w:pPr>
        <w:pStyle w:val="Heading2"/>
        <w:spacing w:line="360" w:lineRule="auto"/>
        <w:rPr>
          <w:rFonts w:ascii="Times New Roman" w:eastAsia="Times New Roman" w:hAnsi="Times New Roman" w:cs="Times New Roman"/>
          <w:b/>
          <w:sz w:val="28"/>
          <w:szCs w:val="28"/>
        </w:rPr>
      </w:pPr>
      <w:bookmarkStart w:id="13" w:name="_lnxbz9" w:colFirst="0" w:colLast="0"/>
      <w:bookmarkEnd w:id="13"/>
      <w:r>
        <w:rPr>
          <w:rFonts w:ascii="Times New Roman" w:eastAsia="Times New Roman" w:hAnsi="Times New Roman" w:cs="Times New Roman"/>
          <w:b/>
          <w:sz w:val="28"/>
          <w:szCs w:val="28"/>
        </w:rPr>
        <w:t xml:space="preserve">Red Bull </w:t>
      </w:r>
      <w:proofErr w:type="spellStart"/>
      <w:r>
        <w:rPr>
          <w:rFonts w:ascii="Times New Roman" w:eastAsia="Times New Roman" w:hAnsi="Times New Roman" w:cs="Times New Roman"/>
          <w:b/>
          <w:sz w:val="28"/>
          <w:szCs w:val="28"/>
        </w:rPr>
        <w:t>Gmbh</w:t>
      </w:r>
      <w:proofErr w:type="spellEnd"/>
    </w:p>
    <w:p w14:paraId="1A2FBCE4"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 Bull Company is an Australian-based firm known mainly for producing Red Bull drinks. The company's strength lies in its powerful brand and unique and versatile sports-based marketing strategy. The company's mission is "giving wings to people and ideas" (Red Bull </w:t>
      </w:r>
      <w:r>
        <w:rPr>
          <w:rFonts w:ascii="Times New Roman" w:eastAsia="Times New Roman" w:hAnsi="Times New Roman" w:cs="Times New Roman"/>
          <w:sz w:val="24"/>
          <w:szCs w:val="24"/>
        </w:rPr>
        <w:lastRenderedPageBreak/>
        <w:t>mission statement 2022). The drink is considered as one of the most satisfying energy drinks on the globe. This has mainly been achieved through the company's very strict and specific production conditions. Red Bull's vision of "people, ideas, and culture” also plays a vital part. The company’s key weakness is the limited market range and high price tags. Lastly, the company’s major threat is increased competition.</w:t>
      </w:r>
    </w:p>
    <w:p w14:paraId="346E2AAE" w14:textId="77777777" w:rsidR="003175DE" w:rsidRDefault="003175DE">
      <w:pPr>
        <w:spacing w:line="360" w:lineRule="auto"/>
        <w:rPr>
          <w:rFonts w:ascii="Times New Roman" w:eastAsia="Times New Roman" w:hAnsi="Times New Roman" w:cs="Times New Roman"/>
          <w:sz w:val="24"/>
          <w:szCs w:val="24"/>
        </w:rPr>
      </w:pPr>
    </w:p>
    <w:p w14:paraId="0168235E" w14:textId="77777777" w:rsidR="003175DE" w:rsidRDefault="00000000">
      <w:pPr>
        <w:pStyle w:val="Heading2"/>
        <w:spacing w:line="360" w:lineRule="auto"/>
        <w:rPr>
          <w:rFonts w:ascii="Times New Roman" w:eastAsia="Times New Roman" w:hAnsi="Times New Roman" w:cs="Times New Roman"/>
          <w:b/>
          <w:sz w:val="28"/>
          <w:szCs w:val="28"/>
        </w:rPr>
      </w:pPr>
      <w:bookmarkStart w:id="14" w:name="_35nkun2" w:colFirst="0" w:colLast="0"/>
      <w:bookmarkEnd w:id="14"/>
      <w:r>
        <w:rPr>
          <w:rFonts w:ascii="Times New Roman" w:eastAsia="Times New Roman" w:hAnsi="Times New Roman" w:cs="Times New Roman"/>
          <w:b/>
          <w:sz w:val="28"/>
          <w:szCs w:val="28"/>
        </w:rPr>
        <w:t>Monster Beverage Corporation</w:t>
      </w:r>
    </w:p>
    <w:p w14:paraId="13216B93"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mission is "To improve market share price and bring returns to stakeholders." The strong company identity is that it has a very strong brand identity and strong brand recognition. The company has also maintained its focus on the energy drinks market which accounts for over 93% of its revenue (Shastri 2022). The company's key weaknesses include a lack of traditional media marketing limits, and aggressive can designs are also said to intimidate female athletes. Lastly, the company's key opportunity is that it can venture into other carbonated drinks. On the other hand, its key threat is its inability to come out of Red Bull's shadows. </w:t>
      </w:r>
    </w:p>
    <w:p w14:paraId="04289024" w14:textId="77777777" w:rsidR="003175DE" w:rsidRDefault="003175DE">
      <w:pPr>
        <w:spacing w:line="360" w:lineRule="auto"/>
        <w:rPr>
          <w:rFonts w:ascii="Times New Roman" w:eastAsia="Times New Roman" w:hAnsi="Times New Roman" w:cs="Times New Roman"/>
          <w:sz w:val="24"/>
          <w:szCs w:val="24"/>
        </w:rPr>
      </w:pPr>
    </w:p>
    <w:p w14:paraId="232E7ABA" w14:textId="77777777" w:rsidR="003175DE" w:rsidRDefault="00000000">
      <w:pPr>
        <w:pStyle w:val="Heading1"/>
        <w:spacing w:line="360" w:lineRule="auto"/>
        <w:jc w:val="center"/>
        <w:rPr>
          <w:rFonts w:ascii="Times New Roman" w:eastAsia="Times New Roman" w:hAnsi="Times New Roman" w:cs="Times New Roman"/>
          <w:b/>
        </w:rPr>
      </w:pPr>
      <w:bookmarkStart w:id="15" w:name="_1ksv4uv" w:colFirst="0" w:colLast="0"/>
      <w:bookmarkEnd w:id="15"/>
      <w:r>
        <w:rPr>
          <w:rFonts w:ascii="Times New Roman" w:eastAsia="Times New Roman" w:hAnsi="Times New Roman" w:cs="Times New Roman"/>
          <w:b/>
        </w:rPr>
        <w:t>Presentation of Models and Theories</w:t>
      </w:r>
    </w:p>
    <w:p w14:paraId="4926F1E5" w14:textId="77777777" w:rsidR="003175DE" w:rsidRDefault="00000000">
      <w:pPr>
        <w:pStyle w:val="Heading2"/>
        <w:spacing w:line="360" w:lineRule="auto"/>
        <w:rPr>
          <w:rFonts w:ascii="Times New Roman" w:eastAsia="Times New Roman" w:hAnsi="Times New Roman" w:cs="Times New Roman"/>
          <w:b/>
          <w:sz w:val="28"/>
          <w:szCs w:val="28"/>
        </w:rPr>
      </w:pPr>
      <w:bookmarkStart w:id="16" w:name="_44sinio" w:colFirst="0" w:colLast="0"/>
      <w:bookmarkEnd w:id="16"/>
      <w:r>
        <w:rPr>
          <w:rFonts w:ascii="Times New Roman" w:eastAsia="Times New Roman" w:hAnsi="Times New Roman" w:cs="Times New Roman"/>
          <w:b/>
          <w:sz w:val="28"/>
          <w:szCs w:val="28"/>
        </w:rPr>
        <w:t>Marketing Mix for Cadburys</w:t>
      </w:r>
    </w:p>
    <w:p w14:paraId="761AC8D9"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mix can be defined as a set of actions that a particular organisation uses to promote its services, brand or goods </w:t>
      </w:r>
      <w:proofErr w:type="gramStart"/>
      <w:r>
        <w:rPr>
          <w:rFonts w:ascii="Times New Roman" w:eastAsia="Times New Roman" w:hAnsi="Times New Roman" w:cs="Times New Roman"/>
          <w:sz w:val="24"/>
          <w:szCs w:val="24"/>
        </w:rPr>
        <w:t>in a given</w:t>
      </w:r>
      <w:proofErr w:type="gramEnd"/>
      <w:r>
        <w:rPr>
          <w:rFonts w:ascii="Times New Roman" w:eastAsia="Times New Roman" w:hAnsi="Times New Roman" w:cs="Times New Roman"/>
          <w:sz w:val="24"/>
          <w:szCs w:val="24"/>
        </w:rPr>
        <w:t xml:space="preserve"> market. The framework helps an organisation to define its terms of price, product, promotion, and place, enabling it to meet different customer needs. Below is the marketing mix for Boost Guarana and Cadburys:</w:t>
      </w:r>
    </w:p>
    <w:p w14:paraId="7C982F81" w14:textId="77777777" w:rsidR="003175DE" w:rsidRDefault="003175DE">
      <w:pPr>
        <w:spacing w:line="360" w:lineRule="auto"/>
        <w:rPr>
          <w:rFonts w:ascii="Times New Roman" w:eastAsia="Times New Roman" w:hAnsi="Times New Roman" w:cs="Times New Roman"/>
          <w:sz w:val="24"/>
          <w:szCs w:val="24"/>
        </w:rPr>
      </w:pPr>
    </w:p>
    <w:p w14:paraId="75635FAC"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17" w:name="_2jxsxqh" w:colFirst="0" w:colLast="0"/>
      <w:bookmarkEnd w:id="17"/>
      <w:r>
        <w:rPr>
          <w:rFonts w:ascii="Times New Roman" w:eastAsia="Times New Roman" w:hAnsi="Times New Roman" w:cs="Times New Roman"/>
          <w:b/>
          <w:color w:val="2F5496"/>
          <w:sz w:val="26"/>
          <w:szCs w:val="26"/>
        </w:rPr>
        <w:t>Product</w:t>
      </w:r>
    </w:p>
    <w:p w14:paraId="005A3469"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refers to goods and services a particular company offers. Cadburys offers a wide range of products, such as chocolate, dairy milk, Oreo, </w:t>
      </w:r>
      <w:proofErr w:type="gramStart"/>
      <w:r>
        <w:rPr>
          <w:rFonts w:ascii="Times New Roman" w:eastAsia="Times New Roman" w:hAnsi="Times New Roman" w:cs="Times New Roman"/>
          <w:sz w:val="24"/>
          <w:szCs w:val="24"/>
        </w:rPr>
        <w:t>biscuits</w:t>
      </w:r>
      <w:proofErr w:type="gramEnd"/>
      <w:r>
        <w:rPr>
          <w:rFonts w:ascii="Times New Roman" w:eastAsia="Times New Roman" w:hAnsi="Times New Roman" w:cs="Times New Roman"/>
          <w:sz w:val="24"/>
          <w:szCs w:val="24"/>
        </w:rPr>
        <w:t xml:space="preserve"> and candies, among many others (</w:t>
      </w:r>
      <w:proofErr w:type="spellStart"/>
      <w:r>
        <w:rPr>
          <w:rFonts w:ascii="Times New Roman" w:eastAsia="Times New Roman" w:hAnsi="Times New Roman" w:cs="Times New Roman"/>
          <w:sz w:val="24"/>
          <w:szCs w:val="24"/>
        </w:rPr>
        <w:t>Aujla</w:t>
      </w:r>
      <w:proofErr w:type="spellEnd"/>
      <w:r>
        <w:rPr>
          <w:rFonts w:ascii="Times New Roman" w:eastAsia="Times New Roman" w:hAnsi="Times New Roman" w:cs="Times New Roman"/>
          <w:sz w:val="24"/>
          <w:szCs w:val="24"/>
        </w:rPr>
        <w:t xml:space="preserve"> 2021).</w:t>
      </w:r>
    </w:p>
    <w:p w14:paraId="1F995B6A" w14:textId="77777777" w:rsidR="003175DE" w:rsidRDefault="003175DE">
      <w:pPr>
        <w:spacing w:line="360" w:lineRule="auto"/>
        <w:rPr>
          <w:rFonts w:ascii="Times New Roman" w:eastAsia="Times New Roman" w:hAnsi="Times New Roman" w:cs="Times New Roman"/>
          <w:sz w:val="24"/>
          <w:szCs w:val="24"/>
        </w:rPr>
      </w:pPr>
    </w:p>
    <w:p w14:paraId="5954BEFC"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18" w:name="_z337ya" w:colFirst="0" w:colLast="0"/>
      <w:bookmarkEnd w:id="18"/>
      <w:r>
        <w:rPr>
          <w:rFonts w:ascii="Times New Roman" w:eastAsia="Times New Roman" w:hAnsi="Times New Roman" w:cs="Times New Roman"/>
          <w:b/>
          <w:color w:val="2F5496"/>
          <w:sz w:val="26"/>
          <w:szCs w:val="26"/>
        </w:rPr>
        <w:lastRenderedPageBreak/>
        <w:t>Price mix of Cadburys</w:t>
      </w:r>
    </w:p>
    <w:p w14:paraId="232FAABB"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Price mix refers to monetary value in exchange for a given product or service. Cadburys’ pricing depends on demand, competition, </w:t>
      </w:r>
      <w:proofErr w:type="gramStart"/>
      <w:r>
        <w:rPr>
          <w:rFonts w:ascii="Times New Roman" w:eastAsia="Times New Roman" w:hAnsi="Times New Roman" w:cs="Times New Roman"/>
          <w:sz w:val="24"/>
          <w:szCs w:val="24"/>
        </w:rPr>
        <w:t>packaging</w:t>
      </w:r>
      <w:proofErr w:type="gramEnd"/>
      <w:r>
        <w:rPr>
          <w:rFonts w:ascii="Times New Roman" w:eastAsia="Times New Roman" w:hAnsi="Times New Roman" w:cs="Times New Roman"/>
          <w:sz w:val="24"/>
          <w:szCs w:val="24"/>
        </w:rPr>
        <w:t xml:space="preserve"> and targeted demographic. Specifically, the price of the company’s product depends on the size. The company is also known for its targeted marketing, which allows for reaching different market segments. The company’s key pricing strategies are skimming, economy, and bundle pricing. </w:t>
      </w:r>
    </w:p>
    <w:p w14:paraId="76B591F6" w14:textId="77777777" w:rsidR="003175DE" w:rsidRDefault="003175DE">
      <w:pPr>
        <w:spacing w:line="360" w:lineRule="auto"/>
        <w:rPr>
          <w:rFonts w:ascii="Times New Roman" w:eastAsia="Times New Roman" w:hAnsi="Times New Roman" w:cs="Times New Roman"/>
          <w:sz w:val="24"/>
          <w:szCs w:val="24"/>
        </w:rPr>
      </w:pPr>
    </w:p>
    <w:p w14:paraId="2EAD75E4"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19" w:name="_3j2qqm3" w:colFirst="0" w:colLast="0"/>
      <w:bookmarkEnd w:id="19"/>
      <w:r>
        <w:rPr>
          <w:rFonts w:ascii="Times New Roman" w:eastAsia="Times New Roman" w:hAnsi="Times New Roman" w:cs="Times New Roman"/>
          <w:b/>
          <w:color w:val="2F5496"/>
          <w:sz w:val="26"/>
          <w:szCs w:val="26"/>
        </w:rPr>
        <w:t>Place mix for Cadburys</w:t>
      </w:r>
    </w:p>
    <w:p w14:paraId="4F90787B"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products are available globally, enabling it to enjoy a huge customer base. The company has enjoyed significant influence in the global market. Cadbury chocolates are made in the company’s headquarters based in Bournville. Both rural and urban markets in the UK have access to Cadbury's products (</w:t>
      </w:r>
      <w:proofErr w:type="spellStart"/>
      <w:r>
        <w:rPr>
          <w:rFonts w:ascii="Times New Roman" w:eastAsia="Times New Roman" w:hAnsi="Times New Roman" w:cs="Times New Roman"/>
          <w:sz w:val="24"/>
          <w:szCs w:val="24"/>
        </w:rPr>
        <w:t>Aujla</w:t>
      </w:r>
      <w:proofErr w:type="spellEnd"/>
      <w:r>
        <w:rPr>
          <w:rFonts w:ascii="Times New Roman" w:eastAsia="Times New Roman" w:hAnsi="Times New Roman" w:cs="Times New Roman"/>
          <w:sz w:val="24"/>
          <w:szCs w:val="24"/>
        </w:rPr>
        <w:t xml:space="preserve"> 2021). </w:t>
      </w:r>
    </w:p>
    <w:p w14:paraId="746AD98D" w14:textId="77777777" w:rsidR="003175DE" w:rsidRDefault="003175DE">
      <w:pPr>
        <w:spacing w:line="360" w:lineRule="auto"/>
        <w:rPr>
          <w:rFonts w:ascii="Times New Roman" w:eastAsia="Times New Roman" w:hAnsi="Times New Roman" w:cs="Times New Roman"/>
          <w:sz w:val="24"/>
          <w:szCs w:val="24"/>
        </w:rPr>
      </w:pPr>
    </w:p>
    <w:p w14:paraId="4228F261"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20" w:name="_1y810tw" w:colFirst="0" w:colLast="0"/>
      <w:bookmarkEnd w:id="20"/>
      <w:r>
        <w:rPr>
          <w:rFonts w:ascii="Times New Roman" w:eastAsia="Times New Roman" w:hAnsi="Times New Roman" w:cs="Times New Roman"/>
          <w:b/>
          <w:color w:val="2F5496"/>
          <w:sz w:val="26"/>
          <w:szCs w:val="26"/>
        </w:rPr>
        <w:t xml:space="preserve">Promotion Mix </w:t>
      </w:r>
    </w:p>
    <w:p w14:paraId="37E74C54"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refers to the methods used by a particular organisation to inform the market about its goods and services. Cadbury pays keen to detail and capitalises on emotional advertising to connect with its customers. Key campaigns include the "</w:t>
      </w:r>
      <w:proofErr w:type="spellStart"/>
      <w:r>
        <w:rPr>
          <w:rFonts w:ascii="Times New Roman" w:eastAsia="Times New Roman" w:hAnsi="Times New Roman" w:cs="Times New Roman"/>
          <w:sz w:val="24"/>
          <w:szCs w:val="24"/>
        </w:rPr>
        <w:t>Kuch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Meetha</w:t>
      </w:r>
      <w:proofErr w:type="spellEnd"/>
      <w:r>
        <w:rPr>
          <w:rFonts w:ascii="Times New Roman" w:eastAsia="Times New Roman" w:hAnsi="Times New Roman" w:cs="Times New Roman"/>
          <w:sz w:val="24"/>
          <w:szCs w:val="24"/>
        </w:rPr>
        <w:t xml:space="preserve"> Ho Jaye" slogan used to market Cadbury's chocolates. The company also capitalises on vernacular marketing to promote itself in different regions across the globe. Moreover, the company also collaborates with different celebrities to reach the targeted market. Lastly, the company has also capitalised on social media and big data to form targeted promotions (</w:t>
      </w:r>
      <w:proofErr w:type="spellStart"/>
      <w:r>
        <w:rPr>
          <w:rFonts w:ascii="Times New Roman" w:eastAsia="Times New Roman" w:hAnsi="Times New Roman" w:cs="Times New Roman"/>
          <w:sz w:val="24"/>
          <w:szCs w:val="24"/>
        </w:rPr>
        <w:t>Aujla</w:t>
      </w:r>
      <w:proofErr w:type="spellEnd"/>
      <w:r>
        <w:rPr>
          <w:rFonts w:ascii="Times New Roman" w:eastAsia="Times New Roman" w:hAnsi="Times New Roman" w:cs="Times New Roman"/>
          <w:sz w:val="24"/>
          <w:szCs w:val="24"/>
        </w:rPr>
        <w:t xml:space="preserve"> 2021) </w:t>
      </w:r>
    </w:p>
    <w:p w14:paraId="3F680B3B" w14:textId="77777777" w:rsidR="003175DE" w:rsidRDefault="003175DE">
      <w:pPr>
        <w:spacing w:line="360" w:lineRule="auto"/>
        <w:rPr>
          <w:rFonts w:ascii="Times New Roman" w:eastAsia="Times New Roman" w:hAnsi="Times New Roman" w:cs="Times New Roman"/>
          <w:sz w:val="24"/>
          <w:szCs w:val="24"/>
        </w:rPr>
      </w:pPr>
    </w:p>
    <w:p w14:paraId="1583B2AC" w14:textId="77777777" w:rsidR="003175DE" w:rsidRDefault="00000000">
      <w:pPr>
        <w:pStyle w:val="Heading1"/>
        <w:spacing w:line="360" w:lineRule="auto"/>
        <w:jc w:val="center"/>
        <w:rPr>
          <w:rFonts w:ascii="Times New Roman" w:eastAsia="Times New Roman" w:hAnsi="Times New Roman" w:cs="Times New Roman"/>
          <w:b/>
        </w:rPr>
      </w:pPr>
      <w:bookmarkStart w:id="21" w:name="_4i7ojhp" w:colFirst="0" w:colLast="0"/>
      <w:bookmarkEnd w:id="21"/>
      <w:r>
        <w:rPr>
          <w:rFonts w:ascii="Times New Roman" w:eastAsia="Times New Roman" w:hAnsi="Times New Roman" w:cs="Times New Roman"/>
          <w:b/>
        </w:rPr>
        <w:t>External Environment</w:t>
      </w:r>
    </w:p>
    <w:p w14:paraId="786A3AF6" w14:textId="77777777" w:rsidR="003175DE" w:rsidRDefault="00000000">
      <w:pPr>
        <w:pStyle w:val="Heading2"/>
        <w:spacing w:line="360" w:lineRule="auto"/>
        <w:rPr>
          <w:rFonts w:ascii="Times New Roman" w:eastAsia="Times New Roman" w:hAnsi="Times New Roman" w:cs="Times New Roman"/>
          <w:b/>
          <w:sz w:val="28"/>
          <w:szCs w:val="28"/>
        </w:rPr>
      </w:pPr>
      <w:bookmarkStart w:id="22" w:name="_2xcytpi" w:colFirst="0" w:colLast="0"/>
      <w:bookmarkEnd w:id="22"/>
      <w:r>
        <w:rPr>
          <w:rFonts w:ascii="Times New Roman" w:eastAsia="Times New Roman" w:hAnsi="Times New Roman" w:cs="Times New Roman"/>
          <w:b/>
          <w:sz w:val="28"/>
          <w:szCs w:val="28"/>
        </w:rPr>
        <w:t>PESTLE Analysis for Cadbury and Boost Guarana</w:t>
      </w:r>
    </w:p>
    <w:p w14:paraId="1E64DE57"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PESTLE Analysis is a concept in the marketing principle that organisations use to track the environment they are doing business in or where they plan to launch a new service or product. PESTLE is an abbreviation that stands for: Political; Economic; Social; Technological; Legal; and Environmental factors. One critical benefit of the PESTLE Analysis is that it provides </w:t>
      </w:r>
      <w:r>
        <w:rPr>
          <w:rFonts w:ascii="Times New Roman" w:eastAsia="Times New Roman" w:hAnsi="Times New Roman" w:cs="Times New Roman"/>
          <w:sz w:val="24"/>
          <w:szCs w:val="24"/>
        </w:rPr>
        <w:lastRenderedPageBreak/>
        <w:t xml:space="preserve">contextual information about where a particular organisation is going. Another key advantage is that it is simple to conduct and understand. </w:t>
      </w:r>
    </w:p>
    <w:p w14:paraId="1EB26388" w14:textId="77777777" w:rsidR="003175DE" w:rsidRDefault="003175DE">
      <w:pPr>
        <w:spacing w:line="360" w:lineRule="auto"/>
        <w:rPr>
          <w:rFonts w:ascii="Times New Roman" w:eastAsia="Times New Roman" w:hAnsi="Times New Roman" w:cs="Times New Roman"/>
          <w:sz w:val="24"/>
          <w:szCs w:val="24"/>
        </w:rPr>
      </w:pPr>
    </w:p>
    <w:p w14:paraId="3CA12D86"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23" w:name="_1ci93xb" w:colFirst="0" w:colLast="0"/>
      <w:bookmarkEnd w:id="23"/>
      <w:r>
        <w:rPr>
          <w:rFonts w:ascii="Times New Roman" w:eastAsia="Times New Roman" w:hAnsi="Times New Roman" w:cs="Times New Roman"/>
          <w:b/>
          <w:color w:val="2F5496"/>
          <w:sz w:val="26"/>
          <w:szCs w:val="26"/>
        </w:rPr>
        <w:t>Political</w:t>
      </w:r>
    </w:p>
    <w:p w14:paraId="0E5C54B6" w14:textId="77777777" w:rsidR="003175DE" w:rsidRDefault="00000000">
      <w:pPr>
        <w:spacing w:line="360" w:lineRule="auto"/>
        <w:rPr>
          <w:rFonts w:ascii="Times New Roman" w:eastAsia="Times New Roman" w:hAnsi="Times New Roman" w:cs="Times New Roman"/>
          <w:sz w:val="24"/>
          <w:szCs w:val="24"/>
        </w:rPr>
      </w:pPr>
      <w:bookmarkStart w:id="24" w:name="_3whwml4" w:colFirst="0" w:colLast="0"/>
      <w:bookmarkEnd w:id="24"/>
      <w:r>
        <w:rPr>
          <w:rFonts w:ascii="Times New Roman" w:eastAsia="Times New Roman" w:hAnsi="Times New Roman" w:cs="Times New Roman"/>
          <w:sz w:val="24"/>
          <w:szCs w:val="24"/>
        </w:rPr>
        <w:t xml:space="preserve">Political factors play a major role in determining the aspects that may have an impact on Boost Guarana’s long-term success in the UK market. Boost Guarana is considered to offer as much extra energy burst as an energy drink, and thus, it is prone to political factors affecting the energy drink market in the UK, which is estimated to be around £750 million. The two critical political factors that impact Boost Guarana are Brexit and the war in Ukraine. Regarding Brexit, increased </w:t>
      </w:r>
      <w:proofErr w:type="gramStart"/>
      <w:r>
        <w:rPr>
          <w:rFonts w:ascii="Times New Roman" w:eastAsia="Times New Roman" w:hAnsi="Times New Roman" w:cs="Times New Roman"/>
          <w:sz w:val="24"/>
          <w:szCs w:val="24"/>
        </w:rPr>
        <w:t>bureaucracy</w:t>
      </w:r>
      <w:proofErr w:type="gramEnd"/>
      <w:r>
        <w:rPr>
          <w:rFonts w:ascii="Times New Roman" w:eastAsia="Times New Roman" w:hAnsi="Times New Roman" w:cs="Times New Roman"/>
          <w:sz w:val="24"/>
          <w:szCs w:val="24"/>
        </w:rPr>
        <w:t xml:space="preserve"> and the high cost of importing labour and products from the rest of the EU market pose a significant threat. On the contrary, the stability of the UK market is an opportunity. Unfortunately, the UK market has a strong record of regulation on various issues, such as health and safety (Hancock 2004).</w:t>
      </w:r>
    </w:p>
    <w:p w14:paraId="072A743B" w14:textId="77777777" w:rsidR="003175DE" w:rsidRDefault="003175DE">
      <w:pPr>
        <w:spacing w:line="360" w:lineRule="auto"/>
        <w:rPr>
          <w:rFonts w:ascii="Times New Roman" w:eastAsia="Times New Roman" w:hAnsi="Times New Roman" w:cs="Times New Roman"/>
          <w:sz w:val="24"/>
          <w:szCs w:val="24"/>
        </w:rPr>
      </w:pPr>
      <w:bookmarkStart w:id="25" w:name="_2bn6wsx" w:colFirst="0" w:colLast="0"/>
      <w:bookmarkEnd w:id="25"/>
    </w:p>
    <w:p w14:paraId="02B9B20F"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26" w:name="_qsh70q" w:colFirst="0" w:colLast="0"/>
      <w:bookmarkEnd w:id="26"/>
      <w:r>
        <w:rPr>
          <w:rFonts w:ascii="Times New Roman" w:eastAsia="Times New Roman" w:hAnsi="Times New Roman" w:cs="Times New Roman"/>
          <w:b/>
          <w:color w:val="2F5496"/>
          <w:sz w:val="26"/>
          <w:szCs w:val="26"/>
        </w:rPr>
        <w:t>Economic</w:t>
      </w:r>
    </w:p>
    <w:p w14:paraId="28F0ACE3" w14:textId="77777777" w:rsidR="003175DE" w:rsidRDefault="00000000">
      <w:pPr>
        <w:spacing w:line="360" w:lineRule="auto"/>
        <w:rPr>
          <w:rFonts w:ascii="Times New Roman" w:eastAsia="Times New Roman" w:hAnsi="Times New Roman" w:cs="Times New Roman"/>
          <w:sz w:val="24"/>
          <w:szCs w:val="24"/>
        </w:rPr>
      </w:pPr>
      <w:bookmarkStart w:id="27" w:name="_3as4poj" w:colFirst="0" w:colLast="0"/>
      <w:bookmarkEnd w:id="27"/>
      <w:r>
        <w:rPr>
          <w:rFonts w:ascii="Times New Roman" w:eastAsia="Times New Roman" w:hAnsi="Times New Roman" w:cs="Times New Roman"/>
          <w:sz w:val="24"/>
          <w:szCs w:val="24"/>
        </w:rPr>
        <w:t xml:space="preserve">The recently ended COVID-19 pandemic significantly impacted the energy drink market as many sporting activities remained suspended. Concerning the above developments, Boost Guarana faces the threat of serving in a market filled with many uncertainties. Increased energy costs across the UK and the weakening Pound are other threats that Boost Guarana must be ready to face. </w:t>
      </w:r>
    </w:p>
    <w:p w14:paraId="3425463A" w14:textId="77777777" w:rsidR="003175DE" w:rsidRDefault="003175DE">
      <w:pPr>
        <w:spacing w:line="360" w:lineRule="auto"/>
        <w:rPr>
          <w:rFonts w:ascii="Times New Roman" w:eastAsia="Times New Roman" w:hAnsi="Times New Roman" w:cs="Times New Roman"/>
          <w:sz w:val="24"/>
          <w:szCs w:val="24"/>
        </w:rPr>
      </w:pPr>
      <w:bookmarkStart w:id="28" w:name="_1pxezwc" w:colFirst="0" w:colLast="0"/>
      <w:bookmarkEnd w:id="28"/>
    </w:p>
    <w:p w14:paraId="1503EDAC"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29" w:name="_49x2ik5" w:colFirst="0" w:colLast="0"/>
      <w:bookmarkEnd w:id="29"/>
      <w:r>
        <w:rPr>
          <w:rFonts w:ascii="Times New Roman" w:eastAsia="Times New Roman" w:hAnsi="Times New Roman" w:cs="Times New Roman"/>
          <w:b/>
          <w:color w:val="2F5496"/>
          <w:sz w:val="26"/>
          <w:szCs w:val="26"/>
        </w:rPr>
        <w:t>Social</w:t>
      </w:r>
    </w:p>
    <w:p w14:paraId="52C1A7B7" w14:textId="77777777" w:rsidR="003175DE" w:rsidRDefault="00000000">
      <w:pPr>
        <w:spacing w:line="360" w:lineRule="auto"/>
        <w:rPr>
          <w:rFonts w:ascii="Times New Roman" w:eastAsia="Times New Roman" w:hAnsi="Times New Roman" w:cs="Times New Roman"/>
          <w:sz w:val="24"/>
          <w:szCs w:val="24"/>
        </w:rPr>
      </w:pPr>
      <w:bookmarkStart w:id="30" w:name="_2p2csry" w:colFirst="0" w:colLast="0"/>
      <w:bookmarkEnd w:id="30"/>
      <w:r>
        <w:rPr>
          <w:rFonts w:ascii="Times New Roman" w:eastAsia="Times New Roman" w:hAnsi="Times New Roman" w:cs="Times New Roman"/>
          <w:sz w:val="24"/>
          <w:szCs w:val="24"/>
        </w:rPr>
        <w:t xml:space="preserve">It is essential for food and beverage companies to monitor social factors closely as consumer needs and preferences frequently change. The ageing UK population is something that Boost Guarana should know will impact the labour supply </w:t>
      </w:r>
      <w:proofErr w:type="gramStart"/>
      <w:r>
        <w:rPr>
          <w:rFonts w:ascii="Times New Roman" w:eastAsia="Times New Roman" w:hAnsi="Times New Roman" w:cs="Times New Roman"/>
          <w:sz w:val="24"/>
          <w:szCs w:val="24"/>
        </w:rPr>
        <w:t>in the near future</w:t>
      </w:r>
      <w:proofErr w:type="gramEnd"/>
      <w:r>
        <w:rPr>
          <w:rFonts w:ascii="Times New Roman" w:eastAsia="Times New Roman" w:hAnsi="Times New Roman" w:cs="Times New Roman"/>
          <w:sz w:val="24"/>
          <w:szCs w:val="24"/>
        </w:rPr>
        <w:t xml:space="preserve">. Boost Guarana should capitalise on a gender-neutral marketing strategy to attract female athletes. The company should also understand the growing consumer inclination toward sugar-free beverages. Lastly, the industry should consider the increased preference for ethical consumption (Pettinger 2020). </w:t>
      </w:r>
    </w:p>
    <w:p w14:paraId="6A4BF537" w14:textId="77777777" w:rsidR="003175DE" w:rsidRDefault="003175DE">
      <w:pPr>
        <w:spacing w:line="360" w:lineRule="auto"/>
        <w:rPr>
          <w:rFonts w:ascii="Times New Roman" w:eastAsia="Times New Roman" w:hAnsi="Times New Roman" w:cs="Times New Roman"/>
          <w:sz w:val="24"/>
          <w:szCs w:val="24"/>
        </w:rPr>
      </w:pPr>
      <w:bookmarkStart w:id="31" w:name="_147n2zr" w:colFirst="0" w:colLast="0"/>
      <w:bookmarkEnd w:id="31"/>
    </w:p>
    <w:p w14:paraId="7F0B21BC"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32" w:name="_3o7alnk" w:colFirst="0" w:colLast="0"/>
      <w:bookmarkEnd w:id="32"/>
      <w:r>
        <w:rPr>
          <w:rFonts w:ascii="Times New Roman" w:eastAsia="Times New Roman" w:hAnsi="Times New Roman" w:cs="Times New Roman"/>
          <w:b/>
          <w:color w:val="2F5496"/>
          <w:sz w:val="26"/>
          <w:szCs w:val="26"/>
        </w:rPr>
        <w:t>Technological</w:t>
      </w:r>
    </w:p>
    <w:p w14:paraId="691A1292" w14:textId="77777777" w:rsidR="003175DE" w:rsidRDefault="00000000">
      <w:pPr>
        <w:spacing w:line="360" w:lineRule="auto"/>
        <w:rPr>
          <w:rFonts w:ascii="Times New Roman" w:eastAsia="Times New Roman" w:hAnsi="Times New Roman" w:cs="Times New Roman"/>
          <w:sz w:val="24"/>
          <w:szCs w:val="24"/>
        </w:rPr>
      </w:pPr>
      <w:bookmarkStart w:id="33" w:name="_23ckvvd" w:colFirst="0" w:colLast="0"/>
      <w:bookmarkEnd w:id="33"/>
      <w:r>
        <w:rPr>
          <w:rFonts w:ascii="Times New Roman" w:eastAsia="Times New Roman" w:hAnsi="Times New Roman" w:cs="Times New Roman"/>
          <w:sz w:val="24"/>
          <w:szCs w:val="24"/>
        </w:rPr>
        <w:t xml:space="preserve">Technological development is first disrupting many industries across the globe. Boost Guarana should not only do a technological analysis of the industry but also speed up in acquiring beneficial technologies. Boost Guarana should adopt AI and big data technologies to capitalise on technological developments. The company should also learn about technological development for its competitors, such as Monster and Red Bull. Red Bull's value chain is a critical area of study. </w:t>
      </w:r>
    </w:p>
    <w:p w14:paraId="28474CD2" w14:textId="77777777" w:rsidR="003175DE" w:rsidRDefault="003175DE">
      <w:pPr>
        <w:spacing w:line="360" w:lineRule="auto"/>
        <w:rPr>
          <w:rFonts w:ascii="Times New Roman" w:eastAsia="Times New Roman" w:hAnsi="Times New Roman" w:cs="Times New Roman"/>
          <w:sz w:val="24"/>
          <w:szCs w:val="24"/>
        </w:rPr>
      </w:pPr>
      <w:bookmarkStart w:id="34" w:name="_ihv636" w:colFirst="0" w:colLast="0"/>
      <w:bookmarkEnd w:id="34"/>
    </w:p>
    <w:p w14:paraId="525AEFB3"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35" w:name="_32hioqz" w:colFirst="0" w:colLast="0"/>
      <w:bookmarkEnd w:id="35"/>
      <w:r>
        <w:rPr>
          <w:rFonts w:ascii="Times New Roman" w:eastAsia="Times New Roman" w:hAnsi="Times New Roman" w:cs="Times New Roman"/>
          <w:b/>
          <w:color w:val="2F5496"/>
          <w:sz w:val="26"/>
          <w:szCs w:val="26"/>
        </w:rPr>
        <w:t>Legal</w:t>
      </w:r>
    </w:p>
    <w:p w14:paraId="05AA96F3" w14:textId="77777777" w:rsidR="003175DE" w:rsidRDefault="00000000">
      <w:pPr>
        <w:spacing w:line="360" w:lineRule="auto"/>
        <w:rPr>
          <w:rFonts w:ascii="Times New Roman" w:eastAsia="Times New Roman" w:hAnsi="Times New Roman" w:cs="Times New Roman"/>
          <w:sz w:val="24"/>
          <w:szCs w:val="24"/>
        </w:rPr>
      </w:pPr>
      <w:bookmarkStart w:id="36" w:name="_1hmsyys" w:colFirst="0" w:colLast="0"/>
      <w:bookmarkEnd w:id="36"/>
      <w:r>
        <w:rPr>
          <w:rFonts w:ascii="Times New Roman" w:eastAsia="Times New Roman" w:hAnsi="Times New Roman" w:cs="Times New Roman"/>
          <w:sz w:val="24"/>
          <w:szCs w:val="24"/>
        </w:rPr>
        <w:t xml:space="preserve">Firms entering new markets should carefully evaluate their legal factors. Boost Guarana should consider the anti-trust law in beverages, discrimination law, copyrights and intellectual law, UK’s labour laws, and health and safety laws. </w:t>
      </w:r>
    </w:p>
    <w:p w14:paraId="7C6D917C" w14:textId="77777777" w:rsidR="003175DE" w:rsidRDefault="003175DE">
      <w:pPr>
        <w:spacing w:line="360" w:lineRule="auto"/>
        <w:rPr>
          <w:rFonts w:ascii="Times New Roman" w:eastAsia="Times New Roman" w:hAnsi="Times New Roman" w:cs="Times New Roman"/>
          <w:sz w:val="24"/>
          <w:szCs w:val="24"/>
        </w:rPr>
      </w:pPr>
      <w:bookmarkStart w:id="37" w:name="_41mghml" w:colFirst="0" w:colLast="0"/>
      <w:bookmarkEnd w:id="37"/>
    </w:p>
    <w:p w14:paraId="12733E82"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38" w:name="_2grqrue" w:colFirst="0" w:colLast="0"/>
      <w:bookmarkEnd w:id="38"/>
      <w:r>
        <w:rPr>
          <w:rFonts w:ascii="Times New Roman" w:eastAsia="Times New Roman" w:hAnsi="Times New Roman" w:cs="Times New Roman"/>
          <w:b/>
          <w:color w:val="2F5496"/>
          <w:sz w:val="26"/>
          <w:szCs w:val="26"/>
        </w:rPr>
        <w:t>Environmental</w:t>
      </w:r>
    </w:p>
    <w:p w14:paraId="6A31A976" w14:textId="77777777" w:rsidR="003175DE" w:rsidRDefault="00000000">
      <w:pPr>
        <w:spacing w:line="360" w:lineRule="auto"/>
        <w:rPr>
          <w:rFonts w:ascii="Times New Roman" w:eastAsia="Times New Roman" w:hAnsi="Times New Roman" w:cs="Times New Roman"/>
          <w:sz w:val="24"/>
          <w:szCs w:val="24"/>
        </w:rPr>
      </w:pPr>
      <w:bookmarkStart w:id="39" w:name="_vx1227" w:colFirst="0" w:colLast="0"/>
      <w:bookmarkEnd w:id="39"/>
      <w:r>
        <w:rPr>
          <w:rFonts w:ascii="Times New Roman" w:eastAsia="Times New Roman" w:hAnsi="Times New Roman" w:cs="Times New Roman"/>
          <w:sz w:val="24"/>
          <w:szCs w:val="24"/>
        </w:rPr>
        <w:t xml:space="preserve">Before entering a new market or setting up a business in an existing market; it is critical to assess the environmental impacts. The recent increased consumer demands towards sustainability have pushed organisations to rethink climate change, recycling, waste management, attitude towards green energy, and endangered species. Boost Guarana should capitalise on the above by adopting environmental-friendly production. </w:t>
      </w:r>
    </w:p>
    <w:p w14:paraId="0E3F0277" w14:textId="77777777" w:rsidR="003175DE" w:rsidRDefault="003175DE">
      <w:pPr>
        <w:spacing w:line="360" w:lineRule="auto"/>
        <w:rPr>
          <w:rFonts w:ascii="Times New Roman" w:eastAsia="Times New Roman" w:hAnsi="Times New Roman" w:cs="Times New Roman"/>
          <w:sz w:val="24"/>
          <w:szCs w:val="24"/>
        </w:rPr>
      </w:pPr>
      <w:bookmarkStart w:id="40" w:name="_3fwokq0" w:colFirst="0" w:colLast="0"/>
      <w:bookmarkEnd w:id="40"/>
    </w:p>
    <w:p w14:paraId="224E469B" w14:textId="77777777" w:rsidR="003175DE" w:rsidRDefault="00000000">
      <w:pPr>
        <w:pStyle w:val="Heading2"/>
        <w:spacing w:line="360" w:lineRule="auto"/>
        <w:rPr>
          <w:rFonts w:ascii="Times New Roman" w:eastAsia="Times New Roman" w:hAnsi="Times New Roman" w:cs="Times New Roman"/>
          <w:b/>
          <w:sz w:val="28"/>
          <w:szCs w:val="28"/>
        </w:rPr>
      </w:pPr>
      <w:bookmarkStart w:id="41" w:name="_1v1yuxt" w:colFirst="0" w:colLast="0"/>
      <w:bookmarkEnd w:id="41"/>
      <w:r>
        <w:rPr>
          <w:rFonts w:ascii="Times New Roman" w:eastAsia="Times New Roman" w:hAnsi="Times New Roman" w:cs="Times New Roman"/>
          <w:b/>
          <w:sz w:val="28"/>
          <w:szCs w:val="28"/>
        </w:rPr>
        <w:t>Porter’s 5 Forces Model</w:t>
      </w:r>
    </w:p>
    <w:p w14:paraId="2FF764B4"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Porter’s Five Forces model was developed back in 1979 by the theorist Mr. Michael Porter (</w:t>
      </w:r>
      <w:proofErr w:type="spellStart"/>
      <w:r>
        <w:rPr>
          <w:rFonts w:ascii="Times New Roman" w:eastAsia="Times New Roman" w:hAnsi="Times New Roman" w:cs="Times New Roman"/>
          <w:sz w:val="24"/>
          <w:szCs w:val="24"/>
        </w:rPr>
        <w:t>Bruji</w:t>
      </w:r>
      <w:proofErr w:type="spellEnd"/>
      <w:r>
        <w:rPr>
          <w:rFonts w:ascii="Times New Roman" w:eastAsia="Times New Roman" w:hAnsi="Times New Roman" w:cs="Times New Roman"/>
          <w:sz w:val="24"/>
          <w:szCs w:val="24"/>
        </w:rPr>
        <w:t xml:space="preserve"> and Gerard, 2018). The model is based on the assumptions that there are five major forces which determine a market's competitive intensity, </w:t>
      </w:r>
      <w:proofErr w:type="gramStart"/>
      <w:r>
        <w:rPr>
          <w:rFonts w:ascii="Times New Roman" w:eastAsia="Times New Roman" w:hAnsi="Times New Roman" w:cs="Times New Roman"/>
          <w:sz w:val="24"/>
          <w:szCs w:val="24"/>
        </w:rPr>
        <w:t>attractiveness</w:t>
      </w:r>
      <w:proofErr w:type="gramEnd"/>
      <w:r>
        <w:rPr>
          <w:rFonts w:ascii="Times New Roman" w:eastAsia="Times New Roman" w:hAnsi="Times New Roman" w:cs="Times New Roman"/>
          <w:sz w:val="24"/>
          <w:szCs w:val="24"/>
        </w:rPr>
        <w:t xml:space="preserve"> and capabilities. More specifically, the Porter's Five Forces model helps in the identification of where power lies in a particular business scenario. This is vital for unearthing the strength of a given organisation's current competitive positioning as well as the strength of a certain position that a company may be eyeing. One key </w:t>
      </w:r>
      <w:r>
        <w:rPr>
          <w:rFonts w:ascii="Times New Roman" w:eastAsia="Times New Roman" w:hAnsi="Times New Roman" w:cs="Times New Roman"/>
          <w:sz w:val="24"/>
          <w:szCs w:val="24"/>
        </w:rPr>
        <w:lastRenderedPageBreak/>
        <w:t>benefit of the model is that it helps estimate industry competition. Additionally, the theory of where strengths and threats lie. The theory also helps identify the firm that holds power. One critical disadvantage is the lack of quantitative dimensions. The Competitive analysis for Boost Guarana is as follows:</w:t>
      </w:r>
    </w:p>
    <w:p w14:paraId="40DF104D" w14:textId="77777777" w:rsidR="003175DE" w:rsidRDefault="003175DE">
      <w:pPr>
        <w:spacing w:line="360" w:lineRule="auto"/>
        <w:rPr>
          <w:rFonts w:ascii="Times New Roman" w:eastAsia="Times New Roman" w:hAnsi="Times New Roman" w:cs="Times New Roman"/>
          <w:sz w:val="24"/>
          <w:szCs w:val="24"/>
        </w:rPr>
      </w:pPr>
    </w:p>
    <w:p w14:paraId="48813BAE"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42" w:name="_4f1mdlm" w:colFirst="0" w:colLast="0"/>
      <w:bookmarkEnd w:id="42"/>
      <w:r>
        <w:rPr>
          <w:rFonts w:ascii="Times New Roman" w:eastAsia="Times New Roman" w:hAnsi="Times New Roman" w:cs="Times New Roman"/>
          <w:b/>
          <w:color w:val="2F5496"/>
          <w:sz w:val="26"/>
          <w:szCs w:val="26"/>
        </w:rPr>
        <w:t>Entry of the competitor</w:t>
      </w:r>
    </w:p>
    <w:p w14:paraId="20DB56A8"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entry of competitors will be easier because there is the presence of strong companies such as Hershey, Monster, </w:t>
      </w:r>
      <w:proofErr w:type="gramStart"/>
      <w:r>
        <w:rPr>
          <w:rFonts w:ascii="Times New Roman" w:eastAsia="Times New Roman" w:hAnsi="Times New Roman" w:cs="Times New Roman"/>
          <w:sz w:val="24"/>
          <w:szCs w:val="24"/>
        </w:rPr>
        <w:t>Mars</w:t>
      </w:r>
      <w:proofErr w:type="gramEnd"/>
      <w:r>
        <w:rPr>
          <w:rFonts w:ascii="Times New Roman" w:eastAsia="Times New Roman" w:hAnsi="Times New Roman" w:cs="Times New Roman"/>
          <w:sz w:val="24"/>
          <w:szCs w:val="24"/>
        </w:rPr>
        <w:t xml:space="preserve"> and Wrigley. All the above companies have the financial muscle to disrupt the energy bar market. </w:t>
      </w:r>
    </w:p>
    <w:p w14:paraId="199839B5" w14:textId="77777777" w:rsidR="003175DE" w:rsidRDefault="003175DE">
      <w:pPr>
        <w:spacing w:line="360" w:lineRule="auto"/>
        <w:rPr>
          <w:rFonts w:ascii="Times New Roman" w:eastAsia="Times New Roman" w:hAnsi="Times New Roman" w:cs="Times New Roman"/>
          <w:sz w:val="24"/>
          <w:szCs w:val="24"/>
        </w:rPr>
      </w:pPr>
    </w:p>
    <w:p w14:paraId="7FEAA3F3"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43" w:name="_2u6wntf" w:colFirst="0" w:colLast="0"/>
      <w:bookmarkEnd w:id="43"/>
      <w:r>
        <w:rPr>
          <w:rFonts w:ascii="Times New Roman" w:eastAsia="Times New Roman" w:hAnsi="Times New Roman" w:cs="Times New Roman"/>
          <w:b/>
          <w:color w:val="2F5496"/>
          <w:sz w:val="26"/>
          <w:szCs w:val="26"/>
        </w:rPr>
        <w:t>Threat of substitutes</w:t>
      </w:r>
    </w:p>
    <w:p w14:paraId="67A0A141"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greatest substitute to Boost Guarana is the presence of well-established energy drinks that are increasingly adopting zero-sugar energy products. The threat of supermarket chain stores which have a high tendency to copycat popular chocolate products is also imminent. </w:t>
      </w:r>
    </w:p>
    <w:p w14:paraId="18571DBF" w14:textId="77777777" w:rsidR="003175DE" w:rsidRDefault="003175DE">
      <w:pPr>
        <w:spacing w:line="360" w:lineRule="auto"/>
        <w:rPr>
          <w:rFonts w:ascii="Times New Roman" w:eastAsia="Times New Roman" w:hAnsi="Times New Roman" w:cs="Times New Roman"/>
          <w:sz w:val="24"/>
          <w:szCs w:val="24"/>
        </w:rPr>
      </w:pPr>
    </w:p>
    <w:p w14:paraId="611CE7C6"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44" w:name="_19c6y18" w:colFirst="0" w:colLast="0"/>
      <w:bookmarkEnd w:id="44"/>
      <w:r>
        <w:rPr>
          <w:rFonts w:ascii="Times New Roman" w:eastAsia="Times New Roman" w:hAnsi="Times New Roman" w:cs="Times New Roman"/>
          <w:b/>
          <w:color w:val="2F5496"/>
          <w:sz w:val="26"/>
          <w:szCs w:val="26"/>
        </w:rPr>
        <w:t>Buyers’ bargaining power</w:t>
      </w:r>
    </w:p>
    <w:p w14:paraId="2CF48A65"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bargaining power of buyers is high as there are many buyers of Cadbury </w:t>
      </w:r>
      <w:proofErr w:type="gramStart"/>
      <w:r>
        <w:rPr>
          <w:rFonts w:ascii="Times New Roman" w:eastAsia="Times New Roman" w:hAnsi="Times New Roman" w:cs="Times New Roman"/>
          <w:sz w:val="24"/>
          <w:szCs w:val="24"/>
        </w:rPr>
        <w:t>products, and</w:t>
      </w:r>
      <w:proofErr w:type="gramEnd"/>
      <w:r>
        <w:rPr>
          <w:rFonts w:ascii="Times New Roman" w:eastAsia="Times New Roman" w:hAnsi="Times New Roman" w:cs="Times New Roman"/>
          <w:sz w:val="24"/>
          <w:szCs w:val="24"/>
        </w:rPr>
        <w:t xml:space="preserve"> increasing the number of competitors offering the same product at a lower price is likely to affect the loyalty of many consumers. Consumers are increasingly becoming cautious of prices owing to the current harsh economic times. Thus, Boost Guarana should be very cautious in deciding prices and maintaining consumer loyalty. </w:t>
      </w:r>
    </w:p>
    <w:p w14:paraId="3C6E1B02" w14:textId="77777777" w:rsidR="003175DE" w:rsidRDefault="003175DE">
      <w:pPr>
        <w:spacing w:line="360" w:lineRule="auto"/>
        <w:rPr>
          <w:rFonts w:ascii="Times New Roman" w:eastAsia="Times New Roman" w:hAnsi="Times New Roman" w:cs="Times New Roman"/>
          <w:sz w:val="24"/>
          <w:szCs w:val="24"/>
        </w:rPr>
      </w:pPr>
    </w:p>
    <w:p w14:paraId="670EFF28"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45" w:name="_3tbugp1" w:colFirst="0" w:colLast="0"/>
      <w:bookmarkEnd w:id="45"/>
      <w:r>
        <w:rPr>
          <w:rFonts w:ascii="Times New Roman" w:eastAsia="Times New Roman" w:hAnsi="Times New Roman" w:cs="Times New Roman"/>
          <w:b/>
          <w:color w:val="2F5496"/>
          <w:sz w:val="26"/>
          <w:szCs w:val="26"/>
        </w:rPr>
        <w:t xml:space="preserve">Suppliers’ bargaining power </w:t>
      </w:r>
    </w:p>
    <w:p w14:paraId="455F7CCB"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bargaining power of the Boost Guarana is high as the Guarana berry only grows in Venezuela and northern Brazil. Cadbury can only get the products at a higher price owing to the limited supply. However, Cadburys can capitalise on its Agribusiness supply chain to conquer the limited Guarana berry supply. </w:t>
      </w:r>
    </w:p>
    <w:p w14:paraId="7B435AB9" w14:textId="77777777" w:rsidR="003175DE" w:rsidRDefault="003175DE">
      <w:pPr>
        <w:spacing w:line="360" w:lineRule="auto"/>
        <w:rPr>
          <w:rFonts w:ascii="Times New Roman" w:eastAsia="Times New Roman" w:hAnsi="Times New Roman" w:cs="Times New Roman"/>
          <w:sz w:val="24"/>
          <w:szCs w:val="24"/>
        </w:rPr>
      </w:pPr>
    </w:p>
    <w:p w14:paraId="61FC6962"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46" w:name="_28h4qwu" w:colFirst="0" w:colLast="0"/>
      <w:bookmarkEnd w:id="46"/>
      <w:r>
        <w:rPr>
          <w:rFonts w:ascii="Times New Roman" w:eastAsia="Times New Roman" w:hAnsi="Times New Roman" w:cs="Times New Roman"/>
          <w:b/>
          <w:color w:val="2F5496"/>
          <w:sz w:val="26"/>
          <w:szCs w:val="26"/>
        </w:rPr>
        <w:t>Rivalry among the existing players</w:t>
      </w:r>
    </w:p>
    <w:p w14:paraId="2B63D04F"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industries compete with Cadburys in the food energy market and chocolate area. Several companies, such as Monster, are capitalising on technology and changing consumer preferences to develop products such as zero-sugar energy drinks. Additionally, confectionary companies such as Nestle are also capitalising on technology to improve their supply chains and reduce production costs. </w:t>
      </w:r>
    </w:p>
    <w:p w14:paraId="2F3B3C45" w14:textId="77777777" w:rsidR="003175DE" w:rsidRDefault="003175DE">
      <w:pPr>
        <w:spacing w:line="360" w:lineRule="auto"/>
        <w:rPr>
          <w:rFonts w:ascii="Times New Roman" w:eastAsia="Times New Roman" w:hAnsi="Times New Roman" w:cs="Times New Roman"/>
          <w:sz w:val="24"/>
          <w:szCs w:val="24"/>
        </w:rPr>
      </w:pPr>
    </w:p>
    <w:p w14:paraId="0E83E72E" w14:textId="77777777" w:rsidR="003175DE" w:rsidRDefault="00000000">
      <w:pPr>
        <w:pStyle w:val="Heading1"/>
        <w:spacing w:line="360" w:lineRule="auto"/>
        <w:jc w:val="center"/>
        <w:rPr>
          <w:rFonts w:ascii="Times New Roman" w:eastAsia="Times New Roman" w:hAnsi="Times New Roman" w:cs="Times New Roman"/>
          <w:b/>
        </w:rPr>
      </w:pPr>
      <w:bookmarkStart w:id="47" w:name="_nmf14n" w:colFirst="0" w:colLast="0"/>
      <w:bookmarkEnd w:id="47"/>
      <w:r>
        <w:rPr>
          <w:rFonts w:ascii="Times New Roman" w:eastAsia="Times New Roman" w:hAnsi="Times New Roman" w:cs="Times New Roman"/>
          <w:b/>
        </w:rPr>
        <w:t>Internal Environment</w:t>
      </w:r>
    </w:p>
    <w:p w14:paraId="75488774" w14:textId="77777777" w:rsidR="003175DE" w:rsidRDefault="00000000">
      <w:pPr>
        <w:pStyle w:val="Heading2"/>
        <w:spacing w:line="360" w:lineRule="auto"/>
        <w:rPr>
          <w:rFonts w:ascii="Times New Roman" w:eastAsia="Times New Roman" w:hAnsi="Times New Roman" w:cs="Times New Roman"/>
          <w:b/>
          <w:sz w:val="28"/>
          <w:szCs w:val="28"/>
        </w:rPr>
      </w:pPr>
      <w:bookmarkStart w:id="48" w:name="_37m2jsg" w:colFirst="0" w:colLast="0"/>
      <w:bookmarkEnd w:id="48"/>
      <w:r>
        <w:rPr>
          <w:rFonts w:ascii="Times New Roman" w:eastAsia="Times New Roman" w:hAnsi="Times New Roman" w:cs="Times New Roman"/>
          <w:b/>
          <w:sz w:val="28"/>
          <w:szCs w:val="28"/>
        </w:rPr>
        <w:t>SWOT Analysis for Boost Guarana and Cadburys</w:t>
      </w:r>
    </w:p>
    <w:p w14:paraId="7A8172BC" w14:textId="77777777" w:rsidR="003175D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SWOT Analysis is a method of identifying and analysing a given organisation's internal and external strengths. SWOT is a mnemonic that, when expanded, stands for: 1) strengths; 2) weaknesses; 3) opportunities; and 4) threats. One key benefit of the strategy is identifying and understanding key issues affecting the organisation (</w:t>
      </w: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et al. 2021). Another advantage is that it is an important brainstorming tool for strategic planning. On the other hand, one key issue of the strategy is that it does not prioritise issues. </w:t>
      </w:r>
    </w:p>
    <w:p w14:paraId="531B9167" w14:textId="77777777" w:rsidR="003175DE" w:rsidRDefault="003175DE">
      <w:pPr>
        <w:spacing w:line="360" w:lineRule="auto"/>
        <w:rPr>
          <w:rFonts w:ascii="Times New Roman" w:eastAsia="Times New Roman" w:hAnsi="Times New Roman" w:cs="Times New Roman"/>
          <w:sz w:val="24"/>
          <w:szCs w:val="24"/>
        </w:rPr>
      </w:pPr>
    </w:p>
    <w:p w14:paraId="63A6070A"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49" w:name="_1mrcu09" w:colFirst="0" w:colLast="0"/>
      <w:bookmarkEnd w:id="49"/>
      <w:r>
        <w:rPr>
          <w:rFonts w:ascii="Times New Roman" w:eastAsia="Times New Roman" w:hAnsi="Times New Roman" w:cs="Times New Roman"/>
          <w:b/>
          <w:color w:val="2F5496"/>
          <w:sz w:val="26"/>
          <w:szCs w:val="26"/>
        </w:rPr>
        <w:t>Strength</w:t>
      </w:r>
    </w:p>
    <w:p w14:paraId="7368F6AD" w14:textId="77777777" w:rsidR="003175DE" w:rsidRDefault="00000000">
      <w:pPr>
        <w:spacing w:line="360" w:lineRule="auto"/>
        <w:rPr>
          <w:rFonts w:ascii="Times New Roman" w:eastAsia="Times New Roman" w:hAnsi="Times New Roman" w:cs="Times New Roman"/>
          <w:sz w:val="24"/>
          <w:szCs w:val="24"/>
        </w:rPr>
      </w:pPr>
      <w:bookmarkStart w:id="50" w:name="_46r0co2" w:colFirst="0" w:colLast="0"/>
      <w:bookmarkEnd w:id="50"/>
      <w:r>
        <w:rPr>
          <w:rFonts w:ascii="Times New Roman" w:eastAsia="Times New Roman" w:hAnsi="Times New Roman" w:cs="Times New Roman"/>
          <w:sz w:val="24"/>
          <w:szCs w:val="24"/>
        </w:rPr>
        <w:t xml:space="preserve">Cadburys and Boost Guarana have a stronger manufacturing process that adapts to changes to meet customer needs. Boost Guarana also enjoys a critical brand image already created by Cadburys. Additionally, Boost Guarana and Cadburys are owned by a strong and wealthy Mondelez International. </w:t>
      </w:r>
    </w:p>
    <w:p w14:paraId="1CCC4835" w14:textId="77777777" w:rsidR="003175DE" w:rsidRDefault="003175DE">
      <w:pPr>
        <w:spacing w:line="360" w:lineRule="auto"/>
        <w:rPr>
          <w:rFonts w:ascii="Times New Roman" w:eastAsia="Times New Roman" w:hAnsi="Times New Roman" w:cs="Times New Roman"/>
          <w:sz w:val="24"/>
          <w:szCs w:val="24"/>
        </w:rPr>
      </w:pPr>
      <w:bookmarkStart w:id="51" w:name="_2lwamvv" w:colFirst="0" w:colLast="0"/>
      <w:bookmarkEnd w:id="51"/>
    </w:p>
    <w:p w14:paraId="63FAC862"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52" w:name="_111kx3o" w:colFirst="0" w:colLast="0"/>
      <w:bookmarkEnd w:id="52"/>
      <w:r>
        <w:rPr>
          <w:rFonts w:ascii="Times New Roman" w:eastAsia="Times New Roman" w:hAnsi="Times New Roman" w:cs="Times New Roman"/>
          <w:b/>
          <w:color w:val="2F5496"/>
          <w:sz w:val="26"/>
          <w:szCs w:val="26"/>
        </w:rPr>
        <w:t>Weaknesses</w:t>
      </w:r>
    </w:p>
    <w:p w14:paraId="26E63B1C" w14:textId="77777777" w:rsidR="003175DE" w:rsidRDefault="00000000">
      <w:pPr>
        <w:spacing w:line="360" w:lineRule="auto"/>
        <w:rPr>
          <w:rFonts w:ascii="Times New Roman" w:eastAsia="Times New Roman" w:hAnsi="Times New Roman" w:cs="Times New Roman"/>
          <w:sz w:val="24"/>
          <w:szCs w:val="24"/>
        </w:rPr>
      </w:pPr>
      <w:bookmarkStart w:id="53" w:name="_3l18frh" w:colFirst="0" w:colLast="0"/>
      <w:bookmarkEnd w:id="53"/>
      <w:r>
        <w:rPr>
          <w:rFonts w:ascii="Times New Roman" w:eastAsia="Times New Roman" w:hAnsi="Times New Roman" w:cs="Times New Roman"/>
          <w:sz w:val="24"/>
          <w:szCs w:val="24"/>
        </w:rPr>
        <w:t xml:space="preserve">One critical weakness of Boost Guarana is its limited product range. The company needs to prepare to tackle the growing health consciousness. Cadburys has also experienced increased </w:t>
      </w:r>
      <w:r>
        <w:rPr>
          <w:rFonts w:ascii="Times New Roman" w:eastAsia="Times New Roman" w:hAnsi="Times New Roman" w:cs="Times New Roman"/>
          <w:sz w:val="24"/>
          <w:szCs w:val="24"/>
        </w:rPr>
        <w:lastRenderedPageBreak/>
        <w:t xml:space="preserve">brand recalls in the last few years. Boost Guarana has no patent; thus, other companies can use similar formulas to make a beverage. </w:t>
      </w:r>
    </w:p>
    <w:p w14:paraId="69765D0A" w14:textId="77777777" w:rsidR="003175DE" w:rsidRDefault="003175DE">
      <w:pPr>
        <w:spacing w:line="360" w:lineRule="auto"/>
        <w:rPr>
          <w:rFonts w:ascii="Times New Roman" w:eastAsia="Times New Roman" w:hAnsi="Times New Roman" w:cs="Times New Roman"/>
          <w:sz w:val="24"/>
          <w:szCs w:val="24"/>
        </w:rPr>
      </w:pPr>
      <w:bookmarkStart w:id="54" w:name="_206ipza" w:colFirst="0" w:colLast="0"/>
      <w:bookmarkEnd w:id="54"/>
    </w:p>
    <w:p w14:paraId="7CDC277D"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55" w:name="_4k668n3" w:colFirst="0" w:colLast="0"/>
      <w:bookmarkEnd w:id="55"/>
      <w:r>
        <w:rPr>
          <w:rFonts w:ascii="Times New Roman" w:eastAsia="Times New Roman" w:hAnsi="Times New Roman" w:cs="Times New Roman"/>
          <w:b/>
          <w:color w:val="2F5496"/>
          <w:sz w:val="26"/>
          <w:szCs w:val="26"/>
        </w:rPr>
        <w:t>Opportunities</w:t>
      </w:r>
    </w:p>
    <w:p w14:paraId="24E3E4F7" w14:textId="77777777" w:rsidR="003175DE" w:rsidRDefault="00000000">
      <w:pPr>
        <w:spacing w:line="360" w:lineRule="auto"/>
        <w:rPr>
          <w:rFonts w:ascii="Times New Roman" w:eastAsia="Times New Roman" w:hAnsi="Times New Roman" w:cs="Times New Roman"/>
          <w:sz w:val="24"/>
          <w:szCs w:val="24"/>
        </w:rPr>
      </w:pPr>
      <w:bookmarkStart w:id="56" w:name="_2zbgiuw" w:colFirst="0" w:colLast="0"/>
      <w:bookmarkEnd w:id="56"/>
      <w:r>
        <w:rPr>
          <w:rFonts w:ascii="Times New Roman" w:eastAsia="Times New Roman" w:hAnsi="Times New Roman" w:cs="Times New Roman"/>
          <w:sz w:val="24"/>
          <w:szCs w:val="24"/>
        </w:rPr>
        <w:t>Boost Guarana one major opportunity is the rapidly growing energy drink market. The product also has an opportunity to disrupt the energy drink market, which is normally composed of drinks. Consumer shift towards healthy lifestyles is another critical opportunity that Boost Guarana can capitalise on. Boost Guarana and Cadburys can also capitalise on more opportunities by expanding its product range.</w:t>
      </w:r>
    </w:p>
    <w:p w14:paraId="55D3A9A0" w14:textId="77777777" w:rsidR="003175DE" w:rsidRDefault="003175DE">
      <w:pPr>
        <w:spacing w:line="360" w:lineRule="auto"/>
        <w:rPr>
          <w:rFonts w:ascii="Times New Roman" w:eastAsia="Times New Roman" w:hAnsi="Times New Roman" w:cs="Times New Roman"/>
          <w:sz w:val="24"/>
          <w:szCs w:val="24"/>
        </w:rPr>
      </w:pPr>
      <w:bookmarkStart w:id="57" w:name="_1egqt2p" w:colFirst="0" w:colLast="0"/>
      <w:bookmarkEnd w:id="57"/>
    </w:p>
    <w:p w14:paraId="341F4D6C" w14:textId="77777777" w:rsidR="003175DE" w:rsidRDefault="00000000">
      <w:pPr>
        <w:pStyle w:val="Heading3"/>
        <w:spacing w:line="360" w:lineRule="auto"/>
        <w:ind w:firstLine="720"/>
        <w:rPr>
          <w:rFonts w:ascii="Times New Roman" w:eastAsia="Times New Roman" w:hAnsi="Times New Roman" w:cs="Times New Roman"/>
          <w:b/>
          <w:color w:val="2F5496"/>
          <w:sz w:val="26"/>
          <w:szCs w:val="26"/>
        </w:rPr>
      </w:pPr>
      <w:bookmarkStart w:id="58" w:name="_3ygebqi" w:colFirst="0" w:colLast="0"/>
      <w:bookmarkEnd w:id="58"/>
      <w:r>
        <w:rPr>
          <w:rFonts w:ascii="Times New Roman" w:eastAsia="Times New Roman" w:hAnsi="Times New Roman" w:cs="Times New Roman"/>
          <w:b/>
          <w:color w:val="2F5496"/>
          <w:sz w:val="26"/>
          <w:szCs w:val="26"/>
        </w:rPr>
        <w:t>Threats</w:t>
      </w:r>
    </w:p>
    <w:p w14:paraId="2FE9EA19" w14:textId="77777777" w:rsidR="003175DE" w:rsidRDefault="00000000">
      <w:pPr>
        <w:spacing w:line="360" w:lineRule="auto"/>
        <w:rPr>
          <w:rFonts w:ascii="Times New Roman" w:eastAsia="Times New Roman" w:hAnsi="Times New Roman" w:cs="Times New Roman"/>
          <w:sz w:val="24"/>
          <w:szCs w:val="24"/>
        </w:rPr>
      </w:pPr>
      <w:bookmarkStart w:id="59" w:name="_2dlolyb" w:colFirst="0" w:colLast="0"/>
      <w:bookmarkEnd w:id="59"/>
      <w:r>
        <w:rPr>
          <w:rFonts w:ascii="Times New Roman" w:eastAsia="Times New Roman" w:hAnsi="Times New Roman" w:cs="Times New Roman"/>
          <w:sz w:val="24"/>
          <w:szCs w:val="24"/>
        </w:rPr>
        <w:t>Many health researchers are proposing the implementation of a sugar tax to curb sugar consumption. There is also an increased shift towards health-conscious consumption. Another threat is increased competition from other well-positioned brands such as Red Bull and Monster. The recent high cost of living due to high energy costs also poses a significant threat. Lastly, the uncertainties created by Brexit and COVID-19 pandemic could also impact the company's success.</w:t>
      </w:r>
    </w:p>
    <w:p w14:paraId="3BC68DF6" w14:textId="77777777" w:rsidR="003175DE" w:rsidRDefault="003175DE">
      <w:pPr>
        <w:spacing w:line="360" w:lineRule="auto"/>
        <w:rPr>
          <w:rFonts w:ascii="Times New Roman" w:eastAsia="Times New Roman" w:hAnsi="Times New Roman" w:cs="Times New Roman"/>
          <w:sz w:val="24"/>
          <w:szCs w:val="24"/>
        </w:rPr>
      </w:pPr>
      <w:bookmarkStart w:id="60" w:name="_sqyw64" w:colFirst="0" w:colLast="0"/>
      <w:bookmarkEnd w:id="60"/>
    </w:p>
    <w:p w14:paraId="4B40D7C7" w14:textId="77777777" w:rsidR="003175DE" w:rsidRDefault="00000000">
      <w:pPr>
        <w:pStyle w:val="Heading1"/>
        <w:spacing w:line="360" w:lineRule="auto"/>
        <w:jc w:val="center"/>
        <w:rPr>
          <w:rFonts w:ascii="Times New Roman" w:eastAsia="Times New Roman" w:hAnsi="Times New Roman" w:cs="Times New Roman"/>
          <w:b/>
        </w:rPr>
      </w:pPr>
      <w:bookmarkStart w:id="61" w:name="_3cqmetx" w:colFirst="0" w:colLast="0"/>
      <w:bookmarkEnd w:id="61"/>
      <w:r>
        <w:rPr>
          <w:rFonts w:ascii="Times New Roman" w:eastAsia="Times New Roman" w:hAnsi="Times New Roman" w:cs="Times New Roman"/>
          <w:b/>
        </w:rPr>
        <w:t>Cadburys Market Segmentation, targeting and positioning</w:t>
      </w:r>
    </w:p>
    <w:p w14:paraId="11A2DD17"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low pricing analysis for the Cadbury company, the segment that the company targets are floaters. Floaters are family-oriented customer segments with the traditional mindset of men being the head of the house and key breadwinners (Nagar et al. 2021). Ads easily move this population. Additionally, women in the above segment spend most of their time at home. Overall, this population loves their homes, which are the centre of their world where they come back after their busy days. Moreover, this population does not spend their money on expensive brands and does not work for careers or workplace promotions. Capitalising on this knowledge, the Cadbury campaign team has developed successful targeted campaigns. </w:t>
      </w:r>
    </w:p>
    <w:p w14:paraId="30086F22"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Specifically, the company capitalises on "joy" positioning. The whole message behind the campaign is the general idea of spreading love and kindness. The above factors are key ingredients for a happy home. Additionally, the Cadbury founder was a philanthropist, and this has remained the company's key pillar. Cadbury has also been positioned as a must-have for growing children; through this, the company has been able to target kids between 2 to 8 years (</w:t>
      </w:r>
      <w:proofErr w:type="spellStart"/>
      <w:r>
        <w:rPr>
          <w:rFonts w:ascii="Times New Roman" w:eastAsia="Times New Roman" w:hAnsi="Times New Roman" w:cs="Times New Roman"/>
          <w:sz w:val="24"/>
          <w:szCs w:val="24"/>
        </w:rPr>
        <w:t>Aujla</w:t>
      </w:r>
      <w:proofErr w:type="spellEnd"/>
      <w:r>
        <w:rPr>
          <w:rFonts w:ascii="Times New Roman" w:eastAsia="Times New Roman" w:hAnsi="Times New Roman" w:cs="Times New Roman"/>
          <w:sz w:val="24"/>
          <w:szCs w:val="24"/>
        </w:rPr>
        <w:t xml:space="preserve"> 2021). Apart from that, the company also targets richer populations through products such as Cadbury Temptations and </w:t>
      </w:r>
      <w:proofErr w:type="spellStart"/>
      <w:r>
        <w:rPr>
          <w:rFonts w:ascii="Times New Roman" w:eastAsia="Times New Roman" w:hAnsi="Times New Roman" w:cs="Times New Roman"/>
          <w:sz w:val="24"/>
          <w:szCs w:val="24"/>
        </w:rPr>
        <w:t>Bournita</w:t>
      </w:r>
      <w:proofErr w:type="spellEnd"/>
      <w:r>
        <w:rPr>
          <w:rFonts w:ascii="Times New Roman" w:eastAsia="Times New Roman" w:hAnsi="Times New Roman" w:cs="Times New Roman"/>
          <w:sz w:val="24"/>
          <w:szCs w:val="24"/>
        </w:rPr>
        <w:t xml:space="preserve">, which are popular among millennials. The company also utilises social media platforms such as Twitter, website, Instagram, and Facebook to form more targeted marketing. </w:t>
      </w:r>
    </w:p>
    <w:p w14:paraId="4E9C3288" w14:textId="77777777" w:rsidR="003175DE" w:rsidRDefault="003175DE">
      <w:pPr>
        <w:spacing w:line="360" w:lineRule="auto"/>
        <w:ind w:firstLine="720"/>
        <w:rPr>
          <w:rFonts w:ascii="Times New Roman" w:eastAsia="Times New Roman" w:hAnsi="Times New Roman" w:cs="Times New Roman"/>
          <w:sz w:val="24"/>
          <w:szCs w:val="24"/>
        </w:rPr>
      </w:pPr>
    </w:p>
    <w:p w14:paraId="594B7AAC" w14:textId="77777777" w:rsidR="003175DE" w:rsidRDefault="00000000">
      <w:pPr>
        <w:pStyle w:val="Heading1"/>
        <w:spacing w:line="360" w:lineRule="auto"/>
        <w:jc w:val="center"/>
        <w:rPr>
          <w:rFonts w:ascii="Times New Roman" w:eastAsia="Times New Roman" w:hAnsi="Times New Roman" w:cs="Times New Roman"/>
          <w:b/>
        </w:rPr>
      </w:pPr>
      <w:bookmarkStart w:id="62" w:name="_1rvwp1q" w:colFirst="0" w:colLast="0"/>
      <w:bookmarkEnd w:id="62"/>
      <w:r>
        <w:rPr>
          <w:rFonts w:ascii="Times New Roman" w:eastAsia="Times New Roman" w:hAnsi="Times New Roman" w:cs="Times New Roman"/>
          <w:b/>
        </w:rPr>
        <w:t xml:space="preserve">Conclusion and Recommendations </w:t>
      </w:r>
    </w:p>
    <w:p w14:paraId="3FAE0E92"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 company has a long history of adopting innovative strategies to penetrate different global markets and maintain a huge customer base. Since 1831 when John Cadbury started the company, the company has overcome many challenges, such as World War I and II. However, the recent challenges caused by the COVID-19 pandemic, Brexit, and decreased market share of the chocolate and confectionary industry have made the company rethink its marketing strategy. One of the strategies is to revitalise the chocolate market by introducing Boost Guarana, an energy bar. The idea is likely to increase the company's profitability owing to several factors, such as the drastic growth of the energy-food sector in the last few years. </w:t>
      </w:r>
    </w:p>
    <w:p w14:paraId="1371DB12" w14:textId="77777777" w:rsidR="003175DE"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the company is well-positioned to make a breakthrough, mainly owing to its long innovation and targeted marketing history. However, the company should be ready to face competition from renowned energy drinks companies such as Red Bull and Monster, who enjoy a huge market share. Boost Guarana also faces a significant threat of entrance of other chocolate companies and renowned supermarket stores known for copying new ideas. The company can borrow a leaf from well-established food energy companies such as Red Bull. Red Bull sporting the event has significantly improved the company's brand positioning. In conclusion, Cadbury is well-positioned to protect Boost Guarana from external and internal threats, and with strategic measures, the product will likely receive a huge market share. </w:t>
      </w:r>
    </w:p>
    <w:p w14:paraId="11EE07D3" w14:textId="77777777" w:rsidR="003175DE" w:rsidRDefault="00000000">
      <w:pPr>
        <w:spacing w:line="360" w:lineRule="auto"/>
        <w:rPr>
          <w:rFonts w:ascii="Times New Roman" w:eastAsia="Times New Roman" w:hAnsi="Times New Roman" w:cs="Times New Roman"/>
          <w:sz w:val="24"/>
          <w:szCs w:val="24"/>
        </w:rPr>
      </w:pPr>
      <w:r>
        <w:br w:type="page"/>
      </w:r>
    </w:p>
    <w:p w14:paraId="73AEEBA9" w14:textId="77777777" w:rsidR="003175DE" w:rsidRDefault="003175DE">
      <w:pPr>
        <w:spacing w:line="360" w:lineRule="auto"/>
        <w:rPr>
          <w:rFonts w:ascii="Times New Roman" w:eastAsia="Times New Roman" w:hAnsi="Times New Roman" w:cs="Times New Roman"/>
          <w:sz w:val="24"/>
          <w:szCs w:val="24"/>
        </w:rPr>
      </w:pPr>
    </w:p>
    <w:p w14:paraId="1893B393" w14:textId="77777777" w:rsidR="003175DE" w:rsidRDefault="00000000">
      <w:pPr>
        <w:pStyle w:val="Heading1"/>
        <w:spacing w:line="360" w:lineRule="auto"/>
        <w:jc w:val="center"/>
        <w:rPr>
          <w:rFonts w:ascii="Times New Roman" w:eastAsia="Times New Roman" w:hAnsi="Times New Roman" w:cs="Times New Roman"/>
          <w:b/>
        </w:rPr>
      </w:pPr>
      <w:bookmarkStart w:id="63" w:name="_4bvk7pj" w:colFirst="0" w:colLast="0"/>
      <w:bookmarkEnd w:id="63"/>
      <w:r>
        <w:rPr>
          <w:rFonts w:ascii="Times New Roman" w:eastAsia="Times New Roman" w:hAnsi="Times New Roman" w:cs="Times New Roman"/>
          <w:b/>
        </w:rPr>
        <w:t>References</w:t>
      </w:r>
    </w:p>
    <w:p w14:paraId="755CC792" w14:textId="77777777" w:rsidR="003175DE" w:rsidRDefault="00000000">
      <w:pPr>
        <w:spacing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Aujla</w:t>
      </w:r>
      <w:proofErr w:type="spellEnd"/>
      <w:r>
        <w:rPr>
          <w:rFonts w:ascii="Times New Roman" w:eastAsia="Times New Roman" w:hAnsi="Times New Roman" w:cs="Times New Roman"/>
          <w:sz w:val="24"/>
          <w:szCs w:val="24"/>
        </w:rPr>
        <w:t>, D.S., (2021). An Analysis of the Marketing Strategies of Cadbury.</w:t>
      </w:r>
    </w:p>
    <w:p w14:paraId="03611C96"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Bailey, A.R. and Alexander, A., (2019). Cadbury and the rise of the supermarket: innovation in marketing 1953–1975. </w:t>
      </w:r>
      <w:r>
        <w:rPr>
          <w:rFonts w:ascii="Times New Roman" w:eastAsia="Times New Roman" w:hAnsi="Times New Roman" w:cs="Times New Roman"/>
          <w:i/>
          <w:sz w:val="24"/>
          <w:szCs w:val="24"/>
        </w:rPr>
        <w:t>Business History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61</w:t>
      </w:r>
      <w:r>
        <w:rPr>
          <w:rFonts w:ascii="Times New Roman" w:eastAsia="Times New Roman" w:hAnsi="Times New Roman" w:cs="Times New Roman"/>
          <w:sz w:val="24"/>
          <w:szCs w:val="24"/>
        </w:rPr>
        <w:t>(4), pp.659-680.</w:t>
      </w:r>
    </w:p>
    <w:p w14:paraId="3F925360" w14:textId="77777777" w:rsidR="003175DE" w:rsidRDefault="00000000">
      <w:pPr>
        <w:spacing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M.A., </w:t>
      </w:r>
      <w:proofErr w:type="spellStart"/>
      <w:r>
        <w:rPr>
          <w:rFonts w:ascii="Times New Roman" w:eastAsia="Times New Roman" w:hAnsi="Times New Roman" w:cs="Times New Roman"/>
          <w:sz w:val="24"/>
          <w:szCs w:val="24"/>
        </w:rPr>
        <w:t>Elwalda</w:t>
      </w:r>
      <w:proofErr w:type="spellEnd"/>
      <w:r>
        <w:rPr>
          <w:rFonts w:ascii="Times New Roman" w:eastAsia="Times New Roman" w:hAnsi="Times New Roman" w:cs="Times New Roman"/>
          <w:sz w:val="24"/>
          <w:szCs w:val="24"/>
        </w:rPr>
        <w:t>, A., Mousa, M.M., Erkan, I. and Rahman, M. (2021). SWOT analysis applications: An integrative literature review. </w:t>
      </w:r>
      <w:r>
        <w:rPr>
          <w:rFonts w:ascii="Times New Roman" w:eastAsia="Times New Roman" w:hAnsi="Times New Roman" w:cs="Times New Roman"/>
          <w:i/>
          <w:sz w:val="24"/>
          <w:szCs w:val="24"/>
        </w:rPr>
        <w:t>Journal of Global Business Insights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pp.55-73.</w:t>
      </w:r>
    </w:p>
    <w:p w14:paraId="6B955C25" w14:textId="77777777" w:rsidR="003175DE" w:rsidRDefault="00000000">
      <w:pPr>
        <w:spacing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Bruijl</w:t>
      </w:r>
      <w:proofErr w:type="spellEnd"/>
      <w:r>
        <w:rPr>
          <w:rFonts w:ascii="Times New Roman" w:eastAsia="Times New Roman" w:hAnsi="Times New Roman" w:cs="Times New Roman"/>
          <w:sz w:val="24"/>
          <w:szCs w:val="24"/>
        </w:rPr>
        <w:t>, D. and Gerard, H.T., (2018). The relevance of Porter's five forces in today's innovative and changing business environment. </w:t>
      </w:r>
      <w:r>
        <w:rPr>
          <w:rFonts w:ascii="Times New Roman" w:eastAsia="Times New Roman" w:hAnsi="Times New Roman" w:cs="Times New Roman"/>
          <w:i/>
          <w:sz w:val="24"/>
          <w:szCs w:val="24"/>
        </w:rPr>
        <w:t>Available at SSRN 3192207</w:t>
      </w:r>
      <w:r>
        <w:rPr>
          <w:rFonts w:ascii="Times New Roman" w:eastAsia="Times New Roman" w:hAnsi="Times New Roman" w:cs="Times New Roman"/>
          <w:sz w:val="24"/>
          <w:szCs w:val="24"/>
        </w:rPr>
        <w:t>.</w:t>
      </w:r>
    </w:p>
    <w:p w14:paraId="5BFCE236"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Cadbury.co.uk (2022).</w:t>
      </w:r>
      <w:r>
        <w:rPr>
          <w:rFonts w:ascii="Times New Roman" w:eastAsia="Times New Roman" w:hAnsi="Times New Roman" w:cs="Times New Roman"/>
          <w:i/>
          <w:sz w:val="24"/>
          <w:szCs w:val="24"/>
        </w:rPr>
        <w:t xml:space="preserve"> Cadbury Chocolate | Cadbury.co.uk</w:t>
      </w:r>
      <w:r>
        <w:rPr>
          <w:rFonts w:ascii="Times New Roman" w:eastAsia="Times New Roman" w:hAnsi="Times New Roman" w:cs="Times New Roman"/>
          <w:sz w:val="24"/>
          <w:szCs w:val="24"/>
        </w:rPr>
        <w:t>. Available at: https://www.cadbury.co.uk/our-story (Accessed: 7 November 2022).</w:t>
      </w:r>
    </w:p>
    <w:p w14:paraId="0F7F2BAE"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CBI (2022).</w:t>
      </w:r>
      <w:r>
        <w:rPr>
          <w:rFonts w:ascii="Times New Roman" w:eastAsia="Times New Roman" w:hAnsi="Times New Roman" w:cs="Times New Roman"/>
          <w:i/>
          <w:sz w:val="24"/>
          <w:szCs w:val="24"/>
        </w:rPr>
        <w:t xml:space="preserve"> The United Kingdom market potential for cocoa | CBI</w:t>
      </w:r>
      <w:r>
        <w:rPr>
          <w:rFonts w:ascii="Times New Roman" w:eastAsia="Times New Roman" w:hAnsi="Times New Roman" w:cs="Times New Roman"/>
          <w:sz w:val="24"/>
          <w:szCs w:val="24"/>
        </w:rPr>
        <w:t>. Available at: https://www.cbi.eu/market-information/cocoa/united-kingdom/market-potential (Accessed: 8 November 2022).</w:t>
      </w:r>
    </w:p>
    <w:p w14:paraId="1CBB6191"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Vet, J.M., </w:t>
      </w:r>
      <w:proofErr w:type="spellStart"/>
      <w:r>
        <w:rPr>
          <w:rFonts w:ascii="Times New Roman" w:eastAsia="Times New Roman" w:hAnsi="Times New Roman" w:cs="Times New Roman"/>
          <w:sz w:val="24"/>
          <w:szCs w:val="24"/>
        </w:rPr>
        <w:t>Nigohosyan</w:t>
      </w:r>
      <w:proofErr w:type="spellEnd"/>
      <w:r>
        <w:rPr>
          <w:rFonts w:ascii="Times New Roman" w:eastAsia="Times New Roman" w:hAnsi="Times New Roman" w:cs="Times New Roman"/>
          <w:sz w:val="24"/>
          <w:szCs w:val="24"/>
        </w:rPr>
        <w:t xml:space="preserve">, D., Ferrer, J.N., Gross, A.K., Kuehl, S. and </w:t>
      </w:r>
      <w:proofErr w:type="spellStart"/>
      <w:r>
        <w:rPr>
          <w:rFonts w:ascii="Times New Roman" w:eastAsia="Times New Roman" w:hAnsi="Times New Roman" w:cs="Times New Roman"/>
          <w:sz w:val="24"/>
          <w:szCs w:val="24"/>
        </w:rPr>
        <w:t>Flickenschild</w:t>
      </w:r>
      <w:proofErr w:type="spellEnd"/>
      <w:r>
        <w:rPr>
          <w:rFonts w:ascii="Times New Roman" w:eastAsia="Times New Roman" w:hAnsi="Times New Roman" w:cs="Times New Roman"/>
          <w:sz w:val="24"/>
          <w:szCs w:val="24"/>
        </w:rPr>
        <w:t>, M. (2021). </w:t>
      </w:r>
      <w:r>
        <w:rPr>
          <w:rFonts w:ascii="Times New Roman" w:eastAsia="Times New Roman" w:hAnsi="Times New Roman" w:cs="Times New Roman"/>
          <w:i/>
          <w:sz w:val="24"/>
          <w:szCs w:val="24"/>
        </w:rPr>
        <w:t>Impacts of the COVID-19 pandemic on EU industries</w:t>
      </w:r>
      <w:r>
        <w:rPr>
          <w:rFonts w:ascii="Times New Roman" w:eastAsia="Times New Roman" w:hAnsi="Times New Roman" w:cs="Times New Roman"/>
          <w:sz w:val="24"/>
          <w:szCs w:val="24"/>
        </w:rPr>
        <w:t xml:space="preserve"> (pp. 1-86). Strasbourg, </w:t>
      </w:r>
      <w:proofErr w:type="spellStart"/>
      <w:r>
        <w:rPr>
          <w:rFonts w:ascii="Times New Roman" w:eastAsia="Times New Roman" w:hAnsi="Times New Roman" w:cs="Times New Roman"/>
          <w:sz w:val="24"/>
          <w:szCs w:val="24"/>
        </w:rPr>
        <w:t>Francuska</w:t>
      </w:r>
      <w:proofErr w:type="spellEnd"/>
      <w:r>
        <w:rPr>
          <w:rFonts w:ascii="Times New Roman" w:eastAsia="Times New Roman" w:hAnsi="Times New Roman" w:cs="Times New Roman"/>
          <w:sz w:val="24"/>
          <w:szCs w:val="24"/>
        </w:rPr>
        <w:t>: European Parliament.</w:t>
      </w:r>
    </w:p>
    <w:p w14:paraId="5B9AC9B9"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Forbes.com (2022).</w:t>
      </w:r>
      <w:r>
        <w:rPr>
          <w:rFonts w:ascii="Times New Roman" w:eastAsia="Times New Roman" w:hAnsi="Times New Roman" w:cs="Times New Roman"/>
          <w:i/>
          <w:sz w:val="24"/>
          <w:szCs w:val="24"/>
        </w:rPr>
        <w:t xml:space="preserve"> Mars | Company Overview &amp; News</w:t>
      </w:r>
      <w:r>
        <w:rPr>
          <w:rFonts w:ascii="Times New Roman" w:eastAsia="Times New Roman" w:hAnsi="Times New Roman" w:cs="Times New Roman"/>
          <w:sz w:val="24"/>
          <w:szCs w:val="24"/>
        </w:rPr>
        <w:t>. Available at: https://www.forbes.com/companies/mars/?sh=48105b243bb7 (Accessed: 8 November 2022).</w:t>
      </w:r>
    </w:p>
    <w:p w14:paraId="5C399413"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Global data (2022). Available at: https://www.globaldata.com/company-profile/nestle-sa/ (Accessed: 8 November 2022).</w:t>
      </w:r>
    </w:p>
    <w:p w14:paraId="27F27CE3"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Grandviewresearch.com (2022).</w:t>
      </w:r>
      <w:r>
        <w:rPr>
          <w:rFonts w:ascii="Times New Roman" w:eastAsia="Times New Roman" w:hAnsi="Times New Roman" w:cs="Times New Roman"/>
          <w:i/>
          <w:sz w:val="24"/>
          <w:szCs w:val="24"/>
        </w:rPr>
        <w:t xml:space="preserve"> Energy Drinks Market Size, Share &amp; Growth Report, 2030</w:t>
      </w:r>
      <w:r>
        <w:rPr>
          <w:rFonts w:ascii="Times New Roman" w:eastAsia="Times New Roman" w:hAnsi="Times New Roman" w:cs="Times New Roman"/>
          <w:sz w:val="24"/>
          <w:szCs w:val="24"/>
        </w:rPr>
        <w:t>. Available at: https://www.grandviewresearch.com/industry-analysis/energy-drinks-market (Accessed: 7 November 2022).</w:t>
      </w:r>
    </w:p>
    <w:p w14:paraId="1CADDE18"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Hancock, J. ed. (2004). </w:t>
      </w:r>
      <w:r>
        <w:rPr>
          <w:rFonts w:ascii="Times New Roman" w:eastAsia="Times New Roman" w:hAnsi="Times New Roman" w:cs="Times New Roman"/>
          <w:i/>
          <w:sz w:val="24"/>
          <w:szCs w:val="24"/>
        </w:rPr>
        <w:t>Investing in corporate social responsibility: a guide to best practice, business planning &amp; the UK's leading companies</w:t>
      </w:r>
      <w:r>
        <w:rPr>
          <w:rFonts w:ascii="Times New Roman" w:eastAsia="Times New Roman" w:hAnsi="Times New Roman" w:cs="Times New Roman"/>
          <w:sz w:val="24"/>
          <w:szCs w:val="24"/>
        </w:rPr>
        <w:t>. Kogan Page Publishers.</w:t>
      </w:r>
    </w:p>
    <w:p w14:paraId="552DF916"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Ibisworld.com (2022).</w:t>
      </w:r>
      <w:r>
        <w:rPr>
          <w:rFonts w:ascii="Times New Roman" w:eastAsia="Times New Roman" w:hAnsi="Times New Roman" w:cs="Times New Roman"/>
          <w:i/>
          <w:sz w:val="24"/>
          <w:szCs w:val="24"/>
        </w:rPr>
        <w:t xml:space="preserve"> Industry Market Research, Reports, and Statistics</w:t>
      </w:r>
      <w:r>
        <w:rPr>
          <w:rFonts w:ascii="Times New Roman" w:eastAsia="Times New Roman" w:hAnsi="Times New Roman" w:cs="Times New Roman"/>
          <w:sz w:val="24"/>
          <w:szCs w:val="24"/>
        </w:rPr>
        <w:t>. Available at: https://www.ibisworld.com/united-kingdom/market-size/chocolate-confectionery-production/ (Accessed: 8 November 2022).</w:t>
      </w:r>
    </w:p>
    <w:p w14:paraId="5FB9ADF0"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Mars.com (2022). </w:t>
      </w:r>
      <w:r>
        <w:rPr>
          <w:rFonts w:ascii="Times New Roman" w:eastAsia="Times New Roman" w:hAnsi="Times New Roman" w:cs="Times New Roman"/>
          <w:i/>
          <w:sz w:val="24"/>
          <w:szCs w:val="24"/>
        </w:rPr>
        <w:t>The Mars Compass Provides Direction &amp; Transparency | Mars, Incorporated</w:t>
      </w:r>
      <w:r>
        <w:rPr>
          <w:rFonts w:ascii="Times New Roman" w:eastAsia="Times New Roman" w:hAnsi="Times New Roman" w:cs="Times New Roman"/>
          <w:sz w:val="24"/>
          <w:szCs w:val="24"/>
        </w:rPr>
        <w:t xml:space="preserve">. [online] Available at: https://www.mars.com/about/mars-compass.(Accessed: 8 November 2022). </w:t>
      </w:r>
    </w:p>
    <w:p w14:paraId="7152AE12"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Mondelez International.com (2022).</w:t>
      </w:r>
      <w:r>
        <w:rPr>
          <w:rFonts w:ascii="Times New Roman" w:eastAsia="Times New Roman" w:hAnsi="Times New Roman" w:cs="Times New Roman"/>
          <w:i/>
          <w:sz w:val="24"/>
          <w:szCs w:val="24"/>
        </w:rPr>
        <w:t xml:space="preserve"> Mondelēz International, Inc</w:t>
      </w:r>
      <w:r>
        <w:rPr>
          <w:rFonts w:ascii="Times New Roman" w:eastAsia="Times New Roman" w:hAnsi="Times New Roman" w:cs="Times New Roman"/>
          <w:sz w:val="24"/>
          <w:szCs w:val="24"/>
        </w:rPr>
        <w:t>. Available at: https://www.mondelezinternational.com/ (Accessed: 8 November 2022).</w:t>
      </w:r>
    </w:p>
    <w:p w14:paraId="0BECD93C"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Mordorintelligence.com (2022).</w:t>
      </w:r>
      <w:r>
        <w:rPr>
          <w:rFonts w:ascii="Times New Roman" w:eastAsia="Times New Roman" w:hAnsi="Times New Roman" w:cs="Times New Roman"/>
          <w:i/>
          <w:sz w:val="24"/>
          <w:szCs w:val="24"/>
        </w:rPr>
        <w:t xml:space="preserve"> United Kingdom Energy Drink Market Size, Share | 2022 - 27 | Industry, Trends</w:t>
      </w:r>
      <w:r>
        <w:rPr>
          <w:rFonts w:ascii="Times New Roman" w:eastAsia="Times New Roman" w:hAnsi="Times New Roman" w:cs="Times New Roman"/>
          <w:sz w:val="24"/>
          <w:szCs w:val="24"/>
        </w:rPr>
        <w:t>. Available at: https://www.mordorintelligence.com/industry-reports/united-kingdom-energy-drink-market (Accessed: 7 November 2022).</w:t>
      </w:r>
    </w:p>
    <w:p w14:paraId="18568D78"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NAGAR, T., KISHOR, R., CHAUHAN, P.R. and VEDWAN, S. (2021). Research Project on “Consumer Preference towards Cadbury Chocolates.”</w:t>
      </w:r>
    </w:p>
    <w:p w14:paraId="4B7DF0B0" w14:textId="77777777" w:rsidR="003175DE" w:rsidRDefault="00000000">
      <w:pPr>
        <w:spacing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Nagarathinam</w:t>
      </w:r>
      <w:proofErr w:type="spellEnd"/>
      <w:r>
        <w:rPr>
          <w:rFonts w:ascii="Times New Roman" w:eastAsia="Times New Roman" w:hAnsi="Times New Roman" w:cs="Times New Roman"/>
          <w:sz w:val="24"/>
          <w:szCs w:val="24"/>
        </w:rPr>
        <w:t xml:space="preserve">, M.V., </w:t>
      </w:r>
      <w:proofErr w:type="spellStart"/>
      <w:r>
        <w:rPr>
          <w:rFonts w:ascii="Times New Roman" w:eastAsia="Times New Roman" w:hAnsi="Times New Roman" w:cs="Times New Roman"/>
          <w:sz w:val="24"/>
          <w:szCs w:val="24"/>
        </w:rPr>
        <w:t>Dhanvarshini</w:t>
      </w:r>
      <w:proofErr w:type="spellEnd"/>
      <w:r>
        <w:rPr>
          <w:rFonts w:ascii="Times New Roman" w:eastAsia="Times New Roman" w:hAnsi="Times New Roman" w:cs="Times New Roman"/>
          <w:sz w:val="24"/>
          <w:szCs w:val="24"/>
        </w:rPr>
        <w:t xml:space="preserve">, S., Ahamed, A.I., Ajith, S. and </w:t>
      </w:r>
      <w:proofErr w:type="spellStart"/>
      <w:r>
        <w:rPr>
          <w:rFonts w:ascii="Times New Roman" w:eastAsia="Times New Roman" w:hAnsi="Times New Roman" w:cs="Times New Roman"/>
          <w:sz w:val="24"/>
          <w:szCs w:val="24"/>
        </w:rPr>
        <w:t>Yuvaraj</w:t>
      </w:r>
      <w:proofErr w:type="spellEnd"/>
      <w:r>
        <w:rPr>
          <w:rFonts w:ascii="Times New Roman" w:eastAsia="Times New Roman" w:hAnsi="Times New Roman" w:cs="Times New Roman"/>
          <w:sz w:val="24"/>
          <w:szCs w:val="24"/>
        </w:rPr>
        <w:t>, P. (2021). A Study on Marketing Mix of Nestle Product. </w:t>
      </w:r>
      <w:r>
        <w:rPr>
          <w:rFonts w:ascii="Times New Roman" w:eastAsia="Times New Roman" w:hAnsi="Times New Roman" w:cs="Times New Roman"/>
          <w:i/>
          <w:sz w:val="24"/>
          <w:szCs w:val="24"/>
        </w:rPr>
        <w:t>NVEO-NATURAL VOLATILES &amp; ESSENTIAL OILS Journal| NVEO</w:t>
      </w:r>
      <w:r>
        <w:rPr>
          <w:rFonts w:ascii="Times New Roman" w:eastAsia="Times New Roman" w:hAnsi="Times New Roman" w:cs="Times New Roman"/>
          <w:sz w:val="24"/>
          <w:szCs w:val="24"/>
        </w:rPr>
        <w:t>, pp.4820-4825.</w:t>
      </w:r>
    </w:p>
    <w:p w14:paraId="39875D57"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Nestle-esar.com (2022).</w:t>
      </w:r>
      <w:r>
        <w:rPr>
          <w:rFonts w:ascii="Times New Roman" w:eastAsia="Times New Roman" w:hAnsi="Times New Roman" w:cs="Times New Roman"/>
          <w:i/>
          <w:sz w:val="24"/>
          <w:szCs w:val="24"/>
        </w:rPr>
        <w:t xml:space="preserve"> Company Profile</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0563C1"/>
            <w:sz w:val="24"/>
            <w:szCs w:val="24"/>
            <w:u w:val="single"/>
          </w:rPr>
          <w:t>https://www.nestle-esar.com/aboutus/company-profile</w:t>
        </w:r>
      </w:hyperlink>
      <w:r>
        <w:rPr>
          <w:rFonts w:ascii="Times New Roman" w:eastAsia="Times New Roman" w:hAnsi="Times New Roman" w:cs="Times New Roman"/>
          <w:sz w:val="24"/>
          <w:szCs w:val="24"/>
        </w:rPr>
        <w:t>(Accessed: 8 November 2022).</w:t>
      </w:r>
    </w:p>
    <w:p w14:paraId="19149E70"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Pettinger, R. (2020). </w:t>
      </w:r>
      <w:r>
        <w:rPr>
          <w:rFonts w:ascii="Times New Roman" w:eastAsia="Times New Roman" w:hAnsi="Times New Roman" w:cs="Times New Roman"/>
          <w:i/>
          <w:sz w:val="24"/>
          <w:szCs w:val="24"/>
        </w:rPr>
        <w:t>The Socio-Economic Foundations of Sustainable Business: Managing in the Fourth Industrial Revolution</w:t>
      </w:r>
      <w:r>
        <w:rPr>
          <w:rFonts w:ascii="Times New Roman" w:eastAsia="Times New Roman" w:hAnsi="Times New Roman" w:cs="Times New Roman"/>
          <w:sz w:val="24"/>
          <w:szCs w:val="24"/>
        </w:rPr>
        <w:t>. Springer Nature.</w:t>
      </w:r>
    </w:p>
    <w:p w14:paraId="470EDB45"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PR Newswire (2022) </w:t>
      </w:r>
      <w:r>
        <w:rPr>
          <w:rFonts w:ascii="Times New Roman" w:eastAsia="Times New Roman" w:hAnsi="Times New Roman" w:cs="Times New Roman"/>
          <w:i/>
          <w:sz w:val="24"/>
          <w:szCs w:val="24"/>
        </w:rPr>
        <w:t>Hershey Reports Fourth-Quarter and Full-Year 2021 Financial Results; Provides 2022 Outlook</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Prnewswire.com</w:t>
      </w:r>
      <w:r>
        <w:rPr>
          <w:rFonts w:ascii="Times New Roman" w:eastAsia="Times New Roman" w:hAnsi="Times New Roman" w:cs="Times New Roman"/>
          <w:sz w:val="24"/>
          <w:szCs w:val="24"/>
        </w:rPr>
        <w:t>. Available at: https://www.prnewswire.com/news-releases/hershey-reports-fourth-quarter-and-full-year-2021-financial-results-provides-2022-outlook-301474457.html (Accessed: 8 November 2022).</w:t>
      </w:r>
    </w:p>
    <w:p w14:paraId="1FFEC2D4"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Red Bull Mission Statement (2022)</w:t>
      </w:r>
      <w:r>
        <w:rPr>
          <w:rFonts w:ascii="Times New Roman" w:eastAsia="Times New Roman" w:hAnsi="Times New Roman" w:cs="Times New Roman"/>
          <w:i/>
          <w:sz w:val="24"/>
          <w:szCs w:val="24"/>
        </w:rPr>
        <w:t xml:space="preserve"> | Red Bull Mission &amp; Vision Analysis</w:t>
      </w:r>
      <w:r>
        <w:rPr>
          <w:rFonts w:ascii="Times New Roman" w:eastAsia="Times New Roman" w:hAnsi="Times New Roman" w:cs="Times New Roman"/>
          <w:sz w:val="24"/>
          <w:szCs w:val="24"/>
        </w:rPr>
        <w:t>. Available at: https://mission-statement.com/red-bull/#:~:text=Red%20Bull%20mission%20statement%20is,Distinguished%20products%20and%20services. (Accessed: 8 November 2022).</w:t>
      </w:r>
    </w:p>
    <w:p w14:paraId="0B8513EA"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Sensi, J. (2022).</w:t>
      </w:r>
      <w:r>
        <w:rPr>
          <w:rFonts w:ascii="Times New Roman" w:eastAsia="Times New Roman" w:hAnsi="Times New Roman" w:cs="Times New Roman"/>
          <w:i/>
          <w:sz w:val="24"/>
          <w:szCs w:val="24"/>
        </w:rPr>
        <w:t xml:space="preserve"> Cadbury chocolate maker Mondelēz's revenue increases on higher prices - Grocery Gazette - Latest Grocery Industry News</w:t>
      </w:r>
      <w:r>
        <w:rPr>
          <w:rFonts w:ascii="Times New Roman" w:eastAsia="Times New Roman" w:hAnsi="Times New Roman" w:cs="Times New Roman"/>
          <w:sz w:val="24"/>
          <w:szCs w:val="24"/>
        </w:rPr>
        <w:t>. Available at: https://www.grocerygazette.co.uk/2022/07/27/mondelez-revenue-price/ (Accessed: 8 November 2022).</w:t>
      </w:r>
    </w:p>
    <w:p w14:paraId="0B59A3C5"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Shastri (2022).</w:t>
      </w:r>
      <w:r>
        <w:rPr>
          <w:rFonts w:ascii="Times New Roman" w:eastAsia="Times New Roman" w:hAnsi="Times New Roman" w:cs="Times New Roman"/>
          <w:i/>
          <w:sz w:val="24"/>
          <w:szCs w:val="24"/>
        </w:rPr>
        <w:t xml:space="preserve"> Elaborated SWOT Analysis of Monster - 2022 Case Study | IIDE</w:t>
      </w:r>
      <w:r>
        <w:rPr>
          <w:rFonts w:ascii="Times New Roman" w:eastAsia="Times New Roman" w:hAnsi="Times New Roman" w:cs="Times New Roman"/>
          <w:sz w:val="24"/>
          <w:szCs w:val="24"/>
        </w:rPr>
        <w:t>. Available at: https://iide.co/case-studies/swot-analysis-of-monster/ (Accessed: 8 November 2022).</w:t>
      </w:r>
    </w:p>
    <w:p w14:paraId="08EC730B"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Statisca.com (2022a).</w:t>
      </w:r>
      <w:r>
        <w:rPr>
          <w:rFonts w:ascii="Times New Roman" w:eastAsia="Times New Roman" w:hAnsi="Times New Roman" w:cs="Times New Roman"/>
          <w:i/>
          <w:sz w:val="24"/>
          <w:szCs w:val="24"/>
        </w:rPr>
        <w:t xml:space="preserve"> Energy &amp; Sports Drinks - UK | Statista Market Forecast</w:t>
      </w:r>
      <w:r>
        <w:rPr>
          <w:rFonts w:ascii="Times New Roman" w:eastAsia="Times New Roman" w:hAnsi="Times New Roman" w:cs="Times New Roman"/>
          <w:sz w:val="24"/>
          <w:szCs w:val="24"/>
        </w:rPr>
        <w:t>. Available at: https://www.statista.com/outlook/cmo/non-alcoholic-drinks/soft-drinks/energy-sports-drinks/united-kingdom (Accessed: 7 November 2022).</w:t>
      </w:r>
    </w:p>
    <w:p w14:paraId="7206227E" w14:textId="77777777" w:rsidR="003175DE" w:rsidRDefault="00000000">
      <w:pPr>
        <w:spacing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Statitisca.com (2022b).</w:t>
      </w:r>
      <w:r>
        <w:rPr>
          <w:rFonts w:ascii="Times New Roman" w:eastAsia="Times New Roman" w:hAnsi="Times New Roman" w:cs="Times New Roman"/>
          <w:i/>
          <w:sz w:val="24"/>
          <w:szCs w:val="24"/>
        </w:rPr>
        <w:t xml:space="preserve"> Chocolate: sales turnover UK 2021 | Statista</w:t>
      </w:r>
      <w:r>
        <w:rPr>
          <w:rFonts w:ascii="Times New Roman" w:eastAsia="Times New Roman" w:hAnsi="Times New Roman" w:cs="Times New Roman"/>
          <w:sz w:val="24"/>
          <w:szCs w:val="24"/>
        </w:rPr>
        <w:t>. Available at: https://www.statista.com/statistics/481625/chocolate-and-sugar-confectionary-sales-turnover-united-kingdom-uk/ (Accessed: 8 November 2022).</w:t>
      </w:r>
    </w:p>
    <w:p w14:paraId="70663022" w14:textId="77777777" w:rsidR="003175DE" w:rsidRDefault="00000000">
      <w:pPr>
        <w:spacing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Suntorybeveragesand</w:t>
      </w:r>
      <w:proofErr w:type="spellEnd"/>
      <w:r>
        <w:rPr>
          <w:rFonts w:ascii="Times New Roman" w:eastAsia="Times New Roman" w:hAnsi="Times New Roman" w:cs="Times New Roman"/>
          <w:sz w:val="24"/>
          <w:szCs w:val="24"/>
        </w:rPr>
        <w:t xml:space="preserve"> food-</w:t>
      </w:r>
      <w:proofErr w:type="spellStart"/>
      <w:r>
        <w:rPr>
          <w:rFonts w:ascii="Times New Roman" w:eastAsia="Times New Roman" w:hAnsi="Times New Roman" w:cs="Times New Roman"/>
          <w:sz w:val="24"/>
          <w:szCs w:val="24"/>
        </w:rPr>
        <w:t>europe</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Suntory Beverage &amp; Food Europe</w:t>
      </w:r>
      <w:r>
        <w:rPr>
          <w:rFonts w:ascii="Times New Roman" w:eastAsia="Times New Roman" w:hAnsi="Times New Roman" w:cs="Times New Roman"/>
          <w:sz w:val="24"/>
          <w:szCs w:val="24"/>
        </w:rPr>
        <w:t>. Available at: https://www.suntorybeverageandfood-europe.com/en-GB/gbi/brands/ (Accessed: 8 November 2022).</w:t>
      </w:r>
    </w:p>
    <w:p w14:paraId="1B518C01" w14:textId="77777777" w:rsidR="003175DE" w:rsidRDefault="003175DE">
      <w:pPr>
        <w:spacing w:line="360" w:lineRule="auto"/>
        <w:rPr>
          <w:rFonts w:ascii="Times New Roman" w:eastAsia="Times New Roman" w:hAnsi="Times New Roman" w:cs="Times New Roman"/>
          <w:sz w:val="24"/>
          <w:szCs w:val="24"/>
        </w:rPr>
      </w:pPr>
    </w:p>
    <w:p w14:paraId="2274BB63" w14:textId="77777777" w:rsidR="003175DE" w:rsidRDefault="003175DE">
      <w:pPr>
        <w:spacing w:line="360" w:lineRule="auto"/>
        <w:rPr>
          <w:rFonts w:ascii="Times New Roman" w:eastAsia="Times New Roman" w:hAnsi="Times New Roman" w:cs="Times New Roman"/>
          <w:sz w:val="24"/>
          <w:szCs w:val="24"/>
        </w:rPr>
      </w:pPr>
    </w:p>
    <w:p w14:paraId="73458134" w14:textId="77777777" w:rsidR="003175DE" w:rsidRDefault="003175DE">
      <w:pPr>
        <w:spacing w:line="360" w:lineRule="auto"/>
        <w:rPr>
          <w:rFonts w:ascii="Times New Roman" w:eastAsia="Times New Roman" w:hAnsi="Times New Roman" w:cs="Times New Roman"/>
          <w:sz w:val="24"/>
          <w:szCs w:val="24"/>
        </w:rPr>
      </w:pPr>
    </w:p>
    <w:p w14:paraId="4C7AA997" w14:textId="77777777" w:rsidR="003175DE" w:rsidRDefault="003175DE">
      <w:pPr>
        <w:spacing w:line="360" w:lineRule="auto"/>
        <w:rPr>
          <w:rFonts w:ascii="Times New Roman" w:eastAsia="Times New Roman" w:hAnsi="Times New Roman" w:cs="Times New Roman"/>
          <w:sz w:val="24"/>
          <w:szCs w:val="24"/>
        </w:rPr>
      </w:pPr>
    </w:p>
    <w:sectPr w:rsidR="003175DE">
      <w:head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9E5EB" w14:textId="77777777" w:rsidR="00E6090F" w:rsidRDefault="00E6090F">
      <w:pPr>
        <w:spacing w:after="0" w:line="240" w:lineRule="auto"/>
      </w:pPr>
      <w:r>
        <w:separator/>
      </w:r>
    </w:p>
  </w:endnote>
  <w:endnote w:type="continuationSeparator" w:id="0">
    <w:p w14:paraId="17BCBDFD" w14:textId="77777777" w:rsidR="00E6090F" w:rsidRDefault="00E60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6FFAC" w14:textId="77777777" w:rsidR="00E6090F" w:rsidRDefault="00E6090F">
      <w:pPr>
        <w:spacing w:after="0" w:line="240" w:lineRule="auto"/>
      </w:pPr>
      <w:r>
        <w:separator/>
      </w:r>
    </w:p>
  </w:footnote>
  <w:footnote w:type="continuationSeparator" w:id="0">
    <w:p w14:paraId="7CD997C9" w14:textId="77777777" w:rsidR="00E6090F" w:rsidRDefault="00E609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323B5" w14:textId="77777777" w:rsidR="003175DE" w:rsidRDefault="00000000">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3825C2">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5C1DACFF" w14:textId="77777777" w:rsidR="003175DE" w:rsidRDefault="003175DE">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5DE"/>
    <w:rsid w:val="003175DE"/>
    <w:rsid w:val="003825C2"/>
    <w:rsid w:val="00E60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7920F4"/>
  <w15:docId w15:val="{2894F5B6-2390-1348-850E-858742630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40" w:after="0"/>
      <w:outlineLvl w:val="3"/>
    </w:pPr>
    <w:rPr>
      <w:i/>
      <w:color w:val="2F5496"/>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nestle-esar.com/aboutus/company-pro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4931</Words>
  <Characters>28110</Characters>
  <Application>Microsoft Office Word</Application>
  <DocSecurity>0</DocSecurity>
  <Lines>234</Lines>
  <Paragraphs>65</Paragraphs>
  <ScaleCrop>false</ScaleCrop>
  <Company/>
  <LinksUpToDate>false</LinksUpToDate>
  <CharactersWithSpaces>32976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2022-12-17T08:49:00Z</dcterms:created>
  <dcterms:modified xsi:type="dcterms:W3CDTF">2022-12-17T08:49:00Z</dcterms:modified>
</cp:coreProperties>
</file>