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78D8C8" w14:textId="09D53346" w:rsidR="00B759EB" w:rsidRDefault="00DE33AF">
      <w:pPr>
        <w:pStyle w:val="Heading1"/>
        <w:spacing w:line="360" w:lineRule="auto"/>
        <w:ind w:left="0"/>
        <w:jc w:val="center"/>
        <w:rPr>
          <w:rFonts w:cs="Arial"/>
          <w:sz w:val="22"/>
          <w:szCs w:val="22"/>
        </w:rPr>
      </w:pPr>
      <w:r>
        <w:rPr>
          <w:rFonts w:ascii="Calibri Light" w:hAnsi="Calibri Light"/>
          <w:noProof/>
          <w:sz w:val="22"/>
          <w:szCs w:val="22"/>
          <w:lang w:val="en-US" w:eastAsia="zh-CN" w:bidi="ar"/>
        </w:rPr>
        <w:drawing>
          <wp:inline distT="0" distB="0" distL="114300" distR="114300" wp14:anchorId="531CB9DA" wp14:editId="1012CD98">
            <wp:extent cx="3360420" cy="960120"/>
            <wp:effectExtent l="0" t="0" r="7620" b="0"/>
            <wp:docPr id="3"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Text&#10;&#10;Description automatically generated"/>
                    <pic:cNvPicPr>
                      <a:picLocks noChangeAspect="1"/>
                    </pic:cNvPicPr>
                  </pic:nvPicPr>
                  <pic:blipFill>
                    <a:blip r:embed="rId7"/>
                    <a:stretch>
                      <a:fillRect/>
                    </a:stretch>
                  </pic:blipFill>
                  <pic:spPr>
                    <a:xfrm>
                      <a:off x="0" y="0"/>
                      <a:ext cx="3360420" cy="960120"/>
                    </a:xfrm>
                    <a:prstGeom prst="rect">
                      <a:avLst/>
                    </a:prstGeom>
                    <a:noFill/>
                    <a:ln>
                      <a:noFill/>
                    </a:ln>
                  </pic:spPr>
                </pic:pic>
              </a:graphicData>
            </a:graphic>
          </wp:inline>
        </w:drawing>
      </w:r>
    </w:p>
    <w:p w14:paraId="590BAC96" w14:textId="77777777" w:rsidR="00EB54E5" w:rsidRDefault="00EB54E5">
      <w:pPr>
        <w:widowControl/>
        <w:autoSpaceDE/>
        <w:autoSpaceDN/>
        <w:rPr>
          <w:rFonts w:cs="Arial"/>
        </w:rPr>
      </w:pPr>
    </w:p>
    <w:p w14:paraId="15AC0F17" w14:textId="77777777" w:rsidR="00EB54E5" w:rsidRDefault="00EB54E5">
      <w:pPr>
        <w:widowControl/>
        <w:autoSpaceDE/>
        <w:autoSpaceDN/>
        <w:rPr>
          <w:rFonts w:cs="Arial"/>
        </w:rPr>
      </w:pPr>
    </w:p>
    <w:p w14:paraId="14F1AFAE" w14:textId="77777777" w:rsidR="00EB54E5" w:rsidRDefault="00EB54E5" w:rsidP="00EB54E5">
      <w:pPr>
        <w:spacing w:line="360" w:lineRule="auto"/>
        <w:jc w:val="center"/>
        <w:rPr>
          <w:rFonts w:ascii="Arial" w:eastAsia="Arial Unicode MS" w:hAnsi="Arial" w:cs="Arial"/>
          <w:b/>
          <w:color w:val="0070C0"/>
          <w:sz w:val="80"/>
          <w:szCs w:val="80"/>
          <w:lang w:val="en-US"/>
        </w:rPr>
      </w:pPr>
      <w:r>
        <w:rPr>
          <w:rFonts w:ascii="Arial" w:hAnsi="Arial" w:cs="Arial"/>
          <w:b/>
          <w:bCs/>
          <w:sz w:val="44"/>
          <w:szCs w:val="44"/>
          <w:lang w:val="en-US" w:eastAsia="zh-CN" w:bidi="ar"/>
        </w:rPr>
        <w:t>Exploring the impact of integrated care services on older adults in health and social care in the UK</w:t>
      </w:r>
    </w:p>
    <w:p w14:paraId="16ED5784" w14:textId="77777777" w:rsidR="00EB54E5" w:rsidRDefault="00EB54E5" w:rsidP="00EB54E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Arial" w:eastAsia="Arial Unicode MS" w:hAnsi="Arial" w:cs="Arial"/>
          <w:color w:val="0070C0"/>
          <w:sz w:val="80"/>
          <w:szCs w:val="80"/>
          <w:lang w:val="en-US"/>
        </w:rPr>
      </w:pPr>
      <w:r>
        <w:rPr>
          <w:rFonts w:ascii="Arial" w:eastAsia="Arial Unicode MS" w:hAnsi="Arial" w:cs="Arial"/>
          <w:b/>
          <w:color w:val="0070C0"/>
          <w:sz w:val="80"/>
          <w:szCs w:val="80"/>
          <w:lang w:val="en-US" w:eastAsia="zh-CN" w:bidi="ar"/>
        </w:rPr>
        <w:t>Titilayo Oluwagbeminiyi Solanke</w:t>
      </w:r>
    </w:p>
    <w:p w14:paraId="2A432A5D" w14:textId="77777777" w:rsidR="00EB54E5" w:rsidRDefault="00EB54E5" w:rsidP="00EB54E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sz w:val="36"/>
          <w:szCs w:val="36"/>
          <w:lang w:val="en-US"/>
        </w:rPr>
      </w:pPr>
      <w:r>
        <w:rPr>
          <w:rFonts w:ascii="Arial" w:eastAsia="Arial Unicode MS" w:hAnsi="Arial" w:cs="Arial"/>
          <w:b/>
          <w:bCs/>
          <w:sz w:val="36"/>
          <w:szCs w:val="36"/>
          <w:lang w:val="en-US" w:eastAsia="zh-CN" w:bidi="ar"/>
        </w:rPr>
        <w:t>Supervisor’s name</w:t>
      </w:r>
      <w:r>
        <w:rPr>
          <w:rFonts w:ascii="Arial" w:eastAsia="Arial Unicode MS" w:hAnsi="Arial" w:cs="Arial"/>
          <w:sz w:val="36"/>
          <w:szCs w:val="36"/>
          <w:lang w:val="en-US" w:eastAsia="zh-CN" w:bidi="ar"/>
        </w:rPr>
        <w:t xml:space="preserve">: </w:t>
      </w:r>
      <w:bookmarkStart w:id="0" w:name="_Hlk215585361"/>
      <w:proofErr w:type="gramStart"/>
      <w:r>
        <w:rPr>
          <w:rFonts w:ascii="Arial" w:eastAsia="Arial Unicode MS" w:hAnsi="Arial" w:cs="Arial"/>
          <w:sz w:val="36"/>
          <w:szCs w:val="36"/>
          <w:lang w:val="en-US" w:eastAsia="zh-CN" w:bidi="ar"/>
        </w:rPr>
        <w:t>Dr  Laila</w:t>
      </w:r>
      <w:proofErr w:type="gramEnd"/>
      <w:r>
        <w:rPr>
          <w:rFonts w:ascii="Arial" w:eastAsia="Arial Unicode MS" w:hAnsi="Arial" w:cs="Arial"/>
          <w:sz w:val="36"/>
          <w:szCs w:val="36"/>
          <w:lang w:val="en-US" w:eastAsia="zh-CN" w:bidi="ar"/>
        </w:rPr>
        <w:t xml:space="preserve"> Surani</w:t>
      </w:r>
      <w:bookmarkEnd w:id="0"/>
    </w:p>
    <w:p w14:paraId="6DBCE93B" w14:textId="77777777" w:rsidR="00EB54E5" w:rsidRDefault="00EB54E5" w:rsidP="00EB54E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sz w:val="40"/>
          <w:szCs w:val="40"/>
          <w:lang w:val="en-US"/>
        </w:rPr>
      </w:pPr>
    </w:p>
    <w:p w14:paraId="034C6629" w14:textId="77777777" w:rsidR="00EB54E5" w:rsidRDefault="00EB54E5" w:rsidP="00EB54E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Arial" w:eastAsia="Arial Unicode MS" w:hAnsi="Arial" w:cs="Arial"/>
          <w:sz w:val="32"/>
          <w:szCs w:val="32"/>
          <w:lang w:val="en-US"/>
        </w:rPr>
      </w:pPr>
      <w:r>
        <w:rPr>
          <w:rFonts w:ascii="Arial" w:eastAsia="Arial Unicode MS" w:hAnsi="Arial" w:cs="Arial"/>
          <w:sz w:val="32"/>
          <w:szCs w:val="32"/>
          <w:lang w:val="en-US" w:eastAsia="zh-CN" w:bidi="ar"/>
        </w:rPr>
        <w:t xml:space="preserve">Dissertation submitted as part of the requirements for the award BSc (Hons) Health and Social Care </w:t>
      </w:r>
    </w:p>
    <w:p w14:paraId="24F7F1C3" w14:textId="77777777" w:rsidR="00EB54E5" w:rsidRDefault="00EB54E5" w:rsidP="00EB54E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lang w:val="en-US"/>
        </w:rPr>
      </w:pPr>
    </w:p>
    <w:p w14:paraId="57028887" w14:textId="77777777" w:rsidR="00EB54E5" w:rsidRDefault="00EB54E5" w:rsidP="00EB54E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lang w:val="en-US"/>
        </w:rPr>
      </w:pPr>
    </w:p>
    <w:p w14:paraId="173C86DA" w14:textId="77777777" w:rsidR="00EB54E5" w:rsidRDefault="00EB54E5" w:rsidP="00EB54E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Arial" w:eastAsia="Arial Unicode MS" w:hAnsi="Arial" w:cs="Arial"/>
          <w:b/>
          <w:bCs/>
          <w:color w:val="0070C0"/>
          <w:lang w:val="en-US"/>
        </w:rPr>
      </w:pPr>
      <w:proofErr w:type="gramStart"/>
      <w:r>
        <w:rPr>
          <w:rFonts w:ascii="Arial" w:eastAsia="Arial Unicode MS" w:hAnsi="Arial" w:cs="Arial"/>
          <w:b/>
          <w:bCs/>
          <w:color w:val="0070C0"/>
          <w:lang w:val="en-US" w:eastAsia="zh-CN" w:bidi="ar"/>
        </w:rPr>
        <w:t>DECEMBER,</w:t>
      </w:r>
      <w:proofErr w:type="gramEnd"/>
      <w:r>
        <w:rPr>
          <w:rFonts w:ascii="Arial" w:eastAsia="Arial Unicode MS" w:hAnsi="Arial" w:cs="Arial"/>
          <w:b/>
          <w:bCs/>
          <w:color w:val="0070C0"/>
          <w:lang w:val="en-US" w:eastAsia="zh-CN" w:bidi="ar"/>
        </w:rPr>
        <w:t xml:space="preserve"> 2025</w:t>
      </w:r>
    </w:p>
    <w:p w14:paraId="080E0A94" w14:textId="77777777" w:rsidR="00EB54E5" w:rsidRDefault="00EB54E5" w:rsidP="00EB54E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lang w:val="en-US"/>
        </w:rPr>
      </w:pPr>
    </w:p>
    <w:p w14:paraId="1DB877C8" w14:textId="77777777" w:rsidR="00EB54E5" w:rsidRDefault="00EB54E5" w:rsidP="00EB54E5">
      <w:pPr>
        <w:rPr>
          <w:rFonts w:ascii="Arial" w:eastAsia="Times New Roman" w:hAnsi="Arial" w:cs="Arial"/>
          <w:b/>
          <w:sz w:val="20"/>
          <w:szCs w:val="20"/>
          <w:lang w:val="en-US"/>
        </w:rPr>
      </w:pPr>
      <w:r>
        <w:rPr>
          <w:rFonts w:ascii="Arial" w:eastAsia="Times New Roman" w:hAnsi="Arial" w:cs="Arial"/>
          <w:b/>
          <w:sz w:val="20"/>
          <w:szCs w:val="20"/>
          <w:lang w:val="en-US" w:eastAsia="en-US" w:bidi="en-US"/>
        </w:rPr>
        <w:br w:type="page"/>
      </w:r>
    </w:p>
    <w:p w14:paraId="48D7E6FB" w14:textId="77777777" w:rsidR="00EB54E5" w:rsidRDefault="00EB54E5" w:rsidP="00EB54E5">
      <w:pPr>
        <w:pStyle w:val="Heading1"/>
        <w:widowControl/>
        <w:ind w:left="0"/>
        <w:rPr>
          <w:lang w:val="en-US"/>
        </w:rPr>
      </w:pPr>
      <w:r>
        <w:rPr>
          <w:lang w:val="en-US"/>
        </w:rPr>
        <w:lastRenderedPageBreak/>
        <w:t>DECLARATION</w:t>
      </w:r>
    </w:p>
    <w:p w14:paraId="1DC51549" w14:textId="77777777" w:rsidR="00EB54E5" w:rsidRDefault="00EB54E5" w:rsidP="00EB54E5">
      <w:pPr>
        <w:spacing w:line="360" w:lineRule="auto"/>
        <w:rPr>
          <w:rFonts w:ascii="Arial" w:eastAsia="Times New Roman" w:hAnsi="Arial" w:cs="Arial"/>
          <w:sz w:val="20"/>
          <w:szCs w:val="20"/>
          <w:lang w:val="en-US"/>
        </w:rPr>
      </w:pPr>
    </w:p>
    <w:p w14:paraId="2CCE4CCA" w14:textId="77777777" w:rsidR="00EB54E5" w:rsidRDefault="00EB54E5" w:rsidP="00EB54E5">
      <w:pPr>
        <w:spacing w:line="360" w:lineRule="auto"/>
        <w:rPr>
          <w:rFonts w:ascii="Arial" w:eastAsia="Times New Roman" w:hAnsi="Arial" w:cs="Arial"/>
          <w:sz w:val="24"/>
          <w:szCs w:val="24"/>
          <w:lang w:val="en-US"/>
        </w:rPr>
      </w:pPr>
      <w:r>
        <w:rPr>
          <w:rFonts w:ascii="Arial" w:eastAsia="Times New Roman" w:hAnsi="Arial" w:cs="Arial"/>
          <w:sz w:val="24"/>
          <w:szCs w:val="24"/>
          <w:lang w:val="en-US" w:eastAsia="zh-CN" w:bidi="ar"/>
        </w:rPr>
        <w:t xml:space="preserve">This work has not previously been accepted in substance for any degree and is not being concurrently submitted in candidature </w:t>
      </w:r>
      <w:proofErr w:type="gramStart"/>
      <w:r>
        <w:rPr>
          <w:rFonts w:ascii="Arial" w:eastAsia="Times New Roman" w:hAnsi="Arial" w:cs="Arial"/>
          <w:sz w:val="24"/>
          <w:szCs w:val="24"/>
          <w:lang w:val="en-US" w:eastAsia="zh-CN" w:bidi="ar"/>
        </w:rPr>
        <w:t>for</w:t>
      </w:r>
      <w:proofErr w:type="gramEnd"/>
      <w:r>
        <w:rPr>
          <w:rFonts w:ascii="Arial" w:eastAsia="Times New Roman" w:hAnsi="Arial" w:cs="Arial"/>
          <w:sz w:val="24"/>
          <w:szCs w:val="24"/>
          <w:lang w:val="en-US" w:eastAsia="zh-CN" w:bidi="ar"/>
        </w:rPr>
        <w:t xml:space="preserve"> any degree.</w:t>
      </w:r>
    </w:p>
    <w:p w14:paraId="0164AEDD" w14:textId="77777777" w:rsidR="00EB54E5" w:rsidRDefault="00EB54E5" w:rsidP="00EB54E5">
      <w:pPr>
        <w:spacing w:line="360" w:lineRule="auto"/>
        <w:rPr>
          <w:rFonts w:ascii="Arial" w:eastAsia="Times New Roman" w:hAnsi="Arial" w:cs="Arial"/>
          <w:sz w:val="24"/>
          <w:szCs w:val="24"/>
          <w:lang w:val="en-US"/>
        </w:rPr>
      </w:pPr>
    </w:p>
    <w:p w14:paraId="0E9500B9" w14:textId="54D89B43" w:rsidR="00EB54E5" w:rsidRDefault="00DE33AF" w:rsidP="00EB54E5">
      <w:pPr>
        <w:spacing w:line="360" w:lineRule="auto"/>
        <w:rPr>
          <w:rFonts w:ascii="Arial" w:eastAsia="Times New Roman" w:hAnsi="Arial" w:cs="Arial"/>
          <w:sz w:val="24"/>
          <w:szCs w:val="24"/>
          <w:lang w:val="en-US"/>
        </w:rPr>
      </w:pPr>
      <w:r>
        <w:rPr>
          <w:rFonts w:ascii="Arial" w:eastAsia="Times New Roman" w:hAnsi="Arial" w:cs="Arial"/>
          <w:noProof/>
          <w:sz w:val="24"/>
          <w:szCs w:val="24"/>
          <w:lang w:val="en-US"/>
        </w:rPr>
        <mc:AlternateContent>
          <mc:Choice Requires="wpi">
            <w:drawing>
              <wp:anchor distT="0" distB="0" distL="114300" distR="114300" simplePos="0" relativeHeight="251664384" behindDoc="0" locked="0" layoutInCell="1" allowOverlap="1" wp14:anchorId="4EB43514" wp14:editId="5F19FB7F">
                <wp:simplePos x="0" y="0"/>
                <wp:positionH relativeFrom="column">
                  <wp:posOffset>1275715</wp:posOffset>
                </wp:positionH>
                <wp:positionV relativeFrom="paragraph">
                  <wp:posOffset>38100</wp:posOffset>
                </wp:positionV>
                <wp:extent cx="1564005" cy="351155"/>
                <wp:effectExtent l="38100" t="38100" r="36195" b="48895"/>
                <wp:wrapNone/>
                <wp:docPr id="1406264067" name="Ink 6"/>
                <wp:cNvGraphicFramePr/>
                <a:graphic xmlns:a="http://schemas.openxmlformats.org/drawingml/2006/main">
                  <a:graphicData uri="http://schemas.microsoft.com/office/word/2010/wordprocessingInk">
                    <w14:contentPart bwMode="auto" r:id="rId8">
                      <w14:nvContentPartPr>
                        <w14:cNvContentPartPr/>
                      </w14:nvContentPartPr>
                      <w14:xfrm>
                        <a:off x="0" y="0"/>
                        <a:ext cx="1564005" cy="351155"/>
                      </w14:xfrm>
                    </w14:contentPart>
                  </a:graphicData>
                </a:graphic>
              </wp:anchor>
            </w:drawing>
          </mc:Choice>
          <mc:Fallback>
            <w:pict>
              <v:shapetype w14:anchorId="32BB92B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6" o:spid="_x0000_s1026" type="#_x0000_t75" style="position:absolute;margin-left:100.1pt;margin-top:2.65pt;width:123.85pt;height:28.3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">
                <v:imagedata r:id="rId9" o:title=""/>
              </v:shape>
            </w:pict>
          </mc:Fallback>
        </mc:AlternateContent>
      </w:r>
      <w:r>
        <w:rPr>
          <w:rFonts w:ascii="Arial" w:eastAsia="Times New Roman" w:hAnsi="Arial" w:cs="Arial"/>
          <w:noProof/>
          <w:sz w:val="24"/>
          <w:szCs w:val="24"/>
          <w:lang w:val="en-US"/>
        </w:rPr>
        <mc:AlternateContent>
          <mc:Choice Requires="wpi">
            <w:drawing>
              <wp:anchor distT="0" distB="0" distL="114300" distR="114300" simplePos="0" relativeHeight="251661312" behindDoc="0" locked="0" layoutInCell="1" allowOverlap="1" wp14:anchorId="69058B65" wp14:editId="1D30DC6E">
                <wp:simplePos x="0" y="0"/>
                <wp:positionH relativeFrom="column">
                  <wp:posOffset>1244380</wp:posOffset>
                </wp:positionH>
                <wp:positionV relativeFrom="paragraph">
                  <wp:posOffset>136195</wp:posOffset>
                </wp:positionV>
                <wp:extent cx="28080" cy="219240"/>
                <wp:effectExtent l="38100" t="38100" r="48260" b="47625"/>
                <wp:wrapNone/>
                <wp:docPr id="1654440059" name="Ink 3"/>
                <wp:cNvGraphicFramePr/>
                <a:graphic xmlns:a="http://schemas.openxmlformats.org/drawingml/2006/main">
                  <a:graphicData uri="http://schemas.microsoft.com/office/word/2010/wordprocessingInk">
                    <w14:contentPart bwMode="auto" r:id="rId10">
                      <w14:nvContentPartPr>
                        <w14:cNvContentPartPr/>
                      </w14:nvContentPartPr>
                      <w14:xfrm>
                        <a:off x="0" y="0"/>
                        <a:ext cx="28080" cy="219240"/>
                      </w14:xfrm>
                    </w14:contentPart>
                  </a:graphicData>
                </a:graphic>
              </wp:anchor>
            </w:drawing>
          </mc:Choice>
          <mc:Fallback>
            <w:pict>
              <v:shape w14:anchorId="7C8CA158" id="Ink 3" o:spid="_x0000_s1026" type="#_x0000_t75" style="position:absolute;margin-left:97.65pt;margin-top:10.35pt;width:2.9pt;height:17.9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">
                <v:imagedata r:id="rId11" o:title=""/>
              </v:shape>
            </w:pict>
          </mc:Fallback>
        </mc:AlternateContent>
      </w:r>
      <w:r>
        <w:rPr>
          <w:rFonts w:ascii="Arial" w:eastAsia="Times New Roman" w:hAnsi="Arial" w:cs="Arial"/>
          <w:noProof/>
          <w:sz w:val="24"/>
          <w:szCs w:val="24"/>
          <w:lang w:val="en-US"/>
        </w:rPr>
        <mc:AlternateContent>
          <mc:Choice Requires="wpi">
            <w:drawing>
              <wp:anchor distT="0" distB="0" distL="114300" distR="114300" simplePos="0" relativeHeight="251660288" behindDoc="0" locked="0" layoutInCell="1" allowOverlap="1" wp14:anchorId="6A3C4425" wp14:editId="0F398E3D">
                <wp:simplePos x="0" y="0"/>
                <wp:positionH relativeFrom="column">
                  <wp:posOffset>1040980</wp:posOffset>
                </wp:positionH>
                <wp:positionV relativeFrom="paragraph">
                  <wp:posOffset>129715</wp:posOffset>
                </wp:positionV>
                <wp:extent cx="375120" cy="6840"/>
                <wp:effectExtent l="38100" t="38100" r="44450" b="31750"/>
                <wp:wrapNone/>
                <wp:docPr id="1979189332" name="Ink 2"/>
                <wp:cNvGraphicFramePr/>
                <a:graphic xmlns:a="http://schemas.openxmlformats.org/drawingml/2006/main">
                  <a:graphicData uri="http://schemas.microsoft.com/office/word/2010/wordprocessingInk">
                    <w14:contentPart bwMode="auto" r:id="rId12">
                      <w14:nvContentPartPr>
                        <w14:cNvContentPartPr/>
                      </w14:nvContentPartPr>
                      <w14:xfrm>
                        <a:off x="0" y="0"/>
                        <a:ext cx="375120" cy="6840"/>
                      </w14:xfrm>
                    </w14:contentPart>
                  </a:graphicData>
                </a:graphic>
              </wp:anchor>
            </w:drawing>
          </mc:Choice>
          <mc:Fallback>
            <w:pict>
              <v:shape w14:anchorId="5078085C" id="Ink 2" o:spid="_x0000_s1026" type="#_x0000_t75" style="position:absolute;margin-left:81.6pt;margin-top:9.85pt;width:30.25pt;height:1.2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">
                <v:imagedata r:id="rId13" o:title=""/>
              </v:shape>
            </w:pict>
          </mc:Fallback>
        </mc:AlternateContent>
      </w:r>
    </w:p>
    <w:p w14:paraId="054961AC" w14:textId="208254DE" w:rsidR="00EB54E5" w:rsidRDefault="00EB54E5" w:rsidP="00EB54E5">
      <w:pPr>
        <w:spacing w:line="360" w:lineRule="auto"/>
        <w:rPr>
          <w:rFonts w:ascii="Arial" w:eastAsia="Times New Roman" w:hAnsi="Arial" w:cs="Arial"/>
          <w:sz w:val="24"/>
          <w:szCs w:val="24"/>
          <w:lang w:val="en-US"/>
        </w:rPr>
      </w:pPr>
      <w:r>
        <w:rPr>
          <w:rFonts w:ascii="Arial" w:eastAsia="Times New Roman" w:hAnsi="Arial" w:cs="Arial"/>
          <w:sz w:val="24"/>
          <w:szCs w:val="24"/>
          <w:lang w:val="en-US" w:eastAsia="zh-CN" w:bidi="ar"/>
        </w:rPr>
        <w:t>Signed……………………………………………</w:t>
      </w:r>
    </w:p>
    <w:p w14:paraId="6B34C5C2" w14:textId="77777777" w:rsidR="00EB54E5" w:rsidRDefault="00EB54E5" w:rsidP="00EB54E5">
      <w:pPr>
        <w:spacing w:line="360" w:lineRule="auto"/>
        <w:rPr>
          <w:rFonts w:ascii="Arial" w:eastAsia="Times New Roman" w:hAnsi="Arial" w:cs="Arial"/>
          <w:sz w:val="24"/>
          <w:szCs w:val="24"/>
          <w:lang w:val="en-US"/>
        </w:rPr>
      </w:pPr>
    </w:p>
    <w:p w14:paraId="6293837F" w14:textId="77777777" w:rsidR="00EB54E5" w:rsidRDefault="00EB54E5" w:rsidP="00EB54E5">
      <w:pPr>
        <w:spacing w:line="360" w:lineRule="auto"/>
        <w:rPr>
          <w:rFonts w:ascii="Arial" w:eastAsia="Times New Roman" w:hAnsi="Arial" w:cs="Arial"/>
          <w:sz w:val="24"/>
          <w:szCs w:val="24"/>
          <w:lang w:val="en-US"/>
        </w:rPr>
      </w:pPr>
    </w:p>
    <w:p w14:paraId="50288377" w14:textId="1317A85C" w:rsidR="00EB54E5" w:rsidRDefault="00EB54E5" w:rsidP="00EB54E5">
      <w:pPr>
        <w:spacing w:line="360" w:lineRule="auto"/>
        <w:rPr>
          <w:rFonts w:ascii="Arial" w:eastAsia="Times New Roman" w:hAnsi="Arial" w:cs="Arial"/>
          <w:sz w:val="24"/>
          <w:szCs w:val="24"/>
          <w:lang w:val="en-US"/>
        </w:rPr>
      </w:pPr>
      <w:r>
        <w:rPr>
          <w:rFonts w:ascii="Arial" w:eastAsia="Times New Roman" w:hAnsi="Arial" w:cs="Arial"/>
          <w:sz w:val="24"/>
          <w:szCs w:val="24"/>
          <w:lang w:val="en-US" w:eastAsia="zh-CN" w:bidi="ar"/>
        </w:rPr>
        <w:t>Date……</w:t>
      </w:r>
      <w:r w:rsidR="00DC17E7">
        <w:rPr>
          <w:rFonts w:ascii="Arial" w:eastAsia="Times New Roman" w:hAnsi="Arial" w:cs="Arial"/>
          <w:sz w:val="24"/>
          <w:szCs w:val="24"/>
          <w:lang w:val="en-US" w:eastAsia="zh-CN" w:bidi="ar"/>
        </w:rPr>
        <w:t>15-12-2025</w:t>
      </w:r>
      <w:r>
        <w:rPr>
          <w:rFonts w:ascii="Arial" w:eastAsia="Times New Roman" w:hAnsi="Arial" w:cs="Arial"/>
          <w:sz w:val="24"/>
          <w:szCs w:val="24"/>
          <w:lang w:val="en-US" w:eastAsia="zh-CN" w:bidi="ar"/>
        </w:rPr>
        <w:t>…………………………………………</w:t>
      </w:r>
    </w:p>
    <w:p w14:paraId="3D484E63" w14:textId="77777777" w:rsidR="00EB54E5" w:rsidRDefault="00EB54E5" w:rsidP="00EB54E5">
      <w:pPr>
        <w:rPr>
          <w:sz w:val="24"/>
          <w:szCs w:val="24"/>
          <w:lang w:val="en-US"/>
        </w:rPr>
      </w:pPr>
    </w:p>
    <w:p w14:paraId="19F403DC" w14:textId="77777777" w:rsidR="00EB54E5" w:rsidRDefault="00EB54E5" w:rsidP="00EB54E5">
      <w:pPr>
        <w:rPr>
          <w:sz w:val="24"/>
          <w:szCs w:val="24"/>
          <w:lang w:val="en-US"/>
        </w:rPr>
      </w:pPr>
    </w:p>
    <w:p w14:paraId="4144C4DF" w14:textId="77777777" w:rsidR="00EB54E5" w:rsidRDefault="00EB54E5" w:rsidP="00EB54E5">
      <w:pPr>
        <w:spacing w:line="360" w:lineRule="auto"/>
        <w:rPr>
          <w:rFonts w:ascii="Arial" w:eastAsia="Times New Roman" w:hAnsi="Arial" w:cs="Arial"/>
          <w:bCs/>
          <w:kern w:val="32"/>
          <w:sz w:val="24"/>
          <w:szCs w:val="24"/>
          <w:lang w:val="en-US"/>
        </w:rPr>
      </w:pPr>
      <w:r>
        <w:rPr>
          <w:rFonts w:ascii="Arial" w:eastAsia="Times New Roman" w:hAnsi="Arial" w:cs="Arial"/>
          <w:b/>
          <w:sz w:val="24"/>
          <w:szCs w:val="24"/>
          <w:lang w:val="en-US" w:eastAsia="zh-CN" w:bidi="ar"/>
        </w:rPr>
        <w:t xml:space="preserve">STATEMENT 1 </w:t>
      </w:r>
    </w:p>
    <w:p w14:paraId="06417076" w14:textId="4B9D522A" w:rsidR="00EB54E5" w:rsidRDefault="00DA4322" w:rsidP="00EB54E5">
      <w:pPr>
        <w:spacing w:line="360" w:lineRule="auto"/>
        <w:rPr>
          <w:rFonts w:ascii="Arial" w:eastAsia="Times New Roman" w:hAnsi="Arial" w:cs="Arial"/>
          <w:sz w:val="24"/>
          <w:szCs w:val="24"/>
          <w:lang w:val="en-US"/>
        </w:rPr>
      </w:pPr>
      <w:r>
        <w:rPr>
          <w:rFonts w:ascii="Arial" w:eastAsia="Times New Roman" w:hAnsi="Arial" w:cs="Arial"/>
          <w:noProof/>
          <w:sz w:val="24"/>
          <w:szCs w:val="24"/>
          <w:lang w:val="en-US" w:eastAsia="zh-CN" w:bidi="ar"/>
        </w:rPr>
        <mc:AlternateContent>
          <mc:Choice Requires="wpi">
            <w:drawing>
              <wp:anchor distT="0" distB="0" distL="114300" distR="114300" simplePos="0" relativeHeight="251676672" behindDoc="0" locked="0" layoutInCell="1" allowOverlap="1" wp14:anchorId="6D65E26E" wp14:editId="497AAD82">
                <wp:simplePos x="0" y="0"/>
                <wp:positionH relativeFrom="column">
                  <wp:posOffset>1155460</wp:posOffset>
                </wp:positionH>
                <wp:positionV relativeFrom="paragraph">
                  <wp:posOffset>491795</wp:posOffset>
                </wp:positionV>
                <wp:extent cx="360" cy="360"/>
                <wp:effectExtent l="38100" t="38100" r="38100" b="38100"/>
                <wp:wrapNone/>
                <wp:docPr id="417906332" name="Ink 47"/>
                <wp:cNvGraphicFramePr/>
                <a:graphic xmlns:a="http://schemas.openxmlformats.org/drawingml/2006/main">
                  <a:graphicData uri="http://schemas.microsoft.com/office/word/2010/wordprocessingInk">
                    <w14:contentPart bwMode="auto" r:id="rId14">
                      <w14:nvContentPartPr>
                        <w14:cNvContentPartPr/>
                      </w14:nvContentPartPr>
                      <w14:xfrm>
                        <a:off x="0" y="0"/>
                        <a:ext cx="360" cy="360"/>
                      </w14:xfrm>
                    </w14:contentPart>
                  </a:graphicData>
                </a:graphic>
              </wp:anchor>
            </w:drawing>
          </mc:Choice>
          <mc:Fallback>
            <w:pict>
              <v:shape w14:anchorId="056A75B0" id="Ink 47" o:spid="_x0000_s1026" type="#_x0000_t75" style="position:absolute;margin-left:90.5pt;margin-top:38.2pt;width:1.05pt;height:1.05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">
                <v:imagedata r:id="rId15" o:title=""/>
              </v:shape>
            </w:pict>
          </mc:Fallback>
        </mc:AlternateContent>
      </w:r>
      <w:r w:rsidR="00EB54E5">
        <w:rPr>
          <w:rFonts w:ascii="Arial" w:eastAsia="Times New Roman" w:hAnsi="Arial" w:cs="Arial"/>
          <w:sz w:val="24"/>
          <w:szCs w:val="24"/>
          <w:lang w:val="en-US" w:eastAsia="zh-CN" w:bidi="ar"/>
        </w:rPr>
        <w:t>This dissertation is being submitted in partial fulfilment of the requirements for the degree of BSc.</w:t>
      </w:r>
    </w:p>
    <w:p w14:paraId="1784235B" w14:textId="3490D28E" w:rsidR="00EB54E5" w:rsidRDefault="00DC17E7" w:rsidP="00DA4322">
      <w:pPr>
        <w:tabs>
          <w:tab w:val="left" w:pos="1030"/>
        </w:tabs>
        <w:rPr>
          <w:sz w:val="24"/>
          <w:szCs w:val="24"/>
          <w:lang w:val="en-US"/>
        </w:rPr>
      </w:pPr>
      <w:r>
        <w:rPr>
          <w:noProof/>
          <w:sz w:val="24"/>
          <w:szCs w:val="24"/>
          <w:lang w:val="en-US"/>
        </w:rPr>
        <mc:AlternateContent>
          <mc:Choice Requires="wpi">
            <w:drawing>
              <wp:anchor distT="0" distB="0" distL="114300" distR="114300" simplePos="0" relativeHeight="251687936" behindDoc="0" locked="0" layoutInCell="1" allowOverlap="1" wp14:anchorId="4FEB652F" wp14:editId="1C937FB0">
                <wp:simplePos x="0" y="0"/>
                <wp:positionH relativeFrom="column">
                  <wp:posOffset>2240280</wp:posOffset>
                </wp:positionH>
                <wp:positionV relativeFrom="paragraph">
                  <wp:posOffset>99060</wp:posOffset>
                </wp:positionV>
                <wp:extent cx="141605" cy="185420"/>
                <wp:effectExtent l="38100" t="38100" r="48895" b="43180"/>
                <wp:wrapNone/>
                <wp:docPr id="1835179896" name="Ink 12"/>
                <wp:cNvGraphicFramePr/>
                <a:graphic xmlns:a="http://schemas.openxmlformats.org/drawingml/2006/main">
                  <a:graphicData uri="http://schemas.microsoft.com/office/word/2010/wordprocessingInk">
                    <w14:contentPart bwMode="auto" r:id="rId16">
                      <w14:nvContentPartPr>
                        <w14:cNvContentPartPr/>
                      </w14:nvContentPartPr>
                      <w14:xfrm>
                        <a:off x="0" y="0"/>
                        <a:ext cx="141605" cy="185420"/>
                      </w14:xfrm>
                    </w14:contentPart>
                  </a:graphicData>
                </a:graphic>
              </wp:anchor>
            </w:drawing>
          </mc:Choice>
          <mc:Fallback>
            <w:pict>
              <v:shapetype w14:anchorId="639F147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2" o:spid="_x0000_s1026" type="#_x0000_t75" style="position:absolute;margin-left:175.9pt;margin-top:7.3pt;width:12.1pt;height:15.55pt;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">
                <v:imagedata r:id="rId17" o:title=""/>
              </v:shape>
            </w:pict>
          </mc:Fallback>
        </mc:AlternateContent>
      </w:r>
      <w:r>
        <w:rPr>
          <w:noProof/>
          <w:sz w:val="24"/>
          <w:szCs w:val="24"/>
          <w:lang w:val="en-US"/>
        </w:rPr>
        <mc:AlternateContent>
          <mc:Choice Requires="wpi">
            <w:drawing>
              <wp:anchor distT="0" distB="0" distL="114300" distR="114300" simplePos="0" relativeHeight="251681792" behindDoc="0" locked="0" layoutInCell="1" allowOverlap="1" wp14:anchorId="4F5B1CAE" wp14:editId="0053F4E0">
                <wp:simplePos x="0" y="0"/>
                <wp:positionH relativeFrom="column">
                  <wp:posOffset>741100</wp:posOffset>
                </wp:positionH>
                <wp:positionV relativeFrom="paragraph">
                  <wp:posOffset>-107770</wp:posOffset>
                </wp:positionV>
                <wp:extent cx="1312560" cy="457920"/>
                <wp:effectExtent l="38100" t="38100" r="40005" b="37465"/>
                <wp:wrapNone/>
                <wp:docPr id="349179255" name="Ink 6"/>
                <wp:cNvGraphicFramePr/>
                <a:graphic xmlns:a="http://schemas.openxmlformats.org/drawingml/2006/main">
                  <a:graphicData uri="http://schemas.microsoft.com/office/word/2010/wordprocessingInk">
                    <w14:contentPart bwMode="auto" r:id="rId18">
                      <w14:nvContentPartPr>
                        <w14:cNvContentPartPr/>
                      </w14:nvContentPartPr>
                      <w14:xfrm>
                        <a:off x="0" y="0"/>
                        <a:ext cx="1312560" cy="457920"/>
                      </w14:xfrm>
                    </w14:contentPart>
                  </a:graphicData>
                </a:graphic>
              </wp:anchor>
            </w:drawing>
          </mc:Choice>
          <mc:Fallback>
            <w:pict>
              <v:shape w14:anchorId="77F2FC88" id="Ink 6" o:spid="_x0000_s1026" type="#_x0000_t75" style="position:absolute;margin-left:57.85pt;margin-top:-9pt;width:104.3pt;height:37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">
                <v:imagedata r:id="rId19" o:title=""/>
              </v:shape>
            </w:pict>
          </mc:Fallback>
        </mc:AlternateContent>
      </w:r>
      <w:r>
        <w:rPr>
          <w:noProof/>
          <w:sz w:val="24"/>
          <w:szCs w:val="24"/>
          <w:lang w:val="en-US"/>
        </w:rPr>
        <mc:AlternateContent>
          <mc:Choice Requires="wpi">
            <w:drawing>
              <wp:anchor distT="0" distB="0" distL="114300" distR="114300" simplePos="0" relativeHeight="251680768" behindDoc="0" locked="0" layoutInCell="1" allowOverlap="1" wp14:anchorId="2B7FA9EA" wp14:editId="2C098BB7">
                <wp:simplePos x="0" y="0"/>
                <wp:positionH relativeFrom="column">
                  <wp:posOffset>837940</wp:posOffset>
                </wp:positionH>
                <wp:positionV relativeFrom="paragraph">
                  <wp:posOffset>43070</wp:posOffset>
                </wp:positionV>
                <wp:extent cx="360" cy="228960"/>
                <wp:effectExtent l="38100" t="38100" r="38100" b="38100"/>
                <wp:wrapNone/>
                <wp:docPr id="1748680419" name="Ink 5"/>
                <wp:cNvGraphicFramePr/>
                <a:graphic xmlns:a="http://schemas.openxmlformats.org/drawingml/2006/main">
                  <a:graphicData uri="http://schemas.microsoft.com/office/word/2010/wordprocessingInk">
                    <w14:contentPart bwMode="auto" r:id="rId20">
                      <w14:nvContentPartPr>
                        <w14:cNvContentPartPr/>
                      </w14:nvContentPartPr>
                      <w14:xfrm>
                        <a:off x="0" y="0"/>
                        <a:ext cx="360" cy="228960"/>
                      </w14:xfrm>
                    </w14:contentPart>
                  </a:graphicData>
                </a:graphic>
              </wp:anchor>
            </w:drawing>
          </mc:Choice>
          <mc:Fallback>
            <w:pict>
              <v:shape w14:anchorId="73E04DFE" id="Ink 5" o:spid="_x0000_s1026" type="#_x0000_t75" style="position:absolute;margin-left:65.5pt;margin-top:2.9pt;width:1.05pt;height:19.05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">
                <v:imagedata r:id="rId21" o:title=""/>
              </v:shape>
            </w:pict>
          </mc:Fallback>
        </mc:AlternateContent>
      </w:r>
      <w:r>
        <w:rPr>
          <w:noProof/>
          <w:sz w:val="24"/>
          <w:szCs w:val="24"/>
          <w:lang w:val="en-US"/>
        </w:rPr>
        <mc:AlternateContent>
          <mc:Choice Requires="wpi">
            <w:drawing>
              <wp:anchor distT="0" distB="0" distL="114300" distR="114300" simplePos="0" relativeHeight="251678720" behindDoc="0" locked="0" layoutInCell="1" allowOverlap="1" wp14:anchorId="67468B21" wp14:editId="5229B250">
                <wp:simplePos x="0" y="0"/>
                <wp:positionH relativeFrom="column">
                  <wp:posOffset>837940</wp:posOffset>
                </wp:positionH>
                <wp:positionV relativeFrom="paragraph">
                  <wp:posOffset>87350</wp:posOffset>
                </wp:positionV>
                <wp:extent cx="360" cy="360"/>
                <wp:effectExtent l="38100" t="38100" r="38100" b="38100"/>
                <wp:wrapNone/>
                <wp:docPr id="38411882" name="Ink 3"/>
                <wp:cNvGraphicFramePr/>
                <a:graphic xmlns:a="http://schemas.openxmlformats.org/drawingml/2006/main">
                  <a:graphicData uri="http://schemas.microsoft.com/office/word/2010/wordprocessingInk">
                    <w14:contentPart bwMode="auto" r:id="rId22">
                      <w14:nvContentPartPr>
                        <w14:cNvContentPartPr/>
                      </w14:nvContentPartPr>
                      <w14:xfrm>
                        <a:off x="0" y="0"/>
                        <a:ext cx="360" cy="360"/>
                      </w14:xfrm>
                    </w14:contentPart>
                  </a:graphicData>
                </a:graphic>
              </wp:anchor>
            </w:drawing>
          </mc:Choice>
          <mc:Fallback>
            <w:pict>
              <v:shape w14:anchorId="7EBC8B38" id="Ink 3" o:spid="_x0000_s1026" type="#_x0000_t75" style="position:absolute;margin-left:65.5pt;margin-top:6.4pt;width:1.05pt;height:1.0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">
                <v:imagedata r:id="rId23" o:title=""/>
              </v:shape>
            </w:pict>
          </mc:Fallback>
        </mc:AlternateContent>
      </w:r>
      <w:r>
        <w:rPr>
          <w:noProof/>
          <w:sz w:val="24"/>
          <w:szCs w:val="24"/>
          <w:lang w:val="en-US"/>
        </w:rPr>
        <mc:AlternateContent>
          <mc:Choice Requires="wpi">
            <w:drawing>
              <wp:anchor distT="0" distB="0" distL="114300" distR="114300" simplePos="0" relativeHeight="251677696" behindDoc="0" locked="0" layoutInCell="1" allowOverlap="1" wp14:anchorId="3B3768E1" wp14:editId="1AA79901">
                <wp:simplePos x="0" y="0"/>
                <wp:positionH relativeFrom="column">
                  <wp:posOffset>647500</wp:posOffset>
                </wp:positionH>
                <wp:positionV relativeFrom="paragraph">
                  <wp:posOffset>23990</wp:posOffset>
                </wp:positionV>
                <wp:extent cx="318240" cy="44640"/>
                <wp:effectExtent l="38100" t="38100" r="5715" b="50800"/>
                <wp:wrapNone/>
                <wp:docPr id="108402240" name="Ink 2"/>
                <wp:cNvGraphicFramePr/>
                <a:graphic xmlns:a="http://schemas.openxmlformats.org/drawingml/2006/main">
                  <a:graphicData uri="http://schemas.microsoft.com/office/word/2010/wordprocessingInk">
                    <w14:contentPart bwMode="auto" r:id="rId24">
                      <w14:nvContentPartPr>
                        <w14:cNvContentPartPr/>
                      </w14:nvContentPartPr>
                      <w14:xfrm>
                        <a:off x="0" y="0"/>
                        <a:ext cx="318240" cy="44640"/>
                      </w14:xfrm>
                    </w14:contentPart>
                  </a:graphicData>
                </a:graphic>
              </wp:anchor>
            </w:drawing>
          </mc:Choice>
          <mc:Fallback>
            <w:pict>
              <v:shape w14:anchorId="7D81164E" id="Ink 2" o:spid="_x0000_s1026" type="#_x0000_t75" style="position:absolute;margin-left:50.5pt;margin-top:1.4pt;width:26pt;height:4.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">
                <v:imagedata r:id="rId25" o:title=""/>
              </v:shape>
            </w:pict>
          </mc:Fallback>
        </mc:AlternateContent>
      </w:r>
      <w:r w:rsidR="00DA4322">
        <w:rPr>
          <w:noProof/>
          <w:sz w:val="24"/>
          <w:szCs w:val="24"/>
          <w:lang w:val="en-US"/>
        </w:rPr>
        <mc:AlternateContent>
          <mc:Choice Requires="wpi">
            <w:drawing>
              <wp:anchor distT="0" distB="0" distL="114300" distR="114300" simplePos="0" relativeHeight="251675648" behindDoc="0" locked="0" layoutInCell="1" allowOverlap="1" wp14:anchorId="6EDC1BCE" wp14:editId="7BD7BB82">
                <wp:simplePos x="0" y="0"/>
                <wp:positionH relativeFrom="column">
                  <wp:posOffset>1117300</wp:posOffset>
                </wp:positionH>
                <wp:positionV relativeFrom="paragraph">
                  <wp:posOffset>62050</wp:posOffset>
                </wp:positionV>
                <wp:extent cx="360" cy="360"/>
                <wp:effectExtent l="38100" t="38100" r="38100" b="38100"/>
                <wp:wrapNone/>
                <wp:docPr id="824633155" name="Ink 46"/>
                <wp:cNvGraphicFramePr/>
                <a:graphic xmlns:a="http://schemas.openxmlformats.org/drawingml/2006/main">
                  <a:graphicData uri="http://schemas.microsoft.com/office/word/2010/wordprocessingInk">
                    <w14:contentPart bwMode="auto" r:id="rId26">
                      <w14:nvContentPartPr>
                        <w14:cNvContentPartPr/>
                      </w14:nvContentPartPr>
                      <w14:xfrm>
                        <a:off x="0" y="0"/>
                        <a:ext cx="360" cy="360"/>
                      </w14:xfrm>
                    </w14:contentPart>
                  </a:graphicData>
                </a:graphic>
              </wp:anchor>
            </w:drawing>
          </mc:Choice>
          <mc:Fallback>
            <w:pict>
              <v:shape w14:anchorId="5AFD521F" id="Ink 46" o:spid="_x0000_s1026" type="#_x0000_t75" style="position:absolute;margin-left:87.5pt;margin-top:4.4pt;width:1.05pt;height:1.05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">
                <v:imagedata r:id="rId15" o:title=""/>
              </v:shape>
            </w:pict>
          </mc:Fallback>
        </mc:AlternateContent>
      </w:r>
      <w:r w:rsidR="00DA4322">
        <w:rPr>
          <w:noProof/>
          <w:sz w:val="24"/>
          <w:szCs w:val="24"/>
          <w:lang w:val="en-US"/>
        </w:rPr>
        <mc:AlternateContent>
          <mc:Choice Requires="wpi">
            <w:drawing>
              <wp:anchor distT="0" distB="0" distL="114300" distR="114300" simplePos="0" relativeHeight="251674624" behindDoc="0" locked="0" layoutInCell="1" allowOverlap="1" wp14:anchorId="6ADB1490" wp14:editId="5C314949">
                <wp:simplePos x="0" y="0"/>
                <wp:positionH relativeFrom="column">
                  <wp:posOffset>1079140</wp:posOffset>
                </wp:positionH>
                <wp:positionV relativeFrom="paragraph">
                  <wp:posOffset>55570</wp:posOffset>
                </wp:positionV>
                <wp:extent cx="360" cy="360"/>
                <wp:effectExtent l="38100" t="38100" r="38100" b="38100"/>
                <wp:wrapNone/>
                <wp:docPr id="977115819" name="Ink 45"/>
                <wp:cNvGraphicFramePr/>
                <a:graphic xmlns:a="http://schemas.openxmlformats.org/drawingml/2006/main">
                  <a:graphicData uri="http://schemas.microsoft.com/office/word/2010/wordprocessingInk">
                    <w14:contentPart bwMode="auto" r:id="rId27">
                      <w14:nvContentPartPr>
                        <w14:cNvContentPartPr/>
                      </w14:nvContentPartPr>
                      <w14:xfrm>
                        <a:off x="0" y="0"/>
                        <a:ext cx="360" cy="360"/>
                      </w14:xfrm>
                    </w14:contentPart>
                  </a:graphicData>
                </a:graphic>
              </wp:anchor>
            </w:drawing>
          </mc:Choice>
          <mc:Fallback>
            <w:pict>
              <v:shape w14:anchorId="1F92B649" id="Ink 45" o:spid="_x0000_s1026" type="#_x0000_t75" style="position:absolute;margin-left:84.6pt;margin-top:4.05pt;width:.75pt;height:.75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">
                <v:imagedata r:id="rId28" o:title=""/>
              </v:shape>
            </w:pict>
          </mc:Fallback>
        </mc:AlternateContent>
      </w:r>
      <w:r w:rsidR="00DA4322">
        <w:rPr>
          <w:noProof/>
          <w:sz w:val="24"/>
          <w:szCs w:val="24"/>
          <w:lang w:val="en-US"/>
        </w:rPr>
        <mc:AlternateContent>
          <mc:Choice Requires="wpi">
            <w:drawing>
              <wp:anchor distT="0" distB="0" distL="114300" distR="114300" simplePos="0" relativeHeight="251673600" behindDoc="0" locked="0" layoutInCell="1" allowOverlap="1" wp14:anchorId="6C0BA090" wp14:editId="5681AD3F">
                <wp:simplePos x="0" y="0"/>
                <wp:positionH relativeFrom="column">
                  <wp:posOffset>1066540</wp:posOffset>
                </wp:positionH>
                <wp:positionV relativeFrom="paragraph">
                  <wp:posOffset>87250</wp:posOffset>
                </wp:positionV>
                <wp:extent cx="360" cy="360"/>
                <wp:effectExtent l="38100" t="38100" r="38100" b="38100"/>
                <wp:wrapNone/>
                <wp:docPr id="349768750" name="Ink 44"/>
                <wp:cNvGraphicFramePr/>
                <a:graphic xmlns:a="http://schemas.openxmlformats.org/drawingml/2006/main">
                  <a:graphicData uri="http://schemas.microsoft.com/office/word/2010/wordprocessingInk">
                    <w14:contentPart bwMode="auto" r:id="rId29">
                      <w14:nvContentPartPr>
                        <w14:cNvContentPartPr/>
                      </w14:nvContentPartPr>
                      <w14:xfrm>
                        <a:off x="0" y="0"/>
                        <a:ext cx="360" cy="360"/>
                      </w14:xfrm>
                    </w14:contentPart>
                  </a:graphicData>
                </a:graphic>
              </wp:anchor>
            </w:drawing>
          </mc:Choice>
          <mc:Fallback>
            <w:pict>
              <v:shape w14:anchorId="5FDD240C" id="Ink 44" o:spid="_x0000_s1026" type="#_x0000_t75" style="position:absolute;margin-left:83.65pt;margin-top:6.5pt;width:.75pt;height:.75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">
                <v:imagedata r:id="rId28" o:title=""/>
              </v:shape>
            </w:pict>
          </mc:Fallback>
        </mc:AlternateContent>
      </w:r>
      <w:r w:rsidR="00DA4322">
        <w:rPr>
          <w:noProof/>
          <w:sz w:val="24"/>
          <w:szCs w:val="24"/>
          <w:lang w:val="en-US"/>
        </w:rPr>
        <mc:AlternateContent>
          <mc:Choice Requires="wpi">
            <w:drawing>
              <wp:anchor distT="0" distB="0" distL="114300" distR="114300" simplePos="0" relativeHeight="251671552" behindDoc="0" locked="0" layoutInCell="1" allowOverlap="1" wp14:anchorId="69A645C0" wp14:editId="03DFF1ED">
                <wp:simplePos x="0" y="0"/>
                <wp:positionH relativeFrom="column">
                  <wp:posOffset>1193620</wp:posOffset>
                </wp:positionH>
                <wp:positionV relativeFrom="paragraph">
                  <wp:posOffset>93850</wp:posOffset>
                </wp:positionV>
                <wp:extent cx="360" cy="360"/>
                <wp:effectExtent l="38100" t="38100" r="38100" b="38100"/>
                <wp:wrapNone/>
                <wp:docPr id="999139031" name="Ink 32"/>
                <wp:cNvGraphicFramePr/>
                <a:graphic xmlns:a="http://schemas.openxmlformats.org/drawingml/2006/main">
                  <a:graphicData uri="http://schemas.microsoft.com/office/word/2010/wordprocessingInk">
                    <w14:contentPart bwMode="auto" r:id="rId30">
                      <w14:nvContentPartPr>
                        <w14:cNvContentPartPr/>
                      </w14:nvContentPartPr>
                      <w14:xfrm>
                        <a:off x="0" y="0"/>
                        <a:ext cx="360" cy="360"/>
                      </w14:xfrm>
                    </w14:contentPart>
                  </a:graphicData>
                </a:graphic>
              </wp:anchor>
            </w:drawing>
          </mc:Choice>
          <mc:Fallback>
            <w:pict>
              <v:shape w14:anchorId="450258CD" id="Ink 32" o:spid="_x0000_s1026" type="#_x0000_t75" style="position:absolute;margin-left:93.65pt;margin-top:7.05pt;width:.75pt;height:.75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">
                <v:imagedata r:id="rId28" o:title=""/>
              </v:shape>
            </w:pict>
          </mc:Fallback>
        </mc:AlternateContent>
      </w:r>
      <w:r w:rsidR="00DE33AF">
        <w:rPr>
          <w:noProof/>
          <w:sz w:val="24"/>
          <w:szCs w:val="24"/>
          <w:lang w:val="en-US"/>
        </w:rPr>
        <mc:AlternateContent>
          <mc:Choice Requires="wpi">
            <w:drawing>
              <wp:anchor distT="0" distB="0" distL="114300" distR="114300" simplePos="0" relativeHeight="251670528" behindDoc="0" locked="0" layoutInCell="1" allowOverlap="1" wp14:anchorId="52AA9FAA" wp14:editId="3B4F535E">
                <wp:simplePos x="0" y="0"/>
                <wp:positionH relativeFrom="column">
                  <wp:posOffset>2050325</wp:posOffset>
                </wp:positionH>
                <wp:positionV relativeFrom="paragraph">
                  <wp:posOffset>315460</wp:posOffset>
                </wp:positionV>
                <wp:extent cx="360" cy="360"/>
                <wp:effectExtent l="38100" t="38100" r="38100" b="38100"/>
                <wp:wrapNone/>
                <wp:docPr id="273459730" name="Ink 17"/>
                <wp:cNvGraphicFramePr/>
                <a:graphic xmlns:a="http://schemas.openxmlformats.org/drawingml/2006/main">
                  <a:graphicData uri="http://schemas.microsoft.com/office/word/2010/wordprocessingInk">
                    <w14:contentPart bwMode="auto" r:id="rId31">
                      <w14:nvContentPartPr>
                        <w14:cNvContentPartPr/>
                      </w14:nvContentPartPr>
                      <w14:xfrm>
                        <a:off x="0" y="0"/>
                        <a:ext cx="360" cy="360"/>
                      </w14:xfrm>
                    </w14:contentPart>
                  </a:graphicData>
                </a:graphic>
                <wp14:sizeRelH relativeFrom="margin">
                  <wp14:pctWidth>0</wp14:pctWidth>
                </wp14:sizeRelH>
                <wp14:sizeRelV relativeFrom="margin">
                  <wp14:pctHeight>0</wp14:pctHeight>
                </wp14:sizeRelV>
              </wp:anchor>
            </w:drawing>
          </mc:Choice>
          <mc:Fallback>
            <w:pict>
              <v:shape w14:anchorId="64F8AADE" id="Ink 17" o:spid="_x0000_s1026" type="#_x0000_t75" style="position:absolute;margin-left:161.1pt;margin-top:24.5pt;width:.75pt;height:.7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">
                <v:imagedata r:id="rId28" o:title=""/>
              </v:shape>
            </w:pict>
          </mc:Fallback>
        </mc:AlternateContent>
      </w:r>
      <w:r w:rsidR="00DA4322">
        <w:rPr>
          <w:sz w:val="24"/>
          <w:szCs w:val="24"/>
          <w:lang w:val="en-US"/>
        </w:rPr>
        <w:tab/>
      </w:r>
    </w:p>
    <w:p w14:paraId="434D0E49" w14:textId="3D257E1B" w:rsidR="00EB54E5" w:rsidRDefault="00DC17E7" w:rsidP="00EB54E5">
      <w:pPr>
        <w:spacing w:line="360" w:lineRule="auto"/>
        <w:rPr>
          <w:rFonts w:ascii="Arial" w:eastAsia="Times New Roman" w:hAnsi="Arial" w:cs="Arial"/>
          <w:sz w:val="24"/>
          <w:szCs w:val="24"/>
          <w:lang w:val="en-US"/>
        </w:rPr>
      </w:pPr>
      <w:r>
        <w:rPr>
          <w:rFonts w:ascii="Arial" w:eastAsia="Times New Roman" w:hAnsi="Arial" w:cs="Arial"/>
          <w:noProof/>
          <w:sz w:val="24"/>
          <w:szCs w:val="24"/>
          <w:lang w:val="en-US" w:eastAsia="zh-CN" w:bidi="ar"/>
        </w:rPr>
        <mc:AlternateContent>
          <mc:Choice Requires="wpi">
            <w:drawing>
              <wp:anchor distT="0" distB="0" distL="114300" distR="114300" simplePos="0" relativeHeight="251684864" behindDoc="0" locked="0" layoutInCell="1" allowOverlap="1" wp14:anchorId="4F4CA7D0" wp14:editId="735702EC">
                <wp:simplePos x="0" y="0"/>
                <wp:positionH relativeFrom="column">
                  <wp:posOffset>2054860</wp:posOffset>
                </wp:positionH>
                <wp:positionV relativeFrom="paragraph">
                  <wp:posOffset>-54610</wp:posOffset>
                </wp:positionV>
                <wp:extent cx="173520" cy="134195"/>
                <wp:effectExtent l="38100" t="38100" r="36195" b="37465"/>
                <wp:wrapNone/>
                <wp:docPr id="165610840" name="Ink 9"/>
                <wp:cNvGraphicFramePr/>
                <a:graphic xmlns:a="http://schemas.openxmlformats.org/drawingml/2006/main">
                  <a:graphicData uri="http://schemas.microsoft.com/office/word/2010/wordprocessingInk">
                    <w14:contentPart bwMode="auto" r:id="rId32">
                      <w14:nvContentPartPr>
                        <w14:cNvContentPartPr/>
                      </w14:nvContentPartPr>
                      <w14:xfrm>
                        <a:off x="0" y="0"/>
                        <a:ext cx="173520" cy="134195"/>
                      </w14:xfrm>
                    </w14:contentPart>
                  </a:graphicData>
                </a:graphic>
              </wp:anchor>
            </w:drawing>
          </mc:Choice>
          <mc:Fallback>
            <w:pict>
              <v:shape w14:anchorId="18669A8D" id="Ink 9" o:spid="_x0000_s1026" type="#_x0000_t75" style="position:absolute;margin-left:161.3pt;margin-top:-4.8pt;width:14.65pt;height:11.55pt;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">
                <v:imagedata r:id="rId33" o:title=""/>
              </v:shape>
            </w:pict>
          </mc:Fallback>
        </mc:AlternateContent>
      </w:r>
      <w:r w:rsidR="00EB54E5">
        <w:rPr>
          <w:rFonts w:ascii="Arial" w:eastAsia="Times New Roman" w:hAnsi="Arial" w:cs="Arial"/>
          <w:sz w:val="24"/>
          <w:szCs w:val="24"/>
          <w:lang w:val="en-US" w:eastAsia="zh-CN" w:bidi="ar"/>
        </w:rPr>
        <w:t xml:space="preserve">Signed……………………………………………. </w:t>
      </w:r>
    </w:p>
    <w:p w14:paraId="7E29D125" w14:textId="77777777" w:rsidR="00EB54E5" w:rsidRDefault="00EB54E5" w:rsidP="00EB54E5">
      <w:pPr>
        <w:spacing w:line="360" w:lineRule="auto"/>
        <w:rPr>
          <w:rFonts w:ascii="Arial" w:eastAsia="Times New Roman" w:hAnsi="Arial" w:cs="Arial"/>
          <w:sz w:val="24"/>
          <w:szCs w:val="24"/>
          <w:lang w:val="en-US"/>
        </w:rPr>
      </w:pPr>
    </w:p>
    <w:p w14:paraId="25497559" w14:textId="77777777" w:rsidR="00EB54E5" w:rsidRDefault="00EB54E5" w:rsidP="00EB54E5">
      <w:pPr>
        <w:spacing w:line="360" w:lineRule="auto"/>
        <w:rPr>
          <w:rFonts w:ascii="Arial" w:eastAsia="Times New Roman" w:hAnsi="Arial" w:cs="Arial"/>
          <w:sz w:val="24"/>
          <w:szCs w:val="24"/>
          <w:lang w:val="en-US"/>
        </w:rPr>
      </w:pPr>
    </w:p>
    <w:p w14:paraId="0E27A962" w14:textId="15453322" w:rsidR="00EB54E5" w:rsidRDefault="00EB54E5" w:rsidP="00EB54E5">
      <w:pPr>
        <w:spacing w:line="360" w:lineRule="auto"/>
        <w:rPr>
          <w:rFonts w:ascii="Arial" w:eastAsia="Times New Roman" w:hAnsi="Arial" w:cs="Arial"/>
          <w:sz w:val="24"/>
          <w:szCs w:val="24"/>
          <w:lang w:val="en-US"/>
        </w:rPr>
      </w:pPr>
      <w:r>
        <w:rPr>
          <w:rFonts w:ascii="Arial" w:eastAsia="Times New Roman" w:hAnsi="Arial" w:cs="Arial"/>
          <w:sz w:val="24"/>
          <w:szCs w:val="24"/>
          <w:lang w:val="en-US" w:eastAsia="zh-CN" w:bidi="ar"/>
        </w:rPr>
        <w:t>Date…</w:t>
      </w:r>
      <w:r w:rsidR="00DC17E7">
        <w:rPr>
          <w:rFonts w:ascii="Arial" w:eastAsia="Times New Roman" w:hAnsi="Arial" w:cs="Arial"/>
          <w:sz w:val="24"/>
          <w:szCs w:val="24"/>
          <w:lang w:val="en-US" w:eastAsia="zh-CN" w:bidi="ar"/>
        </w:rPr>
        <w:t>15-12-2025</w:t>
      </w:r>
      <w:r>
        <w:rPr>
          <w:rFonts w:ascii="Arial" w:eastAsia="Times New Roman" w:hAnsi="Arial" w:cs="Arial"/>
          <w:sz w:val="24"/>
          <w:szCs w:val="24"/>
          <w:lang w:val="en-US" w:eastAsia="zh-CN" w:bidi="ar"/>
        </w:rPr>
        <w:t>……………………………………………</w:t>
      </w:r>
    </w:p>
    <w:p w14:paraId="2299C41C" w14:textId="77777777" w:rsidR="00EB54E5" w:rsidRDefault="00EB54E5" w:rsidP="00EB54E5">
      <w:pPr>
        <w:spacing w:line="360" w:lineRule="auto"/>
        <w:rPr>
          <w:rFonts w:ascii="Arial" w:eastAsia="Times New Roman" w:hAnsi="Arial" w:cs="Arial"/>
          <w:sz w:val="24"/>
          <w:szCs w:val="24"/>
          <w:lang w:val="en-US"/>
        </w:rPr>
      </w:pPr>
    </w:p>
    <w:p w14:paraId="00051FCC" w14:textId="77777777" w:rsidR="00EB54E5" w:rsidRDefault="00EB54E5" w:rsidP="00EB54E5">
      <w:pPr>
        <w:spacing w:line="360" w:lineRule="auto"/>
        <w:rPr>
          <w:rFonts w:ascii="Arial" w:eastAsia="Times New Roman" w:hAnsi="Arial" w:cs="Arial"/>
          <w:sz w:val="24"/>
          <w:szCs w:val="24"/>
          <w:lang w:val="en-US"/>
        </w:rPr>
      </w:pPr>
    </w:p>
    <w:p w14:paraId="5FA17C5F" w14:textId="3A47417F" w:rsidR="00EB54E5" w:rsidRDefault="00EB54E5" w:rsidP="00EB54E5">
      <w:pPr>
        <w:spacing w:line="360" w:lineRule="auto"/>
        <w:rPr>
          <w:rFonts w:ascii="Arial" w:eastAsia="Times New Roman" w:hAnsi="Arial" w:cs="Arial"/>
          <w:sz w:val="24"/>
          <w:szCs w:val="24"/>
          <w:lang w:val="en-US"/>
        </w:rPr>
      </w:pPr>
      <w:r>
        <w:rPr>
          <w:rFonts w:ascii="Arial" w:eastAsia="Times New Roman" w:hAnsi="Arial" w:cs="Arial"/>
          <w:b/>
          <w:sz w:val="24"/>
          <w:szCs w:val="24"/>
          <w:lang w:val="en-US" w:eastAsia="zh-CN" w:bidi="ar"/>
        </w:rPr>
        <w:t>STATEMENT 2</w:t>
      </w:r>
    </w:p>
    <w:p w14:paraId="512D293F" w14:textId="77777777" w:rsidR="00EB54E5" w:rsidRDefault="00EB54E5" w:rsidP="00EB54E5">
      <w:pPr>
        <w:spacing w:line="360" w:lineRule="auto"/>
        <w:rPr>
          <w:rFonts w:ascii="Arial" w:eastAsia="Times New Roman" w:hAnsi="Arial" w:cs="Arial"/>
          <w:sz w:val="24"/>
          <w:szCs w:val="24"/>
          <w:lang w:val="en-US"/>
        </w:rPr>
      </w:pPr>
      <w:r>
        <w:rPr>
          <w:rFonts w:ascii="Arial" w:eastAsia="Times New Roman" w:hAnsi="Arial" w:cs="Arial"/>
          <w:sz w:val="24"/>
          <w:szCs w:val="24"/>
          <w:lang w:val="en-US" w:eastAsia="zh-CN" w:bidi="ar"/>
        </w:rPr>
        <w:t>This dissertation is the result of my own independent work/investigation, except where otherwise stated.</w:t>
      </w:r>
    </w:p>
    <w:p w14:paraId="4C942A55" w14:textId="77777777" w:rsidR="00EB54E5" w:rsidRDefault="00EB54E5" w:rsidP="00EB54E5">
      <w:pPr>
        <w:spacing w:line="360" w:lineRule="auto"/>
        <w:rPr>
          <w:rFonts w:ascii="Arial" w:eastAsia="Times New Roman" w:hAnsi="Arial" w:cs="Arial"/>
          <w:sz w:val="24"/>
          <w:szCs w:val="24"/>
          <w:lang w:val="en-US"/>
        </w:rPr>
      </w:pPr>
    </w:p>
    <w:p w14:paraId="6B28CD8D" w14:textId="0C5C3536" w:rsidR="00EB54E5" w:rsidRDefault="00DC17E7" w:rsidP="00EB54E5">
      <w:pPr>
        <w:spacing w:line="360" w:lineRule="auto"/>
        <w:rPr>
          <w:rFonts w:ascii="Arial" w:eastAsia="Times New Roman" w:hAnsi="Arial" w:cs="Arial"/>
          <w:sz w:val="24"/>
          <w:szCs w:val="24"/>
          <w:lang w:val="en-US"/>
        </w:rPr>
      </w:pPr>
      <w:r>
        <w:rPr>
          <w:rFonts w:ascii="Arial" w:eastAsia="Times New Roman" w:hAnsi="Arial" w:cs="Arial"/>
          <w:noProof/>
          <w:sz w:val="24"/>
          <w:szCs w:val="24"/>
          <w:lang w:val="en-US" w:eastAsia="zh-CN" w:bidi="ar"/>
        </w:rPr>
        <mc:AlternateContent>
          <mc:Choice Requires="wpi">
            <w:drawing>
              <wp:anchor distT="0" distB="0" distL="114300" distR="114300" simplePos="0" relativeHeight="251699200" behindDoc="0" locked="0" layoutInCell="1" allowOverlap="1" wp14:anchorId="48721143" wp14:editId="4E0756E2">
                <wp:simplePos x="0" y="0"/>
                <wp:positionH relativeFrom="column">
                  <wp:posOffset>3161665</wp:posOffset>
                </wp:positionH>
                <wp:positionV relativeFrom="paragraph">
                  <wp:posOffset>50165</wp:posOffset>
                </wp:positionV>
                <wp:extent cx="181800" cy="40680"/>
                <wp:effectExtent l="38100" t="38100" r="46990" b="35560"/>
                <wp:wrapNone/>
                <wp:docPr id="822428036" name="Ink 24"/>
                <wp:cNvGraphicFramePr/>
                <a:graphic xmlns:a="http://schemas.openxmlformats.org/drawingml/2006/main">
                  <a:graphicData uri="http://schemas.microsoft.com/office/word/2010/wordprocessingInk">
                    <w14:contentPart bwMode="auto" r:id="rId34">
                      <w14:nvContentPartPr>
                        <w14:cNvContentPartPr/>
                      </w14:nvContentPartPr>
                      <w14:xfrm>
                        <a:off x="0" y="0"/>
                        <a:ext cx="181800" cy="40680"/>
                      </w14:xfrm>
                    </w14:contentPart>
                  </a:graphicData>
                </a:graphic>
              </wp:anchor>
            </w:drawing>
          </mc:Choice>
          <mc:Fallback>
            <w:pict>
              <v:shape w14:anchorId="41669D7C" id="Ink 24" o:spid="_x0000_s1026" type="#_x0000_t75" style="position:absolute;margin-left:248.45pt;margin-top:3.45pt;width:15.3pt;height:4.15pt;z-index:2516992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">
                <v:imagedata r:id="rId35" o:title=""/>
              </v:shape>
            </w:pict>
          </mc:Fallback>
        </mc:AlternateContent>
      </w:r>
      <w:r w:rsidR="00EB54E5">
        <w:rPr>
          <w:rFonts w:ascii="Arial" w:eastAsia="Times New Roman" w:hAnsi="Arial" w:cs="Arial"/>
          <w:sz w:val="24"/>
          <w:szCs w:val="24"/>
          <w:lang w:val="en-US" w:eastAsia="zh-CN" w:bidi="ar"/>
        </w:rPr>
        <w:t>Other sources are acknowledged by footnotes giving explicit references.  A bibliography is appended.</w:t>
      </w:r>
    </w:p>
    <w:p w14:paraId="17628FCA" w14:textId="51512A52" w:rsidR="00EB54E5" w:rsidRDefault="00DA4322" w:rsidP="00EB54E5">
      <w:pPr>
        <w:spacing w:line="360" w:lineRule="auto"/>
        <w:rPr>
          <w:rFonts w:ascii="Arial" w:eastAsia="Times New Roman" w:hAnsi="Arial" w:cs="Arial"/>
          <w:sz w:val="24"/>
          <w:szCs w:val="24"/>
          <w:lang w:val="en-US"/>
        </w:rPr>
      </w:pPr>
      <w:r>
        <w:rPr>
          <w:rFonts w:ascii="Arial" w:eastAsia="Times New Roman" w:hAnsi="Arial" w:cs="Arial"/>
          <w:noProof/>
          <w:sz w:val="24"/>
          <w:szCs w:val="24"/>
          <w:lang w:val="en-US"/>
        </w:rPr>
        <mc:AlternateContent>
          <mc:Choice Requires="wpi">
            <w:drawing>
              <wp:anchor distT="0" distB="0" distL="114300" distR="114300" simplePos="0" relativeHeight="251672576" behindDoc="0" locked="0" layoutInCell="1" allowOverlap="1" wp14:anchorId="31D17D75" wp14:editId="649795A1">
                <wp:simplePos x="0" y="0"/>
                <wp:positionH relativeFrom="column">
                  <wp:posOffset>1117300</wp:posOffset>
                </wp:positionH>
                <wp:positionV relativeFrom="paragraph">
                  <wp:posOffset>220155</wp:posOffset>
                </wp:positionV>
                <wp:extent cx="360" cy="360"/>
                <wp:effectExtent l="38100" t="38100" r="38100" b="38100"/>
                <wp:wrapNone/>
                <wp:docPr id="529776181" name="Ink 43"/>
                <wp:cNvGraphicFramePr/>
                <a:graphic xmlns:a="http://schemas.openxmlformats.org/drawingml/2006/main">
                  <a:graphicData uri="http://schemas.microsoft.com/office/word/2010/wordprocessingInk">
                    <w14:contentPart bwMode="auto" r:id="rId36">
                      <w14:nvContentPartPr>
                        <w14:cNvContentPartPr/>
                      </w14:nvContentPartPr>
                      <w14:xfrm>
                        <a:off x="0" y="0"/>
                        <a:ext cx="360" cy="360"/>
                      </w14:xfrm>
                    </w14:contentPart>
                  </a:graphicData>
                </a:graphic>
              </wp:anchor>
            </w:drawing>
          </mc:Choice>
          <mc:Fallback>
            <w:pict>
              <v:shape w14:anchorId="0CC5AA53" id="Ink 43" o:spid="_x0000_s1026" type="#_x0000_t75" style="position:absolute;margin-left:87.65pt;margin-top:17pt;width:.75pt;height:.75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">
                <v:imagedata r:id="rId28" o:title=""/>
              </v:shape>
            </w:pict>
          </mc:Fallback>
        </mc:AlternateContent>
      </w:r>
    </w:p>
    <w:p w14:paraId="3B32EBB6" w14:textId="16F0821C" w:rsidR="00EB54E5" w:rsidRDefault="00DC17E7" w:rsidP="00EB54E5">
      <w:pPr>
        <w:spacing w:line="360" w:lineRule="auto"/>
        <w:rPr>
          <w:rFonts w:ascii="Arial" w:eastAsia="Times New Roman" w:hAnsi="Arial" w:cs="Arial"/>
          <w:sz w:val="24"/>
          <w:szCs w:val="24"/>
          <w:lang w:val="en-US"/>
        </w:rPr>
      </w:pPr>
      <w:r>
        <w:rPr>
          <w:rFonts w:ascii="Arial" w:eastAsia="Times New Roman" w:hAnsi="Arial" w:cs="Arial"/>
          <w:noProof/>
          <w:sz w:val="24"/>
          <w:szCs w:val="24"/>
          <w:lang w:val="en-US"/>
        </w:rPr>
        <mc:AlternateContent>
          <mc:Choice Requires="wpi">
            <w:drawing>
              <wp:anchor distT="0" distB="0" distL="114300" distR="114300" simplePos="0" relativeHeight="251698176" behindDoc="0" locked="0" layoutInCell="1" allowOverlap="1" wp14:anchorId="23BC39BA" wp14:editId="580AB3A1">
                <wp:simplePos x="0" y="0"/>
                <wp:positionH relativeFrom="column">
                  <wp:posOffset>590260</wp:posOffset>
                </wp:positionH>
                <wp:positionV relativeFrom="paragraph">
                  <wp:posOffset>96445</wp:posOffset>
                </wp:positionV>
                <wp:extent cx="350640" cy="45360"/>
                <wp:effectExtent l="38100" t="38100" r="49530" b="50165"/>
                <wp:wrapNone/>
                <wp:docPr id="1936819420" name="Ink 23"/>
                <wp:cNvGraphicFramePr/>
                <a:graphic xmlns:a="http://schemas.openxmlformats.org/drawingml/2006/main">
                  <a:graphicData uri="http://schemas.microsoft.com/office/word/2010/wordprocessingInk">
                    <w14:contentPart bwMode="auto" r:id="rId37">
                      <w14:nvContentPartPr>
                        <w14:cNvContentPartPr/>
                      </w14:nvContentPartPr>
                      <w14:xfrm>
                        <a:off x="0" y="0"/>
                        <a:ext cx="350640" cy="45360"/>
                      </w14:xfrm>
                    </w14:contentPart>
                  </a:graphicData>
                </a:graphic>
              </wp:anchor>
            </w:drawing>
          </mc:Choice>
          <mc:Fallback>
            <w:pict>
              <v:shape w14:anchorId="3E231703" id="Ink 23" o:spid="_x0000_s1026" type="#_x0000_t75" style="position:absolute;margin-left:46pt;margin-top:7.1pt;width:28.55pt;height:4.55pt;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">
                <v:imagedata r:id="rId38" o:title=""/>
              </v:shape>
            </w:pict>
          </mc:Fallback>
        </mc:AlternateContent>
      </w:r>
      <w:r>
        <w:rPr>
          <w:rFonts w:ascii="Arial" w:eastAsia="Times New Roman" w:hAnsi="Arial" w:cs="Arial"/>
          <w:noProof/>
          <w:sz w:val="24"/>
          <w:szCs w:val="24"/>
          <w:lang w:val="en-US"/>
        </w:rPr>
        <mc:AlternateContent>
          <mc:Choice Requires="wpi">
            <w:drawing>
              <wp:anchor distT="0" distB="0" distL="114300" distR="114300" simplePos="0" relativeHeight="251697152" behindDoc="0" locked="0" layoutInCell="1" allowOverlap="1" wp14:anchorId="0B111301" wp14:editId="3CE24034">
                <wp:simplePos x="0" y="0"/>
                <wp:positionH relativeFrom="column">
                  <wp:posOffset>2244725</wp:posOffset>
                </wp:positionH>
                <wp:positionV relativeFrom="paragraph">
                  <wp:posOffset>82550</wp:posOffset>
                </wp:positionV>
                <wp:extent cx="480330" cy="237490"/>
                <wp:effectExtent l="38100" t="38100" r="34290" b="48260"/>
                <wp:wrapNone/>
                <wp:docPr id="1682977011" name="Ink 22"/>
                <wp:cNvGraphicFramePr/>
                <a:graphic xmlns:a="http://schemas.openxmlformats.org/drawingml/2006/main">
                  <a:graphicData uri="http://schemas.microsoft.com/office/word/2010/wordprocessingInk">
                    <w14:contentPart bwMode="auto" r:id="rId39">
                      <w14:nvContentPartPr>
                        <w14:cNvContentPartPr/>
                      </w14:nvContentPartPr>
                      <w14:xfrm>
                        <a:off x="0" y="0"/>
                        <a:ext cx="480330" cy="237490"/>
                      </w14:xfrm>
                    </w14:contentPart>
                  </a:graphicData>
                </a:graphic>
              </wp:anchor>
            </w:drawing>
          </mc:Choice>
          <mc:Fallback>
            <w:pict>
              <v:shape w14:anchorId="02A156F0" id="Ink 22" o:spid="_x0000_s1026" type="#_x0000_t75" style="position:absolute;margin-left:176.25pt;margin-top:6pt;width:38.8pt;height:19.65pt;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">
                <v:imagedata r:id="rId40" o:title=""/>
              </v:shape>
            </w:pict>
          </mc:Fallback>
        </mc:AlternateContent>
      </w:r>
      <w:r>
        <w:rPr>
          <w:rFonts w:ascii="Arial" w:eastAsia="Times New Roman" w:hAnsi="Arial" w:cs="Arial"/>
          <w:noProof/>
          <w:sz w:val="24"/>
          <w:szCs w:val="24"/>
          <w:lang w:val="en-US"/>
        </w:rPr>
        <mc:AlternateContent>
          <mc:Choice Requires="wpi">
            <w:drawing>
              <wp:anchor distT="0" distB="0" distL="114300" distR="114300" simplePos="0" relativeHeight="251692032" behindDoc="0" locked="0" layoutInCell="1" allowOverlap="1" wp14:anchorId="5847205D" wp14:editId="4C44DD91">
                <wp:simplePos x="0" y="0"/>
                <wp:positionH relativeFrom="column">
                  <wp:posOffset>688180</wp:posOffset>
                </wp:positionH>
                <wp:positionV relativeFrom="paragraph">
                  <wp:posOffset>-34955</wp:posOffset>
                </wp:positionV>
                <wp:extent cx="1574640" cy="501480"/>
                <wp:effectExtent l="38100" t="38100" r="45085" b="51435"/>
                <wp:wrapNone/>
                <wp:docPr id="790739430" name="Ink 17"/>
                <wp:cNvGraphicFramePr/>
                <a:graphic xmlns:a="http://schemas.openxmlformats.org/drawingml/2006/main">
                  <a:graphicData uri="http://schemas.microsoft.com/office/word/2010/wordprocessingInk">
                    <w14:contentPart bwMode="auto" r:id="rId41">
                      <w14:nvContentPartPr>
                        <w14:cNvContentPartPr/>
                      </w14:nvContentPartPr>
                      <w14:xfrm>
                        <a:off x="0" y="0"/>
                        <a:ext cx="1574640" cy="501480"/>
                      </w14:xfrm>
                    </w14:contentPart>
                  </a:graphicData>
                </a:graphic>
              </wp:anchor>
            </w:drawing>
          </mc:Choice>
          <mc:Fallback>
            <w:pict>
              <v:shape w14:anchorId="442B1511" id="Ink 17" o:spid="_x0000_s1026" type="#_x0000_t75" style="position:absolute;margin-left:53.7pt;margin-top:-3.25pt;width:125pt;height:40.5pt;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">
                <v:imagedata r:id="rId42" o:title=""/>
              </v:shape>
            </w:pict>
          </mc:Fallback>
        </mc:AlternateContent>
      </w:r>
      <w:r>
        <w:rPr>
          <w:rFonts w:ascii="Arial" w:eastAsia="Times New Roman" w:hAnsi="Arial" w:cs="Arial"/>
          <w:noProof/>
          <w:sz w:val="24"/>
          <w:szCs w:val="24"/>
          <w:lang w:val="en-US"/>
        </w:rPr>
        <mc:AlternateContent>
          <mc:Choice Requires="wpi">
            <w:drawing>
              <wp:anchor distT="0" distB="0" distL="114300" distR="114300" simplePos="0" relativeHeight="251691008" behindDoc="0" locked="0" layoutInCell="1" allowOverlap="1" wp14:anchorId="0EBB9A1B" wp14:editId="2CCE48EE">
                <wp:simplePos x="0" y="0"/>
                <wp:positionH relativeFrom="column">
                  <wp:posOffset>596740</wp:posOffset>
                </wp:positionH>
                <wp:positionV relativeFrom="paragraph">
                  <wp:posOffset>96805</wp:posOffset>
                </wp:positionV>
                <wp:extent cx="266760" cy="25920"/>
                <wp:effectExtent l="38100" t="38100" r="38100" b="50800"/>
                <wp:wrapNone/>
                <wp:docPr id="367925216" name="Ink 16"/>
                <wp:cNvGraphicFramePr/>
                <a:graphic xmlns:a="http://schemas.openxmlformats.org/drawingml/2006/main">
                  <a:graphicData uri="http://schemas.microsoft.com/office/word/2010/wordprocessingInk">
                    <w14:contentPart bwMode="auto" r:id="rId43">
                      <w14:nvContentPartPr>
                        <w14:cNvContentPartPr/>
                      </w14:nvContentPartPr>
                      <w14:xfrm>
                        <a:off x="0" y="0"/>
                        <a:ext cx="266760" cy="25920"/>
                      </w14:xfrm>
                    </w14:contentPart>
                  </a:graphicData>
                </a:graphic>
              </wp:anchor>
            </w:drawing>
          </mc:Choice>
          <mc:Fallback>
            <w:pict>
              <v:shape w14:anchorId="209B3AA7" id="Ink 16" o:spid="_x0000_s1026" type="#_x0000_t75" style="position:absolute;margin-left:46.5pt;margin-top:7.1pt;width:21.95pt;height:3.05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">
                <v:imagedata r:id="rId44" o:title=""/>
              </v:shape>
            </w:pict>
          </mc:Fallback>
        </mc:AlternateContent>
      </w:r>
      <w:r>
        <w:rPr>
          <w:rFonts w:ascii="Arial" w:eastAsia="Times New Roman" w:hAnsi="Arial" w:cs="Arial"/>
          <w:noProof/>
          <w:sz w:val="24"/>
          <w:szCs w:val="24"/>
          <w:lang w:val="en-US"/>
        </w:rPr>
        <mc:AlternateContent>
          <mc:Choice Requires="wpi">
            <w:drawing>
              <wp:anchor distT="0" distB="0" distL="114300" distR="114300" simplePos="0" relativeHeight="251688960" behindDoc="0" locked="0" layoutInCell="1" allowOverlap="1" wp14:anchorId="5F9A5012" wp14:editId="65EEA03E">
                <wp:simplePos x="0" y="0"/>
                <wp:positionH relativeFrom="column">
                  <wp:posOffset>596740</wp:posOffset>
                </wp:positionH>
                <wp:positionV relativeFrom="paragraph">
                  <wp:posOffset>122365</wp:posOffset>
                </wp:positionV>
                <wp:extent cx="360" cy="360"/>
                <wp:effectExtent l="38100" t="38100" r="38100" b="38100"/>
                <wp:wrapNone/>
                <wp:docPr id="1516518861" name="Ink 14"/>
                <wp:cNvGraphicFramePr/>
                <a:graphic xmlns:a="http://schemas.openxmlformats.org/drawingml/2006/main">
                  <a:graphicData uri="http://schemas.microsoft.com/office/word/2010/wordprocessingInk">
                    <w14:contentPart bwMode="auto" r:id="rId45">
                      <w14:nvContentPartPr>
                        <w14:cNvContentPartPr/>
                      </w14:nvContentPartPr>
                      <w14:xfrm>
                        <a:off x="0" y="0"/>
                        <a:ext cx="360" cy="360"/>
                      </w14:xfrm>
                    </w14:contentPart>
                  </a:graphicData>
                </a:graphic>
              </wp:anchor>
            </w:drawing>
          </mc:Choice>
          <mc:Fallback>
            <w:pict>
              <v:shape w14:anchorId="1E9ABC9D" id="Ink 14" o:spid="_x0000_s1026" type="#_x0000_t75" style="position:absolute;margin-left:46.5pt;margin-top:9.15pt;width:1.05pt;height:1.05pt;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">
                <v:imagedata r:id="rId23" o:title=""/>
              </v:shape>
            </w:pict>
          </mc:Fallback>
        </mc:AlternateContent>
      </w:r>
    </w:p>
    <w:p w14:paraId="2B8968DB" w14:textId="6A8FE257" w:rsidR="00EB54E5" w:rsidRDefault="00EB54E5" w:rsidP="00EB54E5">
      <w:pPr>
        <w:spacing w:line="360" w:lineRule="auto"/>
        <w:rPr>
          <w:rFonts w:ascii="Arial" w:eastAsia="Times New Roman" w:hAnsi="Arial" w:cs="Arial"/>
          <w:sz w:val="24"/>
          <w:szCs w:val="24"/>
          <w:lang w:val="en-US"/>
        </w:rPr>
      </w:pPr>
      <w:r>
        <w:rPr>
          <w:rFonts w:ascii="Arial" w:eastAsia="Times New Roman" w:hAnsi="Arial" w:cs="Arial"/>
          <w:sz w:val="24"/>
          <w:szCs w:val="24"/>
          <w:lang w:val="en-US" w:eastAsia="zh-CN" w:bidi="ar"/>
        </w:rPr>
        <w:t>Signed……………………………………………</w:t>
      </w:r>
    </w:p>
    <w:p w14:paraId="518854D3" w14:textId="7D9C26F8" w:rsidR="00EB54E5" w:rsidRDefault="00EB54E5" w:rsidP="00EB54E5">
      <w:pPr>
        <w:spacing w:line="360" w:lineRule="auto"/>
        <w:rPr>
          <w:rFonts w:ascii="Arial" w:eastAsia="Times New Roman" w:hAnsi="Arial" w:cs="Arial"/>
          <w:sz w:val="24"/>
          <w:szCs w:val="24"/>
          <w:lang w:val="en-US"/>
        </w:rPr>
      </w:pPr>
    </w:p>
    <w:p w14:paraId="762B167D" w14:textId="77777777" w:rsidR="00EB54E5" w:rsidRDefault="00EB54E5" w:rsidP="00EB54E5">
      <w:pPr>
        <w:spacing w:line="360" w:lineRule="auto"/>
        <w:rPr>
          <w:rFonts w:ascii="Arial" w:eastAsia="Times New Roman" w:hAnsi="Arial" w:cs="Arial"/>
          <w:sz w:val="24"/>
          <w:szCs w:val="24"/>
          <w:lang w:val="en-US"/>
        </w:rPr>
      </w:pPr>
    </w:p>
    <w:p w14:paraId="6E0AB291" w14:textId="57E3FDC6" w:rsidR="00EB54E5" w:rsidRDefault="00EB54E5" w:rsidP="00EB54E5">
      <w:pPr>
        <w:spacing w:line="360" w:lineRule="auto"/>
        <w:rPr>
          <w:rFonts w:ascii="Arial" w:eastAsia="Times New Roman" w:hAnsi="Arial" w:cs="Arial"/>
          <w:sz w:val="24"/>
          <w:szCs w:val="24"/>
          <w:lang w:val="en-US"/>
        </w:rPr>
      </w:pPr>
      <w:r>
        <w:rPr>
          <w:rFonts w:ascii="Arial" w:eastAsia="Times New Roman" w:hAnsi="Arial" w:cs="Arial"/>
          <w:sz w:val="24"/>
          <w:szCs w:val="24"/>
          <w:lang w:val="en-US" w:eastAsia="zh-CN" w:bidi="ar"/>
        </w:rPr>
        <w:t>Date…</w:t>
      </w:r>
      <w:r w:rsidR="00DC17E7">
        <w:rPr>
          <w:rFonts w:ascii="Arial" w:eastAsia="Times New Roman" w:hAnsi="Arial" w:cs="Arial"/>
          <w:sz w:val="24"/>
          <w:szCs w:val="24"/>
          <w:lang w:val="en-US" w:eastAsia="zh-CN" w:bidi="ar"/>
        </w:rPr>
        <w:t>15-12-2025</w:t>
      </w:r>
      <w:r>
        <w:rPr>
          <w:rFonts w:ascii="Arial" w:eastAsia="Times New Roman" w:hAnsi="Arial" w:cs="Arial"/>
          <w:sz w:val="24"/>
          <w:szCs w:val="24"/>
          <w:lang w:val="en-US" w:eastAsia="zh-CN" w:bidi="ar"/>
        </w:rPr>
        <w:t xml:space="preserve">…………………………………………… </w:t>
      </w:r>
    </w:p>
    <w:p w14:paraId="2B7159F1" w14:textId="77777777" w:rsidR="00EB54E5" w:rsidRDefault="00EB54E5" w:rsidP="00EB54E5">
      <w:pPr>
        <w:spacing w:line="360" w:lineRule="auto"/>
        <w:rPr>
          <w:rFonts w:ascii="Arial" w:eastAsia="Arial Unicode MS" w:hAnsi="Arial" w:cs="Arial"/>
          <w:b/>
          <w:sz w:val="28"/>
          <w:szCs w:val="28"/>
          <w:lang w:val="en-US"/>
        </w:rPr>
      </w:pPr>
      <w:r>
        <w:rPr>
          <w:rFonts w:ascii="Arial" w:eastAsia="Arial Unicode MS" w:hAnsi="Arial" w:cs="Arial"/>
          <w:b/>
          <w:sz w:val="28"/>
          <w:szCs w:val="28"/>
          <w:lang w:val="en-US" w:eastAsia="en-US" w:bidi="en-US"/>
        </w:rPr>
        <w:br w:type="page"/>
      </w:r>
    </w:p>
    <w:p w14:paraId="3694305E" w14:textId="77777777" w:rsidR="00EB54E5" w:rsidRDefault="00EB54E5" w:rsidP="00EB54E5">
      <w:pPr>
        <w:pStyle w:val="Heading1"/>
        <w:widowControl/>
        <w:ind w:left="0"/>
        <w:rPr>
          <w:lang w:val="en-US"/>
        </w:rPr>
      </w:pPr>
      <w:r>
        <w:rPr>
          <w:lang w:val="en-US"/>
        </w:rPr>
        <w:lastRenderedPageBreak/>
        <w:t>ACKNOWLEDGEMENTS</w:t>
      </w:r>
    </w:p>
    <w:p w14:paraId="6E105A5E" w14:textId="77777777" w:rsidR="00EB54E5" w:rsidRDefault="00EB54E5" w:rsidP="00EB54E5">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
          <w:i/>
          <w:lang w:val="en-US"/>
        </w:rPr>
      </w:pPr>
    </w:p>
    <w:p w14:paraId="0467A849" w14:textId="77777777" w:rsidR="00EB54E5" w:rsidRDefault="00EB54E5" w:rsidP="00EB54E5">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Times New Roman" w:hAnsi="Arial" w:cs="Arial"/>
          <w:sz w:val="24"/>
          <w:szCs w:val="24"/>
          <w:lang w:val="en-US" w:bidi="ar"/>
        </w:rPr>
      </w:pPr>
      <w:r>
        <w:rPr>
          <w:rFonts w:ascii="Arial" w:eastAsia="Times New Roman" w:hAnsi="Arial" w:cs="Arial"/>
          <w:sz w:val="24"/>
          <w:szCs w:val="24"/>
          <w:lang w:val="en-US" w:eastAsia="zh-CN" w:bidi="ar"/>
        </w:rPr>
        <w:t>I wish to express my deepest gratitude to my supervisor, Dr Laila Surani, whose guidance, expertise, and encouragement were invaluable throughout this work. Her insightful feedback and unwavering support greatly shaped the development and completion of this study.</w:t>
      </w:r>
    </w:p>
    <w:p w14:paraId="17AFADCC" w14:textId="77777777" w:rsidR="00EB54E5" w:rsidRDefault="00EB54E5" w:rsidP="00EB54E5">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Times New Roman" w:hAnsi="Arial" w:cs="Arial"/>
          <w:sz w:val="24"/>
          <w:szCs w:val="24"/>
          <w:lang w:val="en-US" w:bidi="ar"/>
        </w:rPr>
      </w:pPr>
    </w:p>
    <w:p w14:paraId="49AB2434" w14:textId="77777777" w:rsidR="00EB54E5" w:rsidRDefault="00EB54E5" w:rsidP="00EB54E5">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Times New Roman" w:hAnsi="Arial" w:cs="Arial"/>
          <w:sz w:val="24"/>
          <w:szCs w:val="24"/>
          <w:lang w:val="en-US" w:bidi="ar"/>
        </w:rPr>
      </w:pPr>
      <w:r>
        <w:rPr>
          <w:rFonts w:ascii="Arial" w:eastAsia="Times New Roman" w:hAnsi="Arial" w:cs="Arial"/>
          <w:sz w:val="24"/>
          <w:szCs w:val="24"/>
          <w:lang w:val="en-US" w:eastAsia="zh-CN" w:bidi="ar"/>
        </w:rPr>
        <w:t xml:space="preserve">I am profoundly thankful to my siblings, whose patience, understanding, and constant encouragement sustained me during the most challenging moments of this journey. Their belief in my abilities has been an enduring source of strength. To my late parents, Chief E.O. Ajala and Chief </w:t>
      </w:r>
      <w:proofErr w:type="spellStart"/>
      <w:r>
        <w:rPr>
          <w:rFonts w:ascii="Arial" w:eastAsia="Times New Roman" w:hAnsi="Arial" w:cs="Arial"/>
          <w:sz w:val="24"/>
          <w:szCs w:val="24"/>
          <w:lang w:val="en-US" w:eastAsia="zh-CN" w:bidi="ar"/>
        </w:rPr>
        <w:t>Mrs</w:t>
      </w:r>
      <w:proofErr w:type="spellEnd"/>
      <w:r>
        <w:rPr>
          <w:rFonts w:ascii="Arial" w:eastAsia="Times New Roman" w:hAnsi="Arial" w:cs="Arial"/>
          <w:sz w:val="24"/>
          <w:szCs w:val="24"/>
          <w:lang w:val="en-US" w:eastAsia="zh-CN" w:bidi="ar"/>
        </w:rPr>
        <w:t xml:space="preserve"> C. A. Ajala, you have been a unique mentor, shaping me into the competent and determined woman I am today through your teachings and principles. </w:t>
      </w:r>
    </w:p>
    <w:p w14:paraId="4598C877" w14:textId="77777777" w:rsidR="00EB54E5" w:rsidRDefault="00EB54E5" w:rsidP="00EB54E5">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Times New Roman" w:hAnsi="Arial" w:cs="Arial"/>
          <w:sz w:val="24"/>
          <w:szCs w:val="24"/>
          <w:lang w:val="en-US" w:bidi="ar"/>
        </w:rPr>
      </w:pPr>
    </w:p>
    <w:p w14:paraId="114F5473" w14:textId="77777777" w:rsidR="00EB54E5" w:rsidRDefault="00EB54E5" w:rsidP="00EB54E5">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Times New Roman" w:hAnsi="Arial" w:cs="Arial"/>
          <w:sz w:val="24"/>
          <w:szCs w:val="24"/>
          <w:lang w:val="en-US" w:bidi="ar"/>
        </w:rPr>
      </w:pPr>
      <w:r>
        <w:rPr>
          <w:rFonts w:ascii="Arial" w:eastAsia="Times New Roman" w:hAnsi="Arial" w:cs="Arial"/>
          <w:sz w:val="24"/>
          <w:szCs w:val="24"/>
          <w:lang w:val="en-US" w:eastAsia="zh-CN" w:bidi="ar"/>
        </w:rPr>
        <w:t>To my daughters and sons, I offer my heartfelt appreciation. Their love, resilience, and joyful presence motivated me to persevere and reminded me of the importance of this accomplishment. Their support has been a constant inspiration, especially my grandchildren.</w:t>
      </w:r>
    </w:p>
    <w:p w14:paraId="2B6783BD" w14:textId="77777777" w:rsidR="00EB54E5" w:rsidRDefault="00EB54E5" w:rsidP="00EB54E5">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Times New Roman" w:hAnsi="Arial" w:cs="Arial"/>
          <w:sz w:val="24"/>
          <w:szCs w:val="24"/>
          <w:lang w:val="en-US" w:bidi="ar"/>
        </w:rPr>
      </w:pPr>
    </w:p>
    <w:p w14:paraId="3D35B9D5" w14:textId="77777777" w:rsidR="00EB54E5" w:rsidRDefault="00EB54E5" w:rsidP="00EB54E5">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Times New Roman" w:hAnsi="Arial" w:cs="Arial"/>
          <w:sz w:val="24"/>
          <w:szCs w:val="24"/>
          <w:lang w:val="en-US" w:bidi="ar"/>
        </w:rPr>
      </w:pPr>
      <w:r>
        <w:rPr>
          <w:rFonts w:ascii="Arial" w:eastAsia="Times New Roman" w:hAnsi="Arial" w:cs="Arial"/>
          <w:sz w:val="24"/>
          <w:szCs w:val="24"/>
          <w:lang w:val="en-US" w:eastAsia="zh-CN" w:bidi="ar"/>
        </w:rPr>
        <w:t>I am also grateful to my friends and extended family, who provided emotional support, practical assistance, and continuous reassurance along the way. I am exceptionally thankful to my close friend, Jide. God bless you consistently. Their kindness and encouragement have meant more to me than words can express.</w:t>
      </w:r>
    </w:p>
    <w:p w14:paraId="512707DB" w14:textId="77777777" w:rsidR="00EB54E5" w:rsidRDefault="00EB54E5" w:rsidP="00EB54E5">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Times New Roman" w:hAnsi="Arial" w:cs="Arial"/>
          <w:sz w:val="24"/>
          <w:szCs w:val="24"/>
          <w:lang w:val="en-US" w:bidi="ar"/>
        </w:rPr>
      </w:pPr>
    </w:p>
    <w:p w14:paraId="6165307A" w14:textId="77777777" w:rsidR="00EB54E5" w:rsidRDefault="00EB54E5" w:rsidP="00EB54E5">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Times New Roman" w:hAnsi="Arial" w:cs="Arial"/>
          <w:sz w:val="24"/>
          <w:szCs w:val="24"/>
          <w:lang w:val="en-US" w:bidi="ar"/>
        </w:rPr>
      </w:pPr>
      <w:r>
        <w:rPr>
          <w:rFonts w:ascii="Arial" w:eastAsia="Times New Roman" w:hAnsi="Arial" w:cs="Arial"/>
          <w:sz w:val="24"/>
          <w:szCs w:val="24"/>
          <w:lang w:val="en-US" w:eastAsia="zh-CN" w:bidi="ar"/>
        </w:rPr>
        <w:t>Finally, I acknowledge all who contributed directly or indirectly to the completion of this work. Your support has been instrumental, and I am sincerely grateful.</w:t>
      </w:r>
    </w:p>
    <w:p w14:paraId="0201A2F3" w14:textId="77777777" w:rsidR="00EB54E5" w:rsidRDefault="00EB54E5" w:rsidP="00EB54E5">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iCs/>
          <w:lang w:val="en-US"/>
        </w:rPr>
      </w:pPr>
    </w:p>
    <w:p w14:paraId="13D4E39A" w14:textId="77777777" w:rsidR="00EB54E5" w:rsidRDefault="00EB54E5" w:rsidP="00EB54E5">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iCs/>
          <w:lang w:val="en-US"/>
        </w:rPr>
      </w:pPr>
    </w:p>
    <w:p w14:paraId="692C3B93" w14:textId="77777777" w:rsidR="00EB54E5" w:rsidRDefault="00EB54E5" w:rsidP="00EB54E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iCs/>
          <w:lang w:val="en-US"/>
        </w:rPr>
      </w:pPr>
    </w:p>
    <w:p w14:paraId="60F662D2" w14:textId="77777777" w:rsidR="00EB54E5" w:rsidRDefault="00EB54E5" w:rsidP="00EB54E5">
      <w:pPr>
        <w:spacing w:line="360" w:lineRule="auto"/>
        <w:rPr>
          <w:rFonts w:ascii="Arial" w:eastAsia="Arial Unicode MS" w:hAnsi="Arial" w:cs="Arial"/>
          <w:b/>
          <w:sz w:val="28"/>
          <w:szCs w:val="28"/>
          <w:lang w:val="en-US"/>
        </w:rPr>
      </w:pPr>
      <w:r>
        <w:rPr>
          <w:rFonts w:ascii="Arial" w:eastAsia="Arial Unicode MS" w:hAnsi="Arial" w:cs="Arial"/>
          <w:b/>
          <w:sz w:val="28"/>
          <w:szCs w:val="28"/>
          <w:lang w:val="en-US" w:eastAsia="en-US" w:bidi="en-US"/>
        </w:rPr>
        <w:br w:type="page"/>
      </w:r>
    </w:p>
    <w:p w14:paraId="673A0C1F" w14:textId="77777777" w:rsidR="00EB54E5" w:rsidRDefault="00EB54E5" w:rsidP="00EB54E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Arial" w:eastAsia="Arial Unicode MS" w:hAnsi="Arial" w:cs="Arial"/>
          <w:i/>
          <w:lang w:val="en-US"/>
        </w:rPr>
      </w:pPr>
      <w:r>
        <w:rPr>
          <w:rFonts w:ascii="Arial" w:eastAsia="Arial Unicode MS" w:hAnsi="Arial" w:cs="Arial"/>
          <w:b/>
          <w:sz w:val="28"/>
          <w:szCs w:val="28"/>
          <w:lang w:val="en-US" w:eastAsia="zh-CN" w:bidi="ar"/>
        </w:rPr>
        <w:lastRenderedPageBreak/>
        <w:t>ABSTRACT</w:t>
      </w:r>
    </w:p>
    <w:p w14:paraId="38EFE870" w14:textId="77777777" w:rsidR="00EB54E5" w:rsidRDefault="00EB54E5" w:rsidP="00EB54E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lang w:val="en-US" w:eastAsia="zh-CN" w:bidi="ar"/>
        </w:rPr>
      </w:pPr>
      <w:r>
        <w:rPr>
          <w:rFonts w:ascii="Arial" w:eastAsia="Arial Unicode MS" w:hAnsi="Arial" w:cs="Arial"/>
          <w:lang w:val="en-US" w:eastAsia="zh-CN" w:bidi="ar"/>
        </w:rPr>
        <w:t xml:space="preserve">This study examines the impact of integrated care services on older adults within the United Kingdom’s health and social care system, with a focus on understanding how integrated models enhance outcomes for an ageing population. The research aimed to evaluate the effectiveness, challenges, and implications of integrated care through a systematic review of ten primary peer-reviewed studies. Guided by a structured search strategy, the review applied clear inclusion and exclusion criteria, ensuring methodological rigor. Data </w:t>
      </w:r>
      <w:proofErr w:type="gramStart"/>
      <w:r>
        <w:rPr>
          <w:rFonts w:ascii="Arial" w:eastAsia="Arial Unicode MS" w:hAnsi="Arial" w:cs="Arial"/>
          <w:lang w:val="en-US" w:eastAsia="zh-CN" w:bidi="ar"/>
        </w:rPr>
        <w:t>were</w:t>
      </w:r>
      <w:proofErr w:type="gramEnd"/>
      <w:r>
        <w:rPr>
          <w:rFonts w:ascii="Arial" w:eastAsia="Arial Unicode MS" w:hAnsi="Arial" w:cs="Arial"/>
          <w:lang w:val="en-US" w:eastAsia="zh-CN" w:bidi="ar"/>
        </w:rPr>
        <w:t xml:space="preserve"> </w:t>
      </w:r>
      <w:proofErr w:type="spellStart"/>
      <w:r>
        <w:rPr>
          <w:rFonts w:ascii="Arial" w:eastAsia="Arial Unicode MS" w:hAnsi="Arial" w:cs="Arial"/>
          <w:lang w:val="en-US" w:eastAsia="zh-CN" w:bidi="ar"/>
        </w:rPr>
        <w:t>analysed</w:t>
      </w:r>
      <w:proofErr w:type="spellEnd"/>
      <w:r>
        <w:rPr>
          <w:rFonts w:ascii="Arial" w:eastAsia="Arial Unicode MS" w:hAnsi="Arial" w:cs="Arial"/>
          <w:lang w:val="en-US" w:eastAsia="zh-CN" w:bidi="ar"/>
        </w:rPr>
        <w:t xml:space="preserve"> thematically to identify recurring patterns across service delivery, patient experience, and </w:t>
      </w:r>
      <w:proofErr w:type="spellStart"/>
      <w:r>
        <w:rPr>
          <w:rFonts w:ascii="Arial" w:eastAsia="Arial Unicode MS" w:hAnsi="Arial" w:cs="Arial"/>
          <w:lang w:val="en-US" w:eastAsia="zh-CN" w:bidi="ar"/>
        </w:rPr>
        <w:t>organisational</w:t>
      </w:r>
      <w:proofErr w:type="spellEnd"/>
      <w:r>
        <w:rPr>
          <w:rFonts w:ascii="Arial" w:eastAsia="Arial Unicode MS" w:hAnsi="Arial" w:cs="Arial"/>
          <w:lang w:val="en-US" w:eastAsia="zh-CN" w:bidi="ar"/>
        </w:rPr>
        <w:t xml:space="preserve"> practice.</w:t>
      </w:r>
    </w:p>
    <w:p w14:paraId="66B4EF18" w14:textId="77777777" w:rsidR="00EB54E5" w:rsidRDefault="00EB54E5" w:rsidP="00EB54E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lang w:val="en-US" w:eastAsia="zh-CN" w:bidi="ar"/>
        </w:rPr>
      </w:pPr>
    </w:p>
    <w:p w14:paraId="464566D3" w14:textId="410B4939" w:rsidR="00EB54E5" w:rsidRDefault="00EB54E5" w:rsidP="00EB54E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lang w:val="en-US" w:eastAsia="zh-CN" w:bidi="ar"/>
        </w:rPr>
      </w:pPr>
      <w:r>
        <w:rPr>
          <w:rFonts w:ascii="Arial" w:eastAsia="Arial Unicode MS" w:hAnsi="Arial" w:cs="Arial"/>
          <w:lang w:val="en-US" w:eastAsia="zh-CN" w:bidi="ar"/>
        </w:rPr>
        <w:t xml:space="preserve">Findings reveal that integrated care generally improves continuity of care, promotes patient satisfaction, and enhances the management of long-term conditions. Studies highlighted notable benefits </w:t>
      </w:r>
      <w:r w:rsidR="00DC17E7">
        <w:rPr>
          <w:rFonts w:ascii="Arial" w:eastAsia="Arial Unicode MS" w:hAnsi="Arial" w:cs="Arial"/>
          <w:lang w:val="en-US" w:eastAsia="zh-CN" w:bidi="ar"/>
        </w:rPr>
        <w:t xml:space="preserve">of </w:t>
      </w:r>
      <w:r>
        <w:rPr>
          <w:rFonts w:ascii="Arial" w:eastAsia="Arial Unicode MS" w:hAnsi="Arial" w:cs="Arial"/>
          <w:lang w:val="en-US" w:eastAsia="zh-CN" w:bidi="ar"/>
        </w:rPr>
        <w:t>communication among professionals and more coordinated support for older adults with complex needs. However, persistent challenges</w:t>
      </w:r>
      <w:r w:rsidR="00176C9B">
        <w:rPr>
          <w:rFonts w:ascii="Arial" w:eastAsia="Arial Unicode MS" w:hAnsi="Arial" w:cs="Arial"/>
          <w:lang w:val="en-US" w:eastAsia="zh-CN" w:bidi="ar"/>
        </w:rPr>
        <w:t>,</w:t>
      </w:r>
      <w:r>
        <w:rPr>
          <w:rFonts w:ascii="Arial" w:eastAsia="Arial Unicode MS" w:hAnsi="Arial" w:cs="Arial"/>
          <w:lang w:val="en-US" w:eastAsia="zh-CN" w:bidi="ar"/>
        </w:rPr>
        <w:t xml:space="preserve"> including fragmented implementation, workforce capacity issues, and variability across localities</w:t>
      </w:r>
      <w:r w:rsidR="00176C9B">
        <w:rPr>
          <w:rFonts w:ascii="Arial" w:eastAsia="Arial Unicode MS" w:hAnsi="Arial" w:cs="Arial"/>
          <w:lang w:val="en-US" w:eastAsia="zh-CN" w:bidi="ar"/>
        </w:rPr>
        <w:t>,</w:t>
      </w:r>
      <w:r>
        <w:rPr>
          <w:rFonts w:ascii="Arial" w:eastAsia="Arial Unicode MS" w:hAnsi="Arial" w:cs="Arial"/>
          <w:lang w:val="en-US" w:eastAsia="zh-CN" w:bidi="ar"/>
        </w:rPr>
        <w:t xml:space="preserve"> limit the consistency of impact. The review also identifies gaps related to long-term outcomes and the experiences of diverse subgroups of older adults.</w:t>
      </w:r>
    </w:p>
    <w:p w14:paraId="6F869733" w14:textId="77777777" w:rsidR="00EB54E5" w:rsidRDefault="00EB54E5" w:rsidP="00EB54E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lang w:val="en-US" w:eastAsia="zh-CN" w:bidi="ar"/>
        </w:rPr>
      </w:pPr>
    </w:p>
    <w:p w14:paraId="1963649C" w14:textId="4D3265AA" w:rsidR="00EB54E5" w:rsidRDefault="00EB54E5" w:rsidP="00EB54E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lang w:val="en-US" w:eastAsia="zh-CN" w:bidi="ar"/>
        </w:rPr>
      </w:pPr>
      <w:r>
        <w:rPr>
          <w:rFonts w:ascii="Arial" w:eastAsia="Arial Unicode MS" w:hAnsi="Arial" w:cs="Arial"/>
          <w:lang w:val="en-US" w:eastAsia="zh-CN" w:bidi="ar"/>
        </w:rPr>
        <w:t>Overall, the study</w:t>
      </w:r>
      <w:r w:rsidR="003F1094">
        <w:rPr>
          <w:rFonts w:ascii="Arial" w:eastAsia="Arial Unicode MS" w:hAnsi="Arial" w:cs="Arial"/>
          <w:lang w:val="en-US" w:eastAsia="zh-CN" w:bidi="ar"/>
        </w:rPr>
        <w:t xml:space="preserve"> finds</w:t>
      </w:r>
      <w:r>
        <w:rPr>
          <w:rFonts w:ascii="Arial" w:eastAsia="Arial Unicode MS" w:hAnsi="Arial" w:cs="Arial"/>
          <w:lang w:val="en-US" w:eastAsia="zh-CN" w:bidi="ar"/>
        </w:rPr>
        <w:t xml:space="preserve"> that integrated care </w:t>
      </w:r>
      <w:r w:rsidR="003F1094">
        <w:rPr>
          <w:rFonts w:ascii="Arial" w:eastAsia="Arial Unicode MS" w:hAnsi="Arial" w:cs="Arial"/>
          <w:lang w:val="en-US" w:eastAsia="zh-CN" w:bidi="ar"/>
        </w:rPr>
        <w:t xml:space="preserve">has strong potential to improve the </w:t>
      </w:r>
      <w:r w:rsidR="0047238F">
        <w:rPr>
          <w:rFonts w:ascii="Arial" w:eastAsia="Arial Unicode MS" w:hAnsi="Arial" w:cs="Arial"/>
          <w:lang w:val="en-US" w:eastAsia="zh-CN" w:bidi="ar"/>
        </w:rPr>
        <w:t>well-being of older adults in</w:t>
      </w:r>
      <w:r>
        <w:rPr>
          <w:rFonts w:ascii="Arial" w:eastAsia="Arial Unicode MS" w:hAnsi="Arial" w:cs="Arial"/>
          <w:lang w:val="en-US" w:eastAsia="zh-CN" w:bidi="ar"/>
        </w:rPr>
        <w:t xml:space="preserve"> the United Kingdom</w:t>
      </w:r>
      <w:r w:rsidR="0047238F">
        <w:rPr>
          <w:rFonts w:ascii="Arial" w:eastAsia="Arial Unicode MS" w:hAnsi="Arial" w:cs="Arial"/>
          <w:lang w:val="en-US" w:eastAsia="zh-CN" w:bidi="ar"/>
        </w:rPr>
        <w:t>.</w:t>
      </w:r>
      <w:r>
        <w:rPr>
          <w:rFonts w:ascii="Arial" w:eastAsia="Arial Unicode MS" w:hAnsi="Arial" w:cs="Arial"/>
          <w:lang w:val="en-US" w:eastAsia="zh-CN" w:bidi="ar"/>
        </w:rPr>
        <w:t xml:space="preserve"> </w:t>
      </w:r>
      <w:r w:rsidR="0047238F">
        <w:rPr>
          <w:rFonts w:ascii="Arial" w:eastAsia="Arial Unicode MS" w:hAnsi="Arial" w:cs="Arial"/>
          <w:lang w:val="en-US" w:eastAsia="zh-CN" w:bidi="ar"/>
        </w:rPr>
        <w:t xml:space="preserve">However, to fully </w:t>
      </w:r>
      <w:proofErr w:type="spellStart"/>
      <w:r w:rsidR="0047238F">
        <w:rPr>
          <w:rFonts w:ascii="Arial" w:eastAsia="Arial Unicode MS" w:hAnsi="Arial" w:cs="Arial"/>
          <w:lang w:val="en-US" w:eastAsia="zh-CN" w:bidi="ar"/>
        </w:rPr>
        <w:t>realise</w:t>
      </w:r>
      <w:proofErr w:type="spellEnd"/>
      <w:r w:rsidR="0047238F">
        <w:rPr>
          <w:rFonts w:ascii="Arial" w:eastAsia="Arial Unicode MS" w:hAnsi="Arial" w:cs="Arial"/>
          <w:lang w:val="en-US" w:eastAsia="zh-CN" w:bidi="ar"/>
        </w:rPr>
        <w:t xml:space="preserve"> this potential, better policy coordination, long-term funding, and stronger collaboration between services are needed</w:t>
      </w:r>
    </w:p>
    <w:p w14:paraId="15176980" w14:textId="77777777" w:rsidR="00EB54E5" w:rsidRDefault="00EB54E5" w:rsidP="00EB54E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lang w:val="en-US" w:eastAsia="zh-CN" w:bidi="ar"/>
        </w:rPr>
      </w:pPr>
    </w:p>
    <w:p w14:paraId="3E370926" w14:textId="77777777" w:rsidR="00EB54E5" w:rsidRDefault="00EB54E5" w:rsidP="00EB54E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lang w:val="en-US" w:eastAsia="zh-CN" w:bidi="ar"/>
        </w:rPr>
      </w:pPr>
      <w:r>
        <w:rPr>
          <w:rFonts w:ascii="Arial" w:eastAsia="Arial Unicode MS" w:hAnsi="Arial" w:cs="Arial"/>
          <w:b/>
          <w:bCs/>
          <w:lang w:val="en-US" w:eastAsia="zh-CN" w:bidi="ar"/>
        </w:rPr>
        <w:t>Keywords:</w:t>
      </w:r>
      <w:r>
        <w:rPr>
          <w:rFonts w:ascii="Arial" w:eastAsia="Arial Unicode MS" w:hAnsi="Arial" w:cs="Arial"/>
          <w:lang w:val="en-US" w:eastAsia="zh-CN" w:bidi="ar"/>
        </w:rPr>
        <w:t xml:space="preserve"> Integrated care, </w:t>
      </w:r>
      <w:proofErr w:type="gramStart"/>
      <w:r>
        <w:rPr>
          <w:rFonts w:ascii="Arial" w:eastAsia="Arial Unicode MS" w:hAnsi="Arial" w:cs="Arial"/>
          <w:lang w:val="en-US" w:eastAsia="zh-CN" w:bidi="ar"/>
        </w:rPr>
        <w:t>Older</w:t>
      </w:r>
      <w:proofErr w:type="gramEnd"/>
      <w:r>
        <w:rPr>
          <w:rFonts w:ascii="Arial" w:eastAsia="Arial Unicode MS" w:hAnsi="Arial" w:cs="Arial"/>
          <w:lang w:val="en-US" w:eastAsia="zh-CN" w:bidi="ar"/>
        </w:rPr>
        <w:t xml:space="preserve"> adults, Health and social care, United Kingdom</w:t>
      </w:r>
    </w:p>
    <w:p w14:paraId="6066D2BD" w14:textId="77ADB1CA" w:rsidR="00EB54E5" w:rsidRDefault="00EB54E5" w:rsidP="00EB54E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lang w:val="en-US" w:eastAsia="zh-CN" w:bidi="ar"/>
        </w:rPr>
      </w:pPr>
    </w:p>
    <w:p w14:paraId="63AF97FE" w14:textId="77777777" w:rsidR="00EB54E5" w:rsidRDefault="00EB54E5" w:rsidP="00EB54E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color w:val="0070C0"/>
          <w:lang w:val="en-US" w:eastAsia="zh-CN" w:bidi="ar"/>
        </w:rPr>
      </w:pPr>
    </w:p>
    <w:p w14:paraId="6266C45D" w14:textId="77777777" w:rsidR="00EB54E5" w:rsidRDefault="00EB54E5" w:rsidP="00EB54E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lang w:val="en-US"/>
        </w:rPr>
      </w:pPr>
    </w:p>
    <w:p w14:paraId="1B87FC81" w14:textId="77777777" w:rsidR="00EB54E5" w:rsidRDefault="00EB54E5" w:rsidP="00EB54E5">
      <w:pPr>
        <w:spacing w:line="360" w:lineRule="auto"/>
        <w:jc w:val="both"/>
        <w:rPr>
          <w:rFonts w:ascii="Arial" w:eastAsia="Arial Unicode MS" w:hAnsi="Arial" w:cs="Arial"/>
          <w:lang w:val="en-US"/>
        </w:rPr>
      </w:pPr>
    </w:p>
    <w:p w14:paraId="4AEE96BD" w14:textId="77777777" w:rsidR="00EB54E5" w:rsidRDefault="00EB54E5" w:rsidP="00EB54E5">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lang w:val="en-US"/>
        </w:rPr>
      </w:pPr>
    </w:p>
    <w:p w14:paraId="3E199B24" w14:textId="77777777" w:rsidR="00EB54E5" w:rsidRDefault="00EB54E5" w:rsidP="00EB54E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u w:val="single"/>
          <w:lang w:val="en-US"/>
        </w:rPr>
      </w:pPr>
    </w:p>
    <w:p w14:paraId="77617CAE" w14:textId="77777777" w:rsidR="00EB54E5" w:rsidRDefault="00EB54E5" w:rsidP="00EB54E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lang w:val="en-US"/>
        </w:rPr>
      </w:pPr>
    </w:p>
    <w:p w14:paraId="71F91FC9" w14:textId="77777777" w:rsidR="00EB54E5" w:rsidRDefault="00EB54E5" w:rsidP="00EB54E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lang w:val="en-US"/>
        </w:rPr>
      </w:pPr>
    </w:p>
    <w:p w14:paraId="7D455688" w14:textId="77777777" w:rsidR="00EB54E5" w:rsidRDefault="00EB54E5" w:rsidP="00EB54E5">
      <w:pPr>
        <w:spacing w:line="360" w:lineRule="auto"/>
        <w:rPr>
          <w:rFonts w:ascii="Arial" w:eastAsia="Arial Unicode MS" w:hAnsi="Arial" w:cs="Arial"/>
          <w:bCs/>
          <w:lang w:val="en-US"/>
        </w:rPr>
      </w:pPr>
      <w:r>
        <w:rPr>
          <w:rFonts w:ascii="Arial" w:eastAsia="Arial Unicode MS" w:hAnsi="Arial" w:cs="Arial"/>
          <w:bCs/>
          <w:lang w:val="en-US" w:eastAsia="en-US" w:bidi="en-US"/>
        </w:rPr>
        <w:br w:type="page"/>
      </w:r>
    </w:p>
    <w:p w14:paraId="68158AA0" w14:textId="77777777" w:rsidR="00EB54E5" w:rsidRDefault="00EB54E5" w:rsidP="00EB54E5">
      <w:pPr>
        <w:keepNext/>
        <w:pageBreakBefore/>
        <w:spacing w:after="180" w:line="360" w:lineRule="auto"/>
        <w:outlineLvl w:val="0"/>
        <w:rPr>
          <w:rFonts w:ascii="Arial" w:eastAsia="Times New Roman" w:hAnsi="Arial" w:cs="Arial"/>
          <w:b/>
          <w:kern w:val="28"/>
          <w:sz w:val="32"/>
          <w:szCs w:val="20"/>
        </w:rPr>
      </w:pPr>
      <w:r>
        <w:rPr>
          <w:rFonts w:ascii="Arial" w:eastAsia="Times New Roman" w:hAnsi="Arial" w:cs="Arial"/>
          <w:b/>
          <w:kern w:val="28"/>
          <w:sz w:val="32"/>
          <w:szCs w:val="20"/>
        </w:rPr>
        <w:lastRenderedPageBreak/>
        <w:t>Table of</w:t>
      </w:r>
      <w:r>
        <w:rPr>
          <w:rFonts w:ascii="Arial" w:eastAsia="Times New Roman" w:hAnsi="Arial" w:cs="Arial"/>
          <w:bCs/>
          <w:kern w:val="28"/>
          <w:sz w:val="32"/>
          <w:szCs w:val="20"/>
        </w:rPr>
        <w:t xml:space="preserve"> </w:t>
      </w:r>
      <w:r>
        <w:rPr>
          <w:rFonts w:ascii="Arial" w:eastAsia="Times New Roman" w:hAnsi="Arial" w:cs="Arial"/>
          <w:b/>
          <w:kern w:val="28"/>
          <w:sz w:val="32"/>
          <w:szCs w:val="20"/>
        </w:rPr>
        <w:t xml:space="preserve">Contents </w:t>
      </w:r>
    </w:p>
    <w:p w14:paraId="1D7419A2" w14:textId="77777777" w:rsidR="00EB54E5" w:rsidRDefault="00EB54E5" w:rsidP="00EB54E5">
      <w:pPr>
        <w:pStyle w:val="BodyText"/>
        <w:spacing w:before="149"/>
        <w:ind w:left="360" w:right="8037"/>
        <w:rPr>
          <w:rFonts w:ascii="Arial" w:hAnsi="Arial" w:cs="Arial"/>
        </w:rPr>
      </w:pPr>
      <w:r>
        <w:rPr>
          <w:rFonts w:ascii="Arial" w:hAnsi="Arial" w:cs="Arial"/>
        </w:rPr>
        <w:t>TITLE PAGE</w:t>
      </w:r>
      <w:r>
        <w:rPr>
          <w:rFonts w:ascii="Arial" w:hAnsi="Arial" w:cs="Arial"/>
          <w:spacing w:val="-4"/>
        </w:rPr>
        <w:t xml:space="preserve">                                                                                                                     </w:t>
      </w:r>
    </w:p>
    <w:sdt>
      <w:sdtPr>
        <w:rPr>
          <w:rFonts w:ascii="Arial" w:hAnsi="Arial" w:cs="Arial"/>
          <w:sz w:val="22"/>
          <w:szCs w:val="22"/>
        </w:rPr>
        <w:id w:val="768200531"/>
        <w:docPartObj>
          <w:docPartGallery w:val="Table of Contents"/>
          <w:docPartUnique/>
        </w:docPartObj>
      </w:sdtPr>
      <w:sdtContent>
        <w:p w14:paraId="0A0818D9" w14:textId="77777777" w:rsidR="00EB54E5" w:rsidRDefault="00EB54E5" w:rsidP="00EB54E5">
          <w:pPr>
            <w:pStyle w:val="TOC1"/>
            <w:tabs>
              <w:tab w:val="right" w:pos="8548"/>
            </w:tabs>
            <w:spacing w:before="174"/>
            <w:rPr>
              <w:rFonts w:ascii="Arial" w:hAnsi="Arial" w:cs="Arial"/>
              <w:sz w:val="22"/>
              <w:szCs w:val="22"/>
            </w:rPr>
          </w:pPr>
          <w:r>
            <w:rPr>
              <w:rFonts w:ascii="Arial" w:hAnsi="Arial" w:cs="Arial"/>
              <w:sz w:val="22"/>
              <w:szCs w:val="22"/>
            </w:rPr>
            <w:fldChar w:fldCharType="begin"/>
          </w:r>
          <w:r>
            <w:rPr>
              <w:rFonts w:ascii="Arial" w:hAnsi="Arial" w:cs="Arial"/>
              <w:sz w:val="22"/>
              <w:szCs w:val="22"/>
            </w:rPr>
            <w:instrText xml:space="preserve">TOC \o "1-1" \h \z \u </w:instrText>
          </w:r>
          <w:r>
            <w:rPr>
              <w:rFonts w:ascii="Arial" w:hAnsi="Arial" w:cs="Arial"/>
              <w:sz w:val="22"/>
              <w:szCs w:val="22"/>
            </w:rPr>
            <w:fldChar w:fldCharType="separate"/>
          </w:r>
          <w:hyperlink w:anchor="_TOC_250006" w:history="1">
            <w:r>
              <w:rPr>
                <w:rFonts w:ascii="Arial" w:hAnsi="Arial" w:cs="Arial"/>
                <w:spacing w:val="-2"/>
                <w:sz w:val="22"/>
                <w:szCs w:val="22"/>
              </w:rPr>
              <w:t>DE</w:t>
            </w:r>
            <w:r>
              <w:rPr>
                <w:rFonts w:ascii="Arial" w:hAnsi="Arial" w:cs="Arial"/>
                <w:spacing w:val="-2"/>
                <w:sz w:val="22"/>
                <w:szCs w:val="22"/>
                <w:lang w:val="en-US"/>
              </w:rPr>
              <w:t>CLARATION</w:t>
            </w:r>
            <w:r>
              <w:rPr>
                <w:rFonts w:ascii="Arial" w:hAnsi="Arial" w:cs="Arial"/>
                <w:sz w:val="22"/>
                <w:szCs w:val="22"/>
              </w:rPr>
              <w:tab/>
            </w:r>
            <w:r>
              <w:rPr>
                <w:rFonts w:ascii="Arial" w:hAnsi="Arial" w:cs="Arial"/>
                <w:spacing w:val="-5"/>
                <w:sz w:val="22"/>
                <w:szCs w:val="22"/>
              </w:rPr>
              <w:t>ii</w:t>
            </w:r>
          </w:hyperlink>
        </w:p>
        <w:p w14:paraId="73ADEAC3" w14:textId="77777777" w:rsidR="00EB54E5" w:rsidRDefault="00EB54E5" w:rsidP="00EB54E5">
          <w:pPr>
            <w:pStyle w:val="TOC1"/>
            <w:tabs>
              <w:tab w:val="right" w:pos="8558"/>
            </w:tabs>
            <w:rPr>
              <w:rFonts w:ascii="Arial" w:hAnsi="Arial" w:cs="Arial"/>
              <w:sz w:val="22"/>
              <w:szCs w:val="22"/>
            </w:rPr>
          </w:pPr>
          <w:hyperlink w:anchor="_TOC_250005" w:history="1">
            <w:r>
              <w:rPr>
                <w:rFonts w:ascii="Arial" w:hAnsi="Arial" w:cs="Arial"/>
                <w:spacing w:val="-2"/>
                <w:sz w:val="22"/>
                <w:szCs w:val="22"/>
              </w:rPr>
              <w:t>ACKNOWLEDGEMENTS</w:t>
            </w:r>
            <w:r>
              <w:rPr>
                <w:rFonts w:ascii="Arial" w:hAnsi="Arial" w:cs="Arial"/>
                <w:sz w:val="22"/>
                <w:szCs w:val="22"/>
              </w:rPr>
              <w:tab/>
            </w:r>
            <w:r>
              <w:rPr>
                <w:rFonts w:ascii="Arial" w:hAnsi="Arial" w:cs="Arial"/>
                <w:spacing w:val="-5"/>
                <w:sz w:val="22"/>
                <w:szCs w:val="22"/>
              </w:rPr>
              <w:t>iii</w:t>
            </w:r>
          </w:hyperlink>
        </w:p>
        <w:p w14:paraId="721421F0" w14:textId="77777777" w:rsidR="00EB54E5" w:rsidRDefault="00EB54E5" w:rsidP="00EB54E5">
          <w:pPr>
            <w:pStyle w:val="TOC1"/>
            <w:tabs>
              <w:tab w:val="right" w:pos="8553"/>
            </w:tabs>
            <w:rPr>
              <w:rFonts w:ascii="Arial" w:hAnsi="Arial" w:cs="Arial"/>
              <w:sz w:val="22"/>
              <w:szCs w:val="22"/>
            </w:rPr>
          </w:pPr>
          <w:hyperlink w:anchor="_TOC_250004" w:history="1">
            <w:r>
              <w:rPr>
                <w:rFonts w:ascii="Arial" w:hAnsi="Arial" w:cs="Arial"/>
                <w:spacing w:val="-2"/>
                <w:sz w:val="22"/>
                <w:szCs w:val="22"/>
              </w:rPr>
              <w:t>ABSTRACT</w:t>
            </w:r>
            <w:r>
              <w:rPr>
                <w:rFonts w:ascii="Arial" w:hAnsi="Arial" w:cs="Arial"/>
                <w:sz w:val="22"/>
                <w:szCs w:val="22"/>
              </w:rPr>
              <w:tab/>
            </w:r>
            <w:r>
              <w:rPr>
                <w:rFonts w:ascii="Arial" w:hAnsi="Arial" w:cs="Arial"/>
                <w:spacing w:val="-5"/>
                <w:sz w:val="22"/>
                <w:szCs w:val="22"/>
              </w:rPr>
              <w:t>iv</w:t>
            </w:r>
          </w:hyperlink>
        </w:p>
        <w:p w14:paraId="0966F1FF" w14:textId="77777777" w:rsidR="00EB54E5" w:rsidRDefault="00EB54E5" w:rsidP="00EB54E5">
          <w:pPr>
            <w:pStyle w:val="TOC1"/>
            <w:tabs>
              <w:tab w:val="right" w:pos="8488"/>
            </w:tabs>
            <w:spacing w:before="174"/>
            <w:rPr>
              <w:rFonts w:ascii="Arial" w:hAnsi="Arial" w:cs="Arial"/>
              <w:sz w:val="22"/>
              <w:szCs w:val="22"/>
            </w:rPr>
          </w:pPr>
          <w:hyperlink w:anchor="_TOC_250003" w:history="1">
            <w:r>
              <w:rPr>
                <w:rFonts w:ascii="Arial" w:hAnsi="Arial" w:cs="Arial"/>
                <w:sz w:val="22"/>
                <w:szCs w:val="22"/>
              </w:rPr>
              <w:t>TABLE</w:t>
            </w:r>
            <w:r>
              <w:rPr>
                <w:rFonts w:ascii="Arial" w:hAnsi="Arial" w:cs="Arial"/>
                <w:spacing w:val="-13"/>
                <w:sz w:val="22"/>
                <w:szCs w:val="22"/>
              </w:rPr>
              <w:t xml:space="preserve"> </w:t>
            </w:r>
            <w:r>
              <w:rPr>
                <w:rFonts w:ascii="Arial" w:hAnsi="Arial" w:cs="Arial"/>
                <w:sz w:val="22"/>
                <w:szCs w:val="22"/>
              </w:rPr>
              <w:t>OF</w:t>
            </w:r>
            <w:r>
              <w:rPr>
                <w:rFonts w:ascii="Arial" w:hAnsi="Arial" w:cs="Arial"/>
                <w:spacing w:val="-10"/>
                <w:sz w:val="22"/>
                <w:szCs w:val="22"/>
              </w:rPr>
              <w:t xml:space="preserve"> </w:t>
            </w:r>
            <w:r>
              <w:rPr>
                <w:rFonts w:ascii="Arial" w:hAnsi="Arial" w:cs="Arial"/>
                <w:spacing w:val="-2"/>
                <w:sz w:val="22"/>
                <w:szCs w:val="22"/>
              </w:rPr>
              <w:t>CONTENTS</w:t>
            </w:r>
            <w:r>
              <w:rPr>
                <w:rFonts w:ascii="Arial" w:hAnsi="Arial" w:cs="Arial"/>
                <w:sz w:val="22"/>
                <w:szCs w:val="22"/>
              </w:rPr>
              <w:tab/>
            </w:r>
            <w:r>
              <w:rPr>
                <w:rFonts w:ascii="Arial" w:hAnsi="Arial" w:cs="Arial"/>
                <w:spacing w:val="-10"/>
                <w:sz w:val="22"/>
                <w:szCs w:val="22"/>
              </w:rPr>
              <w:t>v</w:t>
            </w:r>
          </w:hyperlink>
        </w:p>
        <w:p w14:paraId="4D5E7636" w14:textId="77777777" w:rsidR="00EB54E5" w:rsidRDefault="00EB54E5" w:rsidP="00EB54E5">
          <w:pPr>
            <w:pStyle w:val="TOC1"/>
            <w:tabs>
              <w:tab w:val="right" w:pos="8480"/>
            </w:tabs>
            <w:rPr>
              <w:rFonts w:ascii="Arial" w:hAnsi="Arial" w:cs="Arial"/>
              <w:sz w:val="22"/>
              <w:szCs w:val="22"/>
            </w:rPr>
          </w:pPr>
          <w:hyperlink w:anchor="_TOC_250002" w:history="1">
            <w:r>
              <w:rPr>
                <w:rFonts w:ascii="Arial" w:hAnsi="Arial" w:cs="Arial"/>
                <w:sz w:val="22"/>
                <w:szCs w:val="22"/>
              </w:rPr>
              <w:t>LIST</w:t>
            </w:r>
            <w:r>
              <w:rPr>
                <w:rFonts w:ascii="Arial" w:hAnsi="Arial" w:cs="Arial"/>
                <w:spacing w:val="-8"/>
                <w:sz w:val="22"/>
                <w:szCs w:val="22"/>
              </w:rPr>
              <w:t xml:space="preserve"> </w:t>
            </w:r>
            <w:r>
              <w:rPr>
                <w:rFonts w:ascii="Arial" w:hAnsi="Arial" w:cs="Arial"/>
                <w:sz w:val="22"/>
                <w:szCs w:val="22"/>
              </w:rPr>
              <w:t>OF</w:t>
            </w:r>
            <w:r>
              <w:rPr>
                <w:rFonts w:ascii="Arial" w:hAnsi="Arial" w:cs="Arial"/>
                <w:spacing w:val="1"/>
                <w:sz w:val="22"/>
                <w:szCs w:val="22"/>
              </w:rPr>
              <w:t xml:space="preserve"> </w:t>
            </w:r>
            <w:r>
              <w:rPr>
                <w:rFonts w:ascii="Arial" w:hAnsi="Arial" w:cs="Arial"/>
                <w:spacing w:val="-2"/>
                <w:sz w:val="22"/>
                <w:szCs w:val="22"/>
              </w:rPr>
              <w:t>FIGURES</w:t>
            </w:r>
            <w:r>
              <w:rPr>
                <w:rFonts w:ascii="Arial" w:hAnsi="Arial" w:cs="Arial"/>
                <w:sz w:val="22"/>
                <w:szCs w:val="22"/>
              </w:rPr>
              <w:tab/>
            </w:r>
            <w:r>
              <w:rPr>
                <w:rFonts w:ascii="Arial" w:hAnsi="Arial" w:cs="Arial"/>
                <w:spacing w:val="-5"/>
                <w:sz w:val="22"/>
                <w:szCs w:val="22"/>
              </w:rPr>
              <w:t>vi</w:t>
            </w:r>
          </w:hyperlink>
        </w:p>
        <w:p w14:paraId="174684F5" w14:textId="5B42B515" w:rsidR="00EB54E5" w:rsidRDefault="00EB54E5" w:rsidP="00DE33AF">
          <w:pPr>
            <w:pStyle w:val="TOC1"/>
            <w:tabs>
              <w:tab w:val="right" w:pos="8568"/>
            </w:tabs>
            <w:spacing w:before="175"/>
            <w:rPr>
              <w:rFonts w:ascii="Arial" w:hAnsi="Arial" w:cs="Arial"/>
              <w:sz w:val="22"/>
              <w:szCs w:val="22"/>
            </w:rPr>
          </w:pPr>
          <w:hyperlink w:anchor="_TOC_250001" w:history="1">
            <w:r>
              <w:rPr>
                <w:rFonts w:ascii="Arial" w:hAnsi="Arial" w:cs="Arial"/>
                <w:sz w:val="22"/>
                <w:szCs w:val="22"/>
              </w:rPr>
              <w:t>LIST</w:t>
            </w:r>
            <w:r>
              <w:rPr>
                <w:rFonts w:ascii="Arial" w:hAnsi="Arial" w:cs="Arial"/>
                <w:spacing w:val="-8"/>
                <w:sz w:val="22"/>
                <w:szCs w:val="22"/>
              </w:rPr>
              <w:t xml:space="preserve"> </w:t>
            </w:r>
            <w:r>
              <w:rPr>
                <w:rFonts w:ascii="Arial" w:hAnsi="Arial" w:cs="Arial"/>
                <w:sz w:val="22"/>
                <w:szCs w:val="22"/>
              </w:rPr>
              <w:t>OF</w:t>
            </w:r>
            <w:r>
              <w:rPr>
                <w:rFonts w:ascii="Arial" w:hAnsi="Arial" w:cs="Arial"/>
                <w:spacing w:val="-4"/>
                <w:sz w:val="22"/>
                <w:szCs w:val="22"/>
              </w:rPr>
              <w:t xml:space="preserve"> </w:t>
            </w:r>
            <w:r>
              <w:rPr>
                <w:rFonts w:ascii="Arial" w:hAnsi="Arial" w:cs="Arial"/>
                <w:spacing w:val="-2"/>
                <w:sz w:val="22"/>
                <w:szCs w:val="22"/>
              </w:rPr>
              <w:t>TABLES</w:t>
            </w:r>
            <w:r>
              <w:rPr>
                <w:rFonts w:ascii="Arial" w:hAnsi="Arial" w:cs="Arial"/>
                <w:sz w:val="22"/>
                <w:szCs w:val="22"/>
              </w:rPr>
              <w:tab/>
            </w:r>
            <w:r>
              <w:rPr>
                <w:rFonts w:ascii="Arial" w:hAnsi="Arial" w:cs="Arial"/>
                <w:spacing w:val="-5"/>
                <w:sz w:val="22"/>
                <w:szCs w:val="22"/>
              </w:rPr>
              <w:t>vii</w:t>
            </w:r>
          </w:hyperlink>
        </w:p>
        <w:p w14:paraId="076774BD" w14:textId="77777777" w:rsidR="00EB54E5" w:rsidRDefault="00EB54E5" w:rsidP="00EB54E5">
          <w:pPr>
            <w:rPr>
              <w:rFonts w:ascii="Arial" w:hAnsi="Arial" w:cs="Arial"/>
            </w:rPr>
          </w:pPr>
          <w:r>
            <w:rPr>
              <w:rFonts w:ascii="Arial" w:hAnsi="Arial" w:cs="Arial"/>
            </w:rPr>
            <w:fldChar w:fldCharType="end"/>
          </w:r>
        </w:p>
      </w:sdtContent>
    </w:sdt>
    <w:p w14:paraId="26F61FF3" w14:textId="77777777" w:rsidR="00EB54E5" w:rsidRDefault="00EB54E5" w:rsidP="00EB54E5">
      <w:pPr>
        <w:pStyle w:val="BodyText"/>
        <w:tabs>
          <w:tab w:val="left" w:pos="8400"/>
        </w:tabs>
        <w:ind w:left="360"/>
        <w:rPr>
          <w:rFonts w:ascii="Arial" w:hAnsi="Arial" w:cs="Arial"/>
        </w:rPr>
      </w:pPr>
      <w:r>
        <w:rPr>
          <w:rFonts w:ascii="Arial" w:hAnsi="Arial" w:cs="Arial"/>
          <w:b/>
          <w:bCs/>
        </w:rPr>
        <w:t>CHAPTER</w:t>
      </w:r>
      <w:r>
        <w:rPr>
          <w:rFonts w:ascii="Arial" w:hAnsi="Arial" w:cs="Arial"/>
          <w:b/>
          <w:bCs/>
          <w:spacing w:val="-2"/>
        </w:rPr>
        <w:t xml:space="preserve"> </w:t>
      </w:r>
      <w:r>
        <w:rPr>
          <w:rFonts w:ascii="Arial" w:hAnsi="Arial" w:cs="Arial"/>
          <w:b/>
          <w:bCs/>
        </w:rPr>
        <w:t>ONE:</w:t>
      </w:r>
      <w:r>
        <w:rPr>
          <w:rFonts w:ascii="Arial" w:hAnsi="Arial" w:cs="Arial"/>
          <w:spacing w:val="-2"/>
        </w:rPr>
        <w:t xml:space="preserve"> INTRODUCTION</w:t>
      </w:r>
      <w:r>
        <w:rPr>
          <w:rFonts w:ascii="Arial" w:hAnsi="Arial" w:cs="Arial"/>
          <w:spacing w:val="-2"/>
        </w:rPr>
        <w:tab/>
        <w:t>1</w:t>
      </w:r>
    </w:p>
    <w:p w14:paraId="4B3463FA" w14:textId="77777777" w:rsidR="00EB54E5" w:rsidRDefault="00EB54E5" w:rsidP="00EB54E5">
      <w:pPr>
        <w:pStyle w:val="ListParagraph"/>
        <w:tabs>
          <w:tab w:val="left" w:pos="720"/>
          <w:tab w:val="left" w:pos="8400"/>
        </w:tabs>
        <w:spacing w:before="139"/>
        <w:ind w:left="360" w:firstLine="0"/>
        <w:rPr>
          <w:rFonts w:ascii="Arial" w:hAnsi="Arial" w:cs="Arial"/>
        </w:rPr>
      </w:pPr>
      <w:r>
        <w:rPr>
          <w:rFonts w:ascii="Arial" w:hAnsi="Arial" w:cs="Arial"/>
          <w:lang w:val="en-US"/>
        </w:rPr>
        <w:t xml:space="preserve">1.0 Introduction </w:t>
      </w:r>
      <w:r>
        <w:rPr>
          <w:rFonts w:ascii="Arial" w:hAnsi="Arial" w:cs="Arial"/>
          <w:spacing w:val="-2"/>
        </w:rPr>
        <w:tab/>
        <w:t>1</w:t>
      </w:r>
    </w:p>
    <w:p w14:paraId="33EC383A" w14:textId="77777777" w:rsidR="00EB54E5" w:rsidRDefault="00EB54E5" w:rsidP="00EB54E5">
      <w:pPr>
        <w:pStyle w:val="ListParagraph"/>
        <w:numPr>
          <w:ilvl w:val="1"/>
          <w:numId w:val="11"/>
        </w:numPr>
        <w:tabs>
          <w:tab w:val="left" w:pos="720"/>
          <w:tab w:val="left" w:pos="8400"/>
        </w:tabs>
        <w:spacing w:before="134"/>
        <w:rPr>
          <w:rFonts w:ascii="Arial" w:hAnsi="Arial" w:cs="Arial"/>
        </w:rPr>
      </w:pPr>
      <w:r>
        <w:rPr>
          <w:rFonts w:ascii="Arial" w:hAnsi="Arial" w:cs="Arial"/>
          <w:lang w:val="en-US"/>
        </w:rPr>
        <w:t xml:space="preserve">Key Terminologies </w:t>
      </w:r>
      <w:r>
        <w:rPr>
          <w:rFonts w:ascii="Arial" w:hAnsi="Arial" w:cs="Arial"/>
          <w:spacing w:val="-2"/>
        </w:rPr>
        <w:tab/>
      </w:r>
      <w:r>
        <w:rPr>
          <w:rFonts w:ascii="Arial" w:hAnsi="Arial" w:cs="Arial"/>
          <w:spacing w:val="-2"/>
          <w:lang w:val="en-US"/>
        </w:rPr>
        <w:t>3</w:t>
      </w:r>
    </w:p>
    <w:p w14:paraId="0835CAB6" w14:textId="77777777" w:rsidR="00EB54E5" w:rsidRDefault="00EB54E5" w:rsidP="00EB54E5">
      <w:pPr>
        <w:pStyle w:val="ListParagraph"/>
        <w:numPr>
          <w:ilvl w:val="1"/>
          <w:numId w:val="11"/>
        </w:numPr>
        <w:tabs>
          <w:tab w:val="left" w:pos="720"/>
          <w:tab w:val="left" w:pos="8400"/>
        </w:tabs>
        <w:spacing w:before="139"/>
        <w:rPr>
          <w:rFonts w:ascii="Arial" w:hAnsi="Arial" w:cs="Arial"/>
        </w:rPr>
      </w:pPr>
      <w:r>
        <w:rPr>
          <w:rFonts w:ascii="Arial" w:hAnsi="Arial" w:cs="Arial"/>
        </w:rPr>
        <w:t>Rationale of the study</w:t>
      </w:r>
      <w:r>
        <w:rPr>
          <w:rFonts w:ascii="Arial" w:hAnsi="Arial" w:cs="Arial"/>
          <w:spacing w:val="-4"/>
        </w:rPr>
        <w:tab/>
      </w:r>
      <w:r>
        <w:rPr>
          <w:rFonts w:ascii="Arial" w:hAnsi="Arial" w:cs="Arial"/>
          <w:spacing w:val="-4"/>
          <w:lang w:val="en-US"/>
        </w:rPr>
        <w:t>3</w:t>
      </w:r>
    </w:p>
    <w:p w14:paraId="12AE6017" w14:textId="77777777" w:rsidR="00EB54E5" w:rsidRDefault="00EB54E5" w:rsidP="00EB54E5">
      <w:pPr>
        <w:pStyle w:val="ListParagraph"/>
        <w:numPr>
          <w:ilvl w:val="1"/>
          <w:numId w:val="11"/>
        </w:numPr>
        <w:tabs>
          <w:tab w:val="left" w:pos="720"/>
          <w:tab w:val="left" w:pos="8400"/>
        </w:tabs>
        <w:spacing w:before="134"/>
        <w:rPr>
          <w:rFonts w:ascii="Arial" w:hAnsi="Arial" w:cs="Arial"/>
        </w:rPr>
      </w:pPr>
      <w:r>
        <w:rPr>
          <w:rFonts w:ascii="Arial" w:hAnsi="Arial" w:cs="Arial"/>
          <w:lang w:val="en-US"/>
        </w:rPr>
        <w:t xml:space="preserve">Aim and Objectives </w:t>
      </w:r>
      <w:r>
        <w:rPr>
          <w:rFonts w:ascii="Arial" w:hAnsi="Arial" w:cs="Arial"/>
          <w:spacing w:val="-2"/>
        </w:rPr>
        <w:tab/>
      </w:r>
      <w:r>
        <w:rPr>
          <w:rFonts w:ascii="Arial" w:hAnsi="Arial" w:cs="Arial"/>
          <w:spacing w:val="-2"/>
          <w:lang w:val="en-US"/>
        </w:rPr>
        <w:t>4</w:t>
      </w:r>
    </w:p>
    <w:p w14:paraId="46A92022" w14:textId="77777777" w:rsidR="00EB54E5" w:rsidRDefault="00EB54E5" w:rsidP="00EB54E5">
      <w:pPr>
        <w:pStyle w:val="ListParagraph"/>
        <w:numPr>
          <w:ilvl w:val="1"/>
          <w:numId w:val="11"/>
        </w:numPr>
        <w:tabs>
          <w:tab w:val="left" w:pos="720"/>
          <w:tab w:val="left" w:pos="8400"/>
        </w:tabs>
        <w:spacing w:before="139"/>
        <w:rPr>
          <w:rFonts w:ascii="Arial" w:hAnsi="Arial" w:cs="Arial"/>
        </w:rPr>
      </w:pPr>
      <w:r>
        <w:rPr>
          <w:rFonts w:ascii="Arial" w:hAnsi="Arial" w:cs="Arial"/>
          <w:lang w:val="en-US"/>
        </w:rPr>
        <w:t xml:space="preserve">Overview </w:t>
      </w:r>
      <w:r>
        <w:rPr>
          <w:rFonts w:ascii="Arial" w:hAnsi="Arial" w:cs="Arial"/>
        </w:rPr>
        <w:t xml:space="preserve">of the </w:t>
      </w:r>
      <w:r>
        <w:rPr>
          <w:rFonts w:ascii="Arial" w:hAnsi="Arial" w:cs="Arial"/>
          <w:lang w:val="en-US"/>
        </w:rPr>
        <w:t xml:space="preserve">study </w:t>
      </w:r>
      <w:r>
        <w:rPr>
          <w:rFonts w:ascii="Arial" w:hAnsi="Arial" w:cs="Arial"/>
          <w:spacing w:val="-2"/>
        </w:rPr>
        <w:tab/>
      </w:r>
      <w:r>
        <w:rPr>
          <w:rFonts w:ascii="Arial" w:hAnsi="Arial" w:cs="Arial"/>
          <w:spacing w:val="-2"/>
          <w:lang w:val="en-US"/>
        </w:rPr>
        <w:t>4</w:t>
      </w:r>
    </w:p>
    <w:p w14:paraId="614280A8" w14:textId="77777777" w:rsidR="00EB54E5" w:rsidRDefault="00EB54E5" w:rsidP="00EB54E5">
      <w:pPr>
        <w:pStyle w:val="ListParagraph"/>
        <w:tabs>
          <w:tab w:val="left" w:pos="720"/>
          <w:tab w:val="left" w:pos="8400"/>
        </w:tabs>
        <w:spacing w:before="134" w:line="360" w:lineRule="auto"/>
        <w:ind w:left="360" w:right="5450" w:firstLine="0"/>
        <w:rPr>
          <w:rFonts w:ascii="Arial" w:hAnsi="Arial" w:cs="Arial"/>
        </w:rPr>
      </w:pPr>
      <w:r>
        <w:rPr>
          <w:rFonts w:ascii="Arial" w:hAnsi="Arial" w:cs="Arial"/>
          <w:b/>
          <w:bCs/>
        </w:rPr>
        <w:t>CHAPTER</w:t>
      </w:r>
      <w:r>
        <w:rPr>
          <w:rFonts w:ascii="Arial" w:hAnsi="Arial" w:cs="Arial"/>
          <w:b/>
          <w:bCs/>
          <w:spacing w:val="-15"/>
        </w:rPr>
        <w:t xml:space="preserve"> </w:t>
      </w:r>
      <w:r>
        <w:rPr>
          <w:rFonts w:ascii="Arial" w:hAnsi="Arial" w:cs="Arial"/>
          <w:b/>
          <w:bCs/>
        </w:rPr>
        <w:t>TWO:</w:t>
      </w:r>
      <w:r>
        <w:rPr>
          <w:rFonts w:ascii="Arial" w:hAnsi="Arial" w:cs="Arial"/>
          <w:spacing w:val="-15"/>
        </w:rPr>
        <w:t xml:space="preserve"> </w:t>
      </w:r>
      <w:r>
        <w:rPr>
          <w:rFonts w:ascii="Arial" w:hAnsi="Arial" w:cs="Arial"/>
          <w:spacing w:val="-15"/>
          <w:lang w:val="en-US"/>
        </w:rPr>
        <w:t xml:space="preserve">BACKGROUND </w:t>
      </w:r>
    </w:p>
    <w:p w14:paraId="4F4E91BC" w14:textId="77777777" w:rsidR="00EB54E5" w:rsidRDefault="00EB54E5" w:rsidP="00EB54E5">
      <w:pPr>
        <w:pStyle w:val="ListParagraph"/>
        <w:tabs>
          <w:tab w:val="left" w:pos="720"/>
          <w:tab w:val="left" w:pos="8400"/>
        </w:tabs>
        <w:spacing w:line="360" w:lineRule="auto"/>
        <w:ind w:left="360" w:firstLine="0"/>
        <w:rPr>
          <w:rFonts w:ascii="Arial" w:hAnsi="Arial" w:cs="Arial"/>
          <w:lang w:val="en-US"/>
        </w:rPr>
      </w:pPr>
      <w:r>
        <w:rPr>
          <w:rFonts w:ascii="Arial" w:hAnsi="Arial" w:cs="Arial"/>
          <w:lang w:val="en-US"/>
        </w:rPr>
        <w:t xml:space="preserve">2.0 Literature </w:t>
      </w:r>
      <w:proofErr w:type="gramStart"/>
      <w:r>
        <w:rPr>
          <w:rFonts w:ascii="Arial" w:hAnsi="Arial" w:cs="Arial"/>
          <w:lang w:val="en-US"/>
        </w:rPr>
        <w:t xml:space="preserve">Review  </w:t>
      </w:r>
      <w:r>
        <w:rPr>
          <w:rFonts w:ascii="Arial" w:hAnsi="Arial" w:cs="Arial"/>
          <w:spacing w:val="-2"/>
        </w:rPr>
        <w:tab/>
      </w:r>
      <w:proofErr w:type="gramEnd"/>
      <w:r>
        <w:rPr>
          <w:rFonts w:ascii="Arial" w:hAnsi="Arial" w:cs="Arial"/>
          <w:spacing w:val="-2"/>
          <w:lang w:val="en-US"/>
        </w:rPr>
        <w:t>6</w:t>
      </w:r>
    </w:p>
    <w:p w14:paraId="1439B7EF" w14:textId="77777777" w:rsidR="00EB54E5" w:rsidRDefault="00EB54E5" w:rsidP="00EB54E5">
      <w:pPr>
        <w:pStyle w:val="ListParagraph"/>
        <w:tabs>
          <w:tab w:val="left" w:pos="900"/>
          <w:tab w:val="left" w:pos="8400"/>
        </w:tabs>
        <w:spacing w:before="139"/>
        <w:ind w:left="0" w:firstLineChars="150" w:firstLine="327"/>
        <w:rPr>
          <w:rFonts w:ascii="Arial" w:hAnsi="Arial" w:cs="Arial"/>
        </w:rPr>
      </w:pPr>
      <w:r>
        <w:rPr>
          <w:rFonts w:ascii="Arial" w:hAnsi="Arial" w:cs="Arial"/>
          <w:spacing w:val="-2"/>
          <w:lang w:val="en-US"/>
        </w:rPr>
        <w:t>2.1 Historical Background</w:t>
      </w:r>
      <w:r>
        <w:rPr>
          <w:rFonts w:ascii="Arial" w:hAnsi="Arial" w:cs="Arial"/>
          <w:spacing w:val="-2"/>
        </w:rPr>
        <w:tab/>
      </w:r>
      <w:r>
        <w:rPr>
          <w:rFonts w:ascii="Arial" w:hAnsi="Arial" w:cs="Arial"/>
          <w:spacing w:val="-2"/>
          <w:lang w:val="en-US"/>
        </w:rPr>
        <w:t>6</w:t>
      </w:r>
    </w:p>
    <w:p w14:paraId="05520F1D" w14:textId="77777777" w:rsidR="00EB54E5" w:rsidRDefault="00EB54E5" w:rsidP="00EB54E5">
      <w:pPr>
        <w:pStyle w:val="ListParagraph"/>
        <w:tabs>
          <w:tab w:val="left" w:pos="720"/>
          <w:tab w:val="left" w:pos="8400"/>
        </w:tabs>
        <w:spacing w:before="139"/>
        <w:ind w:left="0" w:firstLineChars="150" w:firstLine="330"/>
        <w:rPr>
          <w:rFonts w:ascii="Arial" w:hAnsi="Arial" w:cs="Arial"/>
          <w:lang w:val="en-US"/>
        </w:rPr>
      </w:pPr>
      <w:r>
        <w:rPr>
          <w:rFonts w:ascii="Arial" w:hAnsi="Arial" w:cs="Arial"/>
          <w:lang w:val="en-US"/>
        </w:rPr>
        <w:t xml:space="preserve">2.2 </w:t>
      </w:r>
      <w:r>
        <w:rPr>
          <w:rFonts w:ascii="Arial" w:hAnsi="Arial" w:cs="Arial"/>
          <w:spacing w:val="-2"/>
        </w:rPr>
        <w:t>Theoretical Background</w:t>
      </w:r>
      <w:r>
        <w:rPr>
          <w:rFonts w:ascii="Arial" w:hAnsi="Arial" w:cs="Arial"/>
          <w:spacing w:val="-2"/>
          <w:lang w:val="en-US"/>
        </w:rPr>
        <w:t xml:space="preserve"> </w:t>
      </w:r>
      <w:r>
        <w:rPr>
          <w:rFonts w:ascii="Arial" w:hAnsi="Arial" w:cs="Arial"/>
          <w:spacing w:val="-2"/>
        </w:rPr>
        <w:tab/>
      </w:r>
      <w:r>
        <w:rPr>
          <w:rFonts w:ascii="Arial" w:hAnsi="Arial" w:cs="Arial"/>
          <w:spacing w:val="-2"/>
          <w:lang w:val="en-US"/>
        </w:rPr>
        <w:t>7</w:t>
      </w:r>
    </w:p>
    <w:p w14:paraId="381A835C" w14:textId="77777777" w:rsidR="00EB54E5" w:rsidRDefault="00EB54E5" w:rsidP="00EB54E5">
      <w:pPr>
        <w:pStyle w:val="ListParagraph"/>
        <w:tabs>
          <w:tab w:val="left" w:pos="884"/>
          <w:tab w:val="left" w:pos="8400"/>
        </w:tabs>
        <w:spacing w:before="134"/>
        <w:ind w:left="360" w:firstLine="0"/>
        <w:rPr>
          <w:rFonts w:ascii="Arial" w:hAnsi="Arial" w:cs="Arial"/>
          <w:lang w:val="en-US"/>
        </w:rPr>
      </w:pPr>
      <w:proofErr w:type="gramStart"/>
      <w:r>
        <w:rPr>
          <w:rFonts w:ascii="Arial" w:hAnsi="Arial" w:cs="Arial"/>
          <w:lang w:val="en-US"/>
        </w:rPr>
        <w:t>2.3  International</w:t>
      </w:r>
      <w:proofErr w:type="gramEnd"/>
      <w:r>
        <w:rPr>
          <w:rFonts w:ascii="Arial" w:hAnsi="Arial" w:cs="Arial"/>
          <w:lang w:val="en-US"/>
        </w:rPr>
        <w:t xml:space="preserve"> Context </w:t>
      </w:r>
      <w:r>
        <w:rPr>
          <w:rFonts w:ascii="Arial" w:hAnsi="Arial" w:cs="Arial"/>
          <w:spacing w:val="-2"/>
        </w:rPr>
        <w:tab/>
      </w:r>
      <w:r>
        <w:rPr>
          <w:rFonts w:ascii="Arial" w:hAnsi="Arial" w:cs="Arial"/>
          <w:spacing w:val="-2"/>
          <w:lang w:val="en-US"/>
        </w:rPr>
        <w:t>8</w:t>
      </w:r>
    </w:p>
    <w:p w14:paraId="6C2E2042" w14:textId="77777777" w:rsidR="00EB54E5" w:rsidRDefault="00EB54E5" w:rsidP="00EB54E5">
      <w:pPr>
        <w:pStyle w:val="ListParagraph"/>
        <w:tabs>
          <w:tab w:val="left" w:pos="900"/>
          <w:tab w:val="left" w:pos="8400"/>
        </w:tabs>
        <w:spacing w:before="139"/>
        <w:ind w:left="0" w:firstLineChars="150" w:firstLine="327"/>
        <w:rPr>
          <w:rFonts w:ascii="Arial" w:hAnsi="Arial" w:cs="Arial"/>
          <w:spacing w:val="-2"/>
          <w:lang w:val="en-US"/>
        </w:rPr>
      </w:pPr>
      <w:proofErr w:type="gramStart"/>
      <w:r>
        <w:rPr>
          <w:rFonts w:ascii="Arial" w:hAnsi="Arial" w:cs="Arial"/>
          <w:spacing w:val="-2"/>
          <w:lang w:val="en-US"/>
        </w:rPr>
        <w:t>2</w:t>
      </w:r>
      <w:r>
        <w:rPr>
          <w:rFonts w:ascii="Arial" w:hAnsi="Arial" w:cs="Arial"/>
          <w:spacing w:val="-2"/>
        </w:rPr>
        <w:t>.</w:t>
      </w:r>
      <w:r>
        <w:rPr>
          <w:rFonts w:ascii="Arial" w:hAnsi="Arial" w:cs="Arial"/>
          <w:spacing w:val="-2"/>
          <w:lang w:val="en-US"/>
        </w:rPr>
        <w:t>4</w:t>
      </w:r>
      <w:r>
        <w:rPr>
          <w:rFonts w:ascii="Arial" w:hAnsi="Arial" w:cs="Arial"/>
          <w:spacing w:val="-2"/>
        </w:rPr>
        <w:t xml:space="preserve"> </w:t>
      </w:r>
      <w:r>
        <w:rPr>
          <w:rFonts w:ascii="Arial" w:hAnsi="Arial" w:cs="Arial"/>
          <w:lang w:val="en-US"/>
        </w:rPr>
        <w:t xml:space="preserve"> National</w:t>
      </w:r>
      <w:proofErr w:type="gramEnd"/>
      <w:r>
        <w:rPr>
          <w:rFonts w:ascii="Arial" w:hAnsi="Arial" w:cs="Arial"/>
          <w:lang w:val="en-US"/>
        </w:rPr>
        <w:t xml:space="preserve">/Local Context </w:t>
      </w:r>
      <w:r>
        <w:rPr>
          <w:rFonts w:ascii="Arial" w:hAnsi="Arial" w:cs="Arial"/>
          <w:spacing w:val="-2"/>
          <w:lang w:val="en-US"/>
        </w:rPr>
        <w:t xml:space="preserve">                                                                                           9</w:t>
      </w:r>
    </w:p>
    <w:p w14:paraId="40987AE3" w14:textId="77777777" w:rsidR="00EB54E5" w:rsidRDefault="00EB54E5" w:rsidP="00EB54E5">
      <w:pPr>
        <w:pStyle w:val="ListParagraph"/>
        <w:tabs>
          <w:tab w:val="left" w:pos="720"/>
          <w:tab w:val="left" w:pos="8400"/>
        </w:tabs>
        <w:spacing w:before="139"/>
        <w:ind w:left="360" w:firstLine="0"/>
        <w:rPr>
          <w:rFonts w:ascii="Arial" w:hAnsi="Arial" w:cs="Arial"/>
          <w:lang w:val="en-US"/>
        </w:rPr>
      </w:pPr>
      <w:proofErr w:type="gramStart"/>
      <w:r>
        <w:rPr>
          <w:rFonts w:ascii="Arial" w:hAnsi="Arial" w:cs="Arial"/>
          <w:lang w:val="en-US"/>
        </w:rPr>
        <w:t>2.5  Policies</w:t>
      </w:r>
      <w:proofErr w:type="gramEnd"/>
      <w:r>
        <w:rPr>
          <w:rFonts w:ascii="Arial" w:hAnsi="Arial" w:cs="Arial"/>
          <w:lang w:val="en-US"/>
        </w:rPr>
        <w:t xml:space="preserve"> in the UK </w:t>
      </w:r>
      <w:r>
        <w:rPr>
          <w:rFonts w:ascii="Arial" w:hAnsi="Arial" w:cs="Arial"/>
          <w:spacing w:val="-2"/>
        </w:rPr>
        <w:tab/>
      </w:r>
      <w:r>
        <w:rPr>
          <w:rFonts w:ascii="Arial" w:hAnsi="Arial" w:cs="Arial"/>
          <w:spacing w:val="-2"/>
          <w:lang w:val="en-US"/>
        </w:rPr>
        <w:t>10</w:t>
      </w:r>
    </w:p>
    <w:p w14:paraId="34AF3A7F" w14:textId="77777777" w:rsidR="00EB54E5" w:rsidRDefault="00EB54E5" w:rsidP="00EB54E5">
      <w:pPr>
        <w:pStyle w:val="ListParagraph"/>
        <w:tabs>
          <w:tab w:val="left" w:pos="720"/>
          <w:tab w:val="left" w:pos="8400"/>
        </w:tabs>
        <w:spacing w:before="134"/>
        <w:ind w:left="360" w:firstLine="0"/>
        <w:rPr>
          <w:rFonts w:ascii="Arial" w:hAnsi="Arial" w:cs="Arial"/>
          <w:lang w:val="en-US"/>
        </w:rPr>
      </w:pPr>
      <w:r>
        <w:rPr>
          <w:rFonts w:ascii="Arial" w:hAnsi="Arial" w:cs="Arial"/>
          <w:lang w:val="en-US"/>
        </w:rPr>
        <w:t xml:space="preserve">2.6 Gaps in </w:t>
      </w:r>
      <w:proofErr w:type="gramStart"/>
      <w:r>
        <w:rPr>
          <w:rFonts w:ascii="Arial" w:hAnsi="Arial" w:cs="Arial"/>
          <w:lang w:val="en-US"/>
        </w:rPr>
        <w:t xml:space="preserve">the Research </w:t>
      </w:r>
      <w:r>
        <w:rPr>
          <w:rFonts w:ascii="Arial" w:hAnsi="Arial" w:cs="Arial"/>
          <w:spacing w:val="-2"/>
        </w:rPr>
        <w:tab/>
      </w:r>
      <w:proofErr w:type="gramEnd"/>
      <w:r>
        <w:rPr>
          <w:rFonts w:ascii="Arial" w:hAnsi="Arial" w:cs="Arial"/>
          <w:spacing w:val="-2"/>
          <w:lang w:val="en-US"/>
        </w:rPr>
        <w:t>10</w:t>
      </w:r>
    </w:p>
    <w:p w14:paraId="4163E06B" w14:textId="77777777" w:rsidR="00EB54E5" w:rsidRDefault="00EB54E5" w:rsidP="00EB54E5">
      <w:pPr>
        <w:pStyle w:val="ListParagraph"/>
        <w:tabs>
          <w:tab w:val="left" w:pos="720"/>
          <w:tab w:val="left" w:pos="8400"/>
        </w:tabs>
        <w:spacing w:before="139"/>
        <w:ind w:left="360" w:firstLine="0"/>
        <w:rPr>
          <w:rFonts w:ascii="Arial" w:hAnsi="Arial" w:cs="Arial"/>
        </w:rPr>
      </w:pPr>
      <w:r>
        <w:rPr>
          <w:rFonts w:ascii="Arial" w:hAnsi="Arial" w:cs="Arial"/>
          <w:lang w:val="en-US"/>
        </w:rPr>
        <w:t xml:space="preserve">2.7 </w:t>
      </w:r>
      <w:proofErr w:type="spellStart"/>
      <w:r>
        <w:rPr>
          <w:rFonts w:ascii="Arial" w:hAnsi="Arial" w:cs="Arial"/>
        </w:rPr>
        <w:t>Conc</w:t>
      </w:r>
      <w:r>
        <w:rPr>
          <w:rFonts w:ascii="Arial" w:hAnsi="Arial" w:cs="Arial"/>
          <w:lang w:val="en-US"/>
        </w:rPr>
        <w:t>lusion</w:t>
      </w:r>
      <w:proofErr w:type="spellEnd"/>
      <w:r>
        <w:rPr>
          <w:rFonts w:ascii="Arial" w:hAnsi="Arial" w:cs="Arial"/>
          <w:lang w:val="en-US"/>
        </w:rPr>
        <w:t xml:space="preserve"> </w:t>
      </w:r>
      <w:r>
        <w:rPr>
          <w:rFonts w:ascii="Arial" w:hAnsi="Arial" w:cs="Arial"/>
          <w:lang w:val="en-US"/>
        </w:rPr>
        <w:tab/>
      </w:r>
      <w:r>
        <w:rPr>
          <w:rFonts w:ascii="Arial" w:hAnsi="Arial" w:cs="Arial"/>
          <w:spacing w:val="-2"/>
          <w:lang w:val="en-US"/>
        </w:rPr>
        <w:t>1</w:t>
      </w:r>
      <w:r>
        <w:rPr>
          <w:rFonts w:ascii="Arial" w:hAnsi="Arial" w:cs="Arial"/>
          <w:spacing w:val="-2"/>
        </w:rPr>
        <w:t>0</w:t>
      </w:r>
    </w:p>
    <w:p w14:paraId="2FA5513F" w14:textId="77777777" w:rsidR="00EB54E5" w:rsidRDefault="00EB54E5" w:rsidP="00EB54E5">
      <w:pPr>
        <w:pStyle w:val="BodyText"/>
        <w:tabs>
          <w:tab w:val="left" w:pos="8400"/>
        </w:tabs>
        <w:spacing w:before="274"/>
        <w:rPr>
          <w:rFonts w:ascii="Arial" w:hAnsi="Arial" w:cs="Arial"/>
        </w:rPr>
      </w:pPr>
    </w:p>
    <w:p w14:paraId="742AB8B2" w14:textId="77777777" w:rsidR="00EB54E5" w:rsidRDefault="00EB54E5" w:rsidP="00EB54E5">
      <w:pPr>
        <w:pStyle w:val="BodyText"/>
        <w:tabs>
          <w:tab w:val="left" w:pos="8400"/>
        </w:tabs>
        <w:ind w:left="360"/>
        <w:rPr>
          <w:rFonts w:ascii="Arial" w:hAnsi="Arial" w:cs="Arial"/>
        </w:rPr>
      </w:pPr>
      <w:r>
        <w:rPr>
          <w:rFonts w:ascii="Arial" w:hAnsi="Arial" w:cs="Arial"/>
          <w:b/>
          <w:bCs/>
        </w:rPr>
        <w:t>CHAPTER</w:t>
      </w:r>
      <w:r>
        <w:rPr>
          <w:rFonts w:ascii="Arial" w:hAnsi="Arial" w:cs="Arial"/>
          <w:b/>
          <w:bCs/>
          <w:spacing w:val="-10"/>
        </w:rPr>
        <w:t xml:space="preserve"> </w:t>
      </w:r>
      <w:r>
        <w:rPr>
          <w:rFonts w:ascii="Arial" w:hAnsi="Arial" w:cs="Arial"/>
          <w:b/>
          <w:bCs/>
        </w:rPr>
        <w:t>THREE:</w:t>
      </w:r>
      <w:r>
        <w:rPr>
          <w:rFonts w:ascii="Arial" w:hAnsi="Arial" w:cs="Arial"/>
          <w:spacing w:val="-5"/>
        </w:rPr>
        <w:t xml:space="preserve"> </w:t>
      </w:r>
      <w:r>
        <w:rPr>
          <w:rFonts w:ascii="Arial" w:hAnsi="Arial" w:cs="Arial"/>
          <w:spacing w:val="-2"/>
        </w:rPr>
        <w:t>METHODOLOGY</w:t>
      </w:r>
    </w:p>
    <w:p w14:paraId="25FC8A90" w14:textId="77777777" w:rsidR="00EB54E5" w:rsidRDefault="00EB54E5" w:rsidP="00EB54E5">
      <w:pPr>
        <w:pStyle w:val="ListParagraph"/>
        <w:tabs>
          <w:tab w:val="left" w:pos="704"/>
          <w:tab w:val="left" w:pos="8400"/>
        </w:tabs>
        <w:spacing w:before="139"/>
        <w:ind w:left="360" w:firstLine="0"/>
        <w:rPr>
          <w:rFonts w:ascii="Arial" w:hAnsi="Arial" w:cs="Arial"/>
        </w:rPr>
      </w:pPr>
      <w:r>
        <w:rPr>
          <w:rFonts w:ascii="Arial" w:hAnsi="Arial" w:cs="Arial"/>
          <w:lang w:val="en-US"/>
        </w:rPr>
        <w:t xml:space="preserve">3.1 Introduction </w:t>
      </w:r>
      <w:r>
        <w:rPr>
          <w:rFonts w:ascii="Arial" w:hAnsi="Arial" w:cs="Arial"/>
          <w:spacing w:val="-2"/>
        </w:rPr>
        <w:tab/>
      </w:r>
      <w:r>
        <w:rPr>
          <w:rFonts w:ascii="Arial" w:hAnsi="Arial" w:cs="Arial"/>
          <w:spacing w:val="-2"/>
          <w:lang w:val="en-US"/>
        </w:rPr>
        <w:t>11</w:t>
      </w:r>
    </w:p>
    <w:p w14:paraId="645C8091" w14:textId="77777777" w:rsidR="00EB54E5" w:rsidRDefault="00EB54E5" w:rsidP="00EB54E5">
      <w:pPr>
        <w:pStyle w:val="ListParagraph"/>
        <w:tabs>
          <w:tab w:val="left" w:pos="720"/>
          <w:tab w:val="left" w:pos="8400"/>
        </w:tabs>
        <w:spacing w:before="139"/>
        <w:ind w:left="360" w:firstLine="0"/>
        <w:rPr>
          <w:rFonts w:ascii="Arial" w:hAnsi="Arial" w:cs="Arial"/>
        </w:rPr>
      </w:pPr>
      <w:r>
        <w:rPr>
          <w:rFonts w:ascii="Arial" w:hAnsi="Arial" w:cs="Arial"/>
          <w:lang w:val="en-US"/>
        </w:rPr>
        <w:t>3.2 Search Strategy</w:t>
      </w:r>
      <w:r>
        <w:rPr>
          <w:rFonts w:ascii="Arial" w:hAnsi="Arial" w:cs="Arial"/>
          <w:spacing w:val="-2"/>
        </w:rPr>
        <w:tab/>
      </w:r>
      <w:r>
        <w:rPr>
          <w:rFonts w:ascii="Arial" w:hAnsi="Arial" w:cs="Arial"/>
          <w:spacing w:val="-2"/>
          <w:lang w:val="en-US"/>
        </w:rPr>
        <w:t>11</w:t>
      </w:r>
    </w:p>
    <w:p w14:paraId="4BBD14BD" w14:textId="77777777" w:rsidR="00EB54E5" w:rsidRDefault="00EB54E5" w:rsidP="00EB54E5">
      <w:pPr>
        <w:pStyle w:val="ListParagraph"/>
        <w:tabs>
          <w:tab w:val="left" w:pos="720"/>
          <w:tab w:val="left" w:pos="8400"/>
        </w:tabs>
        <w:spacing w:before="134"/>
        <w:ind w:left="360" w:firstLine="0"/>
        <w:rPr>
          <w:rFonts w:ascii="Arial" w:hAnsi="Arial" w:cs="Arial"/>
          <w:lang w:val="en-US"/>
        </w:rPr>
      </w:pPr>
      <w:r>
        <w:rPr>
          <w:rFonts w:ascii="Arial" w:hAnsi="Arial" w:cs="Arial"/>
          <w:lang w:val="en-US"/>
        </w:rPr>
        <w:t xml:space="preserve">3.3 Inclusion and Exclusion Criteria </w:t>
      </w:r>
      <w:r>
        <w:rPr>
          <w:rFonts w:ascii="Arial" w:hAnsi="Arial" w:cs="Arial"/>
          <w:spacing w:val="-4"/>
        </w:rPr>
        <w:tab/>
      </w:r>
      <w:r>
        <w:rPr>
          <w:rFonts w:ascii="Arial" w:hAnsi="Arial" w:cs="Arial"/>
          <w:spacing w:val="-4"/>
          <w:lang w:val="en-US"/>
        </w:rPr>
        <w:t>12</w:t>
      </w:r>
    </w:p>
    <w:p w14:paraId="2FD17D3D" w14:textId="77777777" w:rsidR="00EB54E5" w:rsidRDefault="00EB54E5" w:rsidP="00EB54E5">
      <w:pPr>
        <w:pStyle w:val="ListParagraph"/>
        <w:tabs>
          <w:tab w:val="left" w:pos="720"/>
          <w:tab w:val="left" w:pos="8400"/>
        </w:tabs>
        <w:spacing w:before="140"/>
        <w:ind w:left="360" w:firstLine="0"/>
        <w:rPr>
          <w:rFonts w:ascii="Arial" w:hAnsi="Arial" w:cs="Arial"/>
        </w:rPr>
      </w:pPr>
      <w:r>
        <w:rPr>
          <w:rFonts w:ascii="Arial" w:hAnsi="Arial" w:cs="Arial"/>
          <w:lang w:val="en-US"/>
        </w:rPr>
        <w:t xml:space="preserve">3.4 </w:t>
      </w:r>
      <w:r>
        <w:rPr>
          <w:rFonts w:ascii="Arial" w:hAnsi="Arial" w:cs="Arial"/>
        </w:rPr>
        <w:t>D</w:t>
      </w:r>
      <w:proofErr w:type="spellStart"/>
      <w:r>
        <w:rPr>
          <w:rFonts w:ascii="Arial" w:hAnsi="Arial" w:cs="Arial"/>
          <w:lang w:val="en-US"/>
        </w:rPr>
        <w:t>ata</w:t>
      </w:r>
      <w:proofErr w:type="spellEnd"/>
      <w:r>
        <w:rPr>
          <w:rFonts w:ascii="Arial" w:hAnsi="Arial" w:cs="Arial"/>
          <w:lang w:val="en-US"/>
        </w:rPr>
        <w:t xml:space="preserve"> Collection/Process of Collecting Articles </w:t>
      </w:r>
      <w:r>
        <w:rPr>
          <w:rFonts w:ascii="Arial" w:hAnsi="Arial" w:cs="Arial"/>
          <w:spacing w:val="-4"/>
        </w:rPr>
        <w:tab/>
      </w:r>
      <w:r>
        <w:rPr>
          <w:rFonts w:ascii="Arial" w:hAnsi="Arial" w:cs="Arial"/>
          <w:spacing w:val="-4"/>
          <w:lang w:val="en-US"/>
        </w:rPr>
        <w:t>12</w:t>
      </w:r>
    </w:p>
    <w:p w14:paraId="12BE5A31" w14:textId="77777777" w:rsidR="00EB54E5" w:rsidRDefault="00EB54E5" w:rsidP="00EB54E5">
      <w:pPr>
        <w:pStyle w:val="ListParagraph"/>
        <w:tabs>
          <w:tab w:val="left" w:pos="720"/>
          <w:tab w:val="left" w:pos="8400"/>
        </w:tabs>
        <w:spacing w:before="134"/>
        <w:ind w:left="360" w:firstLine="0"/>
        <w:rPr>
          <w:rFonts w:ascii="Arial" w:hAnsi="Arial" w:cs="Arial"/>
          <w:lang w:val="en-US"/>
        </w:rPr>
      </w:pPr>
      <w:r>
        <w:rPr>
          <w:rFonts w:ascii="Arial" w:hAnsi="Arial" w:cs="Arial"/>
          <w:lang w:val="en-US"/>
        </w:rPr>
        <w:t>3.5 Data Analysis</w:t>
      </w:r>
      <w:r>
        <w:rPr>
          <w:rFonts w:ascii="Arial" w:hAnsi="Arial" w:cs="Arial"/>
          <w:spacing w:val="-2"/>
        </w:rPr>
        <w:tab/>
      </w:r>
      <w:r>
        <w:rPr>
          <w:rFonts w:ascii="Arial" w:hAnsi="Arial" w:cs="Arial"/>
          <w:spacing w:val="-2"/>
          <w:lang w:val="en-US"/>
        </w:rPr>
        <w:t>13</w:t>
      </w:r>
    </w:p>
    <w:p w14:paraId="2B96B2CA" w14:textId="77777777" w:rsidR="00EB54E5" w:rsidRDefault="00EB54E5" w:rsidP="00EB54E5">
      <w:pPr>
        <w:pStyle w:val="ListParagraph"/>
        <w:tabs>
          <w:tab w:val="left" w:pos="720"/>
          <w:tab w:val="left" w:pos="8400"/>
        </w:tabs>
        <w:spacing w:before="134"/>
        <w:ind w:left="360" w:firstLine="0"/>
        <w:rPr>
          <w:rFonts w:ascii="Arial" w:hAnsi="Arial" w:cs="Arial"/>
          <w:lang w:val="en-US"/>
        </w:rPr>
      </w:pPr>
      <w:r>
        <w:rPr>
          <w:rFonts w:ascii="Arial" w:hAnsi="Arial" w:cs="Arial"/>
          <w:lang w:val="en-US"/>
        </w:rPr>
        <w:t xml:space="preserve">3.6 Ethical Consideration </w:t>
      </w:r>
      <w:r>
        <w:rPr>
          <w:rFonts w:ascii="Arial" w:hAnsi="Arial" w:cs="Arial"/>
          <w:spacing w:val="-2"/>
        </w:rPr>
        <w:tab/>
      </w:r>
      <w:r>
        <w:rPr>
          <w:rFonts w:ascii="Arial" w:hAnsi="Arial" w:cs="Arial"/>
          <w:spacing w:val="-2"/>
          <w:lang w:val="en-US"/>
        </w:rPr>
        <w:t>14</w:t>
      </w:r>
    </w:p>
    <w:p w14:paraId="4F55B092" w14:textId="77777777" w:rsidR="00EB54E5" w:rsidRDefault="00EB54E5" w:rsidP="00EB54E5">
      <w:pPr>
        <w:pStyle w:val="ListParagraph"/>
        <w:tabs>
          <w:tab w:val="left" w:pos="714"/>
          <w:tab w:val="left" w:pos="8400"/>
        </w:tabs>
        <w:spacing w:before="139"/>
        <w:ind w:left="360" w:firstLine="0"/>
        <w:rPr>
          <w:rFonts w:ascii="Arial" w:hAnsi="Arial" w:cs="Arial"/>
        </w:rPr>
      </w:pPr>
      <w:r>
        <w:rPr>
          <w:rFonts w:ascii="Arial" w:hAnsi="Arial" w:cs="Arial"/>
          <w:lang w:val="en-US"/>
        </w:rPr>
        <w:t xml:space="preserve">3.7 Conclusion </w:t>
      </w:r>
      <w:r>
        <w:rPr>
          <w:rFonts w:ascii="Arial" w:hAnsi="Arial" w:cs="Arial"/>
          <w:spacing w:val="-2"/>
        </w:rPr>
        <w:tab/>
      </w:r>
      <w:r>
        <w:rPr>
          <w:rFonts w:ascii="Arial" w:hAnsi="Arial" w:cs="Arial"/>
          <w:spacing w:val="-2"/>
          <w:lang w:val="en-US"/>
        </w:rPr>
        <w:t>14</w:t>
      </w:r>
    </w:p>
    <w:p w14:paraId="2563ABEE" w14:textId="77777777" w:rsidR="00EB54E5" w:rsidRDefault="00EB54E5" w:rsidP="00EB54E5">
      <w:pPr>
        <w:pStyle w:val="BodyText"/>
        <w:tabs>
          <w:tab w:val="left" w:pos="8400"/>
        </w:tabs>
        <w:spacing w:before="66"/>
        <w:ind w:left="360"/>
        <w:rPr>
          <w:rFonts w:ascii="Arial" w:hAnsi="Arial" w:cs="Arial"/>
        </w:rPr>
      </w:pPr>
    </w:p>
    <w:p w14:paraId="7BC78999" w14:textId="77777777" w:rsidR="00EB54E5" w:rsidRDefault="00EB54E5" w:rsidP="00EB54E5">
      <w:pPr>
        <w:pStyle w:val="BodyText"/>
        <w:tabs>
          <w:tab w:val="left" w:pos="8400"/>
        </w:tabs>
        <w:spacing w:before="66"/>
        <w:ind w:left="360"/>
        <w:rPr>
          <w:rFonts w:ascii="Arial" w:hAnsi="Arial" w:cs="Arial"/>
          <w:b/>
          <w:bCs/>
        </w:rPr>
      </w:pPr>
    </w:p>
    <w:p w14:paraId="30F69F01" w14:textId="77777777" w:rsidR="00EB54E5" w:rsidRDefault="00EB54E5" w:rsidP="00EB54E5">
      <w:pPr>
        <w:pStyle w:val="BodyText"/>
        <w:tabs>
          <w:tab w:val="left" w:pos="8400"/>
        </w:tabs>
        <w:spacing w:before="66"/>
        <w:ind w:left="360"/>
        <w:rPr>
          <w:rFonts w:ascii="Arial" w:hAnsi="Arial" w:cs="Arial"/>
          <w:lang w:val="en-US"/>
        </w:rPr>
      </w:pPr>
      <w:r>
        <w:rPr>
          <w:rFonts w:ascii="Arial" w:hAnsi="Arial" w:cs="Arial"/>
          <w:b/>
          <w:bCs/>
        </w:rPr>
        <w:t>CHAPTER</w:t>
      </w:r>
      <w:r>
        <w:rPr>
          <w:rFonts w:ascii="Arial" w:hAnsi="Arial" w:cs="Arial"/>
          <w:b/>
          <w:bCs/>
          <w:spacing w:val="-12"/>
        </w:rPr>
        <w:t xml:space="preserve"> </w:t>
      </w:r>
      <w:r>
        <w:rPr>
          <w:rFonts w:ascii="Arial" w:hAnsi="Arial" w:cs="Arial"/>
          <w:b/>
          <w:bCs/>
        </w:rPr>
        <w:t>FOUR</w:t>
      </w:r>
      <w:r>
        <w:rPr>
          <w:rFonts w:ascii="Arial" w:hAnsi="Arial" w:cs="Arial"/>
        </w:rPr>
        <w:t>:</w:t>
      </w:r>
      <w:r>
        <w:rPr>
          <w:rFonts w:ascii="Arial" w:hAnsi="Arial" w:cs="Arial"/>
          <w:spacing w:val="-8"/>
        </w:rPr>
        <w:t xml:space="preserve"> </w:t>
      </w:r>
      <w:r>
        <w:rPr>
          <w:rFonts w:ascii="Arial" w:hAnsi="Arial" w:cs="Arial"/>
          <w:spacing w:val="-8"/>
          <w:lang w:val="en-US"/>
        </w:rPr>
        <w:t>RESULTS AND DISCUSSION</w:t>
      </w:r>
    </w:p>
    <w:p w14:paraId="003EBCEA" w14:textId="77777777" w:rsidR="00EB54E5" w:rsidRDefault="00EB54E5" w:rsidP="00EB54E5">
      <w:pPr>
        <w:pStyle w:val="ListParagraph"/>
        <w:tabs>
          <w:tab w:val="left" w:pos="720"/>
          <w:tab w:val="left" w:pos="8400"/>
        </w:tabs>
        <w:spacing w:before="139"/>
        <w:ind w:left="360" w:firstLine="0"/>
        <w:rPr>
          <w:rFonts w:ascii="Arial" w:hAnsi="Arial" w:cs="Arial"/>
          <w:lang w:val="en-US"/>
        </w:rPr>
      </w:pPr>
      <w:r>
        <w:rPr>
          <w:rFonts w:ascii="Arial" w:hAnsi="Arial" w:cs="Arial"/>
          <w:spacing w:val="-2"/>
          <w:lang w:val="en-US"/>
        </w:rPr>
        <w:lastRenderedPageBreak/>
        <w:t xml:space="preserve">4.0 </w:t>
      </w:r>
      <w:r>
        <w:rPr>
          <w:rFonts w:ascii="Arial" w:hAnsi="Arial" w:cs="Arial"/>
          <w:spacing w:val="-2"/>
        </w:rPr>
        <w:t>Introduction</w:t>
      </w:r>
      <w:r>
        <w:rPr>
          <w:rFonts w:ascii="Arial" w:hAnsi="Arial" w:cs="Arial"/>
          <w:spacing w:val="-2"/>
        </w:rPr>
        <w:tab/>
        <w:t>1</w:t>
      </w:r>
      <w:r>
        <w:rPr>
          <w:rFonts w:ascii="Arial" w:hAnsi="Arial" w:cs="Arial"/>
          <w:spacing w:val="-2"/>
          <w:lang w:val="en-US"/>
        </w:rPr>
        <w:t>5</w:t>
      </w:r>
    </w:p>
    <w:p w14:paraId="01E1FE6E" w14:textId="77777777" w:rsidR="00EB54E5" w:rsidRDefault="00EB54E5" w:rsidP="00EB54E5">
      <w:pPr>
        <w:pStyle w:val="ListParagraph"/>
        <w:numPr>
          <w:ilvl w:val="1"/>
          <w:numId w:val="12"/>
        </w:numPr>
        <w:tabs>
          <w:tab w:val="left" w:pos="714"/>
          <w:tab w:val="left" w:pos="8400"/>
        </w:tabs>
        <w:spacing w:before="135"/>
        <w:ind w:left="714" w:hanging="354"/>
        <w:rPr>
          <w:rFonts w:ascii="Arial" w:hAnsi="Arial" w:cs="Arial"/>
        </w:rPr>
      </w:pPr>
      <w:r>
        <w:rPr>
          <w:rFonts w:ascii="Arial" w:hAnsi="Arial" w:cs="Arial"/>
          <w:lang w:val="en-US"/>
        </w:rPr>
        <w:t xml:space="preserve">Publishing Cities in England </w:t>
      </w:r>
      <w:r>
        <w:rPr>
          <w:rFonts w:ascii="Arial" w:hAnsi="Arial" w:cs="Arial"/>
        </w:rPr>
        <w:tab/>
      </w:r>
      <w:r>
        <w:rPr>
          <w:rFonts w:ascii="Arial" w:hAnsi="Arial" w:cs="Arial"/>
          <w:lang w:val="en-US"/>
        </w:rPr>
        <w:t>15</w:t>
      </w:r>
    </w:p>
    <w:p w14:paraId="55EA75E3" w14:textId="77777777" w:rsidR="00EB54E5" w:rsidRDefault="00EB54E5" w:rsidP="00EB54E5">
      <w:pPr>
        <w:tabs>
          <w:tab w:val="left" w:pos="714"/>
          <w:tab w:val="left" w:pos="8400"/>
        </w:tabs>
        <w:spacing w:before="135"/>
        <w:ind w:left="360"/>
        <w:rPr>
          <w:rFonts w:ascii="Arial" w:hAnsi="Arial" w:cs="Arial"/>
          <w:lang w:val="en-US"/>
        </w:rPr>
      </w:pPr>
      <w:r>
        <w:rPr>
          <w:rFonts w:ascii="Arial" w:hAnsi="Arial" w:cs="Arial"/>
        </w:rPr>
        <w:t>4.</w:t>
      </w:r>
      <w:r>
        <w:rPr>
          <w:rFonts w:ascii="Arial" w:hAnsi="Arial" w:cs="Arial"/>
          <w:lang w:val="en-US"/>
        </w:rPr>
        <w:t>2</w:t>
      </w:r>
      <w:r>
        <w:rPr>
          <w:rFonts w:ascii="Arial" w:hAnsi="Arial" w:cs="Arial"/>
          <w:b/>
          <w:bCs/>
        </w:rPr>
        <w:t xml:space="preserve"> </w:t>
      </w:r>
      <w:r>
        <w:rPr>
          <w:rFonts w:ascii="Arial" w:hAnsi="Arial" w:cs="Arial"/>
          <w:lang w:val="en-US"/>
        </w:rPr>
        <w:t>Overview of the</w:t>
      </w:r>
      <w:r>
        <w:rPr>
          <w:rFonts w:ascii="Arial" w:hAnsi="Arial" w:cs="Arial"/>
          <w:b/>
          <w:bCs/>
          <w:lang w:val="en-US"/>
        </w:rPr>
        <w:t xml:space="preserve"> </w:t>
      </w:r>
      <w:r>
        <w:rPr>
          <w:rFonts w:ascii="Arial" w:hAnsi="Arial" w:cs="Arial"/>
          <w:lang w:val="en-US"/>
        </w:rPr>
        <w:t>Methodology used in the 10 Primary Papers</w:t>
      </w:r>
      <w:r>
        <w:rPr>
          <w:rFonts w:ascii="Arial" w:hAnsi="Arial" w:cs="Arial"/>
          <w:bCs/>
        </w:rPr>
        <w:tab/>
      </w:r>
      <w:r>
        <w:rPr>
          <w:rFonts w:ascii="Arial" w:hAnsi="Arial" w:cs="Arial"/>
          <w:bCs/>
          <w:lang w:val="en-US"/>
        </w:rPr>
        <w:t>16</w:t>
      </w:r>
    </w:p>
    <w:p w14:paraId="1EB968F6" w14:textId="77777777" w:rsidR="00EB54E5" w:rsidRDefault="00EB54E5" w:rsidP="00EB54E5">
      <w:pPr>
        <w:tabs>
          <w:tab w:val="left" w:pos="714"/>
          <w:tab w:val="left" w:pos="8400"/>
        </w:tabs>
        <w:spacing w:before="135" w:line="360" w:lineRule="auto"/>
        <w:ind w:left="360"/>
        <w:rPr>
          <w:rFonts w:ascii="Arial" w:hAnsi="Arial" w:cs="Arial"/>
          <w:lang w:val="en-US"/>
        </w:rPr>
      </w:pPr>
      <w:r>
        <w:rPr>
          <w:rFonts w:ascii="Arial" w:hAnsi="Arial" w:cs="Arial"/>
        </w:rPr>
        <w:t>4.</w:t>
      </w:r>
      <w:r>
        <w:rPr>
          <w:rFonts w:ascii="Arial" w:hAnsi="Arial" w:cs="Arial"/>
          <w:lang w:val="en-US"/>
        </w:rPr>
        <w:t>3 Gaps in the Evidence                                                                                           18</w:t>
      </w:r>
    </w:p>
    <w:p w14:paraId="49FC614F" w14:textId="77777777" w:rsidR="00EB54E5" w:rsidRDefault="00EB54E5" w:rsidP="00EB54E5">
      <w:pPr>
        <w:tabs>
          <w:tab w:val="left" w:pos="714"/>
          <w:tab w:val="left" w:pos="8400"/>
        </w:tabs>
        <w:spacing w:line="360" w:lineRule="auto"/>
        <w:ind w:left="360" w:right="990"/>
        <w:rPr>
          <w:rFonts w:ascii="Arial" w:hAnsi="Arial" w:cs="Arial"/>
          <w:lang w:val="en-US"/>
        </w:rPr>
      </w:pPr>
      <w:r>
        <w:rPr>
          <w:rFonts w:ascii="Arial" w:hAnsi="Arial" w:cs="Arial"/>
          <w:lang w:val="en-US"/>
        </w:rPr>
        <w:t>4.4 Thematic Findings                                                                                                20</w:t>
      </w:r>
    </w:p>
    <w:p w14:paraId="722DF986" w14:textId="77777777" w:rsidR="00EB54E5" w:rsidRDefault="00EB54E5" w:rsidP="00EB54E5">
      <w:pPr>
        <w:tabs>
          <w:tab w:val="left" w:pos="714"/>
          <w:tab w:val="left" w:pos="8400"/>
        </w:tabs>
        <w:spacing w:line="360" w:lineRule="auto"/>
        <w:ind w:left="360" w:right="990"/>
        <w:rPr>
          <w:rFonts w:ascii="Arial" w:hAnsi="Arial" w:cs="Arial"/>
          <w:lang w:val="en-US"/>
        </w:rPr>
      </w:pPr>
      <w:r>
        <w:rPr>
          <w:rFonts w:ascii="Arial" w:hAnsi="Arial" w:cs="Arial"/>
          <w:lang w:val="en-US"/>
        </w:rPr>
        <w:t>4.5 Discussion of Findings</w:t>
      </w:r>
      <w:r>
        <w:rPr>
          <w:rFonts w:ascii="Arial" w:hAnsi="Arial" w:cs="Arial"/>
        </w:rPr>
        <w:tab/>
      </w:r>
      <w:r>
        <w:rPr>
          <w:rFonts w:ascii="Arial" w:hAnsi="Arial" w:cs="Arial"/>
          <w:lang w:val="en-US"/>
        </w:rPr>
        <w:t>22</w:t>
      </w:r>
    </w:p>
    <w:p w14:paraId="68CA841C" w14:textId="77777777" w:rsidR="00EB54E5" w:rsidRDefault="00EB54E5" w:rsidP="00EB54E5">
      <w:pPr>
        <w:tabs>
          <w:tab w:val="left" w:pos="8400"/>
        </w:tabs>
        <w:spacing w:line="360" w:lineRule="auto"/>
        <w:ind w:right="990"/>
        <w:jc w:val="both"/>
        <w:rPr>
          <w:rFonts w:ascii="Arial" w:hAnsi="Arial" w:cs="Arial"/>
          <w:lang w:val="en-US"/>
        </w:rPr>
      </w:pPr>
      <w:r>
        <w:rPr>
          <w:rFonts w:ascii="Arial" w:hAnsi="Arial" w:cs="Arial"/>
        </w:rPr>
        <w:t xml:space="preserve">      4.</w:t>
      </w:r>
      <w:r>
        <w:rPr>
          <w:rFonts w:ascii="Arial" w:hAnsi="Arial" w:cs="Arial"/>
          <w:lang w:val="en-US"/>
        </w:rPr>
        <w:t>6</w:t>
      </w:r>
      <w:r>
        <w:rPr>
          <w:rFonts w:ascii="Arial" w:hAnsi="Arial" w:cs="Arial"/>
        </w:rPr>
        <w:t xml:space="preserve"> </w:t>
      </w:r>
      <w:r>
        <w:rPr>
          <w:rFonts w:ascii="Arial" w:hAnsi="Arial" w:cs="Arial"/>
          <w:lang w:val="en-US"/>
        </w:rPr>
        <w:t xml:space="preserve">Conclusion </w:t>
      </w:r>
      <w:r>
        <w:rPr>
          <w:rFonts w:ascii="Arial" w:hAnsi="Arial" w:cs="Arial"/>
        </w:rPr>
        <w:tab/>
      </w:r>
      <w:r>
        <w:rPr>
          <w:rFonts w:ascii="Arial" w:hAnsi="Arial" w:cs="Arial"/>
          <w:lang w:val="en-US"/>
        </w:rPr>
        <w:t>25</w:t>
      </w:r>
    </w:p>
    <w:p w14:paraId="3C3B1EE2" w14:textId="77777777" w:rsidR="00EB54E5" w:rsidRDefault="00EB54E5" w:rsidP="00EB54E5">
      <w:pPr>
        <w:tabs>
          <w:tab w:val="left" w:pos="8400"/>
        </w:tabs>
        <w:adjustRightInd w:val="0"/>
        <w:ind w:right="978"/>
        <w:jc w:val="both"/>
        <w:rPr>
          <w:rFonts w:ascii="Arial" w:hAnsi="Arial" w:cs="Arial"/>
        </w:rPr>
      </w:pPr>
      <w:r>
        <w:rPr>
          <w:rFonts w:ascii="Arial" w:hAnsi="Arial" w:cs="Arial"/>
        </w:rPr>
        <w:t xml:space="preserve">      </w:t>
      </w:r>
    </w:p>
    <w:p w14:paraId="431C8F7B" w14:textId="77777777" w:rsidR="00EB54E5" w:rsidRDefault="00EB54E5" w:rsidP="00EB54E5">
      <w:pPr>
        <w:pStyle w:val="BodyText"/>
        <w:tabs>
          <w:tab w:val="left" w:pos="8400"/>
        </w:tabs>
        <w:ind w:left="360"/>
        <w:rPr>
          <w:rFonts w:ascii="Arial" w:hAnsi="Arial" w:cs="Arial"/>
        </w:rPr>
      </w:pPr>
      <w:r>
        <w:rPr>
          <w:rFonts w:ascii="Arial" w:hAnsi="Arial" w:cs="Arial"/>
          <w:b/>
          <w:bCs/>
        </w:rPr>
        <w:t>CHAPTER</w:t>
      </w:r>
      <w:r>
        <w:rPr>
          <w:rFonts w:ascii="Arial" w:hAnsi="Arial" w:cs="Arial"/>
          <w:b/>
          <w:bCs/>
          <w:spacing w:val="-15"/>
        </w:rPr>
        <w:t xml:space="preserve"> </w:t>
      </w:r>
      <w:r>
        <w:rPr>
          <w:rFonts w:ascii="Arial" w:hAnsi="Arial" w:cs="Arial"/>
          <w:b/>
          <w:bCs/>
        </w:rPr>
        <w:t>FIVE:</w:t>
      </w:r>
      <w:r>
        <w:rPr>
          <w:rFonts w:ascii="Arial" w:hAnsi="Arial" w:cs="Arial"/>
          <w:spacing w:val="-15"/>
        </w:rPr>
        <w:t xml:space="preserve"> </w:t>
      </w:r>
      <w:r>
        <w:rPr>
          <w:rFonts w:ascii="Arial" w:hAnsi="Arial" w:cs="Arial"/>
        </w:rPr>
        <w:t>DISCUSSION, RECOMMENDATIONS, AND IMPLICATIONS</w:t>
      </w:r>
    </w:p>
    <w:p w14:paraId="39B9312F" w14:textId="77777777" w:rsidR="00EB54E5" w:rsidRDefault="00EB54E5" w:rsidP="00EB54E5">
      <w:pPr>
        <w:pStyle w:val="ListParagraph"/>
        <w:tabs>
          <w:tab w:val="left" w:pos="720"/>
          <w:tab w:val="left" w:pos="8400"/>
        </w:tabs>
        <w:spacing w:before="139"/>
        <w:ind w:left="360" w:firstLine="0"/>
        <w:jc w:val="both"/>
        <w:rPr>
          <w:rFonts w:ascii="Arial" w:hAnsi="Arial" w:cs="Arial"/>
          <w:lang w:val="en-US"/>
        </w:rPr>
      </w:pPr>
      <w:r>
        <w:rPr>
          <w:rFonts w:ascii="Arial" w:hAnsi="Arial" w:cs="Arial"/>
          <w:lang w:val="en-US"/>
        </w:rPr>
        <w:t xml:space="preserve">5.1 Introduction </w:t>
      </w:r>
      <w:r>
        <w:rPr>
          <w:rFonts w:ascii="Arial" w:hAnsi="Arial" w:cs="Arial"/>
          <w:spacing w:val="-2"/>
        </w:rPr>
        <w:tab/>
      </w:r>
      <w:r>
        <w:rPr>
          <w:rFonts w:ascii="Arial" w:hAnsi="Arial" w:cs="Arial"/>
          <w:spacing w:val="-2"/>
          <w:lang w:val="en-US"/>
        </w:rPr>
        <w:t>26</w:t>
      </w:r>
    </w:p>
    <w:p w14:paraId="10A0A734" w14:textId="77777777" w:rsidR="00EB54E5" w:rsidRDefault="00EB54E5" w:rsidP="00EB54E5">
      <w:pPr>
        <w:pStyle w:val="ListParagraph"/>
        <w:tabs>
          <w:tab w:val="left" w:pos="720"/>
          <w:tab w:val="left" w:pos="8400"/>
        </w:tabs>
        <w:spacing w:before="134"/>
        <w:ind w:left="360" w:firstLine="0"/>
        <w:jc w:val="both"/>
        <w:rPr>
          <w:rFonts w:ascii="Arial" w:hAnsi="Arial" w:cs="Arial"/>
          <w:lang w:val="en-US"/>
        </w:rPr>
      </w:pPr>
      <w:r>
        <w:rPr>
          <w:rFonts w:ascii="Arial" w:hAnsi="Arial" w:cs="Arial"/>
          <w:spacing w:val="-2"/>
          <w:lang w:val="en-US"/>
        </w:rPr>
        <w:t>5.2 Summary of Key Findings</w:t>
      </w:r>
      <w:r>
        <w:rPr>
          <w:rFonts w:ascii="Arial" w:hAnsi="Arial" w:cs="Arial"/>
          <w:spacing w:val="-2"/>
        </w:rPr>
        <w:tab/>
      </w:r>
      <w:r>
        <w:rPr>
          <w:rFonts w:ascii="Arial" w:hAnsi="Arial" w:cs="Arial"/>
          <w:spacing w:val="-2"/>
          <w:lang w:val="en-US"/>
        </w:rPr>
        <w:t>26</w:t>
      </w:r>
    </w:p>
    <w:p w14:paraId="7E3B222B" w14:textId="77777777" w:rsidR="00EB54E5" w:rsidRDefault="00EB54E5" w:rsidP="00EB54E5">
      <w:pPr>
        <w:pStyle w:val="ListParagraph"/>
        <w:tabs>
          <w:tab w:val="left" w:pos="720"/>
          <w:tab w:val="left" w:pos="8400"/>
        </w:tabs>
        <w:spacing w:before="139"/>
        <w:ind w:left="360" w:firstLine="0"/>
        <w:jc w:val="both"/>
        <w:rPr>
          <w:rFonts w:ascii="Arial" w:hAnsi="Arial" w:cs="Arial"/>
          <w:lang w:val="en-US"/>
        </w:rPr>
      </w:pPr>
      <w:r>
        <w:rPr>
          <w:rFonts w:ascii="Arial" w:hAnsi="Arial" w:cs="Arial"/>
          <w:spacing w:val="-2"/>
          <w:lang w:val="en-US"/>
        </w:rPr>
        <w:t xml:space="preserve">5.3 Evaluation of Integrated Care Services of Older Adults </w:t>
      </w:r>
      <w:r>
        <w:rPr>
          <w:rFonts w:ascii="Arial" w:hAnsi="Arial" w:cs="Arial"/>
          <w:spacing w:val="-2"/>
        </w:rPr>
        <w:tab/>
      </w:r>
      <w:r>
        <w:rPr>
          <w:rFonts w:ascii="Arial" w:hAnsi="Arial" w:cs="Arial"/>
          <w:spacing w:val="-2"/>
          <w:lang w:val="en-US"/>
        </w:rPr>
        <w:t>26</w:t>
      </w:r>
    </w:p>
    <w:p w14:paraId="3D9AD93C" w14:textId="012BDC36" w:rsidR="00EB54E5" w:rsidRPr="00B90049" w:rsidRDefault="00EB54E5" w:rsidP="00EB54E5">
      <w:pPr>
        <w:pStyle w:val="Heading3"/>
        <w:ind w:firstLineChars="150" w:firstLine="330"/>
        <w:jc w:val="both"/>
        <w:rPr>
          <w:rFonts w:ascii="Arial" w:hAnsi="Arial" w:cs="Arial"/>
          <w:b/>
          <w:bCs/>
          <w:sz w:val="22"/>
          <w:szCs w:val="22"/>
        </w:rPr>
      </w:pPr>
      <w:r w:rsidRPr="00B90049">
        <w:rPr>
          <w:rStyle w:val="Strong"/>
          <w:rFonts w:ascii="Arial" w:hAnsi="Arial" w:cs="Arial"/>
          <w:b w:val="0"/>
          <w:bCs w:val="0"/>
          <w:sz w:val="22"/>
          <w:szCs w:val="22"/>
        </w:rPr>
        <w:t>5.</w:t>
      </w:r>
      <w:r w:rsidRPr="00B90049">
        <w:rPr>
          <w:rStyle w:val="Strong"/>
          <w:rFonts w:ascii="Arial" w:hAnsi="Arial" w:cs="Arial"/>
          <w:b w:val="0"/>
          <w:bCs w:val="0"/>
          <w:sz w:val="22"/>
          <w:szCs w:val="22"/>
          <w:lang w:val="en-US"/>
        </w:rPr>
        <w:t>4</w:t>
      </w:r>
      <w:r w:rsidRPr="00B90049">
        <w:rPr>
          <w:rStyle w:val="Strong"/>
          <w:rFonts w:ascii="Arial" w:hAnsi="Arial" w:cs="Arial"/>
          <w:b w:val="0"/>
          <w:bCs w:val="0"/>
          <w:sz w:val="22"/>
          <w:szCs w:val="22"/>
        </w:rPr>
        <w:t xml:space="preserve"> Recommendations</w:t>
      </w:r>
      <w:r w:rsidRPr="00B90049">
        <w:rPr>
          <w:rStyle w:val="Strong"/>
          <w:rFonts w:ascii="Arial" w:hAnsi="Arial" w:cs="Arial"/>
          <w:b w:val="0"/>
          <w:bCs w:val="0"/>
          <w:sz w:val="22"/>
          <w:szCs w:val="22"/>
          <w:lang w:val="en-US"/>
        </w:rPr>
        <w:t xml:space="preserve">                                                                                            </w:t>
      </w:r>
      <w:r w:rsidR="00B90049">
        <w:rPr>
          <w:rStyle w:val="Strong"/>
          <w:rFonts w:ascii="Arial" w:hAnsi="Arial" w:cs="Arial"/>
          <w:b w:val="0"/>
          <w:bCs w:val="0"/>
          <w:sz w:val="22"/>
          <w:szCs w:val="22"/>
          <w:lang w:val="en-US"/>
        </w:rPr>
        <w:t xml:space="preserve">  </w:t>
      </w:r>
      <w:r w:rsidRPr="00B90049">
        <w:rPr>
          <w:rStyle w:val="Strong"/>
          <w:rFonts w:ascii="Arial" w:hAnsi="Arial" w:cs="Arial"/>
          <w:b w:val="0"/>
          <w:bCs w:val="0"/>
          <w:sz w:val="22"/>
          <w:szCs w:val="22"/>
          <w:lang w:val="en-US"/>
        </w:rPr>
        <w:t xml:space="preserve"> </w:t>
      </w:r>
      <w:r w:rsidR="00B90049" w:rsidRPr="00B90049">
        <w:rPr>
          <w:rStyle w:val="Strong"/>
          <w:rFonts w:ascii="Arial" w:hAnsi="Arial" w:cs="Arial"/>
          <w:b w:val="0"/>
          <w:bCs w:val="0"/>
          <w:sz w:val="22"/>
          <w:szCs w:val="22"/>
          <w:lang w:val="en-US"/>
        </w:rPr>
        <w:t>2</w:t>
      </w:r>
      <w:r w:rsidRPr="00B90049">
        <w:rPr>
          <w:rStyle w:val="Strong"/>
          <w:rFonts w:ascii="Arial" w:hAnsi="Arial" w:cs="Arial"/>
          <w:b w:val="0"/>
          <w:bCs w:val="0"/>
          <w:sz w:val="22"/>
          <w:szCs w:val="22"/>
          <w:lang w:val="en-US"/>
        </w:rPr>
        <w:t>9</w:t>
      </w:r>
    </w:p>
    <w:p w14:paraId="788CB852" w14:textId="3007D722" w:rsidR="00EB54E5" w:rsidRPr="00B90049" w:rsidRDefault="00EB54E5" w:rsidP="00EB54E5">
      <w:pPr>
        <w:pStyle w:val="Heading3"/>
        <w:ind w:firstLineChars="150" w:firstLine="330"/>
        <w:jc w:val="both"/>
        <w:rPr>
          <w:rStyle w:val="Strong"/>
          <w:rFonts w:ascii="Arial" w:hAnsi="Arial" w:cs="Arial"/>
          <w:b w:val="0"/>
          <w:bCs w:val="0"/>
          <w:sz w:val="22"/>
          <w:szCs w:val="22"/>
        </w:rPr>
      </w:pPr>
      <w:r w:rsidRPr="00B90049">
        <w:rPr>
          <w:rStyle w:val="Strong"/>
          <w:rFonts w:ascii="Arial" w:hAnsi="Arial" w:cs="Arial"/>
          <w:b w:val="0"/>
          <w:bCs w:val="0"/>
          <w:sz w:val="22"/>
          <w:szCs w:val="22"/>
        </w:rPr>
        <w:t>5.</w:t>
      </w:r>
      <w:r w:rsidRPr="00B90049">
        <w:rPr>
          <w:rStyle w:val="Strong"/>
          <w:rFonts w:ascii="Arial" w:hAnsi="Arial" w:cs="Arial"/>
          <w:b w:val="0"/>
          <w:bCs w:val="0"/>
          <w:sz w:val="22"/>
          <w:szCs w:val="22"/>
          <w:lang w:val="en-US"/>
        </w:rPr>
        <w:t>5</w:t>
      </w:r>
      <w:r w:rsidRPr="00B90049">
        <w:rPr>
          <w:rStyle w:val="Strong"/>
          <w:rFonts w:ascii="Arial" w:hAnsi="Arial" w:cs="Arial"/>
          <w:b w:val="0"/>
          <w:bCs w:val="0"/>
          <w:sz w:val="22"/>
          <w:szCs w:val="22"/>
        </w:rPr>
        <w:t xml:space="preserve"> Suggestions for Further Studies</w:t>
      </w:r>
      <w:r w:rsidRPr="00B90049">
        <w:rPr>
          <w:rStyle w:val="Strong"/>
          <w:rFonts w:ascii="Arial" w:hAnsi="Arial" w:cs="Arial"/>
          <w:b w:val="0"/>
          <w:bCs w:val="0"/>
          <w:sz w:val="22"/>
          <w:szCs w:val="22"/>
          <w:lang w:val="en-US"/>
        </w:rPr>
        <w:t xml:space="preserve">                                                                    </w:t>
      </w:r>
      <w:r w:rsidR="00B90049">
        <w:rPr>
          <w:rStyle w:val="Strong"/>
          <w:rFonts w:ascii="Arial" w:hAnsi="Arial" w:cs="Arial"/>
          <w:b w:val="0"/>
          <w:bCs w:val="0"/>
          <w:sz w:val="22"/>
          <w:szCs w:val="22"/>
          <w:lang w:val="en-US"/>
        </w:rPr>
        <w:t xml:space="preserve">    </w:t>
      </w:r>
      <w:r w:rsidRPr="00B90049">
        <w:rPr>
          <w:rStyle w:val="Strong"/>
          <w:rFonts w:ascii="Arial" w:hAnsi="Arial" w:cs="Arial"/>
          <w:b w:val="0"/>
          <w:bCs w:val="0"/>
          <w:sz w:val="22"/>
          <w:szCs w:val="22"/>
          <w:lang w:val="en-US"/>
        </w:rPr>
        <w:t xml:space="preserve">  30</w:t>
      </w:r>
    </w:p>
    <w:p w14:paraId="498826B6" w14:textId="1D2B6BC7" w:rsidR="00EB54E5" w:rsidRPr="00B90049" w:rsidRDefault="00EB54E5" w:rsidP="00EB54E5">
      <w:pPr>
        <w:pStyle w:val="Heading3"/>
        <w:ind w:firstLineChars="150" w:firstLine="330"/>
        <w:jc w:val="both"/>
        <w:rPr>
          <w:rFonts w:ascii="Arial" w:hAnsi="Arial" w:cs="Arial"/>
          <w:b/>
          <w:bCs/>
          <w:sz w:val="22"/>
          <w:szCs w:val="22"/>
        </w:rPr>
      </w:pPr>
      <w:r w:rsidRPr="00B90049">
        <w:rPr>
          <w:rStyle w:val="Strong"/>
          <w:rFonts w:ascii="Arial" w:hAnsi="Arial" w:cs="Arial"/>
          <w:b w:val="0"/>
          <w:bCs w:val="0"/>
          <w:sz w:val="22"/>
          <w:szCs w:val="22"/>
        </w:rPr>
        <w:t>5.5 Implications of Findings</w:t>
      </w:r>
      <w:r w:rsidRPr="00B90049">
        <w:rPr>
          <w:rStyle w:val="Strong"/>
          <w:rFonts w:ascii="Arial" w:hAnsi="Arial" w:cs="Arial"/>
          <w:b w:val="0"/>
          <w:bCs w:val="0"/>
          <w:sz w:val="22"/>
          <w:szCs w:val="22"/>
          <w:lang w:val="en-US"/>
        </w:rPr>
        <w:t xml:space="preserve">                                                                                  </w:t>
      </w:r>
      <w:r w:rsidR="00B90049">
        <w:rPr>
          <w:rStyle w:val="Strong"/>
          <w:rFonts w:ascii="Arial" w:hAnsi="Arial" w:cs="Arial"/>
          <w:b w:val="0"/>
          <w:bCs w:val="0"/>
          <w:sz w:val="22"/>
          <w:szCs w:val="22"/>
          <w:lang w:val="en-US"/>
        </w:rPr>
        <w:t xml:space="preserve">   </w:t>
      </w:r>
      <w:r w:rsidRPr="00B90049">
        <w:rPr>
          <w:rStyle w:val="Strong"/>
          <w:rFonts w:ascii="Arial" w:hAnsi="Arial" w:cs="Arial"/>
          <w:b w:val="0"/>
          <w:bCs w:val="0"/>
          <w:sz w:val="22"/>
          <w:szCs w:val="22"/>
          <w:lang w:val="en-US"/>
        </w:rPr>
        <w:t xml:space="preserve">  30</w:t>
      </w:r>
    </w:p>
    <w:p w14:paraId="0741F6F4" w14:textId="68CE2506" w:rsidR="00EB54E5" w:rsidRDefault="00EB54E5" w:rsidP="00EB54E5">
      <w:pPr>
        <w:pStyle w:val="Heading3"/>
        <w:ind w:firstLineChars="150" w:firstLine="330"/>
        <w:jc w:val="both"/>
        <w:rPr>
          <w:rFonts w:ascii="Arial" w:hAnsi="Arial" w:cs="Arial"/>
          <w:b/>
          <w:bCs/>
          <w:sz w:val="22"/>
          <w:szCs w:val="22"/>
        </w:rPr>
      </w:pPr>
      <w:r w:rsidRPr="00B90049">
        <w:rPr>
          <w:rStyle w:val="Strong"/>
          <w:rFonts w:ascii="Arial" w:hAnsi="Arial" w:cs="Arial"/>
          <w:b w:val="0"/>
          <w:bCs w:val="0"/>
          <w:sz w:val="22"/>
          <w:szCs w:val="22"/>
        </w:rPr>
        <w:t>5.</w:t>
      </w:r>
      <w:r w:rsidRPr="00B90049">
        <w:rPr>
          <w:rStyle w:val="Strong"/>
          <w:rFonts w:ascii="Arial" w:hAnsi="Arial" w:cs="Arial"/>
          <w:b w:val="0"/>
          <w:bCs w:val="0"/>
          <w:sz w:val="22"/>
          <w:szCs w:val="22"/>
          <w:lang w:val="en-US"/>
        </w:rPr>
        <w:t>7 Conclusion                                                                                                          30</w:t>
      </w:r>
    </w:p>
    <w:p w14:paraId="08AB9229" w14:textId="77777777" w:rsidR="00EB54E5" w:rsidRDefault="00EB54E5" w:rsidP="00EB54E5">
      <w:pPr>
        <w:pStyle w:val="ListParagraph"/>
        <w:tabs>
          <w:tab w:val="left" w:pos="900"/>
          <w:tab w:val="left" w:pos="8400"/>
        </w:tabs>
        <w:ind w:left="360" w:right="6148" w:firstLine="0"/>
        <w:rPr>
          <w:rFonts w:ascii="Arial" w:hAnsi="Arial" w:cs="Arial"/>
          <w:spacing w:val="-2"/>
        </w:rPr>
      </w:pPr>
    </w:p>
    <w:p w14:paraId="3912E61E" w14:textId="77777777" w:rsidR="00EB54E5" w:rsidRDefault="00EB54E5" w:rsidP="00EB54E5">
      <w:pPr>
        <w:pStyle w:val="ListParagraph"/>
        <w:tabs>
          <w:tab w:val="left" w:pos="900"/>
          <w:tab w:val="left" w:pos="8400"/>
        </w:tabs>
        <w:ind w:left="360" w:right="6148" w:firstLine="0"/>
        <w:rPr>
          <w:rFonts w:ascii="Arial" w:hAnsi="Arial" w:cs="Arial"/>
          <w:spacing w:val="-2"/>
        </w:rPr>
      </w:pPr>
    </w:p>
    <w:p w14:paraId="2512E1B8" w14:textId="77777777" w:rsidR="00EB54E5" w:rsidRDefault="00EB54E5" w:rsidP="00EB54E5">
      <w:pPr>
        <w:pStyle w:val="ListParagraph"/>
        <w:tabs>
          <w:tab w:val="left" w:pos="900"/>
          <w:tab w:val="left" w:pos="8400"/>
        </w:tabs>
        <w:ind w:left="360" w:right="6148" w:firstLine="0"/>
        <w:rPr>
          <w:rFonts w:ascii="Arial" w:hAnsi="Arial" w:cs="Arial"/>
          <w:lang w:val="en-US"/>
        </w:rPr>
      </w:pPr>
      <w:r>
        <w:rPr>
          <w:rFonts w:ascii="Arial" w:hAnsi="Arial" w:cs="Arial"/>
          <w:spacing w:val="-2"/>
        </w:rPr>
        <w:t>REFERENCES</w:t>
      </w:r>
      <w:r>
        <w:rPr>
          <w:rFonts w:ascii="Arial" w:hAnsi="Arial" w:cs="Arial"/>
          <w:spacing w:val="-2"/>
        </w:rPr>
        <w:tab/>
      </w:r>
      <w:r>
        <w:rPr>
          <w:rFonts w:ascii="Arial" w:hAnsi="Arial" w:cs="Arial"/>
          <w:spacing w:val="-2"/>
          <w:lang w:val="en-US"/>
        </w:rPr>
        <w:t>33</w:t>
      </w:r>
    </w:p>
    <w:p w14:paraId="606A1AFF" w14:textId="77777777" w:rsidR="00EB54E5" w:rsidRDefault="00EB54E5" w:rsidP="00EB54E5">
      <w:pPr>
        <w:pStyle w:val="BodyText"/>
        <w:tabs>
          <w:tab w:val="left" w:pos="8400"/>
        </w:tabs>
        <w:spacing w:before="3"/>
        <w:ind w:left="360"/>
        <w:rPr>
          <w:rFonts w:ascii="Arial" w:hAnsi="Arial" w:cs="Arial"/>
          <w:lang w:val="en-US"/>
        </w:rPr>
      </w:pPr>
      <w:r>
        <w:rPr>
          <w:rFonts w:ascii="Arial" w:hAnsi="Arial" w:cs="Arial"/>
          <w:spacing w:val="-2"/>
        </w:rPr>
        <w:t>APPENDIX</w:t>
      </w:r>
      <w:r>
        <w:rPr>
          <w:rFonts w:ascii="Arial" w:hAnsi="Arial" w:cs="Arial"/>
          <w:spacing w:val="-2"/>
          <w:lang w:val="en-US"/>
        </w:rPr>
        <w:t xml:space="preserve">                                                                                                                      42</w:t>
      </w:r>
    </w:p>
    <w:p w14:paraId="619A8998" w14:textId="77777777" w:rsidR="00EB54E5" w:rsidRDefault="00EB54E5" w:rsidP="00EB54E5">
      <w:pPr>
        <w:pStyle w:val="BodyText"/>
        <w:tabs>
          <w:tab w:val="left" w:pos="8400"/>
        </w:tabs>
        <w:rPr>
          <w:rFonts w:ascii="Arial" w:hAnsi="Arial" w:cs="Arial"/>
        </w:rPr>
        <w:sectPr w:rsidR="00EB54E5" w:rsidSect="00EB54E5">
          <w:footerReference w:type="default" r:id="rId46"/>
          <w:pgSz w:w="11906" w:h="16838"/>
          <w:pgMar w:top="1380" w:right="1080" w:bottom="1160" w:left="1080" w:header="0" w:footer="965" w:gutter="0"/>
          <w:pgNumType w:fmt="lowerRoman"/>
          <w:cols w:space="720"/>
        </w:sectPr>
      </w:pPr>
      <w:r>
        <w:rPr>
          <w:rFonts w:ascii="Arial" w:hAnsi="Arial" w:cs="Arial"/>
        </w:rPr>
        <w:tab/>
      </w:r>
    </w:p>
    <w:p w14:paraId="009D67B6" w14:textId="77777777" w:rsidR="00EB54E5" w:rsidRDefault="00EB54E5" w:rsidP="00EB54E5">
      <w:pPr>
        <w:rPr>
          <w:rFonts w:ascii="Arial" w:hAnsi="Arial" w:cs="Arial"/>
        </w:rPr>
      </w:pPr>
      <w:bookmarkStart w:id="1" w:name="_TOC_250001"/>
    </w:p>
    <w:p w14:paraId="31A05C47" w14:textId="77777777" w:rsidR="00EB54E5" w:rsidRDefault="00EB54E5" w:rsidP="00EB54E5">
      <w:pPr>
        <w:pStyle w:val="Heading1"/>
        <w:spacing w:before="66"/>
        <w:ind w:left="2880" w:firstLine="720"/>
        <w:rPr>
          <w:rFonts w:cs="Arial"/>
          <w:spacing w:val="-2"/>
          <w:sz w:val="22"/>
          <w:szCs w:val="22"/>
        </w:rPr>
      </w:pPr>
      <w:r>
        <w:rPr>
          <w:rFonts w:cs="Arial"/>
          <w:sz w:val="22"/>
          <w:szCs w:val="22"/>
        </w:rPr>
        <w:t>LIST</w:t>
      </w:r>
      <w:r>
        <w:rPr>
          <w:rFonts w:cs="Arial"/>
          <w:spacing w:val="-7"/>
          <w:sz w:val="22"/>
          <w:szCs w:val="22"/>
        </w:rPr>
        <w:t xml:space="preserve"> </w:t>
      </w:r>
      <w:r>
        <w:rPr>
          <w:rFonts w:cs="Arial"/>
          <w:sz w:val="22"/>
          <w:szCs w:val="22"/>
        </w:rPr>
        <w:t>OF</w:t>
      </w:r>
      <w:r>
        <w:rPr>
          <w:rFonts w:cs="Arial"/>
          <w:spacing w:val="-12"/>
          <w:sz w:val="22"/>
          <w:szCs w:val="22"/>
        </w:rPr>
        <w:t xml:space="preserve"> </w:t>
      </w:r>
      <w:bookmarkEnd w:id="1"/>
      <w:r>
        <w:rPr>
          <w:rFonts w:cs="Arial"/>
          <w:spacing w:val="-2"/>
          <w:sz w:val="22"/>
          <w:szCs w:val="22"/>
        </w:rPr>
        <w:t>TABLES</w:t>
      </w:r>
    </w:p>
    <w:p w14:paraId="7000DB3F" w14:textId="1DC8B3C0" w:rsidR="00EB54E5" w:rsidRDefault="00EB54E5" w:rsidP="00EB54E5">
      <w:pPr>
        <w:jc w:val="both"/>
        <w:rPr>
          <w:rFonts w:ascii="Arial" w:eastAsia="DengXian" w:hAnsi="Arial" w:cs="Arial"/>
          <w:color w:val="000000" w:themeColor="text1"/>
          <w:lang w:val="en-US" w:eastAsia="zh-CN"/>
        </w:rPr>
      </w:pPr>
      <w:r>
        <w:rPr>
          <w:rFonts w:ascii="Arial" w:hAnsi="Arial" w:cs="Arial"/>
          <w:spacing w:val="-2"/>
        </w:rPr>
        <w:t xml:space="preserve">Table </w:t>
      </w:r>
      <w:r>
        <w:rPr>
          <w:rFonts w:ascii="Arial" w:hAnsi="Arial" w:cs="Arial"/>
          <w:spacing w:val="-2"/>
          <w:lang w:val="en-US"/>
        </w:rPr>
        <w:t>4.4</w:t>
      </w:r>
      <w:r>
        <w:rPr>
          <w:rFonts w:ascii="Arial" w:hAnsi="Arial" w:cs="Arial"/>
          <w:spacing w:val="-2"/>
        </w:rPr>
        <w:t xml:space="preserve">: </w:t>
      </w:r>
      <w:r>
        <w:rPr>
          <w:rFonts w:ascii="Arial" w:eastAsia="DengXian" w:hAnsi="Arial" w:cs="Arial"/>
          <w:color w:val="000000" w:themeColor="text1"/>
          <w:lang w:val="en-US" w:eastAsia="zh-CN"/>
        </w:rPr>
        <w:t>Thematic Findings of the Ten Primary Articles ……………………………………</w:t>
      </w:r>
    </w:p>
    <w:p w14:paraId="01A65E42" w14:textId="31E6CB6C" w:rsidR="00EB54E5" w:rsidRDefault="00EB54E5" w:rsidP="00EB54E5">
      <w:pPr>
        <w:widowControl/>
        <w:autoSpaceDE/>
        <w:autoSpaceDN/>
        <w:rPr>
          <w:rFonts w:ascii="Arial" w:hAnsi="Arial" w:cs="Arial"/>
        </w:rPr>
      </w:pPr>
      <w:r>
        <w:rPr>
          <w:rFonts w:ascii="Arial" w:hAnsi="Arial" w:cs="Arial"/>
        </w:rPr>
        <w:br w:type="page"/>
      </w:r>
      <w:r>
        <w:rPr>
          <w:rFonts w:ascii="Arial" w:hAnsi="Arial" w:cs="Arial"/>
        </w:rPr>
        <w:lastRenderedPageBreak/>
        <w:t xml:space="preserve">                            </w:t>
      </w:r>
    </w:p>
    <w:p w14:paraId="502E3340" w14:textId="51877B16" w:rsidR="004A7295" w:rsidRDefault="00EB54E5" w:rsidP="00EB54E5">
      <w:pPr>
        <w:widowControl/>
        <w:autoSpaceDE/>
        <w:autoSpaceDN/>
        <w:rPr>
          <w:rFonts w:ascii="Arial" w:hAnsi="Arial" w:cs="Arial"/>
          <w:b/>
          <w:bCs/>
        </w:rPr>
      </w:pPr>
      <w:r>
        <w:rPr>
          <w:rFonts w:ascii="Arial" w:hAnsi="Arial" w:cs="Arial"/>
        </w:rPr>
        <w:t xml:space="preserve">                          </w:t>
      </w:r>
      <w:r w:rsidR="0047238F">
        <w:rPr>
          <w:rFonts w:ascii="Arial" w:hAnsi="Arial" w:cs="Arial"/>
        </w:rPr>
        <w:t xml:space="preserve">       </w:t>
      </w:r>
      <w:r>
        <w:rPr>
          <w:rFonts w:ascii="Arial" w:hAnsi="Arial" w:cs="Arial"/>
        </w:rPr>
        <w:t xml:space="preserve"> </w:t>
      </w:r>
      <w:r w:rsidRPr="00EB54E5">
        <w:rPr>
          <w:rFonts w:ascii="Arial" w:hAnsi="Arial" w:cs="Arial"/>
          <w:b/>
          <w:bCs/>
        </w:rPr>
        <w:t xml:space="preserve">CHAPTER 1: INTRODUCTION </w:t>
      </w:r>
    </w:p>
    <w:p w14:paraId="76B64694" w14:textId="77777777" w:rsidR="00EB54E5" w:rsidRPr="00EB54E5" w:rsidRDefault="00EB54E5" w:rsidP="00EB54E5">
      <w:pPr>
        <w:widowControl/>
        <w:autoSpaceDE/>
        <w:autoSpaceDN/>
        <w:rPr>
          <w:rFonts w:ascii="Arial" w:hAnsi="Arial" w:cs="Arial"/>
        </w:rPr>
      </w:pPr>
    </w:p>
    <w:p w14:paraId="502E3341" w14:textId="7759DB23" w:rsidR="004A7295" w:rsidRDefault="00000000">
      <w:pPr>
        <w:spacing w:line="360" w:lineRule="auto"/>
        <w:jc w:val="both"/>
        <w:rPr>
          <w:rFonts w:ascii="Arial" w:hAnsi="Arial" w:cs="Arial"/>
        </w:rPr>
      </w:pPr>
      <w:r>
        <w:rPr>
          <w:rFonts w:ascii="Arial" w:hAnsi="Arial" w:cs="Arial"/>
        </w:rPr>
        <w:t xml:space="preserve">The United Kingdom is undergoing a significant demographic transition, marked by a rapid increase in the older adult population. According to Age UK (2024a) and Reeves et al. (2024), there are now over 22 million people aged 50 in England, representing approximately 40% of the population, with the fastest growth observed in the 85+ age group. Earlier projections suggested a further 19.3% increase in the 50+ by 2044, equating to an additional 4.3 million older people (Brändle and </w:t>
      </w:r>
      <w:proofErr w:type="spellStart"/>
      <w:r>
        <w:rPr>
          <w:rFonts w:ascii="Arial" w:hAnsi="Arial" w:cs="Arial"/>
        </w:rPr>
        <w:t>Colombier</w:t>
      </w:r>
      <w:proofErr w:type="spellEnd"/>
      <w:r>
        <w:rPr>
          <w:rFonts w:ascii="Arial" w:hAnsi="Arial" w:cs="Arial"/>
        </w:rPr>
        <w:t>, 2022). These demographic shifts have major implications for health and social care services, as older adults are more likely to experience chronic conditions and functional decline. Only 14% of those aged 85 and over are reported to be in good health (Age UK, 2023b).</w:t>
      </w:r>
    </w:p>
    <w:p w14:paraId="502E3342" w14:textId="77777777" w:rsidR="004A7295" w:rsidRDefault="004A7295">
      <w:pPr>
        <w:spacing w:line="360" w:lineRule="auto"/>
        <w:jc w:val="both"/>
        <w:rPr>
          <w:rFonts w:ascii="Arial" w:hAnsi="Arial" w:cs="Arial"/>
        </w:rPr>
      </w:pPr>
    </w:p>
    <w:p w14:paraId="502E3343" w14:textId="77777777" w:rsidR="004A7295" w:rsidRDefault="00000000">
      <w:pPr>
        <w:spacing w:line="360" w:lineRule="auto"/>
        <w:jc w:val="both"/>
        <w:rPr>
          <w:rFonts w:ascii="Arial" w:hAnsi="Arial" w:cs="Arial"/>
        </w:rPr>
      </w:pPr>
      <w:r>
        <w:rPr>
          <w:rFonts w:ascii="Arial" w:hAnsi="Arial" w:cs="Arial"/>
        </w:rPr>
        <w:t>The growing demand for services is evident across the system. Older adults account for a disproportionate share of hospital use; emergency hospital attendance rates increase significantly with age, rising from 50,000 per 100,000 people aged 75–79 to nearly 94,000 per 100,000 among those aged 90 years and above (Age UK, 2024a). In parallel, social care needs remain chronically unmet. Approximately 2 million older adults in England live with unmet care needs, particularly in areas such as bathing, dressing, and meal preparation (Age UK, 2024a; MacInnes et al., 2020). Waiting times for social care assessments frequently exceed six months, delaying critical interventions (Age UK, 2023a; Jain et al., 2025).</w:t>
      </w:r>
    </w:p>
    <w:p w14:paraId="502E3344" w14:textId="77777777" w:rsidR="004A7295" w:rsidRDefault="004A7295">
      <w:pPr>
        <w:spacing w:line="360" w:lineRule="auto"/>
        <w:jc w:val="both"/>
        <w:rPr>
          <w:rFonts w:ascii="Arial" w:hAnsi="Arial" w:cs="Arial"/>
        </w:rPr>
      </w:pPr>
    </w:p>
    <w:p w14:paraId="502E3345" w14:textId="2B15CA6A" w:rsidR="004A7295" w:rsidRDefault="00000000">
      <w:pPr>
        <w:spacing w:line="360" w:lineRule="auto"/>
        <w:jc w:val="both"/>
        <w:rPr>
          <w:rFonts w:ascii="Arial" w:hAnsi="Arial" w:cs="Arial"/>
        </w:rPr>
      </w:pPr>
      <w:r>
        <w:rPr>
          <w:rFonts w:ascii="Arial" w:hAnsi="Arial" w:cs="Arial"/>
        </w:rPr>
        <w:t>Health and social care capacity has been unable to keep pace with demand. The number of district nurses has declined by 12%, and the registered nurses in social care by 24% (</w:t>
      </w:r>
      <w:proofErr w:type="spellStart"/>
      <w:r>
        <w:rPr>
          <w:rFonts w:ascii="Arial" w:hAnsi="Arial" w:cs="Arial"/>
        </w:rPr>
        <w:t>Chamanga</w:t>
      </w:r>
      <w:proofErr w:type="spellEnd"/>
      <w:r>
        <w:rPr>
          <w:rFonts w:ascii="Arial" w:hAnsi="Arial" w:cs="Arial"/>
        </w:rPr>
        <w:t xml:space="preserve"> et al., 2020). Unpaid carers, many aged 65 and over, are filling the gap, though 85% of concerns are their ability to continue providing support due to their health and wellbeing (Age UK, 2023b).</w:t>
      </w:r>
    </w:p>
    <w:p w14:paraId="502E3346" w14:textId="77777777" w:rsidR="004A7295" w:rsidRDefault="004A7295">
      <w:pPr>
        <w:spacing w:line="360" w:lineRule="auto"/>
        <w:jc w:val="both"/>
        <w:rPr>
          <w:rFonts w:ascii="Arial" w:hAnsi="Arial" w:cs="Arial"/>
        </w:rPr>
      </w:pPr>
    </w:p>
    <w:p w14:paraId="502E3347" w14:textId="7749D752" w:rsidR="004A7295" w:rsidRDefault="00000000">
      <w:pPr>
        <w:spacing w:line="360" w:lineRule="auto"/>
        <w:jc w:val="both"/>
        <w:rPr>
          <w:rFonts w:ascii="Arial" w:hAnsi="Arial" w:cs="Arial"/>
        </w:rPr>
      </w:pPr>
      <w:r>
        <w:rPr>
          <w:rFonts w:ascii="Arial" w:hAnsi="Arial" w:cs="Arial"/>
        </w:rPr>
        <w:t>The fragmentation between NHS and social care services has exacerbated these pressures. Delayed hospital discharges, often lack of community or home-based care, are a persistent issue, contributing to hospital overcrowding and longer stays (The Times, 2025). Meanwhile, the NHS Continuing Healthcare (CHC) scheme, which should support complex care needs, has become more restrictive in practice. Despite the rise in older adults with high needs, eligibility for CHC has declined since 2017 (The Guardian, 2025a).</w:t>
      </w:r>
    </w:p>
    <w:p w14:paraId="502E3348" w14:textId="77777777" w:rsidR="004A7295" w:rsidRDefault="004A7295">
      <w:pPr>
        <w:spacing w:line="360" w:lineRule="auto"/>
        <w:jc w:val="both"/>
        <w:rPr>
          <w:rFonts w:ascii="Arial" w:hAnsi="Arial" w:cs="Arial"/>
        </w:rPr>
      </w:pPr>
    </w:p>
    <w:p w14:paraId="502E3349" w14:textId="77777777" w:rsidR="004A7295" w:rsidRDefault="00000000">
      <w:pPr>
        <w:spacing w:line="360" w:lineRule="auto"/>
        <w:jc w:val="both"/>
        <w:rPr>
          <w:rFonts w:ascii="Arial" w:hAnsi="Arial" w:cs="Arial"/>
        </w:rPr>
      </w:pPr>
      <w:r>
        <w:rPr>
          <w:rFonts w:ascii="Arial" w:hAnsi="Arial" w:cs="Arial"/>
        </w:rPr>
        <w:t xml:space="preserve">In response, the UK government has sought to integrate health and social care through systemic reforms. The Health and Care Act 2022 placed Integrated Care Systems (ICSs) on a statutory footing, requiring NHS bodies and local authorities to jointly plan and deliver </w:t>
      </w:r>
      <w:r>
        <w:rPr>
          <w:rFonts w:ascii="Arial" w:hAnsi="Arial" w:cs="Arial"/>
        </w:rPr>
        <w:lastRenderedPageBreak/>
        <w:t>services (NHS England, 2022). The NHS Long Term Plan (2019) had already identified ICSs as the future model of care, aiming to reduce hospital dependence and shift investment into primary and community settings (NHS England, 2019) to coordinate services across sectors (Elizondo et al., 2024).</w:t>
      </w:r>
    </w:p>
    <w:p w14:paraId="502E334A" w14:textId="77777777" w:rsidR="004A7295" w:rsidRDefault="004A7295">
      <w:pPr>
        <w:spacing w:line="360" w:lineRule="auto"/>
        <w:jc w:val="both"/>
        <w:rPr>
          <w:rFonts w:ascii="Arial" w:hAnsi="Arial" w:cs="Arial"/>
        </w:rPr>
      </w:pPr>
    </w:p>
    <w:p w14:paraId="502E334B" w14:textId="77777777" w:rsidR="004A7295" w:rsidRDefault="00000000">
      <w:pPr>
        <w:spacing w:line="360" w:lineRule="auto"/>
        <w:jc w:val="both"/>
        <w:rPr>
          <w:rFonts w:ascii="Arial" w:hAnsi="Arial" w:cs="Arial"/>
        </w:rPr>
      </w:pPr>
      <w:r>
        <w:rPr>
          <w:rFonts w:ascii="Arial" w:hAnsi="Arial" w:cs="Arial"/>
        </w:rPr>
        <w:t>The Better Care Fund (BCF), introduced in 2013, provides a financial mechanism to support integration. Initially pooling £5.3 billion, this figure rose to £9.2 billion by 2019–2020 (Department of Health and Social Care, 2019). While initial performance fell short of national targets such as reducing emergency admissions and delayed discharges, the BCF has facilitated closer working relationships between councils and NHS providers (National Audit Office, 2018).</w:t>
      </w:r>
    </w:p>
    <w:p w14:paraId="502E334C" w14:textId="77777777" w:rsidR="004A7295" w:rsidRDefault="004A7295">
      <w:pPr>
        <w:spacing w:line="360" w:lineRule="auto"/>
        <w:jc w:val="both"/>
        <w:rPr>
          <w:rFonts w:ascii="Arial" w:hAnsi="Arial" w:cs="Arial"/>
        </w:rPr>
      </w:pPr>
    </w:p>
    <w:p w14:paraId="502E334D" w14:textId="77777777" w:rsidR="004A7295" w:rsidRDefault="00000000">
      <w:pPr>
        <w:spacing w:line="360" w:lineRule="auto"/>
        <w:jc w:val="both"/>
        <w:rPr>
          <w:rFonts w:ascii="Arial" w:hAnsi="Arial" w:cs="Arial"/>
        </w:rPr>
      </w:pPr>
      <w:r>
        <w:rPr>
          <w:rFonts w:ascii="Arial" w:hAnsi="Arial" w:cs="Arial"/>
        </w:rPr>
        <w:t>Digital transformation is also central to integration efforts. All ICSs are required to implement Shared Care Records, which connect data between the NHS and social care in real time (Department of Health and Social Care, 2022). However, digital maturity is inconsistent: while 60% of NHS trusts meet digital standards, fewer than 40% of social care providers use electronic records (Department of Health and Social Care, 2022).</w:t>
      </w:r>
    </w:p>
    <w:p w14:paraId="502E334E" w14:textId="77777777" w:rsidR="004A7295" w:rsidRDefault="004A7295">
      <w:pPr>
        <w:spacing w:line="360" w:lineRule="auto"/>
        <w:jc w:val="both"/>
        <w:rPr>
          <w:rFonts w:ascii="Arial" w:hAnsi="Arial" w:cs="Arial"/>
        </w:rPr>
      </w:pPr>
    </w:p>
    <w:p w14:paraId="502E334F" w14:textId="77777777" w:rsidR="004A7295" w:rsidRDefault="00000000">
      <w:pPr>
        <w:spacing w:line="360" w:lineRule="auto"/>
        <w:jc w:val="both"/>
        <w:rPr>
          <w:rFonts w:ascii="Arial" w:hAnsi="Arial" w:cs="Arial"/>
        </w:rPr>
      </w:pPr>
      <w:r>
        <w:rPr>
          <w:rFonts w:ascii="Arial" w:hAnsi="Arial" w:cs="Arial"/>
        </w:rPr>
        <w:t>Despite these challenges, several ICSs have demonstrated successful models. In Hull, the Jean Bishop Integrated Care Centre has reduced emergency visits by over 53% and bed days by 71% for frail older adults through proactive multidisciplinary assessment (Financial Times, 2023). Surrey Downs Health and Care achieved a 38% reduction in A&amp;E attendances by implementing integrated frailty reviews (Financial Times, 2023). In Lincolnshire, linking health and care data has enabled predictive modelling that led to a 58% fall in emergency admissions for high-risk patients (NHS England, 2024).</w:t>
      </w:r>
    </w:p>
    <w:p w14:paraId="502E3350" w14:textId="77777777" w:rsidR="004A7295" w:rsidRDefault="004A7295">
      <w:pPr>
        <w:spacing w:line="360" w:lineRule="auto"/>
        <w:jc w:val="both"/>
        <w:rPr>
          <w:rFonts w:ascii="Arial" w:hAnsi="Arial" w:cs="Arial"/>
        </w:rPr>
      </w:pPr>
    </w:p>
    <w:p w14:paraId="502E3351" w14:textId="77777777" w:rsidR="004A7295" w:rsidRDefault="00000000">
      <w:pPr>
        <w:spacing w:line="360" w:lineRule="auto"/>
        <w:jc w:val="both"/>
        <w:rPr>
          <w:rFonts w:ascii="Arial" w:hAnsi="Arial" w:cs="Arial"/>
        </w:rPr>
      </w:pPr>
      <w:r>
        <w:rPr>
          <w:rFonts w:ascii="Arial" w:hAnsi="Arial" w:cs="Arial"/>
        </w:rPr>
        <w:t xml:space="preserve">Nonetheless, structural issues remain. Local authority social care budgets have declined by 18% in real terms since 2010, with nearly 100,000 people </w:t>
      </w:r>
      <w:proofErr w:type="gramStart"/>
      <w:r>
        <w:rPr>
          <w:rFonts w:ascii="Arial" w:hAnsi="Arial" w:cs="Arial"/>
        </w:rPr>
        <w:t>ineligible</w:t>
      </w:r>
      <w:proofErr w:type="gramEnd"/>
      <w:r>
        <w:rPr>
          <w:rFonts w:ascii="Arial" w:hAnsi="Arial" w:cs="Arial"/>
        </w:rPr>
        <w:t xml:space="preserve"> for state-funded support due to tightened thresholds (The Guardian, 2025b). Plans for wider social care reform have been postponed to 2028, raising concerns about sustainability (The Times, 2025).</w:t>
      </w:r>
    </w:p>
    <w:p w14:paraId="502E3352" w14:textId="77777777" w:rsidR="004A7295" w:rsidRDefault="004A7295">
      <w:pPr>
        <w:spacing w:line="360" w:lineRule="auto"/>
        <w:jc w:val="both"/>
        <w:rPr>
          <w:rFonts w:ascii="Arial" w:hAnsi="Arial" w:cs="Arial"/>
        </w:rPr>
      </w:pPr>
    </w:p>
    <w:p w14:paraId="502E3353" w14:textId="77777777" w:rsidR="004A7295" w:rsidRDefault="00000000">
      <w:pPr>
        <w:spacing w:line="360" w:lineRule="auto"/>
        <w:jc w:val="both"/>
        <w:rPr>
          <w:rFonts w:ascii="Arial" w:hAnsi="Arial" w:cs="Arial"/>
        </w:rPr>
      </w:pPr>
      <w:r>
        <w:rPr>
          <w:rFonts w:ascii="Arial" w:hAnsi="Arial" w:cs="Arial"/>
        </w:rPr>
        <w:t>In sum, the demographic and systemic pressures facing the UK demand integrated, person-centred solutions. While integrated care models show promise, variability in implementation, digital readiness, and funding undermines widespread progress. Addressing these gaps is critical to improving outcomes for older adults across the health and social care continuum.</w:t>
      </w:r>
    </w:p>
    <w:p w14:paraId="502E3354" w14:textId="77777777" w:rsidR="004A7295" w:rsidRDefault="004A7295">
      <w:pPr>
        <w:spacing w:line="360" w:lineRule="auto"/>
        <w:jc w:val="both"/>
        <w:rPr>
          <w:rFonts w:ascii="Arial" w:hAnsi="Arial" w:cs="Arial"/>
          <w:b/>
          <w:bCs/>
        </w:rPr>
      </w:pPr>
    </w:p>
    <w:p w14:paraId="502E3355" w14:textId="77777777" w:rsidR="004A7295" w:rsidRDefault="004A7295">
      <w:pPr>
        <w:spacing w:line="360" w:lineRule="auto"/>
        <w:jc w:val="both"/>
        <w:rPr>
          <w:rFonts w:ascii="Arial" w:hAnsi="Arial" w:cs="Arial"/>
          <w:b/>
          <w:bCs/>
        </w:rPr>
      </w:pPr>
    </w:p>
    <w:p w14:paraId="502E3356" w14:textId="77777777" w:rsidR="004A7295" w:rsidRDefault="00000000">
      <w:pPr>
        <w:spacing w:line="360" w:lineRule="auto"/>
        <w:jc w:val="both"/>
        <w:rPr>
          <w:rFonts w:ascii="Arial" w:hAnsi="Arial" w:cs="Arial"/>
          <w:b/>
          <w:bCs/>
        </w:rPr>
      </w:pPr>
      <w:r>
        <w:rPr>
          <w:rFonts w:ascii="Arial" w:hAnsi="Arial" w:cs="Arial"/>
          <w:b/>
          <w:bCs/>
        </w:rPr>
        <w:lastRenderedPageBreak/>
        <w:t xml:space="preserve">Key Terminologies </w:t>
      </w:r>
    </w:p>
    <w:p w14:paraId="502E3357" w14:textId="77777777" w:rsidR="004A7295" w:rsidRDefault="00000000">
      <w:pPr>
        <w:spacing w:line="360" w:lineRule="auto"/>
        <w:jc w:val="both"/>
        <w:rPr>
          <w:rFonts w:ascii="Arial" w:hAnsi="Arial" w:cs="Arial"/>
          <w:b/>
          <w:bCs/>
        </w:rPr>
      </w:pPr>
      <w:r>
        <w:rPr>
          <w:rFonts w:ascii="Arial" w:hAnsi="Arial" w:cs="Arial"/>
          <w:b/>
          <w:bCs/>
        </w:rPr>
        <w:t>1. Integrated Care Services</w:t>
      </w:r>
    </w:p>
    <w:p w14:paraId="502E3358" w14:textId="77777777" w:rsidR="004A7295" w:rsidRDefault="00000000">
      <w:pPr>
        <w:spacing w:line="360" w:lineRule="auto"/>
        <w:jc w:val="both"/>
        <w:rPr>
          <w:rFonts w:ascii="Arial" w:hAnsi="Arial" w:cs="Arial"/>
        </w:rPr>
      </w:pPr>
      <w:r>
        <w:rPr>
          <w:rFonts w:ascii="Arial" w:hAnsi="Arial" w:cs="Arial"/>
        </w:rPr>
        <w:t>A coordinated approach where health and social care providers work together to deliver seamless, personalised support, especially for individuals with complex needs.</w:t>
      </w:r>
    </w:p>
    <w:p w14:paraId="502E3359" w14:textId="77777777" w:rsidR="004A7295" w:rsidRDefault="004A7295">
      <w:pPr>
        <w:spacing w:line="360" w:lineRule="auto"/>
        <w:jc w:val="both"/>
        <w:rPr>
          <w:rFonts w:ascii="Arial" w:hAnsi="Arial" w:cs="Arial"/>
        </w:rPr>
      </w:pPr>
    </w:p>
    <w:p w14:paraId="502E335A" w14:textId="77777777" w:rsidR="004A7295" w:rsidRDefault="00000000">
      <w:pPr>
        <w:spacing w:line="360" w:lineRule="auto"/>
        <w:jc w:val="both"/>
        <w:rPr>
          <w:rFonts w:ascii="Arial" w:hAnsi="Arial" w:cs="Arial"/>
          <w:b/>
          <w:bCs/>
        </w:rPr>
      </w:pPr>
      <w:r>
        <w:rPr>
          <w:rFonts w:ascii="Arial" w:hAnsi="Arial" w:cs="Arial"/>
          <w:b/>
          <w:bCs/>
        </w:rPr>
        <w:t>2. Older Adults</w:t>
      </w:r>
    </w:p>
    <w:p w14:paraId="502E335B" w14:textId="77777777" w:rsidR="004A7295" w:rsidRDefault="00000000">
      <w:pPr>
        <w:spacing w:line="360" w:lineRule="auto"/>
        <w:jc w:val="both"/>
        <w:rPr>
          <w:rFonts w:ascii="Arial" w:hAnsi="Arial" w:cs="Arial"/>
        </w:rPr>
      </w:pPr>
      <w:r>
        <w:rPr>
          <w:rFonts w:ascii="Arial" w:hAnsi="Arial" w:cs="Arial"/>
        </w:rPr>
        <w:t>People aged 60 or 65 and above often require increased health and social care due to age-related conditions.</w:t>
      </w:r>
    </w:p>
    <w:p w14:paraId="502E335C" w14:textId="77777777" w:rsidR="004A7295" w:rsidRDefault="004A7295">
      <w:pPr>
        <w:spacing w:line="360" w:lineRule="auto"/>
        <w:jc w:val="both"/>
        <w:rPr>
          <w:rFonts w:ascii="Arial" w:hAnsi="Arial" w:cs="Arial"/>
        </w:rPr>
      </w:pPr>
    </w:p>
    <w:p w14:paraId="502E335D" w14:textId="77777777" w:rsidR="004A7295" w:rsidRDefault="00000000">
      <w:pPr>
        <w:spacing w:line="360" w:lineRule="auto"/>
        <w:jc w:val="both"/>
        <w:rPr>
          <w:rFonts w:ascii="Arial" w:hAnsi="Arial" w:cs="Arial"/>
          <w:b/>
          <w:bCs/>
        </w:rPr>
      </w:pPr>
      <w:r>
        <w:rPr>
          <w:rFonts w:ascii="Arial" w:hAnsi="Arial" w:cs="Arial"/>
          <w:b/>
          <w:bCs/>
        </w:rPr>
        <w:t>3. Health and Social Care</w:t>
      </w:r>
    </w:p>
    <w:p w14:paraId="502E335E" w14:textId="77777777" w:rsidR="004A7295" w:rsidRDefault="00000000">
      <w:pPr>
        <w:spacing w:line="360" w:lineRule="auto"/>
        <w:jc w:val="both"/>
        <w:rPr>
          <w:rFonts w:ascii="Arial" w:hAnsi="Arial" w:cs="Arial"/>
        </w:rPr>
      </w:pPr>
      <w:r>
        <w:rPr>
          <w:rFonts w:ascii="Arial" w:hAnsi="Arial" w:cs="Arial"/>
        </w:rPr>
        <w:t>A combined system of medical and personal support services that promote physical, mental, and social well-being, especially for vulnerable populations.</w:t>
      </w:r>
    </w:p>
    <w:p w14:paraId="502E335F" w14:textId="77777777" w:rsidR="004A7295" w:rsidRDefault="004A7295">
      <w:pPr>
        <w:spacing w:line="360" w:lineRule="auto"/>
        <w:jc w:val="both"/>
        <w:rPr>
          <w:rFonts w:ascii="Arial" w:hAnsi="Arial" w:cs="Arial"/>
        </w:rPr>
      </w:pPr>
    </w:p>
    <w:p w14:paraId="502E3360" w14:textId="77777777" w:rsidR="004A7295" w:rsidRDefault="00000000">
      <w:pPr>
        <w:spacing w:line="360" w:lineRule="auto"/>
        <w:jc w:val="both"/>
        <w:rPr>
          <w:rFonts w:ascii="Arial" w:hAnsi="Arial" w:cs="Arial"/>
          <w:b/>
          <w:bCs/>
        </w:rPr>
      </w:pPr>
      <w:r>
        <w:rPr>
          <w:rFonts w:ascii="Arial" w:hAnsi="Arial" w:cs="Arial"/>
          <w:b/>
          <w:bCs/>
        </w:rPr>
        <w:t>1.2 Rationale of the study</w:t>
      </w:r>
    </w:p>
    <w:p w14:paraId="502E3361" w14:textId="77777777" w:rsidR="004A7295" w:rsidRDefault="00000000">
      <w:pPr>
        <w:spacing w:line="360" w:lineRule="auto"/>
        <w:jc w:val="both"/>
        <w:rPr>
          <w:rFonts w:ascii="Arial" w:hAnsi="Arial" w:cs="Arial"/>
        </w:rPr>
      </w:pPr>
      <w:r>
        <w:rPr>
          <w:rFonts w:ascii="Arial" w:hAnsi="Arial" w:cs="Arial"/>
        </w:rPr>
        <w:t>The United Kingdom is currently experiencing a profound demographic shift, with the population aged 65 and over projected to increase by nearly 50% over the next two decades (Reeves et al., 2024). This surge in older adults is accompanied by a rise in multimorbidity, frailty, and complex care needs, placing unprecedented pressure on both health and social care services (Age UK, 2024). Traditional fragmented care pathways have struggled to meet these demands, often resulting in poor health outcomes, increased hospital admissions, delayed discharges, and unmet social care needs (NHS England, 2023).</w:t>
      </w:r>
    </w:p>
    <w:p w14:paraId="502E3362" w14:textId="77777777" w:rsidR="004A7295" w:rsidRDefault="004A7295">
      <w:pPr>
        <w:spacing w:line="360" w:lineRule="auto"/>
        <w:jc w:val="both"/>
        <w:rPr>
          <w:rFonts w:ascii="Arial" w:hAnsi="Arial" w:cs="Arial"/>
        </w:rPr>
      </w:pPr>
    </w:p>
    <w:p w14:paraId="502E3363" w14:textId="77777777" w:rsidR="004A7295" w:rsidRDefault="00000000">
      <w:pPr>
        <w:spacing w:line="360" w:lineRule="auto"/>
        <w:jc w:val="both"/>
        <w:rPr>
          <w:rFonts w:ascii="Arial" w:hAnsi="Arial" w:cs="Arial"/>
        </w:rPr>
      </w:pPr>
      <w:r>
        <w:rPr>
          <w:rFonts w:ascii="Arial" w:hAnsi="Arial" w:cs="Arial"/>
        </w:rPr>
        <w:t>In response, the nationwide implementation of Integrated Care Systems (ICSs), formalised under the Health and Care Act 2022 and outlined in the NHS Long Term Plan 2019, represents a paradigm shift toward coordinated, person-centred care across health and social care sectors (Elizondo et al., 2024; NHS England, 2023). ICSs are designed to reduce fragmentation by fostering collaboration between providers, improving chronic disease management, and enhancing quality of life for older adults (Jain et al., 2025). Early initiatives, including Enhanced Health in Care Homes and integrated discharge programs, have demonstrated promising reductions in emergency hospital use and improvements in patient and caregiver satisfaction (NHS England, 2023; Reeves et al., 2024).</w:t>
      </w:r>
    </w:p>
    <w:p w14:paraId="502E3364" w14:textId="77777777" w:rsidR="004A7295" w:rsidRDefault="004A7295">
      <w:pPr>
        <w:spacing w:line="360" w:lineRule="auto"/>
        <w:jc w:val="both"/>
        <w:rPr>
          <w:rFonts w:ascii="Arial" w:hAnsi="Arial" w:cs="Arial"/>
        </w:rPr>
      </w:pPr>
    </w:p>
    <w:p w14:paraId="502E3365" w14:textId="77777777" w:rsidR="004A7295" w:rsidRDefault="00000000">
      <w:pPr>
        <w:spacing w:line="360" w:lineRule="auto"/>
        <w:jc w:val="both"/>
        <w:rPr>
          <w:rFonts w:ascii="Arial" w:hAnsi="Arial" w:cs="Arial"/>
        </w:rPr>
      </w:pPr>
      <w:r>
        <w:rPr>
          <w:rFonts w:ascii="Arial" w:hAnsi="Arial" w:cs="Arial"/>
        </w:rPr>
        <w:t xml:space="preserve">Despite these advances, several critical challenges limit the full potential of integrated care. Workforce shortages remain a major barrier, particularly within social care, contributing to inequities and delays in service provision (Skills for Care, 2024). Regional disparities in ICS maturity and resource allocation create inconsistent care experiences across England (Elizondo et al., 2024). Furthermore, significant data-sharing and digital interoperability issues </w:t>
      </w:r>
      <w:r>
        <w:rPr>
          <w:rFonts w:ascii="Arial" w:hAnsi="Arial" w:cs="Arial"/>
        </w:rPr>
        <w:lastRenderedPageBreak/>
        <w:t>between NHS and social care services hinder seamless coordination and timely decision-making (Department of Health and Social Care, 2023). Existing evaluations have largely focused on short-term outcomes or specific localities, leaving gaps in understanding the long-term impact of integrated care on health outcomes, service utilisation, and patient experience at a national level (Jain et al., 2025).</w:t>
      </w:r>
    </w:p>
    <w:p w14:paraId="502E3366" w14:textId="77777777" w:rsidR="004A7295" w:rsidRDefault="004A7295">
      <w:pPr>
        <w:spacing w:line="360" w:lineRule="auto"/>
        <w:jc w:val="both"/>
        <w:rPr>
          <w:rFonts w:ascii="Arial" w:hAnsi="Arial" w:cs="Arial"/>
        </w:rPr>
      </w:pPr>
    </w:p>
    <w:p w14:paraId="502E3367" w14:textId="77777777" w:rsidR="004A7295" w:rsidRDefault="00000000">
      <w:pPr>
        <w:spacing w:line="360" w:lineRule="auto"/>
        <w:jc w:val="both"/>
        <w:rPr>
          <w:rFonts w:ascii="Arial" w:hAnsi="Arial" w:cs="Arial"/>
        </w:rPr>
      </w:pPr>
      <w:r>
        <w:rPr>
          <w:rFonts w:ascii="Arial" w:hAnsi="Arial" w:cs="Arial"/>
        </w:rPr>
        <w:t>There is an urgent need for comprehensive research that critically examines how integrated care services affect older adults’ health and social care outcomes within the evolving ICS framework. This study seeks to address these gaps by providing robust evidence on the effectiveness, challenges, and areas for improvement in integrated care delivery for older populations. By doing so, it will contribute to the information policy, improving service design, and ultimately ensuring that ICSs deliver equitable, sustainable, and person-centred care tailored to the complex needs of older adults in the UK.</w:t>
      </w:r>
    </w:p>
    <w:p w14:paraId="502E3368" w14:textId="77777777" w:rsidR="004A7295" w:rsidRDefault="004A7295">
      <w:pPr>
        <w:spacing w:line="360" w:lineRule="auto"/>
        <w:jc w:val="both"/>
        <w:rPr>
          <w:rFonts w:ascii="Arial" w:hAnsi="Arial" w:cs="Arial"/>
          <w:b/>
          <w:bCs/>
        </w:rPr>
      </w:pPr>
    </w:p>
    <w:p w14:paraId="502E3369" w14:textId="77777777" w:rsidR="004A7295" w:rsidRDefault="00000000">
      <w:pPr>
        <w:spacing w:line="360" w:lineRule="auto"/>
        <w:jc w:val="both"/>
        <w:rPr>
          <w:rFonts w:ascii="Arial" w:hAnsi="Arial" w:cs="Arial"/>
          <w:b/>
          <w:bCs/>
        </w:rPr>
      </w:pPr>
      <w:r>
        <w:rPr>
          <w:rFonts w:ascii="Arial" w:hAnsi="Arial" w:cs="Arial"/>
          <w:b/>
          <w:bCs/>
        </w:rPr>
        <w:t>1.3 Aims and Objectives</w:t>
      </w:r>
    </w:p>
    <w:p w14:paraId="502E336A" w14:textId="77777777" w:rsidR="004A7295" w:rsidRDefault="00000000">
      <w:pPr>
        <w:spacing w:line="360" w:lineRule="auto"/>
        <w:jc w:val="both"/>
        <w:rPr>
          <w:rFonts w:ascii="Arial" w:hAnsi="Arial" w:cs="Arial"/>
          <w:b/>
          <w:bCs/>
        </w:rPr>
      </w:pPr>
      <w:r>
        <w:rPr>
          <w:rFonts w:ascii="Arial" w:hAnsi="Arial" w:cs="Arial"/>
        </w:rPr>
        <w:t>This study aims to explore the impact of integrated care services on older adults in health and social care in the UK. The specific objectives include.</w:t>
      </w:r>
    </w:p>
    <w:p w14:paraId="502E336B" w14:textId="77777777" w:rsidR="004A7295" w:rsidRDefault="00000000">
      <w:pPr>
        <w:pStyle w:val="ListParagraph"/>
        <w:widowControl/>
        <w:numPr>
          <w:ilvl w:val="0"/>
          <w:numId w:val="1"/>
        </w:numPr>
        <w:autoSpaceDE/>
        <w:autoSpaceDN/>
        <w:spacing w:after="160" w:line="360" w:lineRule="auto"/>
        <w:contextualSpacing/>
        <w:jc w:val="both"/>
        <w:rPr>
          <w:rFonts w:ascii="Arial" w:hAnsi="Arial" w:cs="Arial"/>
        </w:rPr>
      </w:pPr>
      <w:r>
        <w:rPr>
          <w:rFonts w:ascii="Arial" w:hAnsi="Arial" w:cs="Arial"/>
        </w:rPr>
        <w:t xml:space="preserve">To examine how integrated care services are structured and implemented for older adults, </w:t>
      </w:r>
    </w:p>
    <w:p w14:paraId="502E336C" w14:textId="77777777" w:rsidR="004A7295" w:rsidRDefault="00000000">
      <w:pPr>
        <w:pStyle w:val="ListParagraph"/>
        <w:widowControl/>
        <w:numPr>
          <w:ilvl w:val="0"/>
          <w:numId w:val="1"/>
        </w:numPr>
        <w:autoSpaceDE/>
        <w:autoSpaceDN/>
        <w:spacing w:after="160" w:line="360" w:lineRule="auto"/>
        <w:contextualSpacing/>
        <w:jc w:val="both"/>
        <w:rPr>
          <w:rFonts w:ascii="Arial" w:hAnsi="Arial" w:cs="Arial"/>
        </w:rPr>
      </w:pPr>
      <w:r>
        <w:rPr>
          <w:rFonts w:ascii="Arial" w:hAnsi="Arial" w:cs="Arial"/>
        </w:rPr>
        <w:t>To evaluate the impact of integrated care on health outcomes, quality of life, and patient satisfaction among older adults,</w:t>
      </w:r>
    </w:p>
    <w:p w14:paraId="502E336D" w14:textId="77777777" w:rsidR="004A7295" w:rsidRDefault="00000000">
      <w:pPr>
        <w:pStyle w:val="ListParagraph"/>
        <w:widowControl/>
        <w:numPr>
          <w:ilvl w:val="0"/>
          <w:numId w:val="1"/>
        </w:numPr>
        <w:autoSpaceDE/>
        <w:autoSpaceDN/>
        <w:spacing w:after="160" w:line="360" w:lineRule="auto"/>
        <w:contextualSpacing/>
        <w:jc w:val="both"/>
        <w:rPr>
          <w:rFonts w:ascii="Arial" w:hAnsi="Arial" w:cs="Arial"/>
        </w:rPr>
      </w:pPr>
      <w:r>
        <w:rPr>
          <w:rFonts w:ascii="Arial" w:hAnsi="Arial" w:cs="Arial"/>
        </w:rPr>
        <w:t>To identify the key challenges and barriers to effective integration between health and social care services in the UK and</w:t>
      </w:r>
    </w:p>
    <w:p w14:paraId="502E336E" w14:textId="77777777" w:rsidR="004A7295" w:rsidRDefault="00000000">
      <w:pPr>
        <w:pStyle w:val="ListParagraph"/>
        <w:widowControl/>
        <w:numPr>
          <w:ilvl w:val="0"/>
          <w:numId w:val="1"/>
        </w:numPr>
        <w:autoSpaceDE/>
        <w:autoSpaceDN/>
        <w:spacing w:after="160" w:line="360" w:lineRule="auto"/>
        <w:contextualSpacing/>
        <w:jc w:val="both"/>
        <w:rPr>
          <w:rFonts w:ascii="Arial" w:hAnsi="Arial" w:cs="Arial"/>
        </w:rPr>
      </w:pPr>
      <w:r>
        <w:rPr>
          <w:rFonts w:ascii="Arial" w:hAnsi="Arial" w:cs="Arial"/>
        </w:rPr>
        <w:t>To explore the best practices and policy recommendations for improving integrated care delivery for the ageing population. </w:t>
      </w:r>
    </w:p>
    <w:p w14:paraId="502E336F" w14:textId="77777777" w:rsidR="004A7295" w:rsidRDefault="00000000">
      <w:pPr>
        <w:spacing w:line="360" w:lineRule="auto"/>
        <w:jc w:val="both"/>
        <w:rPr>
          <w:rFonts w:ascii="Arial" w:hAnsi="Arial" w:cs="Arial"/>
          <w:b/>
          <w:bCs/>
        </w:rPr>
      </w:pPr>
      <w:r>
        <w:rPr>
          <w:rFonts w:ascii="Arial" w:hAnsi="Arial" w:cs="Arial"/>
          <w:b/>
          <w:bCs/>
        </w:rPr>
        <w:t>1.4 Overview of the Study Structure</w:t>
      </w:r>
    </w:p>
    <w:p w14:paraId="502E3370" w14:textId="77777777" w:rsidR="004A7295" w:rsidRDefault="00000000">
      <w:pPr>
        <w:spacing w:line="360" w:lineRule="auto"/>
        <w:jc w:val="both"/>
        <w:rPr>
          <w:rFonts w:ascii="Arial" w:hAnsi="Arial" w:cs="Arial"/>
        </w:rPr>
      </w:pPr>
      <w:r>
        <w:rPr>
          <w:rFonts w:ascii="Arial" w:hAnsi="Arial" w:cs="Arial"/>
        </w:rPr>
        <w:t>This study is organised into five chapters, each systematically addressing key aspects of the investigation into integrated care services for older adults in health and social care in the UK.</w:t>
      </w:r>
    </w:p>
    <w:p w14:paraId="502E3371" w14:textId="77777777" w:rsidR="004A7295" w:rsidRDefault="004A7295">
      <w:pPr>
        <w:spacing w:line="360" w:lineRule="auto"/>
        <w:jc w:val="both"/>
        <w:rPr>
          <w:rFonts w:ascii="Arial" w:hAnsi="Arial" w:cs="Arial"/>
          <w:b/>
          <w:bCs/>
        </w:rPr>
      </w:pPr>
    </w:p>
    <w:p w14:paraId="502E3372" w14:textId="77777777" w:rsidR="004A7295" w:rsidRDefault="00000000">
      <w:pPr>
        <w:spacing w:line="360" w:lineRule="auto"/>
        <w:jc w:val="both"/>
        <w:rPr>
          <w:rFonts w:ascii="Arial" w:hAnsi="Arial" w:cs="Arial"/>
          <w:b/>
          <w:bCs/>
        </w:rPr>
      </w:pPr>
      <w:r>
        <w:rPr>
          <w:rFonts w:ascii="Arial" w:hAnsi="Arial" w:cs="Arial"/>
          <w:b/>
          <w:bCs/>
        </w:rPr>
        <w:t>Chapter One: Introduction</w:t>
      </w:r>
    </w:p>
    <w:p w14:paraId="502E3373" w14:textId="77777777" w:rsidR="004A7295" w:rsidRDefault="00000000">
      <w:pPr>
        <w:spacing w:line="360" w:lineRule="auto"/>
        <w:jc w:val="both"/>
        <w:rPr>
          <w:rFonts w:ascii="Arial" w:hAnsi="Arial" w:cs="Arial"/>
        </w:rPr>
      </w:pPr>
      <w:r>
        <w:rPr>
          <w:rFonts w:ascii="Arial" w:hAnsi="Arial" w:cs="Arial"/>
        </w:rPr>
        <w:t>This chapter introduces the research topic, providing essential background information on demographic trends, the policy context, and the rationale underpinning the study. It outlines the significance of integrated care systems (ICSs) in addressing current health and social care challenges faced by older adults. The chapter also states the research aims, objectives, and research questions that guide the study.</w:t>
      </w:r>
    </w:p>
    <w:p w14:paraId="502E3374" w14:textId="77777777" w:rsidR="004A7295" w:rsidRDefault="004A7295">
      <w:pPr>
        <w:spacing w:line="360" w:lineRule="auto"/>
        <w:jc w:val="both"/>
        <w:rPr>
          <w:rFonts w:ascii="Arial" w:hAnsi="Arial" w:cs="Arial"/>
        </w:rPr>
      </w:pPr>
    </w:p>
    <w:p w14:paraId="502E3375" w14:textId="77777777" w:rsidR="004A7295" w:rsidRDefault="00000000">
      <w:pPr>
        <w:spacing w:line="360" w:lineRule="auto"/>
        <w:jc w:val="both"/>
        <w:rPr>
          <w:rFonts w:ascii="Arial" w:hAnsi="Arial" w:cs="Arial"/>
          <w:b/>
          <w:bCs/>
        </w:rPr>
      </w:pPr>
      <w:r>
        <w:rPr>
          <w:rFonts w:ascii="Arial" w:hAnsi="Arial" w:cs="Arial"/>
          <w:b/>
          <w:bCs/>
        </w:rPr>
        <w:lastRenderedPageBreak/>
        <w:t>Chapter Two: Literature Review</w:t>
      </w:r>
    </w:p>
    <w:p w14:paraId="4746B381" w14:textId="3814851E" w:rsidR="001D2B20" w:rsidRPr="001D2B20" w:rsidRDefault="001D2B20" w:rsidP="001D2B20">
      <w:pPr>
        <w:spacing w:line="360" w:lineRule="auto"/>
        <w:jc w:val="both"/>
        <w:rPr>
          <w:rFonts w:ascii="Arial" w:hAnsi="Arial" w:cs="Arial"/>
        </w:rPr>
      </w:pPr>
      <w:r w:rsidRPr="001D2B20">
        <w:rPr>
          <w:rFonts w:ascii="Arial" w:hAnsi="Arial" w:cs="Arial"/>
        </w:rPr>
        <w:t xml:space="preserve">This chapter reviews and critically evaluates existing academic studies, policy documents, and reports on integrated care models, with a particular focus on </w:t>
      </w:r>
      <w:r>
        <w:rPr>
          <w:rFonts w:ascii="Arial" w:hAnsi="Arial" w:cs="Arial"/>
        </w:rPr>
        <w:t>implementation</w:t>
      </w:r>
      <w:r w:rsidRPr="001D2B20">
        <w:rPr>
          <w:rFonts w:ascii="Arial" w:hAnsi="Arial" w:cs="Arial"/>
        </w:rPr>
        <w:t xml:space="preserve"> and outcomes for older people. It explores key theoretical frameworks and brings together evidence on the benefits, challenges, and gaps in current integrated care practices, providing a clear foundation for the empirical research.</w:t>
      </w:r>
    </w:p>
    <w:p w14:paraId="502E3376" w14:textId="7E61431C" w:rsidR="004A7295" w:rsidRDefault="004A7295">
      <w:pPr>
        <w:spacing w:line="360" w:lineRule="auto"/>
        <w:jc w:val="both"/>
        <w:rPr>
          <w:rFonts w:ascii="Arial" w:hAnsi="Arial" w:cs="Arial"/>
        </w:rPr>
      </w:pPr>
    </w:p>
    <w:p w14:paraId="502E3377" w14:textId="77777777" w:rsidR="004A7295" w:rsidRDefault="004A7295">
      <w:pPr>
        <w:spacing w:line="360" w:lineRule="auto"/>
        <w:jc w:val="both"/>
        <w:rPr>
          <w:rFonts w:ascii="Arial" w:hAnsi="Arial" w:cs="Arial"/>
        </w:rPr>
      </w:pPr>
    </w:p>
    <w:p w14:paraId="502E3378" w14:textId="77777777" w:rsidR="004A7295" w:rsidRDefault="00000000">
      <w:pPr>
        <w:spacing w:line="360" w:lineRule="auto"/>
        <w:jc w:val="both"/>
        <w:rPr>
          <w:rFonts w:ascii="Arial" w:hAnsi="Arial" w:cs="Arial"/>
          <w:b/>
          <w:bCs/>
        </w:rPr>
      </w:pPr>
      <w:r>
        <w:rPr>
          <w:rFonts w:ascii="Arial" w:hAnsi="Arial" w:cs="Arial"/>
          <w:b/>
          <w:bCs/>
        </w:rPr>
        <w:t>Chapter Three: Research Methodology</w:t>
      </w:r>
    </w:p>
    <w:p w14:paraId="502E3379" w14:textId="77777777" w:rsidR="004A7295" w:rsidRDefault="00000000">
      <w:pPr>
        <w:spacing w:line="360" w:lineRule="auto"/>
        <w:jc w:val="both"/>
        <w:rPr>
          <w:rFonts w:ascii="Arial" w:hAnsi="Arial" w:cs="Arial"/>
        </w:rPr>
      </w:pPr>
      <w:r>
        <w:rPr>
          <w:rFonts w:ascii="Arial" w:hAnsi="Arial" w:cs="Arial"/>
        </w:rPr>
        <w:t xml:space="preserve">This chapter details the research design, including a systematic literature review approach, explaining data collection methods, sampling strategies, and ethical considerations. The chapter also discusses how data will be analysed to answer the research aim and objectives effectively, ensuring rigour and validity. </w:t>
      </w:r>
    </w:p>
    <w:p w14:paraId="502E337A" w14:textId="77777777" w:rsidR="004A7295" w:rsidRDefault="004A7295">
      <w:pPr>
        <w:spacing w:line="360" w:lineRule="auto"/>
        <w:jc w:val="both"/>
        <w:rPr>
          <w:rFonts w:ascii="Arial" w:hAnsi="Arial" w:cs="Arial"/>
          <w:b/>
          <w:bCs/>
        </w:rPr>
      </w:pPr>
    </w:p>
    <w:p w14:paraId="502E337B" w14:textId="77777777" w:rsidR="004A7295" w:rsidRDefault="00000000">
      <w:pPr>
        <w:spacing w:line="360" w:lineRule="auto"/>
        <w:jc w:val="both"/>
        <w:rPr>
          <w:rFonts w:ascii="Arial" w:hAnsi="Arial" w:cs="Arial"/>
          <w:b/>
          <w:bCs/>
        </w:rPr>
      </w:pPr>
      <w:r>
        <w:rPr>
          <w:rFonts w:ascii="Arial" w:hAnsi="Arial" w:cs="Arial"/>
          <w:b/>
          <w:bCs/>
        </w:rPr>
        <w:t>Chapter Four: Results and Analysis</w:t>
      </w:r>
    </w:p>
    <w:p w14:paraId="502E337C" w14:textId="77777777" w:rsidR="004A7295" w:rsidRDefault="00000000">
      <w:pPr>
        <w:spacing w:line="360" w:lineRule="auto"/>
        <w:jc w:val="both"/>
        <w:rPr>
          <w:rFonts w:ascii="Arial" w:hAnsi="Arial" w:cs="Arial"/>
        </w:rPr>
      </w:pPr>
      <w:r>
        <w:rPr>
          <w:rFonts w:ascii="Arial" w:hAnsi="Arial" w:cs="Arial"/>
        </w:rPr>
        <w:t>In this chapter, findings from the data collection phase are presented and analysed. The results focus on the impact of integrated care services on the health outcomes, service utilisation, and lived experiences of older adults. The analysis contextualises findings from the identified ten peer-reviewed journal articles within the literature.</w:t>
      </w:r>
    </w:p>
    <w:p w14:paraId="502E337D" w14:textId="77777777" w:rsidR="004A7295" w:rsidRDefault="004A7295">
      <w:pPr>
        <w:spacing w:line="360" w:lineRule="auto"/>
        <w:jc w:val="both"/>
        <w:rPr>
          <w:rFonts w:ascii="Arial" w:hAnsi="Arial" w:cs="Arial"/>
          <w:b/>
          <w:bCs/>
        </w:rPr>
      </w:pPr>
    </w:p>
    <w:p w14:paraId="502E337E" w14:textId="77777777" w:rsidR="004A7295" w:rsidRDefault="00000000">
      <w:pPr>
        <w:spacing w:line="360" w:lineRule="auto"/>
        <w:jc w:val="both"/>
        <w:rPr>
          <w:rFonts w:ascii="Arial" w:hAnsi="Arial" w:cs="Arial"/>
          <w:b/>
          <w:bCs/>
        </w:rPr>
      </w:pPr>
      <w:r>
        <w:rPr>
          <w:rFonts w:ascii="Arial" w:hAnsi="Arial" w:cs="Arial"/>
          <w:b/>
          <w:bCs/>
        </w:rPr>
        <w:t>Chapter Five: Discussion, Conclusions, and Recommendations</w:t>
      </w:r>
    </w:p>
    <w:p w14:paraId="502E337F" w14:textId="0C2868DD" w:rsidR="004A7295" w:rsidRDefault="00000000">
      <w:pPr>
        <w:spacing w:line="360" w:lineRule="auto"/>
        <w:jc w:val="both"/>
        <w:rPr>
          <w:rFonts w:ascii="Arial" w:hAnsi="Arial" w:cs="Arial"/>
        </w:rPr>
      </w:pPr>
      <w:r>
        <w:rPr>
          <w:rFonts w:ascii="Arial" w:hAnsi="Arial" w:cs="Arial"/>
        </w:rPr>
        <w:t xml:space="preserve">The final chapter interprets the study’s findings, discussing their implications for health and social care policy and practice. It highlights contributions to knowledge, addresses the </w:t>
      </w:r>
      <w:r w:rsidR="00626352">
        <w:rPr>
          <w:rFonts w:ascii="Arial" w:hAnsi="Arial" w:cs="Arial"/>
        </w:rPr>
        <w:t xml:space="preserve">limitations of </w:t>
      </w:r>
      <w:r>
        <w:rPr>
          <w:rFonts w:ascii="Arial" w:hAnsi="Arial" w:cs="Arial"/>
        </w:rPr>
        <w:t>the research, and provides practical recommendations for stakeholders involved in integrated care delivery. The chapter concludes by suggesting areas for future research.</w:t>
      </w:r>
    </w:p>
    <w:p w14:paraId="502E3380" w14:textId="77777777" w:rsidR="004A7295" w:rsidRDefault="00000000">
      <w:pPr>
        <w:spacing w:line="360" w:lineRule="auto"/>
        <w:jc w:val="both"/>
        <w:rPr>
          <w:rFonts w:ascii="Arial" w:hAnsi="Arial" w:cs="Arial"/>
        </w:rPr>
      </w:pPr>
      <w:r>
        <w:rPr>
          <w:rFonts w:ascii="Arial" w:hAnsi="Arial" w:cs="Arial"/>
        </w:rPr>
        <w:t>This structured approach ensures a comprehensive exploration of integrated care services and their role in enhancing the health and social well-being of older adults in the UK.</w:t>
      </w:r>
    </w:p>
    <w:p w14:paraId="502E3381" w14:textId="77777777" w:rsidR="004A7295" w:rsidRDefault="004A7295">
      <w:pPr>
        <w:rPr>
          <w:rFonts w:ascii="Arial" w:hAnsi="Arial" w:cs="Arial"/>
          <w:b/>
          <w:bCs/>
        </w:rPr>
      </w:pPr>
    </w:p>
    <w:p w14:paraId="502E3382" w14:textId="77777777" w:rsidR="004A7295" w:rsidRDefault="004A7295">
      <w:pPr>
        <w:rPr>
          <w:rFonts w:ascii="Arial" w:hAnsi="Arial" w:cs="Arial"/>
          <w:b/>
          <w:bCs/>
        </w:rPr>
      </w:pPr>
    </w:p>
    <w:p w14:paraId="502E3383" w14:textId="77777777" w:rsidR="004A7295" w:rsidRDefault="004A7295">
      <w:pPr>
        <w:spacing w:line="360" w:lineRule="auto"/>
        <w:jc w:val="both"/>
        <w:rPr>
          <w:rFonts w:ascii="Arial" w:eastAsia="Arial Unicode MS" w:hAnsi="Arial" w:cs="Arial"/>
        </w:rPr>
      </w:pPr>
    </w:p>
    <w:p w14:paraId="502E3384" w14:textId="77777777" w:rsidR="004A7295" w:rsidRDefault="004A7295">
      <w:pPr>
        <w:spacing w:line="360" w:lineRule="auto"/>
        <w:jc w:val="both"/>
        <w:rPr>
          <w:rFonts w:ascii="Arial" w:eastAsia="Arial Unicode MS" w:hAnsi="Arial" w:cs="Arial"/>
        </w:rPr>
      </w:pPr>
    </w:p>
    <w:p w14:paraId="502E3385" w14:textId="77777777" w:rsidR="004A7295" w:rsidRDefault="004A729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
        </w:rPr>
      </w:pPr>
    </w:p>
    <w:p w14:paraId="502E3386" w14:textId="77777777" w:rsidR="004A7295" w:rsidRDefault="004A729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
          <w:i/>
        </w:rPr>
      </w:pPr>
    </w:p>
    <w:p w14:paraId="502E3387" w14:textId="77777777" w:rsidR="004A7295" w:rsidRDefault="004A7295">
      <w:pPr>
        <w:spacing w:line="360" w:lineRule="auto"/>
        <w:jc w:val="both"/>
        <w:rPr>
          <w:rFonts w:ascii="Arial" w:eastAsia="Arial Unicode MS" w:hAnsi="Arial" w:cs="Arial"/>
          <w:b/>
          <w:u w:val="single"/>
        </w:rPr>
      </w:pPr>
    </w:p>
    <w:p w14:paraId="502E3388" w14:textId="77777777" w:rsidR="004A7295" w:rsidRDefault="00000000">
      <w:pPr>
        <w:spacing w:line="360" w:lineRule="auto"/>
        <w:rPr>
          <w:rFonts w:ascii="Arial" w:hAnsi="Arial" w:cs="Arial"/>
          <w:b/>
        </w:rPr>
      </w:pPr>
      <w:r>
        <w:rPr>
          <w:rFonts w:ascii="Arial" w:hAnsi="Arial" w:cs="Arial"/>
        </w:rPr>
        <w:br w:type="page"/>
      </w:r>
    </w:p>
    <w:p w14:paraId="502E3389" w14:textId="77777777" w:rsidR="004A7295" w:rsidRDefault="00000000">
      <w:pPr>
        <w:pStyle w:val="Heading1"/>
        <w:spacing w:line="360" w:lineRule="auto"/>
        <w:ind w:left="0"/>
        <w:jc w:val="center"/>
        <w:rPr>
          <w:rFonts w:cs="Arial"/>
          <w:sz w:val="22"/>
          <w:szCs w:val="22"/>
        </w:rPr>
      </w:pPr>
      <w:r>
        <w:rPr>
          <w:rFonts w:cs="Arial"/>
          <w:sz w:val="22"/>
          <w:szCs w:val="22"/>
        </w:rPr>
        <w:lastRenderedPageBreak/>
        <w:t>CHAPTER 2: BACKGROUND</w:t>
      </w:r>
    </w:p>
    <w:p w14:paraId="502E338A" w14:textId="77777777" w:rsidR="004A7295" w:rsidRDefault="004A7295">
      <w:pPr>
        <w:spacing w:line="360" w:lineRule="auto"/>
        <w:jc w:val="both"/>
        <w:rPr>
          <w:rFonts w:ascii="Arial" w:eastAsia="Arial Unicode MS" w:hAnsi="Arial" w:cs="Arial"/>
          <w:b/>
          <w:u w:val="single"/>
        </w:rPr>
      </w:pPr>
    </w:p>
    <w:p w14:paraId="502E338B" w14:textId="77777777" w:rsidR="004A7295" w:rsidRDefault="00000000">
      <w:pPr>
        <w:spacing w:line="360" w:lineRule="auto"/>
        <w:jc w:val="both"/>
        <w:rPr>
          <w:rFonts w:ascii="Arial" w:hAnsi="Arial" w:cs="Arial"/>
          <w:b/>
          <w:bCs/>
        </w:rPr>
      </w:pPr>
      <w:r>
        <w:rPr>
          <w:rFonts w:ascii="Arial" w:hAnsi="Arial" w:cs="Arial"/>
          <w:b/>
          <w:bCs/>
        </w:rPr>
        <w:t xml:space="preserve">2.0 Literature Review </w:t>
      </w:r>
    </w:p>
    <w:p w14:paraId="502E338C" w14:textId="77777777" w:rsidR="004A7295" w:rsidRDefault="004A7295">
      <w:pPr>
        <w:spacing w:line="360" w:lineRule="auto"/>
        <w:jc w:val="both"/>
        <w:rPr>
          <w:rFonts w:ascii="Arial" w:hAnsi="Arial" w:cs="Arial"/>
          <w:b/>
          <w:bCs/>
        </w:rPr>
      </w:pPr>
    </w:p>
    <w:p w14:paraId="502E338D" w14:textId="77777777" w:rsidR="004A7295" w:rsidRDefault="00000000">
      <w:pPr>
        <w:spacing w:line="360" w:lineRule="auto"/>
        <w:jc w:val="both"/>
        <w:rPr>
          <w:rFonts w:ascii="Arial" w:hAnsi="Arial" w:cs="Arial"/>
        </w:rPr>
      </w:pPr>
      <w:r>
        <w:rPr>
          <w:rFonts w:ascii="Arial" w:hAnsi="Arial" w:cs="Arial"/>
        </w:rPr>
        <w:t>As populations age globally, there is an increasing demand for more cohesive, person-centred healthcare delivery. Ageing is often accompanied by chronic illness, functional decline, and complex care needs that span both medical and social domains. Integrated care services have emerged as a strategic solution to coordinate fragmented health and social care systems, particularly for older people. In the UK, integrated care services have emerged as a strategy to bridge the historically fragmented health and social care systems, particularly for older adults who often require complex and long-term support (Billings et al., 2020). This literature review explores the impact of integrated care on older adults in the UK, drawing upon historical, theoretical, national, and international contexts, while highlighting key policy developments and research gaps.</w:t>
      </w:r>
    </w:p>
    <w:p w14:paraId="502E338E" w14:textId="77777777" w:rsidR="004A7295" w:rsidRDefault="004A7295">
      <w:pPr>
        <w:spacing w:line="360" w:lineRule="auto"/>
        <w:jc w:val="both"/>
        <w:rPr>
          <w:rFonts w:ascii="Arial" w:hAnsi="Arial" w:cs="Arial"/>
          <w:b/>
          <w:bCs/>
        </w:rPr>
      </w:pPr>
    </w:p>
    <w:p w14:paraId="502E338F" w14:textId="77777777" w:rsidR="004A7295" w:rsidRDefault="00000000">
      <w:pPr>
        <w:spacing w:line="360" w:lineRule="auto"/>
        <w:jc w:val="both"/>
        <w:rPr>
          <w:rFonts w:ascii="Arial" w:hAnsi="Arial" w:cs="Arial"/>
          <w:b/>
          <w:bCs/>
        </w:rPr>
      </w:pPr>
      <w:r>
        <w:rPr>
          <w:rFonts w:ascii="Arial" w:hAnsi="Arial" w:cs="Arial"/>
          <w:b/>
          <w:bCs/>
        </w:rPr>
        <w:t>2.1 Historical Background</w:t>
      </w:r>
    </w:p>
    <w:p w14:paraId="24A1B7C9" w14:textId="77777777" w:rsidR="004A7295" w:rsidRDefault="00000000">
      <w:pPr>
        <w:spacing w:line="360" w:lineRule="auto"/>
        <w:jc w:val="both"/>
        <w:rPr>
          <w:rFonts w:ascii="Arial" w:hAnsi="Arial" w:cs="Arial"/>
        </w:rPr>
      </w:pPr>
      <w:r>
        <w:rPr>
          <w:rFonts w:ascii="Arial" w:hAnsi="Arial" w:cs="Arial"/>
        </w:rPr>
        <w:t>The National Health Service (NHS), established in 1948, revolutionised healthcare in the UK by providing free medical services for all citizens, funded through taxation (Gorsky, 2008). Before its creation, healthcare was largely based on private insurance and charity. Aneurin Bevan’s vision of universally accessible care laid the foundation for a system committed to equity (Beckett &amp; Beckett, 2024). However, early challenges such as underfunding, staffing shortages, and hospital pressures created structural weaknesses that persist today. These initial strains shaped long-term fragmentation between services, influencing current difficulties in creating fully integrated care pathways.</w:t>
      </w:r>
    </w:p>
    <w:p w14:paraId="76743FA3" w14:textId="77777777" w:rsidR="004A7295" w:rsidRDefault="004A7295">
      <w:pPr>
        <w:spacing w:line="360" w:lineRule="auto"/>
        <w:jc w:val="both"/>
        <w:rPr>
          <w:rFonts w:ascii="Arial" w:hAnsi="Arial" w:cs="Arial"/>
        </w:rPr>
      </w:pPr>
    </w:p>
    <w:p w14:paraId="1E01E8A0" w14:textId="77777777" w:rsidR="004A7295" w:rsidRDefault="00000000">
      <w:pPr>
        <w:spacing w:line="360" w:lineRule="auto"/>
        <w:jc w:val="both"/>
        <w:rPr>
          <w:rFonts w:ascii="Arial" w:hAnsi="Arial" w:cs="Arial"/>
        </w:rPr>
      </w:pPr>
      <w:r>
        <w:rPr>
          <w:rFonts w:ascii="Arial" w:hAnsi="Arial" w:cs="Arial"/>
        </w:rPr>
        <w:t>From the 1960s to the 1980s, reforms such as the development of primary and secondary care systems aimed to improve service organisation, while market-based initiatives like GP fundholding in the 1990s introduced quasi-competition to enhance efficiency (Appleby et al., 2015). Although these reforms improved accountability and resource allocation, they also reinforced divisions between providers, contributing to today’s siloed working practices that integrated care models are attempting to overcome.</w:t>
      </w:r>
    </w:p>
    <w:p w14:paraId="54CF0587" w14:textId="77777777" w:rsidR="004A7295" w:rsidRDefault="004A7295">
      <w:pPr>
        <w:spacing w:line="360" w:lineRule="auto"/>
        <w:jc w:val="both"/>
        <w:rPr>
          <w:rFonts w:ascii="Arial" w:hAnsi="Arial" w:cs="Arial"/>
        </w:rPr>
      </w:pPr>
    </w:p>
    <w:p w14:paraId="704A7CE4" w14:textId="77777777" w:rsidR="004A7295" w:rsidRDefault="00000000">
      <w:pPr>
        <w:spacing w:line="360" w:lineRule="auto"/>
        <w:jc w:val="both"/>
        <w:rPr>
          <w:rFonts w:ascii="Arial" w:hAnsi="Arial" w:cs="Arial"/>
        </w:rPr>
      </w:pPr>
      <w:r>
        <w:rPr>
          <w:rFonts w:ascii="Arial" w:hAnsi="Arial" w:cs="Arial"/>
        </w:rPr>
        <w:t>By the early 2000s, the NHS focused on modernisation, reducing waiting times, and introducing digital services such as NHS Direct (Dixon et al., 2010). While these initiatives expanded accessibility, they often prioritised performance targets over cross-sector collaboration, limiting progress toward coordinated care across health and social sectors.</w:t>
      </w:r>
    </w:p>
    <w:p w14:paraId="54B49BD5" w14:textId="77777777" w:rsidR="004A7295" w:rsidRDefault="00000000">
      <w:pPr>
        <w:spacing w:line="360" w:lineRule="auto"/>
        <w:jc w:val="both"/>
        <w:rPr>
          <w:rFonts w:ascii="Arial" w:hAnsi="Arial" w:cs="Arial"/>
        </w:rPr>
      </w:pPr>
      <w:r>
        <w:rPr>
          <w:rFonts w:ascii="Arial" w:hAnsi="Arial" w:cs="Arial"/>
        </w:rPr>
        <w:t xml:space="preserve">The 21st century saw growing recognition of the need for integration, with the NHS Five Year </w:t>
      </w:r>
      <w:r>
        <w:rPr>
          <w:rFonts w:ascii="Arial" w:hAnsi="Arial" w:cs="Arial"/>
        </w:rPr>
        <w:lastRenderedPageBreak/>
        <w:t>Forward View (2014) promoting collaboration through Sustainability and Transformation Plans (STPs) and Integrated Care Systems (ICS) (NHS England, 2014). These frameworks aim to deliver person-centred care and reduce avoidable hospital use. Their emergence reflects attempts to correct decades of structural separation between health and social care services.</w:t>
      </w:r>
    </w:p>
    <w:p w14:paraId="1922BA5A" w14:textId="77777777" w:rsidR="004A7295" w:rsidRDefault="004A7295">
      <w:pPr>
        <w:spacing w:line="360" w:lineRule="auto"/>
        <w:jc w:val="both"/>
        <w:rPr>
          <w:rFonts w:ascii="Arial" w:hAnsi="Arial" w:cs="Arial"/>
        </w:rPr>
      </w:pPr>
    </w:p>
    <w:p w14:paraId="43515670" w14:textId="77777777" w:rsidR="004A7295" w:rsidRDefault="00000000">
      <w:pPr>
        <w:spacing w:line="360" w:lineRule="auto"/>
        <w:jc w:val="both"/>
        <w:rPr>
          <w:rFonts w:ascii="Arial" w:hAnsi="Arial" w:cs="Arial"/>
        </w:rPr>
      </w:pPr>
      <w:r>
        <w:rPr>
          <w:rFonts w:ascii="Arial" w:hAnsi="Arial" w:cs="Arial"/>
        </w:rPr>
        <w:t>Despite significant progress, the NHS continues to face funding pressures, workforce shortages, and political debates surrounding privatisation (Royal College of Nursing, 2020). These systemic pressures hinder the consistent implementation of integrated care, as overstretched services struggle to collaborate effectively. Nonetheless, new technologies and integrated models offer opportunities to strengthen coordination and improve outcomes. Sustained investment and innovation remain critical in addressing historical fragmentation and ensuring integration becomes embedded in everyday practice.</w:t>
      </w:r>
    </w:p>
    <w:p w14:paraId="502E3396" w14:textId="77777777" w:rsidR="004A7295" w:rsidRDefault="004A7295">
      <w:pPr>
        <w:spacing w:line="360" w:lineRule="auto"/>
        <w:jc w:val="both"/>
        <w:rPr>
          <w:rFonts w:ascii="Arial" w:hAnsi="Arial" w:cs="Arial"/>
        </w:rPr>
      </w:pPr>
    </w:p>
    <w:p w14:paraId="502E3398" w14:textId="77777777" w:rsidR="004A7295" w:rsidRDefault="00000000">
      <w:pPr>
        <w:spacing w:line="360" w:lineRule="auto"/>
        <w:jc w:val="both"/>
        <w:rPr>
          <w:rFonts w:ascii="Arial" w:hAnsi="Arial" w:cs="Arial"/>
          <w:b/>
          <w:bCs/>
        </w:rPr>
      </w:pPr>
      <w:r>
        <w:rPr>
          <w:rFonts w:ascii="Arial" w:hAnsi="Arial" w:cs="Arial"/>
          <w:b/>
          <w:bCs/>
        </w:rPr>
        <w:t>2.2 Theoretical Background</w:t>
      </w:r>
    </w:p>
    <w:p w14:paraId="502E3399" w14:textId="77777777" w:rsidR="004A7295" w:rsidRDefault="00000000">
      <w:pPr>
        <w:spacing w:line="360" w:lineRule="auto"/>
        <w:jc w:val="both"/>
        <w:rPr>
          <w:rFonts w:ascii="Arial" w:hAnsi="Arial" w:cs="Arial"/>
        </w:rPr>
      </w:pPr>
      <w:r>
        <w:rPr>
          <w:rFonts w:ascii="Arial" w:hAnsi="Arial" w:cs="Arial"/>
        </w:rPr>
        <w:t xml:space="preserve">Integrated care is strengthened with several theoretical frameworks. The Chronic Care Model (CCM) is a widely adopted framework for improving the management of chronic illnesses in healthcare systems. It was developed by Edward H. Wagner and his team at the MacColl Institute for Healthcare Innovation in the mid-1990s, with the foundational paper published in 1996 (Wagner et al., 1996). The CCM was designed to address the limitations of acute care models in managing long-term conditions such as diabetes, asthma, heart disease, and depression. It emphasises proactive, planned, and patient-centred approaches. </w:t>
      </w:r>
    </w:p>
    <w:p w14:paraId="502E339A" w14:textId="77777777" w:rsidR="004A7295" w:rsidRDefault="004A7295">
      <w:pPr>
        <w:spacing w:line="360" w:lineRule="auto"/>
        <w:jc w:val="both"/>
        <w:rPr>
          <w:rFonts w:ascii="Arial" w:hAnsi="Arial" w:cs="Arial"/>
        </w:rPr>
      </w:pPr>
    </w:p>
    <w:p w14:paraId="502E339B" w14:textId="77777777" w:rsidR="004A7295" w:rsidRDefault="00000000">
      <w:pPr>
        <w:spacing w:line="360" w:lineRule="auto"/>
        <w:jc w:val="both"/>
        <w:rPr>
          <w:rFonts w:ascii="Arial" w:hAnsi="Arial" w:cs="Arial"/>
        </w:rPr>
      </w:pPr>
      <w:r>
        <w:rPr>
          <w:rFonts w:ascii="Arial" w:hAnsi="Arial" w:cs="Arial"/>
        </w:rPr>
        <w:t xml:space="preserve">According to Wagner et al. (2011), the model includes six interrelated components; health system organization (creating a culture and mechanisms that promote safe, high-quality care), delivery system design (ensuring proactive and planned care through team-based approaches), decision support (integrating evidence-based guidelines into daily practice), clinical information systems (organizing patient and population data to facilitate efficient and effective care), self-management support (empowering patients to manage their health), and community resources and policies (mobilizing community-based services to meet patients’ needs). </w:t>
      </w:r>
    </w:p>
    <w:p w14:paraId="502E339C" w14:textId="77777777" w:rsidR="004A7295" w:rsidRDefault="004A7295">
      <w:pPr>
        <w:spacing w:line="360" w:lineRule="auto"/>
        <w:jc w:val="both"/>
        <w:rPr>
          <w:rFonts w:ascii="Arial" w:hAnsi="Arial" w:cs="Arial"/>
        </w:rPr>
      </w:pPr>
    </w:p>
    <w:p w14:paraId="502E339D" w14:textId="77777777" w:rsidR="004A7295" w:rsidRDefault="00000000">
      <w:pPr>
        <w:spacing w:line="360" w:lineRule="auto"/>
        <w:jc w:val="both"/>
        <w:rPr>
          <w:rFonts w:ascii="Arial" w:hAnsi="Arial" w:cs="Arial"/>
        </w:rPr>
      </w:pPr>
      <w:r>
        <w:rPr>
          <w:rFonts w:ascii="Arial" w:hAnsi="Arial" w:cs="Arial"/>
        </w:rPr>
        <w:t xml:space="preserve">CCM has been widely praised and implemented across various healthcare settings worldwide. Supporters include policymakers and health institutions, such as the World Health Organisation (WHO), which adopted elements of the CCM in its Innovative Care for Chronic Conditions (ICCC) framework (WHO, 2002). Studies demonstrate that the model improves patient outcomes, reduces hospital admissions, and enhances patient satisfaction (Coleman et al., 2009; Tsai et al., 2005). Health systems in the United States, Canada, Australia, and </w:t>
      </w:r>
      <w:r>
        <w:rPr>
          <w:rFonts w:ascii="Arial" w:hAnsi="Arial" w:cs="Arial"/>
        </w:rPr>
        <w:lastRenderedPageBreak/>
        <w:t>the UK have integrated the CCM into chronic disease management programs, particularly for diabetes and heart failure (Ham et al., 2010). Its strengths lie in promoting structured, evidence-based care, empowering patients, and supporting system-wide improvements.</w:t>
      </w:r>
    </w:p>
    <w:p w14:paraId="502E339E" w14:textId="77777777" w:rsidR="004A7295" w:rsidRDefault="004A7295">
      <w:pPr>
        <w:tabs>
          <w:tab w:val="left" w:pos="720"/>
        </w:tabs>
        <w:spacing w:line="360" w:lineRule="auto"/>
        <w:jc w:val="both"/>
        <w:rPr>
          <w:rFonts w:ascii="Arial" w:hAnsi="Arial" w:cs="Arial"/>
        </w:rPr>
      </w:pPr>
    </w:p>
    <w:p w14:paraId="502E339F" w14:textId="77777777" w:rsidR="004A7295" w:rsidRDefault="00000000">
      <w:pPr>
        <w:tabs>
          <w:tab w:val="left" w:pos="720"/>
        </w:tabs>
        <w:spacing w:line="360" w:lineRule="auto"/>
        <w:jc w:val="both"/>
        <w:rPr>
          <w:rFonts w:ascii="Arial" w:hAnsi="Arial" w:cs="Arial"/>
        </w:rPr>
      </w:pPr>
      <w:r>
        <w:rPr>
          <w:rFonts w:ascii="Arial" w:hAnsi="Arial" w:cs="Arial"/>
        </w:rPr>
        <w:t>Despite its widespread adoption, the CCM has received several criticisms: Restricted patient diversity considerations: Some critics argue that the model does not adequately address social determinants of health, cultural factors, or health inequities (Nutting et al., 2009). Primary care resource constraints: Implementation requires significant organisational change, investment in IT systems, and team-based care, which may not be feasible in under-resourced settings (Russell et al., 2009). Underemphasis on mental health integration: Although adaptable, the original model has been criticised for not fully incorporating behavioural health and mental health needs, which are often co-morbid with chronic illnesses (Katon et al., 2010). Top-down design: Some healthcare professionals feel the model is managerially driven and may limit clinical autonomy or creativity in care delivery (Glasgow et al., 2001). However, its effectiveness depends on local adaptation, adequate resources, and a willingness to address broader social and behavioural health concerns.</w:t>
      </w:r>
    </w:p>
    <w:p w14:paraId="502E33A0" w14:textId="77777777" w:rsidR="004A7295" w:rsidRDefault="004A7295">
      <w:pPr>
        <w:spacing w:line="360" w:lineRule="auto"/>
        <w:jc w:val="both"/>
        <w:rPr>
          <w:rFonts w:ascii="Arial" w:hAnsi="Arial" w:cs="Arial"/>
          <w:b/>
          <w:bCs/>
        </w:rPr>
      </w:pPr>
    </w:p>
    <w:p w14:paraId="502E33A1" w14:textId="77777777" w:rsidR="004A7295" w:rsidRDefault="00000000">
      <w:pPr>
        <w:spacing w:line="360" w:lineRule="auto"/>
        <w:jc w:val="both"/>
        <w:rPr>
          <w:rFonts w:ascii="Arial" w:hAnsi="Arial" w:cs="Arial"/>
          <w:b/>
          <w:bCs/>
        </w:rPr>
      </w:pPr>
      <w:r>
        <w:rPr>
          <w:rFonts w:ascii="Arial" w:hAnsi="Arial" w:cs="Arial"/>
          <w:b/>
          <w:bCs/>
        </w:rPr>
        <w:t>2.3 International Context</w:t>
      </w:r>
    </w:p>
    <w:p w14:paraId="502E33A2" w14:textId="77777777" w:rsidR="004A7295" w:rsidRDefault="00000000">
      <w:pPr>
        <w:spacing w:line="360" w:lineRule="auto"/>
        <w:jc w:val="both"/>
        <w:rPr>
          <w:rFonts w:ascii="Arial" w:hAnsi="Arial" w:cs="Arial"/>
        </w:rPr>
      </w:pPr>
      <w:r>
        <w:rPr>
          <w:rFonts w:ascii="Arial" w:hAnsi="Arial" w:cs="Arial"/>
        </w:rPr>
        <w:t>Internationally, countries have experimented with integrated care to address ageing populations. The UK’s National Health Service (NHS) is globally recognised for its commitment to providing universal health coverage free at the point of use. Established in 1948, the NHS has been a model for healthcare systems worldwide. Internationally, the NHS is often cited as a leading example of universal healthcare due to its principle of equity and comprehensive service delivery (</w:t>
      </w:r>
      <w:proofErr w:type="spellStart"/>
      <w:r>
        <w:rPr>
          <w:rFonts w:ascii="Arial" w:hAnsi="Arial" w:cs="Arial"/>
        </w:rPr>
        <w:t>Papanicolas</w:t>
      </w:r>
      <w:proofErr w:type="spellEnd"/>
      <w:r>
        <w:rPr>
          <w:rFonts w:ascii="Arial" w:hAnsi="Arial" w:cs="Arial"/>
        </w:rPr>
        <w:t xml:space="preserve"> et al., 2018).</w:t>
      </w:r>
    </w:p>
    <w:p w14:paraId="502E33A3" w14:textId="77777777" w:rsidR="004A7295" w:rsidRDefault="004A7295">
      <w:pPr>
        <w:spacing w:line="360" w:lineRule="auto"/>
        <w:jc w:val="both"/>
        <w:rPr>
          <w:rFonts w:ascii="Arial" w:hAnsi="Arial" w:cs="Arial"/>
        </w:rPr>
      </w:pPr>
    </w:p>
    <w:p w14:paraId="502E33A4" w14:textId="77777777" w:rsidR="004A7295" w:rsidRDefault="00000000">
      <w:pPr>
        <w:spacing w:line="360" w:lineRule="auto"/>
        <w:jc w:val="both"/>
        <w:rPr>
          <w:rFonts w:ascii="Arial" w:hAnsi="Arial" w:cs="Arial"/>
        </w:rPr>
      </w:pPr>
      <w:r>
        <w:rPr>
          <w:rFonts w:ascii="Arial" w:hAnsi="Arial" w:cs="Arial"/>
        </w:rPr>
        <w:t xml:space="preserve">One key international aspect of the NHS is its integration of care services, which has gained increasing attention in the context of evolving global healthcare needs. Integrated care refers to the coordination of services across different levels of care, primary, secondary, and tertiary, to improve the quality of care, patient satisfaction, and efficiency (Kodner &amp; </w:t>
      </w:r>
      <w:proofErr w:type="spellStart"/>
      <w:r>
        <w:rPr>
          <w:rFonts w:ascii="Arial" w:hAnsi="Arial" w:cs="Arial"/>
        </w:rPr>
        <w:t>Spreeuwenberg</w:t>
      </w:r>
      <w:proofErr w:type="spellEnd"/>
      <w:r>
        <w:rPr>
          <w:rFonts w:ascii="Arial" w:hAnsi="Arial" w:cs="Arial"/>
        </w:rPr>
        <w:t>, 2002). The NHS has pursued integration through programs such as the Better Care Fund (BCF), which aims to foster collaboration between the health and social care sectors in the UK. This approach reflects a broader international trend towards health systems that prioritise comprehensive, patient-centred care over fragmented services (World Health Organisation [WHO], 2016).</w:t>
      </w:r>
    </w:p>
    <w:p w14:paraId="502E33A5" w14:textId="77777777" w:rsidR="004A7295" w:rsidRDefault="004A7295">
      <w:pPr>
        <w:spacing w:line="360" w:lineRule="auto"/>
        <w:jc w:val="both"/>
        <w:rPr>
          <w:rFonts w:ascii="Arial" w:hAnsi="Arial" w:cs="Arial"/>
        </w:rPr>
      </w:pPr>
    </w:p>
    <w:p w14:paraId="502E33A6" w14:textId="77777777" w:rsidR="004A7295" w:rsidRDefault="00000000">
      <w:pPr>
        <w:spacing w:line="360" w:lineRule="auto"/>
        <w:jc w:val="both"/>
        <w:rPr>
          <w:rFonts w:ascii="Arial" w:hAnsi="Arial" w:cs="Arial"/>
        </w:rPr>
      </w:pPr>
      <w:r>
        <w:rPr>
          <w:rFonts w:ascii="Arial" w:hAnsi="Arial" w:cs="Arial"/>
        </w:rPr>
        <w:t xml:space="preserve">Globally, many countries have looked to the NHS as a benchmark for integrating care. For example, countries like Canada and Sweden have developed integrated health systems </w:t>
      </w:r>
      <w:r>
        <w:rPr>
          <w:rFonts w:ascii="Arial" w:hAnsi="Arial" w:cs="Arial"/>
        </w:rPr>
        <w:lastRenderedPageBreak/>
        <w:t>inspired by the NHS’s organisational structure (McColl et al., 2014). The emphasis on preventive care, community-based services, and reducing hospital admissions aligns with international policy goals to reduce healthcare costs while maintaining or improving health outcomes (European Observatory on Health Systems and Policies, 2018). In the United States, where healthcare remains predominantly private, there is increasing interest in the integration models used by the NHS, particularly in the context of the Affordable Care Act and value-based care initiatives (Rice, 2017).</w:t>
      </w:r>
    </w:p>
    <w:p w14:paraId="502E33A7" w14:textId="77777777" w:rsidR="004A7295" w:rsidRDefault="004A7295">
      <w:pPr>
        <w:spacing w:line="360" w:lineRule="auto"/>
        <w:jc w:val="both"/>
        <w:rPr>
          <w:rFonts w:ascii="Arial" w:hAnsi="Arial" w:cs="Arial"/>
        </w:rPr>
      </w:pPr>
    </w:p>
    <w:p w14:paraId="502E33A8" w14:textId="77777777" w:rsidR="004A7295" w:rsidRDefault="00000000">
      <w:pPr>
        <w:spacing w:line="360" w:lineRule="auto"/>
        <w:jc w:val="both"/>
        <w:rPr>
          <w:rFonts w:ascii="Arial" w:hAnsi="Arial" w:cs="Arial"/>
        </w:rPr>
      </w:pPr>
      <w:r>
        <w:rPr>
          <w:rFonts w:ascii="Arial" w:hAnsi="Arial" w:cs="Arial"/>
        </w:rPr>
        <w:t>However, while the NHS model of integrated care is lauded, it is not without challenges. Funding pressures, demographic shifts, and workforce shortages are critical issues facing the NHS, and these are increasingly acknowledged in international discussions on healthcare sustainability (The King’s Fund, 2020). Despite these challenges, the NHS remains an influential model in shaping the future of integrated care globally.</w:t>
      </w:r>
    </w:p>
    <w:p w14:paraId="502E33A9" w14:textId="77777777" w:rsidR="004A7295" w:rsidRDefault="004A7295">
      <w:pPr>
        <w:spacing w:line="360" w:lineRule="auto"/>
        <w:jc w:val="both"/>
        <w:rPr>
          <w:rFonts w:ascii="Arial" w:hAnsi="Arial" w:cs="Arial"/>
          <w:b/>
          <w:bCs/>
        </w:rPr>
      </w:pPr>
    </w:p>
    <w:p w14:paraId="502E33AA" w14:textId="77777777" w:rsidR="004A7295" w:rsidRDefault="00000000">
      <w:pPr>
        <w:spacing w:line="360" w:lineRule="auto"/>
        <w:jc w:val="both"/>
        <w:rPr>
          <w:rFonts w:ascii="Arial" w:hAnsi="Arial" w:cs="Arial"/>
          <w:b/>
          <w:bCs/>
        </w:rPr>
      </w:pPr>
      <w:r>
        <w:rPr>
          <w:rFonts w:ascii="Arial" w:hAnsi="Arial" w:cs="Arial"/>
          <w:b/>
          <w:bCs/>
        </w:rPr>
        <w:t>2.4 National/Local Context</w:t>
      </w:r>
    </w:p>
    <w:p w14:paraId="502E33AC" w14:textId="5589E889" w:rsidR="004A7295" w:rsidRDefault="00000000">
      <w:pPr>
        <w:spacing w:line="360" w:lineRule="auto"/>
        <w:jc w:val="both"/>
        <w:rPr>
          <w:rFonts w:ascii="Arial" w:hAnsi="Arial" w:cs="Arial"/>
        </w:rPr>
      </w:pPr>
      <w:r>
        <w:rPr>
          <w:rFonts w:ascii="Arial" w:hAnsi="Arial" w:cs="Arial"/>
        </w:rPr>
        <w:t>In the United Kingdom, the 2014 Care Act marked a significant milestone by formalising the principle of integrated care and prioritising the holistic wellbeing of service users (Kaehne et al., 2017). This legislation emphasised the need for seamless collaboration between health and social care providers to deliver person-centred services that address complex needs completely.</w:t>
      </w:r>
    </w:p>
    <w:p w14:paraId="7F6FB25A" w14:textId="77777777" w:rsidR="0047238F" w:rsidRDefault="00000000">
      <w:pPr>
        <w:spacing w:line="360" w:lineRule="auto"/>
        <w:jc w:val="both"/>
        <w:rPr>
          <w:rFonts w:ascii="Arial" w:hAnsi="Arial" w:cs="Arial"/>
        </w:rPr>
      </w:pPr>
      <w:r>
        <w:rPr>
          <w:rFonts w:ascii="Arial" w:hAnsi="Arial" w:cs="Arial"/>
        </w:rPr>
        <w:t>Building on this foundation, the 2022 Health and Care Act introduced Integrated Care Systems (ICSs), a structural innovation designed to foster greater coordination, efficiency, and improved health outcomes across defined localities (NHS England, 2022). According to Lorne et al. (2019), ICSs represent a strategic shift towards system-wide collaboration among NHS bodies, local authorities, and other stakeholders, aiming to dissolve historical silos that have impeded service delivery.</w:t>
      </w:r>
    </w:p>
    <w:p w14:paraId="502E33AD" w14:textId="26AABF0A" w:rsidR="004A7295" w:rsidRDefault="00000000">
      <w:pPr>
        <w:spacing w:line="360" w:lineRule="auto"/>
        <w:jc w:val="both"/>
        <w:rPr>
          <w:rFonts w:ascii="Arial" w:hAnsi="Arial" w:cs="Arial"/>
        </w:rPr>
      </w:pPr>
      <w:r>
        <w:rPr>
          <w:rFonts w:ascii="Arial" w:hAnsi="Arial" w:cs="Arial"/>
        </w:rPr>
        <w:t xml:space="preserve"> At the community level, empirical case studies from regions such as Greater Manchester and </w:t>
      </w:r>
      <w:proofErr w:type="gramStart"/>
      <w:r>
        <w:rPr>
          <w:rFonts w:ascii="Arial" w:hAnsi="Arial" w:cs="Arial"/>
        </w:rPr>
        <w:t>North East</w:t>
      </w:r>
      <w:proofErr w:type="gramEnd"/>
      <w:r>
        <w:rPr>
          <w:rFonts w:ascii="Arial" w:hAnsi="Arial" w:cs="Arial"/>
        </w:rPr>
        <w:t xml:space="preserve"> Lincolnshire illustrate both the emergence of innovative care models and continuing challenges. These include ongoing difficulties with data sharing protocols, interoperability of IT systems, and the complexities of multi-agency collaboration (Preston-Shoot et al., 2022; </w:t>
      </w:r>
      <w:proofErr w:type="spellStart"/>
      <w:r>
        <w:rPr>
          <w:rFonts w:ascii="Arial" w:hAnsi="Arial" w:cs="Arial"/>
        </w:rPr>
        <w:t>Wistow</w:t>
      </w:r>
      <w:proofErr w:type="spellEnd"/>
      <w:r>
        <w:rPr>
          <w:rFonts w:ascii="Arial" w:hAnsi="Arial" w:cs="Arial"/>
        </w:rPr>
        <w:t>, 2021). Despite demonstrable progress, significant regional disparities persist, largely attributable to variations in implementation strategies, resource allocation, and funding sufficiency. Such inconsistencies underscore the need for continued policy attention and investment to ensure equitable, high-quality integrated care across all areas.</w:t>
      </w:r>
    </w:p>
    <w:p w14:paraId="502E33AE" w14:textId="77777777" w:rsidR="004A7295" w:rsidRDefault="004A7295">
      <w:pPr>
        <w:spacing w:line="360" w:lineRule="auto"/>
        <w:jc w:val="both"/>
        <w:rPr>
          <w:rFonts w:ascii="Arial" w:hAnsi="Arial" w:cs="Arial"/>
          <w:b/>
          <w:bCs/>
        </w:rPr>
      </w:pPr>
    </w:p>
    <w:p w14:paraId="563A8B7A" w14:textId="77777777" w:rsidR="00B90049" w:rsidRDefault="00B90049">
      <w:pPr>
        <w:spacing w:line="360" w:lineRule="auto"/>
        <w:jc w:val="both"/>
        <w:rPr>
          <w:rFonts w:ascii="Arial" w:hAnsi="Arial" w:cs="Arial"/>
          <w:b/>
          <w:bCs/>
        </w:rPr>
      </w:pPr>
    </w:p>
    <w:p w14:paraId="502E33AF" w14:textId="506BE4EF" w:rsidR="004A7295" w:rsidRDefault="00000000">
      <w:pPr>
        <w:spacing w:line="360" w:lineRule="auto"/>
        <w:jc w:val="both"/>
        <w:rPr>
          <w:rFonts w:ascii="Arial" w:hAnsi="Arial" w:cs="Arial"/>
          <w:b/>
          <w:bCs/>
        </w:rPr>
      </w:pPr>
      <w:r>
        <w:rPr>
          <w:rFonts w:ascii="Arial" w:hAnsi="Arial" w:cs="Arial"/>
          <w:b/>
          <w:bCs/>
        </w:rPr>
        <w:lastRenderedPageBreak/>
        <w:t>2.5 Policies in the UK</w:t>
      </w:r>
    </w:p>
    <w:p w14:paraId="4261C7F9" w14:textId="77777777" w:rsidR="00626352" w:rsidRDefault="00000000">
      <w:pPr>
        <w:spacing w:line="360" w:lineRule="auto"/>
        <w:jc w:val="both"/>
        <w:rPr>
          <w:rFonts w:ascii="Arial" w:hAnsi="Arial" w:cs="Arial"/>
        </w:rPr>
      </w:pPr>
      <w:r>
        <w:rPr>
          <w:rFonts w:ascii="Arial" w:hAnsi="Arial" w:cs="Arial"/>
        </w:rPr>
        <w:t xml:space="preserve">Over the past two decades, UK policy has increasingly promoted integrated care to improve coordination between the NHS and social care (MacInnes et al., 2020; NHS, 2022). The Better Care Fund (2013) enabled shared budgets between the NHS and local authorities to support joint services, aiming to overcome traditional funding and operational silos (Forder et al., 2018; Lords, 2017). The NHS Long Term Plan (2019) reinforced this by prioritising community-based care, especially for older adults with complex needs (NHS England, 2019). </w:t>
      </w:r>
    </w:p>
    <w:p w14:paraId="38C19950" w14:textId="77777777" w:rsidR="00626352" w:rsidRDefault="00000000">
      <w:pPr>
        <w:spacing w:line="360" w:lineRule="auto"/>
        <w:jc w:val="both"/>
        <w:rPr>
          <w:rFonts w:ascii="Arial" w:hAnsi="Arial" w:cs="Arial"/>
        </w:rPr>
      </w:pPr>
      <w:r>
        <w:rPr>
          <w:rFonts w:ascii="Arial" w:hAnsi="Arial" w:cs="Arial"/>
        </w:rPr>
        <w:t xml:space="preserve">However, despite strong policy rhetoric, progress in service transformation has been limited. Persistent organisational silos, differing professional cultures, and fragmented governance hinder integration (Campbell-Perry, 2022). Workforce shortages, particularly in community nursing and social work, further restrict capacity to deliver integrated care (Akehurst et al., 2022). </w:t>
      </w:r>
    </w:p>
    <w:p w14:paraId="502E33B0" w14:textId="3C418615" w:rsidR="004A7295" w:rsidRDefault="00000000">
      <w:pPr>
        <w:spacing w:line="360" w:lineRule="auto"/>
        <w:jc w:val="both"/>
        <w:rPr>
          <w:rFonts w:ascii="Arial" w:hAnsi="Arial" w:cs="Arial"/>
        </w:rPr>
      </w:pPr>
      <w:r>
        <w:rPr>
          <w:rFonts w:ascii="Arial" w:hAnsi="Arial" w:cs="Arial"/>
        </w:rPr>
        <w:t>Additionally, funding constraints and misaligned incentives complicate collaborative efforts, resulting in fragmented services (Kozlowska et al., 2018). Effective integration requires structural reforms, cultural change, workforce investment, and clearer accountability to bridge the gap between policy and practice.</w:t>
      </w:r>
    </w:p>
    <w:p w14:paraId="502E33B1" w14:textId="77777777" w:rsidR="004A7295" w:rsidRDefault="004A7295">
      <w:pPr>
        <w:spacing w:line="360" w:lineRule="auto"/>
        <w:jc w:val="both"/>
        <w:rPr>
          <w:rFonts w:ascii="Arial" w:hAnsi="Arial" w:cs="Arial"/>
          <w:b/>
          <w:bCs/>
        </w:rPr>
      </w:pPr>
    </w:p>
    <w:p w14:paraId="502E33B2" w14:textId="77777777" w:rsidR="004A7295" w:rsidRDefault="00000000">
      <w:pPr>
        <w:spacing w:line="360" w:lineRule="auto"/>
        <w:jc w:val="both"/>
        <w:rPr>
          <w:rFonts w:ascii="Arial" w:hAnsi="Arial" w:cs="Arial"/>
          <w:b/>
          <w:bCs/>
        </w:rPr>
      </w:pPr>
      <w:r>
        <w:rPr>
          <w:rFonts w:ascii="Arial" w:hAnsi="Arial" w:cs="Arial"/>
          <w:b/>
          <w:bCs/>
        </w:rPr>
        <w:t>2.6 Gaps in the Research</w:t>
      </w:r>
    </w:p>
    <w:p w14:paraId="502E33B3" w14:textId="7B1A3116" w:rsidR="004A7295" w:rsidRDefault="00000000">
      <w:pPr>
        <w:spacing w:line="360" w:lineRule="auto"/>
        <w:jc w:val="both"/>
        <w:rPr>
          <w:rFonts w:ascii="Arial" w:hAnsi="Arial" w:cs="Arial"/>
        </w:rPr>
      </w:pPr>
      <w:r>
        <w:rPr>
          <w:rFonts w:ascii="Arial" w:hAnsi="Arial" w:cs="Arial"/>
        </w:rPr>
        <w:t>Despite a growing evidence base, several gaps persist. Firstly, many evaluations focus on system-level outcomes (e.g., hospital admissions, cost savings) rather than user experiences and improvements for older adults (Davidson et al., 2021; Sadler et al., 2019).  Additionally, there is limited longitudinal research tracking the long-term effects of integrated care models. Thirdly, studies often lack a robust comparative framework, making it difficult to assess what types of integration are most effective for whom. Finally, the voices of service users and frontline practitioners are frequently underrepresented in evaluations (Kaur et al., 2023).</w:t>
      </w:r>
    </w:p>
    <w:p w14:paraId="502E33B4" w14:textId="77777777" w:rsidR="004A7295" w:rsidRDefault="004A7295">
      <w:pPr>
        <w:spacing w:line="360" w:lineRule="auto"/>
        <w:jc w:val="both"/>
        <w:rPr>
          <w:rFonts w:ascii="Arial" w:hAnsi="Arial" w:cs="Arial"/>
          <w:b/>
          <w:bCs/>
        </w:rPr>
      </w:pPr>
    </w:p>
    <w:p w14:paraId="502E33B5" w14:textId="77777777" w:rsidR="004A7295" w:rsidRDefault="00000000">
      <w:pPr>
        <w:spacing w:line="360" w:lineRule="auto"/>
        <w:jc w:val="both"/>
        <w:rPr>
          <w:rFonts w:ascii="Arial" w:hAnsi="Arial" w:cs="Arial"/>
          <w:b/>
          <w:bCs/>
        </w:rPr>
      </w:pPr>
      <w:r>
        <w:rPr>
          <w:rFonts w:ascii="Arial" w:hAnsi="Arial" w:cs="Arial"/>
          <w:b/>
          <w:bCs/>
        </w:rPr>
        <w:t>2.7 Conclusion</w:t>
      </w:r>
    </w:p>
    <w:p w14:paraId="502E33B6" w14:textId="77777777" w:rsidR="004A7295" w:rsidRDefault="00000000">
      <w:pPr>
        <w:spacing w:line="360" w:lineRule="auto"/>
        <w:jc w:val="both"/>
        <w:rPr>
          <w:rFonts w:ascii="Arial" w:hAnsi="Arial" w:cs="Arial"/>
        </w:rPr>
      </w:pPr>
      <w:r>
        <w:rPr>
          <w:rFonts w:ascii="Arial" w:hAnsi="Arial" w:cs="Arial"/>
        </w:rPr>
        <w:t>Integrated care holds significant promise for improving health and social care outcomes for older adults in the UK. Drawing on both international models and national policies, the UK has developed frameworks that seek to address long-standing fragmentation. However, implementation remains uneven, and more research is needed to understand the lived experiences of older adults and the most effective models of integration. Closing these gaps is essential to ensure that integrated care delivers on its promise of improved outcomes, person-centred services, and system sustainability.</w:t>
      </w:r>
    </w:p>
    <w:p w14:paraId="502E33B7" w14:textId="77777777" w:rsidR="004A7295" w:rsidRDefault="004A7295">
      <w:pPr>
        <w:spacing w:line="360" w:lineRule="auto"/>
        <w:jc w:val="both"/>
        <w:rPr>
          <w:rFonts w:ascii="Arial" w:hAnsi="Arial" w:cs="Arial"/>
          <w:b/>
          <w:bCs/>
        </w:rPr>
      </w:pPr>
    </w:p>
    <w:p w14:paraId="36F9E37E" w14:textId="77777777" w:rsidR="0036120D" w:rsidRDefault="0036120D">
      <w:pPr>
        <w:pStyle w:val="Heading1"/>
        <w:ind w:left="0"/>
        <w:jc w:val="center"/>
        <w:rPr>
          <w:rFonts w:cs="Arial"/>
          <w:sz w:val="22"/>
          <w:szCs w:val="22"/>
        </w:rPr>
      </w:pPr>
    </w:p>
    <w:p w14:paraId="2C94011A" w14:textId="77777777" w:rsidR="0036120D" w:rsidRDefault="0036120D">
      <w:pPr>
        <w:pStyle w:val="Heading1"/>
        <w:ind w:left="0"/>
        <w:jc w:val="center"/>
        <w:rPr>
          <w:rFonts w:cs="Arial"/>
          <w:sz w:val="22"/>
          <w:szCs w:val="22"/>
        </w:rPr>
      </w:pPr>
    </w:p>
    <w:p w14:paraId="6C0F4104" w14:textId="77777777" w:rsidR="0036120D" w:rsidRDefault="0036120D">
      <w:pPr>
        <w:pStyle w:val="Heading1"/>
        <w:ind w:left="0"/>
        <w:jc w:val="center"/>
        <w:rPr>
          <w:rFonts w:cs="Arial"/>
          <w:sz w:val="22"/>
          <w:szCs w:val="22"/>
        </w:rPr>
      </w:pPr>
    </w:p>
    <w:p w14:paraId="0931B158" w14:textId="77777777" w:rsidR="0036120D" w:rsidRDefault="0036120D">
      <w:pPr>
        <w:pStyle w:val="Heading1"/>
        <w:ind w:left="0"/>
        <w:jc w:val="center"/>
        <w:rPr>
          <w:rFonts w:cs="Arial"/>
          <w:sz w:val="22"/>
          <w:szCs w:val="22"/>
        </w:rPr>
      </w:pPr>
    </w:p>
    <w:p w14:paraId="502E33BE" w14:textId="203E1829" w:rsidR="004A7295" w:rsidRDefault="00000000">
      <w:pPr>
        <w:pStyle w:val="Heading1"/>
        <w:ind w:left="0"/>
        <w:jc w:val="center"/>
        <w:rPr>
          <w:rFonts w:cs="Arial"/>
          <w:sz w:val="22"/>
          <w:szCs w:val="22"/>
        </w:rPr>
      </w:pPr>
      <w:r>
        <w:rPr>
          <w:rFonts w:cs="Arial"/>
          <w:sz w:val="22"/>
          <w:szCs w:val="22"/>
        </w:rPr>
        <w:t>CHAPTER 3: METHODS</w:t>
      </w:r>
    </w:p>
    <w:p w14:paraId="502E33BF" w14:textId="77777777" w:rsidR="004A7295" w:rsidRDefault="0000000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rPr>
      </w:pPr>
      <w:r>
        <w:rPr>
          <w:rFonts w:ascii="Arial" w:eastAsia="Arial Unicode MS" w:hAnsi="Arial" w:cs="Arial"/>
        </w:rPr>
        <w:t xml:space="preserve"> </w:t>
      </w:r>
    </w:p>
    <w:p w14:paraId="556F63BB" w14:textId="77777777" w:rsidR="0036120D" w:rsidRDefault="0036120D">
      <w:pPr>
        <w:pStyle w:val="Heading3"/>
        <w:spacing w:line="360" w:lineRule="auto"/>
        <w:jc w:val="both"/>
        <w:rPr>
          <w:rFonts w:ascii="Arial" w:hAnsi="Arial" w:cs="Arial"/>
          <w:b/>
          <w:bCs/>
          <w:sz w:val="22"/>
          <w:szCs w:val="22"/>
        </w:rPr>
      </w:pPr>
    </w:p>
    <w:p w14:paraId="502E33C0" w14:textId="2698F803" w:rsidR="004A7295" w:rsidRDefault="00000000">
      <w:pPr>
        <w:pStyle w:val="Heading3"/>
        <w:spacing w:line="360" w:lineRule="auto"/>
        <w:jc w:val="both"/>
        <w:rPr>
          <w:rFonts w:ascii="Arial" w:hAnsi="Arial" w:cs="Arial"/>
          <w:b/>
          <w:bCs/>
          <w:sz w:val="22"/>
          <w:szCs w:val="22"/>
        </w:rPr>
      </w:pPr>
      <w:r>
        <w:rPr>
          <w:rFonts w:ascii="Arial" w:hAnsi="Arial" w:cs="Arial"/>
          <w:b/>
          <w:bCs/>
          <w:sz w:val="22"/>
          <w:szCs w:val="22"/>
        </w:rPr>
        <w:t>3.1 Introduction</w:t>
      </w:r>
    </w:p>
    <w:p w14:paraId="502E33C1" w14:textId="01B5C4B1" w:rsidR="004A7295" w:rsidRDefault="0040326A">
      <w:pPr>
        <w:pStyle w:val="NormalWeb"/>
        <w:spacing w:line="360" w:lineRule="auto"/>
        <w:jc w:val="both"/>
        <w:rPr>
          <w:rFonts w:ascii="Arial" w:hAnsi="Arial" w:cs="Arial"/>
          <w:sz w:val="22"/>
          <w:szCs w:val="22"/>
        </w:rPr>
      </w:pPr>
      <w:r w:rsidRPr="0040326A">
        <w:rPr>
          <w:rFonts w:ascii="Arial" w:hAnsi="Arial" w:cs="Arial"/>
          <w:sz w:val="22"/>
          <w:szCs w:val="22"/>
        </w:rPr>
        <w:t xml:space="preserve">This chapter </w:t>
      </w:r>
      <w:r>
        <w:rPr>
          <w:rFonts w:ascii="Arial" w:hAnsi="Arial" w:cs="Arial"/>
          <w:sz w:val="22"/>
          <w:szCs w:val="22"/>
        </w:rPr>
        <w:t>outlines the research methods employed in the study, which examines the impact of integrated care services on</w:t>
      </w:r>
      <w:r w:rsidRPr="0040326A">
        <w:rPr>
          <w:rFonts w:ascii="Arial" w:hAnsi="Arial" w:cs="Arial"/>
          <w:sz w:val="22"/>
          <w:szCs w:val="22"/>
        </w:rPr>
        <w:t xml:space="preserve"> older adults within the UK’s health and social care system. It describes the search strategy, inclusion and exclusion criteria, keyword selection, data collection process, and methods of analysis. The study uses a qualitative approach, drawing on thematic analysis as outlined by Braun and Clarke (2006), to examine existing research and literature. Ethical considerations related to the study are also addressed.</w:t>
      </w:r>
    </w:p>
    <w:p w14:paraId="502E33C2" w14:textId="77777777" w:rsidR="004A7295" w:rsidRDefault="00000000">
      <w:pPr>
        <w:pStyle w:val="Heading3"/>
        <w:spacing w:line="360" w:lineRule="auto"/>
        <w:jc w:val="both"/>
        <w:rPr>
          <w:rFonts w:ascii="Arial" w:hAnsi="Arial" w:cs="Arial"/>
          <w:b/>
          <w:bCs/>
          <w:sz w:val="22"/>
          <w:szCs w:val="22"/>
        </w:rPr>
      </w:pPr>
      <w:r>
        <w:rPr>
          <w:rFonts w:ascii="Arial" w:hAnsi="Arial" w:cs="Arial"/>
          <w:b/>
          <w:bCs/>
          <w:sz w:val="22"/>
          <w:szCs w:val="22"/>
        </w:rPr>
        <w:t>3.2 Search Strategy</w:t>
      </w:r>
    </w:p>
    <w:p w14:paraId="502E33C3" w14:textId="77777777" w:rsidR="004A7295" w:rsidRDefault="00000000">
      <w:pPr>
        <w:pStyle w:val="NormalWeb"/>
        <w:spacing w:line="360" w:lineRule="auto"/>
        <w:jc w:val="both"/>
        <w:rPr>
          <w:rFonts w:ascii="Arial" w:hAnsi="Arial" w:cs="Arial"/>
          <w:sz w:val="22"/>
          <w:szCs w:val="22"/>
        </w:rPr>
      </w:pPr>
      <w:r>
        <w:rPr>
          <w:rFonts w:ascii="Arial" w:hAnsi="Arial" w:cs="Arial"/>
          <w:sz w:val="22"/>
          <w:szCs w:val="22"/>
        </w:rPr>
        <w:t>The research adopted a structured and systematic literature review to gather relevant data on integrated care services for older adults in the UK. A comprehensive search was conducted across several academic databases, including:</w:t>
      </w:r>
    </w:p>
    <w:p w14:paraId="502E33C4" w14:textId="77777777" w:rsidR="004A7295" w:rsidRDefault="00000000">
      <w:pPr>
        <w:pStyle w:val="NormalWeb"/>
        <w:numPr>
          <w:ilvl w:val="0"/>
          <w:numId w:val="2"/>
        </w:numPr>
        <w:spacing w:before="0" w:after="0" w:line="360" w:lineRule="auto"/>
        <w:jc w:val="both"/>
        <w:rPr>
          <w:rFonts w:ascii="Arial" w:hAnsi="Arial" w:cs="Arial"/>
          <w:sz w:val="22"/>
          <w:szCs w:val="22"/>
        </w:rPr>
      </w:pPr>
      <w:r>
        <w:rPr>
          <w:rStyle w:val="Strong"/>
          <w:rFonts w:ascii="Arial" w:hAnsi="Arial" w:cs="Arial"/>
          <w:sz w:val="22"/>
          <w:szCs w:val="22"/>
        </w:rPr>
        <w:t>PubMed</w:t>
      </w:r>
    </w:p>
    <w:p w14:paraId="502E33C5" w14:textId="77777777" w:rsidR="004A7295" w:rsidRDefault="00000000">
      <w:pPr>
        <w:pStyle w:val="NormalWeb"/>
        <w:numPr>
          <w:ilvl w:val="0"/>
          <w:numId w:val="2"/>
        </w:numPr>
        <w:spacing w:before="0" w:after="0" w:line="360" w:lineRule="auto"/>
        <w:jc w:val="both"/>
        <w:rPr>
          <w:rFonts w:ascii="Arial" w:hAnsi="Arial" w:cs="Arial"/>
          <w:sz w:val="22"/>
          <w:szCs w:val="22"/>
        </w:rPr>
      </w:pPr>
      <w:r>
        <w:rPr>
          <w:rStyle w:val="Strong"/>
          <w:rFonts w:ascii="Arial" w:hAnsi="Arial" w:cs="Arial"/>
          <w:sz w:val="22"/>
          <w:szCs w:val="22"/>
        </w:rPr>
        <w:t>CINAHL</w:t>
      </w:r>
    </w:p>
    <w:p w14:paraId="502E33C6" w14:textId="77777777" w:rsidR="004A7295" w:rsidRDefault="00000000">
      <w:pPr>
        <w:pStyle w:val="NormalWeb"/>
        <w:numPr>
          <w:ilvl w:val="0"/>
          <w:numId w:val="2"/>
        </w:numPr>
        <w:spacing w:before="0" w:after="0" w:line="360" w:lineRule="auto"/>
        <w:jc w:val="both"/>
        <w:rPr>
          <w:rFonts w:ascii="Arial" w:hAnsi="Arial" w:cs="Arial"/>
          <w:sz w:val="22"/>
          <w:szCs w:val="22"/>
        </w:rPr>
      </w:pPr>
      <w:r>
        <w:rPr>
          <w:rStyle w:val="Strong"/>
          <w:rFonts w:ascii="Arial" w:hAnsi="Arial" w:cs="Arial"/>
          <w:sz w:val="22"/>
          <w:szCs w:val="22"/>
        </w:rPr>
        <w:t>Scopus</w:t>
      </w:r>
    </w:p>
    <w:p w14:paraId="502E33C7" w14:textId="77777777" w:rsidR="004A7295" w:rsidRDefault="00000000">
      <w:pPr>
        <w:pStyle w:val="NormalWeb"/>
        <w:numPr>
          <w:ilvl w:val="0"/>
          <w:numId w:val="2"/>
        </w:numPr>
        <w:spacing w:before="0" w:after="0" w:line="360" w:lineRule="auto"/>
        <w:jc w:val="both"/>
        <w:rPr>
          <w:rFonts w:ascii="Arial" w:hAnsi="Arial" w:cs="Arial"/>
          <w:sz w:val="22"/>
          <w:szCs w:val="22"/>
        </w:rPr>
      </w:pPr>
      <w:r>
        <w:rPr>
          <w:rStyle w:val="Strong"/>
          <w:rFonts w:ascii="Arial" w:hAnsi="Arial" w:cs="Arial"/>
          <w:sz w:val="22"/>
          <w:szCs w:val="22"/>
        </w:rPr>
        <w:t>Web of Science</w:t>
      </w:r>
    </w:p>
    <w:p w14:paraId="502E33C8" w14:textId="77777777" w:rsidR="004A7295" w:rsidRDefault="00000000">
      <w:pPr>
        <w:pStyle w:val="NormalWeb"/>
        <w:numPr>
          <w:ilvl w:val="0"/>
          <w:numId w:val="2"/>
        </w:numPr>
        <w:spacing w:before="0" w:after="0" w:line="360" w:lineRule="auto"/>
        <w:jc w:val="both"/>
        <w:rPr>
          <w:rFonts w:ascii="Arial" w:hAnsi="Arial" w:cs="Arial"/>
          <w:sz w:val="22"/>
          <w:szCs w:val="22"/>
        </w:rPr>
      </w:pPr>
      <w:r>
        <w:rPr>
          <w:rStyle w:val="Strong"/>
          <w:rFonts w:ascii="Arial" w:hAnsi="Arial" w:cs="Arial"/>
          <w:sz w:val="22"/>
          <w:szCs w:val="22"/>
        </w:rPr>
        <w:t>Google Scholar</w:t>
      </w:r>
    </w:p>
    <w:p w14:paraId="502E33C9" w14:textId="77777777" w:rsidR="004A7295" w:rsidRDefault="00000000">
      <w:pPr>
        <w:pStyle w:val="NormalWeb"/>
        <w:spacing w:line="360" w:lineRule="auto"/>
        <w:jc w:val="both"/>
        <w:rPr>
          <w:rFonts w:ascii="Arial" w:hAnsi="Arial" w:cs="Arial"/>
          <w:sz w:val="22"/>
          <w:szCs w:val="22"/>
        </w:rPr>
      </w:pPr>
      <w:r>
        <w:rPr>
          <w:rFonts w:ascii="Arial" w:hAnsi="Arial" w:cs="Arial"/>
          <w:sz w:val="22"/>
          <w:szCs w:val="22"/>
        </w:rPr>
        <w:t xml:space="preserve">The search was limited to peer-reviewed journal articles published between </w:t>
      </w:r>
      <w:r>
        <w:rPr>
          <w:rStyle w:val="Strong"/>
          <w:rFonts w:ascii="Arial" w:hAnsi="Arial" w:cs="Arial"/>
          <w:sz w:val="22"/>
          <w:szCs w:val="22"/>
        </w:rPr>
        <w:t>2015 and 2025</w:t>
      </w:r>
      <w:r>
        <w:rPr>
          <w:rFonts w:ascii="Arial" w:hAnsi="Arial" w:cs="Arial"/>
          <w:sz w:val="22"/>
          <w:szCs w:val="22"/>
        </w:rPr>
        <w:t xml:space="preserve">, to ensure that findings were recent and reflective of current policy and practice in integrated care. Boolean operators such as </w:t>
      </w:r>
      <w:r>
        <w:rPr>
          <w:rStyle w:val="Strong"/>
          <w:rFonts w:ascii="Arial" w:hAnsi="Arial" w:cs="Arial"/>
          <w:sz w:val="22"/>
          <w:szCs w:val="22"/>
        </w:rPr>
        <w:t>AND</w:t>
      </w:r>
      <w:r>
        <w:rPr>
          <w:rFonts w:ascii="Arial" w:hAnsi="Arial" w:cs="Arial"/>
          <w:sz w:val="22"/>
          <w:szCs w:val="22"/>
        </w:rPr>
        <w:t xml:space="preserve">, </w:t>
      </w:r>
      <w:r>
        <w:rPr>
          <w:rStyle w:val="Strong"/>
          <w:rFonts w:ascii="Arial" w:hAnsi="Arial" w:cs="Arial"/>
          <w:sz w:val="22"/>
          <w:szCs w:val="22"/>
        </w:rPr>
        <w:t>OR</w:t>
      </w:r>
      <w:r>
        <w:rPr>
          <w:rFonts w:ascii="Arial" w:hAnsi="Arial" w:cs="Arial"/>
          <w:sz w:val="22"/>
          <w:szCs w:val="22"/>
        </w:rPr>
        <w:t xml:space="preserve">, and </w:t>
      </w:r>
      <w:r>
        <w:rPr>
          <w:rStyle w:val="Strong"/>
          <w:rFonts w:ascii="Arial" w:hAnsi="Arial" w:cs="Arial"/>
          <w:sz w:val="22"/>
          <w:szCs w:val="22"/>
        </w:rPr>
        <w:t>NOT</w:t>
      </w:r>
      <w:r>
        <w:rPr>
          <w:rFonts w:ascii="Arial" w:hAnsi="Arial" w:cs="Arial"/>
          <w:sz w:val="22"/>
          <w:szCs w:val="22"/>
        </w:rPr>
        <w:t xml:space="preserve"> were used to combine search terms effectively and enhance retrieval accuracy.</w:t>
      </w:r>
    </w:p>
    <w:p w14:paraId="502E33CA" w14:textId="77777777" w:rsidR="004A7295" w:rsidRDefault="00000000">
      <w:pPr>
        <w:pStyle w:val="Heading3"/>
        <w:spacing w:line="360" w:lineRule="auto"/>
        <w:jc w:val="both"/>
        <w:rPr>
          <w:rFonts w:ascii="Arial" w:hAnsi="Arial" w:cs="Arial"/>
          <w:b/>
          <w:bCs/>
          <w:sz w:val="22"/>
          <w:szCs w:val="22"/>
        </w:rPr>
      </w:pPr>
      <w:r>
        <w:rPr>
          <w:rFonts w:ascii="Arial" w:hAnsi="Arial" w:cs="Arial"/>
          <w:b/>
          <w:bCs/>
          <w:sz w:val="22"/>
          <w:szCs w:val="22"/>
        </w:rPr>
        <w:t>3.3 Inclusion and Exclusion Criteria</w:t>
      </w:r>
    </w:p>
    <w:p w14:paraId="502E33CB" w14:textId="77777777" w:rsidR="004A7295" w:rsidRDefault="00000000">
      <w:pPr>
        <w:pStyle w:val="NormalWeb"/>
        <w:spacing w:line="360" w:lineRule="auto"/>
        <w:jc w:val="both"/>
        <w:rPr>
          <w:rFonts w:ascii="Arial" w:hAnsi="Arial" w:cs="Arial"/>
          <w:sz w:val="22"/>
          <w:szCs w:val="22"/>
        </w:rPr>
      </w:pPr>
      <w:r>
        <w:rPr>
          <w:rFonts w:ascii="Arial" w:hAnsi="Arial" w:cs="Arial"/>
          <w:sz w:val="22"/>
          <w:szCs w:val="22"/>
        </w:rPr>
        <w:t>A rigorous set of inclusion and exclusion criteria was established to ensure the relevance and quality of selected literature.</w:t>
      </w:r>
    </w:p>
    <w:p w14:paraId="502E33CC" w14:textId="77777777" w:rsidR="004A7295" w:rsidRDefault="00000000">
      <w:pPr>
        <w:pStyle w:val="NormalWeb"/>
        <w:spacing w:line="360" w:lineRule="auto"/>
        <w:jc w:val="both"/>
        <w:rPr>
          <w:rFonts w:ascii="Arial" w:hAnsi="Arial" w:cs="Arial"/>
          <w:sz w:val="22"/>
          <w:szCs w:val="22"/>
        </w:rPr>
      </w:pPr>
      <w:r>
        <w:rPr>
          <w:rStyle w:val="Strong"/>
          <w:rFonts w:ascii="Arial" w:hAnsi="Arial" w:cs="Arial"/>
          <w:sz w:val="22"/>
          <w:szCs w:val="22"/>
        </w:rPr>
        <w:t>Inclusion Criteria:</w:t>
      </w:r>
    </w:p>
    <w:p w14:paraId="502E33CD" w14:textId="77777777" w:rsidR="004A7295" w:rsidRDefault="00000000">
      <w:pPr>
        <w:pStyle w:val="ListParagraph"/>
        <w:widowControl/>
        <w:numPr>
          <w:ilvl w:val="0"/>
          <w:numId w:val="3"/>
        </w:numPr>
        <w:autoSpaceDE/>
        <w:autoSpaceDN/>
        <w:spacing w:after="160" w:line="360" w:lineRule="auto"/>
        <w:contextualSpacing/>
        <w:jc w:val="both"/>
        <w:rPr>
          <w:rFonts w:ascii="Arial" w:hAnsi="Arial" w:cs="Arial"/>
        </w:rPr>
      </w:pPr>
      <w:r>
        <w:rPr>
          <w:rFonts w:ascii="Arial" w:hAnsi="Arial" w:cs="Arial"/>
        </w:rPr>
        <w:t>Research focusing on older patient recovery in the UK</w:t>
      </w:r>
    </w:p>
    <w:p w14:paraId="502E33CE" w14:textId="77777777" w:rsidR="004A7295" w:rsidRDefault="00000000">
      <w:pPr>
        <w:pStyle w:val="ListParagraph"/>
        <w:widowControl/>
        <w:numPr>
          <w:ilvl w:val="0"/>
          <w:numId w:val="4"/>
        </w:numPr>
        <w:autoSpaceDE/>
        <w:autoSpaceDN/>
        <w:spacing w:after="160" w:line="360" w:lineRule="auto"/>
        <w:contextualSpacing/>
        <w:jc w:val="both"/>
        <w:rPr>
          <w:rFonts w:ascii="Arial" w:hAnsi="Arial" w:cs="Arial"/>
        </w:rPr>
      </w:pPr>
      <w:r>
        <w:rPr>
          <w:rFonts w:ascii="Arial" w:hAnsi="Arial" w:cs="Arial"/>
        </w:rPr>
        <w:t>Research on Integrated care services in the UK</w:t>
      </w:r>
    </w:p>
    <w:p w14:paraId="502E33CF" w14:textId="77777777" w:rsidR="004A7295" w:rsidRDefault="00000000">
      <w:pPr>
        <w:pStyle w:val="ListParagraph"/>
        <w:widowControl/>
        <w:numPr>
          <w:ilvl w:val="0"/>
          <w:numId w:val="3"/>
        </w:numPr>
        <w:autoSpaceDE/>
        <w:autoSpaceDN/>
        <w:spacing w:after="160" w:line="360" w:lineRule="auto"/>
        <w:contextualSpacing/>
        <w:jc w:val="both"/>
        <w:rPr>
          <w:rFonts w:ascii="Arial" w:hAnsi="Arial" w:cs="Arial"/>
        </w:rPr>
      </w:pPr>
      <w:r>
        <w:rPr>
          <w:rFonts w:ascii="Arial" w:hAnsi="Arial" w:cs="Arial"/>
        </w:rPr>
        <w:lastRenderedPageBreak/>
        <w:t>Studies employing only primary research methods</w:t>
      </w:r>
    </w:p>
    <w:p w14:paraId="502E33D0" w14:textId="77777777" w:rsidR="004A7295" w:rsidRDefault="00000000">
      <w:pPr>
        <w:pStyle w:val="ListParagraph"/>
        <w:widowControl/>
        <w:numPr>
          <w:ilvl w:val="0"/>
          <w:numId w:val="3"/>
        </w:numPr>
        <w:autoSpaceDE/>
        <w:autoSpaceDN/>
        <w:spacing w:after="160" w:line="360" w:lineRule="auto"/>
        <w:contextualSpacing/>
        <w:jc w:val="both"/>
        <w:rPr>
          <w:rFonts w:ascii="Arial" w:hAnsi="Arial" w:cs="Arial"/>
        </w:rPr>
      </w:pPr>
      <w:r>
        <w:rPr>
          <w:rFonts w:ascii="Arial" w:hAnsi="Arial" w:cs="Arial"/>
        </w:rPr>
        <w:t>Publications from 2015 to 2025</w:t>
      </w:r>
    </w:p>
    <w:p w14:paraId="502E33D1" w14:textId="77777777" w:rsidR="004A7295" w:rsidRDefault="00000000">
      <w:pPr>
        <w:spacing w:line="360" w:lineRule="auto"/>
        <w:jc w:val="both"/>
        <w:rPr>
          <w:rFonts w:ascii="Arial" w:hAnsi="Arial" w:cs="Arial"/>
          <w:b/>
          <w:bCs/>
        </w:rPr>
      </w:pPr>
      <w:r>
        <w:rPr>
          <w:rFonts w:ascii="Arial" w:hAnsi="Arial" w:cs="Arial"/>
          <w:b/>
          <w:bCs/>
        </w:rPr>
        <w:t>Exclusion Criteria</w:t>
      </w:r>
    </w:p>
    <w:p w14:paraId="502E33D2" w14:textId="77777777" w:rsidR="004A7295" w:rsidRDefault="00000000">
      <w:pPr>
        <w:pStyle w:val="ListParagraph"/>
        <w:widowControl/>
        <w:numPr>
          <w:ilvl w:val="0"/>
          <w:numId w:val="5"/>
        </w:numPr>
        <w:autoSpaceDE/>
        <w:autoSpaceDN/>
        <w:spacing w:after="160" w:line="360" w:lineRule="auto"/>
        <w:contextualSpacing/>
        <w:jc w:val="both"/>
        <w:rPr>
          <w:rFonts w:ascii="Arial" w:hAnsi="Arial" w:cs="Arial"/>
        </w:rPr>
      </w:pPr>
      <w:r>
        <w:rPr>
          <w:rFonts w:ascii="Arial" w:hAnsi="Arial" w:cs="Arial"/>
        </w:rPr>
        <w:t xml:space="preserve">Studies not related to patients in the UK </w:t>
      </w:r>
    </w:p>
    <w:p w14:paraId="502E33D3" w14:textId="77777777" w:rsidR="004A7295" w:rsidRDefault="00000000">
      <w:pPr>
        <w:pStyle w:val="ListParagraph"/>
        <w:widowControl/>
        <w:numPr>
          <w:ilvl w:val="0"/>
          <w:numId w:val="5"/>
        </w:numPr>
        <w:autoSpaceDE/>
        <w:autoSpaceDN/>
        <w:spacing w:after="160" w:line="360" w:lineRule="auto"/>
        <w:contextualSpacing/>
        <w:jc w:val="both"/>
        <w:rPr>
          <w:rFonts w:ascii="Arial" w:hAnsi="Arial" w:cs="Arial"/>
        </w:rPr>
      </w:pPr>
      <w:r>
        <w:rPr>
          <w:rFonts w:ascii="Arial" w:hAnsi="Arial" w:cs="Arial"/>
        </w:rPr>
        <w:t>Research using secondary methodologies</w:t>
      </w:r>
    </w:p>
    <w:p w14:paraId="502E33D4" w14:textId="77777777" w:rsidR="004A7295" w:rsidRDefault="00000000">
      <w:pPr>
        <w:pStyle w:val="ListParagraph"/>
        <w:widowControl/>
        <w:numPr>
          <w:ilvl w:val="0"/>
          <w:numId w:val="5"/>
        </w:numPr>
        <w:autoSpaceDE/>
        <w:autoSpaceDN/>
        <w:spacing w:after="160" w:line="360" w:lineRule="auto"/>
        <w:contextualSpacing/>
        <w:jc w:val="both"/>
        <w:rPr>
          <w:rFonts w:ascii="Arial" w:hAnsi="Arial" w:cs="Arial"/>
        </w:rPr>
      </w:pPr>
      <w:r>
        <w:rPr>
          <w:rFonts w:ascii="Arial" w:hAnsi="Arial" w:cs="Arial"/>
        </w:rPr>
        <w:t>Publication released before 2015</w:t>
      </w:r>
    </w:p>
    <w:p w14:paraId="502E33D5" w14:textId="77777777" w:rsidR="004A7295" w:rsidRDefault="00000000">
      <w:pPr>
        <w:pStyle w:val="ListParagraph"/>
        <w:widowControl/>
        <w:numPr>
          <w:ilvl w:val="0"/>
          <w:numId w:val="5"/>
        </w:numPr>
        <w:autoSpaceDE/>
        <w:autoSpaceDN/>
        <w:spacing w:after="160" w:line="360" w:lineRule="auto"/>
        <w:contextualSpacing/>
        <w:jc w:val="both"/>
        <w:rPr>
          <w:rFonts w:ascii="Arial" w:hAnsi="Arial" w:cs="Arial"/>
        </w:rPr>
      </w:pPr>
      <w:r>
        <w:rPr>
          <w:rFonts w:ascii="Arial" w:hAnsi="Arial" w:cs="Arial"/>
        </w:rPr>
        <w:t>Studies not published in the English language</w:t>
      </w:r>
    </w:p>
    <w:p w14:paraId="502E33D6" w14:textId="77777777" w:rsidR="004A7295" w:rsidRDefault="004A7295">
      <w:pPr>
        <w:pStyle w:val="Heading3"/>
        <w:spacing w:line="360" w:lineRule="auto"/>
        <w:jc w:val="both"/>
        <w:rPr>
          <w:rFonts w:ascii="Arial" w:hAnsi="Arial" w:cs="Arial"/>
          <w:sz w:val="22"/>
          <w:szCs w:val="22"/>
        </w:rPr>
      </w:pPr>
    </w:p>
    <w:p w14:paraId="502E33D7" w14:textId="77777777" w:rsidR="004A7295" w:rsidRDefault="00000000">
      <w:pPr>
        <w:pStyle w:val="Heading3"/>
        <w:spacing w:line="360" w:lineRule="auto"/>
        <w:jc w:val="both"/>
        <w:rPr>
          <w:rFonts w:ascii="Arial" w:hAnsi="Arial" w:cs="Arial"/>
          <w:b/>
          <w:bCs/>
          <w:sz w:val="22"/>
          <w:szCs w:val="22"/>
        </w:rPr>
      </w:pPr>
      <w:r>
        <w:rPr>
          <w:rFonts w:ascii="Arial" w:hAnsi="Arial" w:cs="Arial"/>
          <w:b/>
          <w:bCs/>
          <w:sz w:val="22"/>
          <w:szCs w:val="22"/>
        </w:rPr>
        <w:t>Identifying Keywords</w:t>
      </w:r>
    </w:p>
    <w:p w14:paraId="502E33D8" w14:textId="77777777" w:rsidR="004A7295" w:rsidRDefault="00000000">
      <w:pPr>
        <w:pStyle w:val="NormalWeb"/>
        <w:spacing w:line="360" w:lineRule="auto"/>
        <w:jc w:val="both"/>
        <w:rPr>
          <w:rFonts w:ascii="Arial" w:hAnsi="Arial" w:cs="Arial"/>
          <w:sz w:val="22"/>
          <w:szCs w:val="22"/>
        </w:rPr>
      </w:pPr>
      <w:r>
        <w:rPr>
          <w:rFonts w:ascii="Arial" w:hAnsi="Arial" w:cs="Arial"/>
          <w:sz w:val="22"/>
          <w:szCs w:val="22"/>
        </w:rPr>
        <w:t>Keywords were identified through preliminary scoping searches and were refined throughout the process to ensure coverage and specificity. The final keywords used included:</w:t>
      </w:r>
    </w:p>
    <w:p w14:paraId="502E33D9" w14:textId="77777777" w:rsidR="004A7295" w:rsidRDefault="00000000">
      <w:pPr>
        <w:pStyle w:val="ListParagraph"/>
        <w:widowControl/>
        <w:numPr>
          <w:ilvl w:val="0"/>
          <w:numId w:val="4"/>
        </w:numPr>
        <w:autoSpaceDE/>
        <w:autoSpaceDN/>
        <w:spacing w:after="160" w:line="360" w:lineRule="auto"/>
        <w:contextualSpacing/>
        <w:jc w:val="both"/>
        <w:rPr>
          <w:rFonts w:ascii="Arial" w:hAnsi="Arial" w:cs="Arial"/>
        </w:rPr>
      </w:pPr>
      <w:r>
        <w:rPr>
          <w:rFonts w:ascii="Arial" w:hAnsi="Arial" w:cs="Arial"/>
        </w:rPr>
        <w:t>Integrated care services</w:t>
      </w:r>
    </w:p>
    <w:p w14:paraId="502E33DA" w14:textId="77777777" w:rsidR="004A7295" w:rsidRDefault="00000000">
      <w:pPr>
        <w:pStyle w:val="ListParagraph"/>
        <w:widowControl/>
        <w:numPr>
          <w:ilvl w:val="0"/>
          <w:numId w:val="4"/>
        </w:numPr>
        <w:autoSpaceDE/>
        <w:autoSpaceDN/>
        <w:spacing w:after="160" w:line="360" w:lineRule="auto"/>
        <w:contextualSpacing/>
        <w:jc w:val="both"/>
        <w:rPr>
          <w:rFonts w:ascii="Arial" w:hAnsi="Arial" w:cs="Arial"/>
        </w:rPr>
      </w:pPr>
      <w:r>
        <w:rPr>
          <w:rFonts w:ascii="Arial" w:hAnsi="Arial" w:cs="Arial"/>
        </w:rPr>
        <w:t>Healthcare delivery</w:t>
      </w:r>
    </w:p>
    <w:p w14:paraId="502E33DB" w14:textId="77777777" w:rsidR="004A7295" w:rsidRDefault="00000000">
      <w:pPr>
        <w:pStyle w:val="ListParagraph"/>
        <w:widowControl/>
        <w:numPr>
          <w:ilvl w:val="0"/>
          <w:numId w:val="4"/>
        </w:numPr>
        <w:autoSpaceDE/>
        <w:autoSpaceDN/>
        <w:spacing w:after="160" w:line="360" w:lineRule="auto"/>
        <w:contextualSpacing/>
        <w:jc w:val="both"/>
        <w:rPr>
          <w:rFonts w:ascii="Arial" w:hAnsi="Arial" w:cs="Arial"/>
        </w:rPr>
      </w:pPr>
      <w:r>
        <w:rPr>
          <w:rFonts w:ascii="Arial" w:hAnsi="Arial" w:cs="Arial"/>
        </w:rPr>
        <w:t xml:space="preserve">Patient satisfaction levels </w:t>
      </w:r>
    </w:p>
    <w:p w14:paraId="502E33DC" w14:textId="77777777" w:rsidR="004A7295" w:rsidRDefault="00000000">
      <w:pPr>
        <w:pStyle w:val="ListParagraph"/>
        <w:widowControl/>
        <w:numPr>
          <w:ilvl w:val="0"/>
          <w:numId w:val="4"/>
        </w:numPr>
        <w:autoSpaceDE/>
        <w:autoSpaceDN/>
        <w:spacing w:after="160" w:line="360" w:lineRule="auto"/>
        <w:contextualSpacing/>
        <w:jc w:val="both"/>
        <w:rPr>
          <w:rFonts w:ascii="Arial" w:hAnsi="Arial" w:cs="Arial"/>
        </w:rPr>
      </w:pPr>
      <w:r>
        <w:rPr>
          <w:rFonts w:ascii="Arial" w:hAnsi="Arial" w:cs="Arial"/>
        </w:rPr>
        <w:t>UK healthcare system</w:t>
      </w:r>
    </w:p>
    <w:p w14:paraId="502E33DD" w14:textId="77777777" w:rsidR="004A7295" w:rsidRDefault="00000000">
      <w:pPr>
        <w:pStyle w:val="NormalWeb"/>
        <w:spacing w:line="360" w:lineRule="auto"/>
        <w:jc w:val="both"/>
        <w:rPr>
          <w:rFonts w:ascii="Arial" w:hAnsi="Arial" w:cs="Arial"/>
          <w:sz w:val="22"/>
          <w:szCs w:val="22"/>
        </w:rPr>
      </w:pPr>
      <w:r>
        <w:rPr>
          <w:rFonts w:ascii="Arial" w:hAnsi="Arial" w:cs="Arial"/>
          <w:sz w:val="22"/>
          <w:szCs w:val="22"/>
        </w:rPr>
        <w:t>These keywords were used in various combinations to capture a broad spectrum of relevant literature.</w:t>
      </w:r>
    </w:p>
    <w:p w14:paraId="502E33DE" w14:textId="77777777" w:rsidR="004A7295" w:rsidRDefault="00000000">
      <w:pPr>
        <w:pStyle w:val="Heading3"/>
        <w:spacing w:line="360" w:lineRule="auto"/>
        <w:jc w:val="both"/>
        <w:rPr>
          <w:rFonts w:ascii="Arial" w:hAnsi="Arial" w:cs="Arial"/>
          <w:b/>
          <w:bCs/>
          <w:sz w:val="22"/>
          <w:szCs w:val="22"/>
        </w:rPr>
      </w:pPr>
      <w:r>
        <w:rPr>
          <w:rFonts w:ascii="Arial" w:hAnsi="Arial" w:cs="Arial"/>
          <w:b/>
          <w:bCs/>
          <w:sz w:val="22"/>
          <w:szCs w:val="22"/>
        </w:rPr>
        <w:t>3.4 Data Collection / Process of Collecting Articles</w:t>
      </w:r>
    </w:p>
    <w:p w14:paraId="502E33DF" w14:textId="77777777" w:rsidR="004A7295" w:rsidRDefault="00000000">
      <w:pPr>
        <w:pStyle w:val="NormalWeb"/>
        <w:spacing w:line="360" w:lineRule="auto"/>
        <w:jc w:val="both"/>
        <w:rPr>
          <w:rFonts w:ascii="Arial" w:hAnsi="Arial" w:cs="Arial"/>
          <w:sz w:val="22"/>
          <w:szCs w:val="22"/>
        </w:rPr>
      </w:pPr>
      <w:r>
        <w:rPr>
          <w:rFonts w:ascii="Arial" w:hAnsi="Arial" w:cs="Arial"/>
          <w:sz w:val="22"/>
          <w:szCs w:val="22"/>
        </w:rPr>
        <w:t>Data collection involved retrieving full-text articles that met the inclusion criteria (</w:t>
      </w:r>
      <w:r>
        <w:rPr>
          <w:rFonts w:ascii="Arial" w:hAnsi="Arial" w:cs="Arial"/>
          <w:sz w:val="22"/>
          <w:szCs w:val="22"/>
          <w:lang w:bidi="ar"/>
        </w:rPr>
        <w:t>Booth et al., 2020)</w:t>
      </w:r>
      <w:r>
        <w:rPr>
          <w:rFonts w:ascii="Arial" w:hAnsi="Arial" w:cs="Arial"/>
          <w:sz w:val="22"/>
          <w:szCs w:val="22"/>
        </w:rPr>
        <w:t xml:space="preserve">. After searching, all results were imported into a file to facilitate organisation and remove duplicates. Articles were initially screened by </w:t>
      </w:r>
      <w:r>
        <w:rPr>
          <w:rStyle w:val="Strong"/>
          <w:rFonts w:ascii="Arial" w:hAnsi="Arial" w:cs="Arial"/>
          <w:b w:val="0"/>
          <w:bCs w:val="0"/>
          <w:sz w:val="22"/>
          <w:szCs w:val="22"/>
        </w:rPr>
        <w:t>title and abstract</w:t>
      </w:r>
      <w:r>
        <w:rPr>
          <w:rFonts w:ascii="Arial" w:hAnsi="Arial" w:cs="Arial"/>
          <w:sz w:val="22"/>
          <w:szCs w:val="22"/>
        </w:rPr>
        <w:t xml:space="preserve">, followed by </w:t>
      </w:r>
      <w:r>
        <w:rPr>
          <w:rStyle w:val="Strong"/>
          <w:rFonts w:ascii="Arial" w:hAnsi="Arial" w:cs="Arial"/>
          <w:b w:val="0"/>
          <w:bCs w:val="0"/>
          <w:sz w:val="22"/>
          <w:szCs w:val="22"/>
        </w:rPr>
        <w:t>full-text review</w:t>
      </w:r>
      <w:r>
        <w:rPr>
          <w:rFonts w:ascii="Arial" w:hAnsi="Arial" w:cs="Arial"/>
          <w:sz w:val="22"/>
          <w:szCs w:val="22"/>
        </w:rPr>
        <w:t xml:space="preserve"> to ensure they met the inclusion criteria. A data extraction form was developed to record essential information (</w:t>
      </w:r>
      <w:r>
        <w:rPr>
          <w:rFonts w:ascii="Arial" w:hAnsi="Arial" w:cs="Arial"/>
          <w:sz w:val="22"/>
          <w:szCs w:val="22"/>
          <w:lang w:bidi="ar"/>
        </w:rPr>
        <w:t>Buchter et al., 2020)</w:t>
      </w:r>
      <w:r>
        <w:rPr>
          <w:rFonts w:ascii="Arial" w:hAnsi="Arial" w:cs="Arial"/>
          <w:sz w:val="22"/>
          <w:szCs w:val="22"/>
        </w:rPr>
        <w:t>, including:</w:t>
      </w:r>
    </w:p>
    <w:p w14:paraId="502E33E0" w14:textId="77777777" w:rsidR="004A7295" w:rsidRDefault="00000000">
      <w:pPr>
        <w:pStyle w:val="NormalWeb"/>
        <w:numPr>
          <w:ilvl w:val="0"/>
          <w:numId w:val="6"/>
        </w:numPr>
        <w:spacing w:before="0" w:after="0" w:line="360" w:lineRule="auto"/>
        <w:jc w:val="both"/>
        <w:rPr>
          <w:rFonts w:ascii="Arial" w:hAnsi="Arial" w:cs="Arial"/>
          <w:sz w:val="22"/>
          <w:szCs w:val="22"/>
        </w:rPr>
      </w:pPr>
      <w:r>
        <w:rPr>
          <w:rFonts w:ascii="Arial" w:hAnsi="Arial" w:cs="Arial"/>
          <w:sz w:val="22"/>
          <w:szCs w:val="22"/>
        </w:rPr>
        <w:t>Author(s) and year of publication</w:t>
      </w:r>
    </w:p>
    <w:p w14:paraId="502E33E1" w14:textId="77777777" w:rsidR="004A7295" w:rsidRDefault="00000000">
      <w:pPr>
        <w:pStyle w:val="NormalWeb"/>
        <w:numPr>
          <w:ilvl w:val="0"/>
          <w:numId w:val="6"/>
        </w:numPr>
        <w:spacing w:before="0" w:after="0" w:line="360" w:lineRule="auto"/>
        <w:jc w:val="both"/>
        <w:rPr>
          <w:rFonts w:ascii="Arial" w:hAnsi="Arial" w:cs="Arial"/>
          <w:sz w:val="22"/>
          <w:szCs w:val="22"/>
        </w:rPr>
      </w:pPr>
      <w:r>
        <w:rPr>
          <w:rFonts w:ascii="Arial" w:hAnsi="Arial" w:cs="Arial"/>
          <w:sz w:val="22"/>
          <w:szCs w:val="22"/>
        </w:rPr>
        <w:t>Aim and scope of study</w:t>
      </w:r>
    </w:p>
    <w:p w14:paraId="502E33E2" w14:textId="77777777" w:rsidR="004A7295" w:rsidRDefault="00000000">
      <w:pPr>
        <w:pStyle w:val="NormalWeb"/>
        <w:numPr>
          <w:ilvl w:val="0"/>
          <w:numId w:val="6"/>
        </w:numPr>
        <w:spacing w:before="0" w:after="0" w:line="360" w:lineRule="auto"/>
        <w:jc w:val="both"/>
        <w:rPr>
          <w:rFonts w:ascii="Arial" w:hAnsi="Arial" w:cs="Arial"/>
          <w:sz w:val="22"/>
          <w:szCs w:val="22"/>
        </w:rPr>
      </w:pPr>
      <w:r>
        <w:rPr>
          <w:rFonts w:ascii="Arial" w:hAnsi="Arial" w:cs="Arial"/>
          <w:sz w:val="22"/>
          <w:szCs w:val="22"/>
        </w:rPr>
        <w:t>Methodology</w:t>
      </w:r>
    </w:p>
    <w:p w14:paraId="502E33E3" w14:textId="77777777" w:rsidR="004A7295" w:rsidRDefault="00000000">
      <w:pPr>
        <w:pStyle w:val="NormalWeb"/>
        <w:numPr>
          <w:ilvl w:val="0"/>
          <w:numId w:val="6"/>
        </w:numPr>
        <w:spacing w:before="0" w:after="0" w:line="360" w:lineRule="auto"/>
        <w:jc w:val="both"/>
        <w:rPr>
          <w:rFonts w:ascii="Arial" w:hAnsi="Arial" w:cs="Arial"/>
          <w:sz w:val="22"/>
          <w:szCs w:val="22"/>
        </w:rPr>
      </w:pPr>
      <w:r>
        <w:rPr>
          <w:rFonts w:ascii="Arial" w:hAnsi="Arial" w:cs="Arial"/>
          <w:sz w:val="22"/>
          <w:szCs w:val="22"/>
        </w:rPr>
        <w:t>Key findings related to integrated care</w:t>
      </w:r>
    </w:p>
    <w:p w14:paraId="502E33E4" w14:textId="77777777" w:rsidR="004A7295" w:rsidRDefault="00000000">
      <w:pPr>
        <w:pStyle w:val="NormalWeb"/>
        <w:numPr>
          <w:ilvl w:val="0"/>
          <w:numId w:val="6"/>
        </w:numPr>
        <w:spacing w:before="0" w:after="0" w:line="360" w:lineRule="auto"/>
        <w:jc w:val="both"/>
        <w:rPr>
          <w:rFonts w:ascii="Arial" w:hAnsi="Arial" w:cs="Arial"/>
          <w:sz w:val="22"/>
          <w:szCs w:val="22"/>
        </w:rPr>
      </w:pPr>
      <w:r>
        <w:rPr>
          <w:rFonts w:ascii="Arial" w:hAnsi="Arial" w:cs="Arial"/>
          <w:sz w:val="22"/>
          <w:szCs w:val="22"/>
        </w:rPr>
        <w:t>Implications for older adults and service providers</w:t>
      </w:r>
    </w:p>
    <w:p w14:paraId="502E33E5" w14:textId="77777777" w:rsidR="004A7295" w:rsidRDefault="004A7295">
      <w:pPr>
        <w:pStyle w:val="Heading3"/>
        <w:spacing w:line="360" w:lineRule="auto"/>
        <w:jc w:val="both"/>
        <w:rPr>
          <w:rFonts w:ascii="Arial" w:hAnsi="Arial" w:cs="Arial"/>
          <w:b/>
          <w:bCs/>
          <w:sz w:val="22"/>
          <w:szCs w:val="22"/>
        </w:rPr>
      </w:pPr>
    </w:p>
    <w:p w14:paraId="502E33E6" w14:textId="77777777" w:rsidR="004A7295" w:rsidRDefault="004A7295">
      <w:pPr>
        <w:pStyle w:val="Heading3"/>
        <w:spacing w:line="360" w:lineRule="auto"/>
        <w:jc w:val="both"/>
        <w:rPr>
          <w:rFonts w:ascii="Arial" w:hAnsi="Arial" w:cs="Arial"/>
          <w:b/>
          <w:bCs/>
          <w:sz w:val="22"/>
          <w:szCs w:val="22"/>
        </w:rPr>
      </w:pPr>
    </w:p>
    <w:p w14:paraId="502E33E7" w14:textId="77777777" w:rsidR="004A7295" w:rsidRDefault="004A7295">
      <w:pPr>
        <w:pStyle w:val="Heading3"/>
        <w:spacing w:line="360" w:lineRule="auto"/>
        <w:jc w:val="both"/>
        <w:rPr>
          <w:rFonts w:ascii="Arial" w:hAnsi="Arial" w:cs="Arial"/>
          <w:b/>
          <w:bCs/>
          <w:sz w:val="22"/>
          <w:szCs w:val="22"/>
        </w:rPr>
      </w:pPr>
    </w:p>
    <w:p w14:paraId="502E33E8" w14:textId="77777777" w:rsidR="004A7295" w:rsidRDefault="00000000">
      <w:pPr>
        <w:pStyle w:val="Heading3"/>
        <w:spacing w:line="360" w:lineRule="auto"/>
        <w:jc w:val="both"/>
        <w:rPr>
          <w:rFonts w:ascii="Arial" w:hAnsi="Arial" w:cs="Arial"/>
          <w:b/>
          <w:bCs/>
          <w:sz w:val="22"/>
          <w:szCs w:val="22"/>
        </w:rPr>
      </w:pPr>
      <w:r>
        <w:rPr>
          <w:rFonts w:ascii="Arial" w:hAnsi="Arial" w:cs="Arial"/>
          <w:b/>
          <w:bCs/>
          <w:sz w:val="22"/>
          <w:szCs w:val="22"/>
        </w:rPr>
        <w:t>3.5 Data Analysis</w:t>
      </w:r>
    </w:p>
    <w:p w14:paraId="502E33E9" w14:textId="77777777" w:rsidR="004A7295" w:rsidRDefault="00000000">
      <w:pPr>
        <w:pStyle w:val="NormalWeb"/>
        <w:spacing w:line="360" w:lineRule="auto"/>
        <w:jc w:val="both"/>
        <w:rPr>
          <w:rFonts w:ascii="Arial" w:hAnsi="Arial" w:cs="Arial"/>
          <w:sz w:val="22"/>
          <w:szCs w:val="22"/>
        </w:rPr>
      </w:pPr>
      <w:r>
        <w:rPr>
          <w:rFonts w:ascii="Arial" w:hAnsi="Arial" w:cs="Arial"/>
          <w:sz w:val="22"/>
          <w:szCs w:val="22"/>
        </w:rPr>
        <w:t xml:space="preserve">The selected articles were analysed using the </w:t>
      </w:r>
      <w:r>
        <w:rPr>
          <w:rStyle w:val="Strong"/>
          <w:rFonts w:ascii="Arial" w:hAnsi="Arial" w:cs="Arial"/>
          <w:b w:val="0"/>
          <w:bCs w:val="0"/>
          <w:sz w:val="22"/>
          <w:szCs w:val="22"/>
        </w:rPr>
        <w:t xml:space="preserve">thematic analysis approach developed by </w:t>
      </w:r>
      <w:r>
        <w:rPr>
          <w:rFonts w:ascii="Arial" w:hAnsi="Arial" w:cs="Arial"/>
          <w:sz w:val="22"/>
          <w:szCs w:val="22"/>
        </w:rPr>
        <w:t xml:space="preserve">Virginia Braun and Victoria Clarke (2006), </w:t>
      </w:r>
      <w:r>
        <w:rPr>
          <w:rFonts w:ascii="Arial" w:hAnsi="Arial" w:cs="Arial"/>
          <w:sz w:val="22"/>
          <w:szCs w:val="22"/>
          <w:lang w:bidi="ar"/>
        </w:rPr>
        <w:t>Braun and Clarke (2019;2023)</w:t>
      </w:r>
      <w:r>
        <w:rPr>
          <w:rFonts w:ascii="Arial" w:hAnsi="Arial" w:cs="Arial"/>
          <w:sz w:val="22"/>
          <w:szCs w:val="22"/>
        </w:rPr>
        <w:t>. This method is widely regarded for its flexibility and systematic processes of identifying, analysing, and reporting patterns (themes) within data (</w:t>
      </w:r>
      <w:r>
        <w:rPr>
          <w:rFonts w:ascii="Arial" w:hAnsi="Arial" w:cs="Arial"/>
          <w:sz w:val="22"/>
          <w:szCs w:val="22"/>
          <w:lang w:bidi="ar"/>
        </w:rPr>
        <w:t>Braun and Clarke,2022)</w:t>
      </w:r>
      <w:r>
        <w:rPr>
          <w:rFonts w:ascii="Arial" w:hAnsi="Arial" w:cs="Arial"/>
          <w:sz w:val="22"/>
          <w:szCs w:val="22"/>
        </w:rPr>
        <w:t>.</w:t>
      </w:r>
    </w:p>
    <w:p w14:paraId="502E33EA" w14:textId="77777777" w:rsidR="004A7295" w:rsidRDefault="00000000">
      <w:pPr>
        <w:pStyle w:val="Heading4"/>
        <w:spacing w:line="360" w:lineRule="auto"/>
        <w:jc w:val="both"/>
        <w:rPr>
          <w:rFonts w:ascii="Arial" w:hAnsi="Arial" w:cs="Arial"/>
          <w:i w:val="0"/>
          <w:iCs w:val="0"/>
          <w:color w:val="000000" w:themeColor="text1"/>
        </w:rPr>
      </w:pPr>
      <w:r>
        <w:rPr>
          <w:rFonts w:ascii="Arial" w:hAnsi="Arial" w:cs="Arial"/>
          <w:i w:val="0"/>
          <w:iCs w:val="0"/>
          <w:color w:val="000000" w:themeColor="text1"/>
        </w:rPr>
        <w:t xml:space="preserve">3.6.1 Braun and Clarke's Six Phases of Thematic Analysis </w:t>
      </w:r>
      <w:r>
        <w:rPr>
          <w:rFonts w:ascii="Arial" w:hAnsi="Arial" w:cs="Arial"/>
          <w:i w:val="0"/>
          <w:iCs w:val="0"/>
          <w:color w:val="000000" w:themeColor="text1"/>
          <w:lang w:bidi="ar"/>
        </w:rPr>
        <w:t>Braun and Clarke (2019;2023)</w:t>
      </w:r>
      <w:r>
        <w:rPr>
          <w:rFonts w:ascii="Arial" w:hAnsi="Arial" w:cs="Arial"/>
          <w:i w:val="0"/>
          <w:iCs w:val="0"/>
          <w:color w:val="000000" w:themeColor="text1"/>
        </w:rPr>
        <w:t>:</w:t>
      </w:r>
    </w:p>
    <w:p w14:paraId="502E33EB" w14:textId="77777777" w:rsidR="004A7295" w:rsidRDefault="00000000">
      <w:pPr>
        <w:pStyle w:val="NormalWeb"/>
        <w:spacing w:before="0" w:after="0" w:line="360" w:lineRule="auto"/>
        <w:jc w:val="both"/>
        <w:rPr>
          <w:rStyle w:val="Strong"/>
          <w:rFonts w:ascii="Arial" w:hAnsi="Arial" w:cs="Arial"/>
          <w:sz w:val="22"/>
          <w:szCs w:val="22"/>
        </w:rPr>
      </w:pPr>
      <w:r>
        <w:rPr>
          <w:rStyle w:val="Strong"/>
          <w:rFonts w:ascii="Arial" w:hAnsi="Arial" w:cs="Arial"/>
          <w:sz w:val="22"/>
          <w:szCs w:val="22"/>
        </w:rPr>
        <w:t>1. Familiarisation with the data:</w:t>
      </w:r>
    </w:p>
    <w:p w14:paraId="502E33EC" w14:textId="77777777" w:rsidR="004A7295" w:rsidRDefault="00000000">
      <w:pPr>
        <w:pStyle w:val="NormalWeb"/>
        <w:spacing w:before="0" w:after="0" w:line="360" w:lineRule="auto"/>
        <w:jc w:val="both"/>
        <w:rPr>
          <w:rStyle w:val="Strong"/>
          <w:rFonts w:ascii="Arial" w:hAnsi="Arial" w:cs="Arial"/>
          <w:sz w:val="22"/>
          <w:szCs w:val="22"/>
        </w:rPr>
      </w:pPr>
      <w:r>
        <w:rPr>
          <w:rStyle w:val="Strong"/>
          <w:rFonts w:ascii="Arial" w:hAnsi="Arial" w:cs="Arial"/>
          <w:b w:val="0"/>
          <w:bCs w:val="0"/>
          <w:sz w:val="22"/>
          <w:szCs w:val="22"/>
        </w:rPr>
        <w:t>Each selected article was read multiple times to gain a thorough understanding of its content and context</w:t>
      </w:r>
      <w:r>
        <w:rPr>
          <w:rStyle w:val="Strong"/>
          <w:rFonts w:ascii="Arial" w:hAnsi="Arial" w:cs="Arial"/>
          <w:sz w:val="22"/>
          <w:szCs w:val="22"/>
        </w:rPr>
        <w:t>.</w:t>
      </w:r>
    </w:p>
    <w:p w14:paraId="502E33ED" w14:textId="77777777" w:rsidR="004A7295" w:rsidRDefault="00000000">
      <w:pPr>
        <w:pStyle w:val="NormalWeb"/>
        <w:spacing w:line="360" w:lineRule="auto"/>
        <w:jc w:val="both"/>
        <w:rPr>
          <w:rFonts w:ascii="Arial" w:hAnsi="Arial" w:cs="Arial"/>
          <w:sz w:val="22"/>
          <w:szCs w:val="22"/>
        </w:rPr>
      </w:pPr>
      <w:r>
        <w:rPr>
          <w:rFonts w:ascii="Arial" w:hAnsi="Arial" w:cs="Arial"/>
          <w:b/>
          <w:bCs/>
          <w:sz w:val="22"/>
          <w:szCs w:val="22"/>
        </w:rPr>
        <w:t>2</w:t>
      </w:r>
      <w:r>
        <w:rPr>
          <w:rFonts w:ascii="Arial" w:hAnsi="Arial" w:cs="Arial"/>
          <w:sz w:val="22"/>
          <w:szCs w:val="22"/>
        </w:rPr>
        <w:t xml:space="preserve">. </w:t>
      </w:r>
      <w:r>
        <w:rPr>
          <w:rFonts w:ascii="Arial" w:hAnsi="Arial" w:cs="Arial"/>
          <w:b/>
          <w:bCs/>
          <w:sz w:val="22"/>
          <w:szCs w:val="22"/>
        </w:rPr>
        <w:t>Generating Initial Codes</w:t>
      </w:r>
      <w:r>
        <w:rPr>
          <w:rFonts w:ascii="Arial" w:hAnsi="Arial" w:cs="Arial"/>
          <w:sz w:val="22"/>
          <w:szCs w:val="22"/>
        </w:rPr>
        <w:t>:</w:t>
      </w:r>
    </w:p>
    <w:p w14:paraId="502E33EE" w14:textId="77777777" w:rsidR="004A7295" w:rsidRDefault="00000000">
      <w:pPr>
        <w:pStyle w:val="NormalWeb"/>
        <w:spacing w:line="360" w:lineRule="auto"/>
        <w:jc w:val="both"/>
        <w:rPr>
          <w:rFonts w:ascii="Arial" w:hAnsi="Arial" w:cs="Arial"/>
          <w:sz w:val="22"/>
          <w:szCs w:val="22"/>
        </w:rPr>
      </w:pPr>
      <w:r>
        <w:rPr>
          <w:rFonts w:ascii="Arial" w:hAnsi="Arial" w:cs="Arial"/>
          <w:sz w:val="22"/>
          <w:szCs w:val="22"/>
        </w:rPr>
        <w:t>Relevant features of the data were coded manually and electronically. Codes reflected recurring patterns such as “interdisciplinary collaboration”, “patient-centred care”, and “barriers to integration.</w:t>
      </w:r>
    </w:p>
    <w:p w14:paraId="502E33EF" w14:textId="77777777" w:rsidR="004A7295" w:rsidRDefault="00000000">
      <w:pPr>
        <w:pStyle w:val="NormalWeb"/>
        <w:spacing w:line="360" w:lineRule="auto"/>
        <w:jc w:val="both"/>
        <w:rPr>
          <w:rFonts w:ascii="Arial" w:hAnsi="Arial" w:cs="Arial"/>
          <w:sz w:val="22"/>
          <w:szCs w:val="22"/>
        </w:rPr>
      </w:pPr>
      <w:r>
        <w:rPr>
          <w:rFonts w:ascii="Arial" w:hAnsi="Arial" w:cs="Arial"/>
          <w:b/>
          <w:bCs/>
          <w:sz w:val="22"/>
          <w:szCs w:val="22"/>
        </w:rPr>
        <w:t>3. Searching for Themes</w:t>
      </w:r>
      <w:r>
        <w:rPr>
          <w:rFonts w:ascii="Arial" w:hAnsi="Arial" w:cs="Arial"/>
          <w:sz w:val="22"/>
          <w:szCs w:val="22"/>
        </w:rPr>
        <w:t>:</w:t>
      </w:r>
    </w:p>
    <w:p w14:paraId="502E33F0" w14:textId="77777777" w:rsidR="004A7295" w:rsidRDefault="00000000">
      <w:pPr>
        <w:pStyle w:val="NormalWeb"/>
        <w:spacing w:line="360" w:lineRule="auto"/>
        <w:jc w:val="both"/>
        <w:rPr>
          <w:rFonts w:ascii="Arial" w:hAnsi="Arial" w:cs="Arial"/>
          <w:sz w:val="22"/>
          <w:szCs w:val="22"/>
        </w:rPr>
      </w:pPr>
      <w:r>
        <w:rPr>
          <w:rFonts w:ascii="Arial" w:hAnsi="Arial" w:cs="Arial"/>
          <w:sz w:val="22"/>
          <w:szCs w:val="22"/>
        </w:rPr>
        <w:t>Codes were then grouped into broader themes such as “Benefits of Integrated Care”, “Challenges in Implementation” and “Impact on Patient Outcomes”.</w:t>
      </w:r>
    </w:p>
    <w:p w14:paraId="502E33F1" w14:textId="77777777" w:rsidR="004A7295" w:rsidRDefault="00000000">
      <w:pPr>
        <w:pStyle w:val="NormalWeb"/>
        <w:spacing w:line="360" w:lineRule="auto"/>
        <w:jc w:val="both"/>
        <w:rPr>
          <w:rFonts w:ascii="Arial" w:hAnsi="Arial" w:cs="Arial"/>
          <w:sz w:val="22"/>
          <w:szCs w:val="22"/>
        </w:rPr>
      </w:pPr>
      <w:r>
        <w:rPr>
          <w:rFonts w:ascii="Arial" w:hAnsi="Arial" w:cs="Arial"/>
          <w:b/>
          <w:bCs/>
          <w:sz w:val="22"/>
          <w:szCs w:val="22"/>
        </w:rPr>
        <w:t>4.  Reviewing Themes</w:t>
      </w:r>
      <w:r>
        <w:rPr>
          <w:rFonts w:ascii="Arial" w:hAnsi="Arial" w:cs="Arial"/>
          <w:sz w:val="22"/>
          <w:szCs w:val="22"/>
        </w:rPr>
        <w:t>:</w:t>
      </w:r>
    </w:p>
    <w:p w14:paraId="502E33F2" w14:textId="77777777" w:rsidR="004A7295" w:rsidRDefault="00000000">
      <w:pPr>
        <w:pStyle w:val="NormalWeb"/>
        <w:spacing w:line="360" w:lineRule="auto"/>
        <w:jc w:val="both"/>
        <w:rPr>
          <w:rStyle w:val="Strong"/>
          <w:rFonts w:ascii="Arial" w:hAnsi="Arial" w:cs="Arial"/>
          <w:b w:val="0"/>
          <w:bCs w:val="0"/>
          <w:sz w:val="22"/>
          <w:szCs w:val="22"/>
        </w:rPr>
      </w:pPr>
      <w:r>
        <w:rPr>
          <w:rFonts w:ascii="Arial" w:hAnsi="Arial" w:cs="Arial"/>
          <w:sz w:val="22"/>
          <w:szCs w:val="22"/>
        </w:rPr>
        <w:t>Themes were reviewed to ensure they accurately represented the data. Redundant or overlapping themes were merged or refined.</w:t>
      </w:r>
    </w:p>
    <w:p w14:paraId="502E33F3" w14:textId="77777777" w:rsidR="004A7295" w:rsidRDefault="00000000">
      <w:pPr>
        <w:pStyle w:val="NormalWeb"/>
        <w:spacing w:line="360" w:lineRule="auto"/>
        <w:jc w:val="both"/>
        <w:rPr>
          <w:rFonts w:ascii="Arial" w:hAnsi="Arial" w:cs="Arial"/>
          <w:b/>
          <w:bCs/>
          <w:sz w:val="22"/>
          <w:szCs w:val="22"/>
        </w:rPr>
      </w:pPr>
      <w:r>
        <w:rPr>
          <w:rFonts w:ascii="Arial" w:hAnsi="Arial" w:cs="Arial"/>
          <w:b/>
          <w:bCs/>
          <w:sz w:val="22"/>
          <w:szCs w:val="22"/>
        </w:rPr>
        <w:t>5. Defining and Naming Themes:</w:t>
      </w:r>
    </w:p>
    <w:p w14:paraId="502E33F4" w14:textId="77777777" w:rsidR="004A7295" w:rsidRDefault="00000000">
      <w:pPr>
        <w:pStyle w:val="NormalWeb"/>
        <w:spacing w:line="360" w:lineRule="auto"/>
        <w:jc w:val="both"/>
        <w:rPr>
          <w:rFonts w:ascii="Arial" w:hAnsi="Arial" w:cs="Arial"/>
          <w:sz w:val="22"/>
          <w:szCs w:val="22"/>
        </w:rPr>
      </w:pPr>
      <w:r>
        <w:rPr>
          <w:rFonts w:ascii="Arial" w:hAnsi="Arial" w:cs="Arial"/>
          <w:sz w:val="22"/>
          <w:szCs w:val="22"/>
        </w:rPr>
        <w:t>Clear definitions were developed for each theme to ensure consistent interpretation. For example, the theme “Systemic Barriers” referred to issues related to policy, funding and inter-organisational communication.</w:t>
      </w:r>
    </w:p>
    <w:p w14:paraId="502E33F5" w14:textId="7CD8A6B8" w:rsidR="004A7295" w:rsidRDefault="00000000">
      <w:pPr>
        <w:pStyle w:val="NormalWeb"/>
        <w:spacing w:line="360" w:lineRule="auto"/>
        <w:jc w:val="both"/>
        <w:rPr>
          <w:rFonts w:ascii="Arial" w:hAnsi="Arial" w:cs="Arial"/>
          <w:sz w:val="22"/>
          <w:szCs w:val="22"/>
        </w:rPr>
      </w:pPr>
      <w:r>
        <w:rPr>
          <w:rFonts w:ascii="Arial" w:hAnsi="Arial" w:cs="Arial"/>
          <w:b/>
          <w:bCs/>
          <w:sz w:val="22"/>
          <w:szCs w:val="22"/>
        </w:rPr>
        <w:t>6. Producing the Report</w:t>
      </w:r>
      <w:r>
        <w:rPr>
          <w:rFonts w:ascii="Arial" w:hAnsi="Arial" w:cs="Arial"/>
          <w:sz w:val="22"/>
          <w:szCs w:val="22"/>
        </w:rPr>
        <w:t>:</w:t>
      </w:r>
    </w:p>
    <w:p w14:paraId="502E33F6" w14:textId="77777777" w:rsidR="004A7295" w:rsidRDefault="00000000">
      <w:pPr>
        <w:pStyle w:val="NormalWeb"/>
        <w:spacing w:line="360" w:lineRule="auto"/>
        <w:jc w:val="both"/>
        <w:rPr>
          <w:rFonts w:ascii="Arial" w:hAnsi="Arial" w:cs="Arial"/>
          <w:sz w:val="22"/>
          <w:szCs w:val="22"/>
        </w:rPr>
      </w:pPr>
      <w:r>
        <w:rPr>
          <w:rFonts w:ascii="Arial" w:hAnsi="Arial" w:cs="Arial"/>
          <w:sz w:val="22"/>
          <w:szCs w:val="22"/>
        </w:rPr>
        <w:lastRenderedPageBreak/>
        <w:t>The themes were used to construct a narrative about how integrated care services affect older adults, drawing on direct evidence from the reviewed interactions.</w:t>
      </w:r>
    </w:p>
    <w:p w14:paraId="502E33F7" w14:textId="77777777" w:rsidR="004A7295" w:rsidRDefault="00000000">
      <w:pPr>
        <w:pStyle w:val="NormalWeb"/>
        <w:spacing w:line="360" w:lineRule="auto"/>
        <w:jc w:val="both"/>
        <w:rPr>
          <w:rFonts w:ascii="Arial" w:hAnsi="Arial" w:cs="Arial"/>
          <w:sz w:val="22"/>
          <w:szCs w:val="22"/>
        </w:rPr>
      </w:pPr>
      <w:r>
        <w:rPr>
          <w:rFonts w:ascii="Arial" w:hAnsi="Arial" w:cs="Arial"/>
          <w:sz w:val="22"/>
          <w:szCs w:val="22"/>
        </w:rPr>
        <w:t xml:space="preserve">According to </w:t>
      </w:r>
      <w:r>
        <w:rPr>
          <w:rFonts w:ascii="Arial" w:hAnsi="Arial" w:cs="Arial"/>
          <w:sz w:val="22"/>
          <w:szCs w:val="22"/>
          <w:lang w:bidi="ar"/>
        </w:rPr>
        <w:t>Braun and Clarke (2022), t</w:t>
      </w:r>
      <w:r>
        <w:rPr>
          <w:rFonts w:ascii="Arial" w:hAnsi="Arial" w:cs="Arial"/>
          <w:sz w:val="22"/>
          <w:szCs w:val="22"/>
        </w:rPr>
        <w:t>his approach allows for a nuanced understanding of the complex dynamics of integrated care, while remaining grounded in empirical evidence.</w:t>
      </w:r>
    </w:p>
    <w:p w14:paraId="502E33F8" w14:textId="77777777" w:rsidR="004A7295" w:rsidRDefault="00000000">
      <w:pPr>
        <w:pStyle w:val="Heading3"/>
        <w:spacing w:line="360" w:lineRule="auto"/>
        <w:jc w:val="both"/>
        <w:rPr>
          <w:rFonts w:ascii="Arial" w:hAnsi="Arial" w:cs="Arial"/>
          <w:b/>
          <w:bCs/>
          <w:sz w:val="22"/>
          <w:szCs w:val="22"/>
        </w:rPr>
      </w:pPr>
      <w:r>
        <w:rPr>
          <w:rFonts w:ascii="Arial" w:hAnsi="Arial" w:cs="Arial"/>
          <w:b/>
          <w:bCs/>
          <w:sz w:val="22"/>
          <w:szCs w:val="22"/>
        </w:rPr>
        <w:t>3.6 Ethical Considerations</w:t>
      </w:r>
    </w:p>
    <w:p w14:paraId="502E33F9" w14:textId="77777777" w:rsidR="004A7295" w:rsidRDefault="00000000">
      <w:pPr>
        <w:pStyle w:val="NormalWeb"/>
        <w:spacing w:line="360" w:lineRule="auto"/>
        <w:jc w:val="both"/>
        <w:rPr>
          <w:rFonts w:ascii="Arial" w:hAnsi="Arial" w:cs="Arial"/>
          <w:sz w:val="22"/>
          <w:szCs w:val="22"/>
        </w:rPr>
      </w:pPr>
      <w:r>
        <w:rPr>
          <w:rFonts w:ascii="Arial" w:hAnsi="Arial" w:cs="Arial"/>
          <w:sz w:val="22"/>
          <w:szCs w:val="22"/>
        </w:rPr>
        <w:t>Since this study is based on a secondary analysis of published data, formal ethical approval was not required. However, ethical research practice was upheld by (</w:t>
      </w:r>
      <w:r>
        <w:rPr>
          <w:rFonts w:ascii="Arial" w:hAnsi="Arial" w:cs="Arial"/>
          <w:sz w:val="22"/>
          <w:szCs w:val="22"/>
          <w:lang w:bidi="ar"/>
        </w:rPr>
        <w:t>Makhoul et al., 2018)</w:t>
      </w:r>
      <w:r>
        <w:rPr>
          <w:rFonts w:ascii="Arial" w:hAnsi="Arial" w:cs="Arial"/>
          <w:sz w:val="22"/>
          <w:szCs w:val="22"/>
        </w:rPr>
        <w:t>:</w:t>
      </w:r>
    </w:p>
    <w:p w14:paraId="502E33FA" w14:textId="77777777" w:rsidR="004A7295" w:rsidRDefault="00000000">
      <w:pPr>
        <w:pStyle w:val="NormalWeb"/>
        <w:numPr>
          <w:ilvl w:val="0"/>
          <w:numId w:val="7"/>
        </w:numPr>
        <w:spacing w:before="0" w:after="0" w:line="360" w:lineRule="auto"/>
        <w:jc w:val="both"/>
        <w:rPr>
          <w:rFonts w:ascii="Arial" w:hAnsi="Arial" w:cs="Arial"/>
          <w:sz w:val="22"/>
          <w:szCs w:val="22"/>
        </w:rPr>
      </w:pPr>
      <w:r>
        <w:rPr>
          <w:rFonts w:ascii="Arial" w:hAnsi="Arial" w:cs="Arial"/>
          <w:sz w:val="22"/>
          <w:szCs w:val="22"/>
        </w:rPr>
        <w:t xml:space="preserve">Ensuring the use of </w:t>
      </w:r>
      <w:r>
        <w:rPr>
          <w:rStyle w:val="Strong"/>
          <w:rFonts w:ascii="Arial" w:hAnsi="Arial" w:cs="Arial"/>
          <w:b w:val="0"/>
          <w:bCs w:val="0"/>
          <w:sz w:val="22"/>
          <w:szCs w:val="22"/>
        </w:rPr>
        <w:t>credible, peer-reviewed sources</w:t>
      </w:r>
    </w:p>
    <w:p w14:paraId="502E33FB" w14:textId="77777777" w:rsidR="004A7295" w:rsidRDefault="00000000">
      <w:pPr>
        <w:pStyle w:val="NormalWeb"/>
        <w:numPr>
          <w:ilvl w:val="0"/>
          <w:numId w:val="7"/>
        </w:numPr>
        <w:spacing w:before="0" w:after="0" w:line="360" w:lineRule="auto"/>
        <w:jc w:val="both"/>
        <w:rPr>
          <w:rFonts w:ascii="Arial" w:hAnsi="Arial" w:cs="Arial"/>
          <w:sz w:val="22"/>
          <w:szCs w:val="22"/>
        </w:rPr>
      </w:pPr>
      <w:r>
        <w:rPr>
          <w:rFonts w:ascii="Arial" w:hAnsi="Arial" w:cs="Arial"/>
          <w:sz w:val="22"/>
          <w:szCs w:val="22"/>
        </w:rPr>
        <w:t xml:space="preserve">Giving proper </w:t>
      </w:r>
      <w:r>
        <w:rPr>
          <w:rStyle w:val="Strong"/>
          <w:rFonts w:ascii="Arial" w:hAnsi="Arial" w:cs="Arial"/>
          <w:b w:val="0"/>
          <w:bCs w:val="0"/>
          <w:sz w:val="22"/>
          <w:szCs w:val="22"/>
        </w:rPr>
        <w:t>acknowledgement through accurate referencing</w:t>
      </w:r>
    </w:p>
    <w:p w14:paraId="502E33FC" w14:textId="77777777" w:rsidR="004A7295" w:rsidRDefault="00000000">
      <w:pPr>
        <w:pStyle w:val="NormalWeb"/>
        <w:numPr>
          <w:ilvl w:val="0"/>
          <w:numId w:val="7"/>
        </w:numPr>
        <w:spacing w:before="0" w:after="0" w:line="360" w:lineRule="auto"/>
        <w:jc w:val="both"/>
        <w:rPr>
          <w:rFonts w:ascii="Arial" w:hAnsi="Arial" w:cs="Arial"/>
          <w:sz w:val="22"/>
          <w:szCs w:val="22"/>
        </w:rPr>
      </w:pPr>
      <w:r>
        <w:rPr>
          <w:rFonts w:ascii="Arial" w:hAnsi="Arial" w:cs="Arial"/>
          <w:sz w:val="22"/>
          <w:szCs w:val="22"/>
        </w:rPr>
        <w:t xml:space="preserve">Avoiding </w:t>
      </w:r>
      <w:r>
        <w:rPr>
          <w:rStyle w:val="Strong"/>
          <w:rFonts w:ascii="Arial" w:hAnsi="Arial" w:cs="Arial"/>
          <w:b w:val="0"/>
          <w:bCs w:val="0"/>
          <w:sz w:val="22"/>
          <w:szCs w:val="22"/>
        </w:rPr>
        <w:t>plagiarism</w:t>
      </w:r>
      <w:r>
        <w:rPr>
          <w:rFonts w:ascii="Arial" w:hAnsi="Arial" w:cs="Arial"/>
          <w:sz w:val="22"/>
          <w:szCs w:val="22"/>
        </w:rPr>
        <w:t xml:space="preserve"> by paraphrasing and citing all sources</w:t>
      </w:r>
    </w:p>
    <w:p w14:paraId="502E33FD" w14:textId="77777777" w:rsidR="004A7295" w:rsidRDefault="00000000">
      <w:pPr>
        <w:pStyle w:val="NormalWeb"/>
        <w:numPr>
          <w:ilvl w:val="0"/>
          <w:numId w:val="7"/>
        </w:numPr>
        <w:spacing w:before="0" w:after="0" w:line="360" w:lineRule="auto"/>
        <w:jc w:val="both"/>
        <w:rPr>
          <w:rFonts w:ascii="Arial" w:hAnsi="Arial" w:cs="Arial"/>
          <w:sz w:val="22"/>
          <w:szCs w:val="22"/>
        </w:rPr>
      </w:pPr>
      <w:r>
        <w:rPr>
          <w:rFonts w:ascii="Arial" w:hAnsi="Arial" w:cs="Arial"/>
          <w:sz w:val="22"/>
          <w:szCs w:val="22"/>
        </w:rPr>
        <w:t>Respecting the intellectual property rights of authors and researchers</w:t>
      </w:r>
    </w:p>
    <w:p w14:paraId="502E33FE" w14:textId="77777777" w:rsidR="004A7295" w:rsidRDefault="00000000">
      <w:pPr>
        <w:pStyle w:val="NormalWeb"/>
        <w:numPr>
          <w:ilvl w:val="0"/>
          <w:numId w:val="7"/>
        </w:numPr>
        <w:spacing w:before="0" w:after="0" w:line="360" w:lineRule="auto"/>
        <w:jc w:val="both"/>
        <w:rPr>
          <w:rFonts w:ascii="Arial" w:hAnsi="Arial" w:cs="Arial"/>
          <w:sz w:val="22"/>
          <w:szCs w:val="22"/>
        </w:rPr>
      </w:pPr>
      <w:r>
        <w:rPr>
          <w:rFonts w:ascii="Arial" w:hAnsi="Arial" w:cs="Arial"/>
          <w:sz w:val="22"/>
          <w:szCs w:val="22"/>
        </w:rPr>
        <w:t>No sensitive or personal data was handled during the research process.</w:t>
      </w:r>
    </w:p>
    <w:p w14:paraId="502E33FF" w14:textId="77777777" w:rsidR="004A7295" w:rsidRDefault="00000000">
      <w:pPr>
        <w:pStyle w:val="Heading3"/>
        <w:spacing w:line="360" w:lineRule="auto"/>
        <w:jc w:val="both"/>
        <w:rPr>
          <w:rFonts w:ascii="Arial" w:hAnsi="Arial" w:cs="Arial"/>
          <w:b/>
          <w:bCs/>
          <w:sz w:val="22"/>
          <w:szCs w:val="22"/>
        </w:rPr>
      </w:pPr>
      <w:r>
        <w:rPr>
          <w:rFonts w:ascii="Arial" w:hAnsi="Arial" w:cs="Arial"/>
          <w:b/>
          <w:bCs/>
          <w:sz w:val="22"/>
          <w:szCs w:val="22"/>
        </w:rPr>
        <w:t>3.7 Conclusion</w:t>
      </w:r>
    </w:p>
    <w:p w14:paraId="502E3400" w14:textId="77777777" w:rsidR="004A7295" w:rsidRDefault="00000000">
      <w:pPr>
        <w:pStyle w:val="NormalWeb"/>
        <w:spacing w:line="360" w:lineRule="auto"/>
        <w:jc w:val="both"/>
        <w:rPr>
          <w:rFonts w:ascii="Arial" w:hAnsi="Arial" w:cs="Arial"/>
          <w:sz w:val="22"/>
          <w:szCs w:val="22"/>
        </w:rPr>
      </w:pPr>
      <w:r>
        <w:rPr>
          <w:rFonts w:ascii="Arial" w:hAnsi="Arial" w:cs="Arial"/>
          <w:sz w:val="22"/>
          <w:szCs w:val="22"/>
        </w:rPr>
        <w:t>This chapter has outlined the methodological framework for the study, detailing the search strategy, inclusion and exclusion criteria, keyword identification, data collection, and data analysis procedures. The thematic analysis by Braun and Clarke (2006) will be used to interpret the data, providing a structured yet flexible approach to exploring the impact of integrated care services for older adults in the UK. The next chapter will present the findings derived from this analysis, providing insight into the patterns and themes identified</w:t>
      </w:r>
    </w:p>
    <w:p w14:paraId="502E3401" w14:textId="77777777" w:rsidR="004A7295" w:rsidRDefault="00000000">
      <w:pPr>
        <w:spacing w:line="360" w:lineRule="auto"/>
        <w:rPr>
          <w:rFonts w:ascii="Arial" w:eastAsia="Arial Unicode MS" w:hAnsi="Arial" w:cs="Arial"/>
          <w:b/>
        </w:rPr>
      </w:pPr>
      <w:r>
        <w:rPr>
          <w:rFonts w:ascii="Arial" w:eastAsia="Arial Unicode MS" w:hAnsi="Arial" w:cs="Arial"/>
          <w:b/>
        </w:rPr>
        <w:br w:type="page"/>
      </w:r>
    </w:p>
    <w:p w14:paraId="502E3402" w14:textId="77777777" w:rsidR="004A7295" w:rsidRDefault="00000000">
      <w:pPr>
        <w:pStyle w:val="Heading1"/>
        <w:ind w:left="0"/>
        <w:jc w:val="center"/>
        <w:rPr>
          <w:rFonts w:cs="Arial"/>
          <w:sz w:val="22"/>
          <w:szCs w:val="22"/>
        </w:rPr>
      </w:pPr>
      <w:r>
        <w:rPr>
          <w:rFonts w:cs="Arial"/>
          <w:sz w:val="22"/>
          <w:szCs w:val="22"/>
        </w:rPr>
        <w:lastRenderedPageBreak/>
        <w:t>CHAPTER 4: RESULTS AND DISCUSSION</w:t>
      </w:r>
    </w:p>
    <w:p w14:paraId="502E3403" w14:textId="77777777" w:rsidR="004A7295" w:rsidRDefault="004A729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
        </w:rPr>
      </w:pPr>
    </w:p>
    <w:p w14:paraId="502E3404" w14:textId="77777777" w:rsidR="004A7295" w:rsidRDefault="00000000">
      <w:pPr>
        <w:widowControl/>
        <w:autoSpaceDE/>
        <w:autoSpaceDN/>
        <w:spacing w:before="100" w:beforeAutospacing="1" w:after="100" w:afterAutospacing="1" w:line="360" w:lineRule="auto"/>
        <w:jc w:val="both"/>
        <w:outlineLvl w:val="1"/>
        <w:rPr>
          <w:rFonts w:ascii="Arial" w:eastAsia="SimSun" w:hAnsi="Arial" w:cs="Arial"/>
          <w:b/>
          <w:bCs/>
          <w:lang w:val="en-US" w:eastAsia="zh-CN" w:bidi="ar-SA"/>
        </w:rPr>
      </w:pPr>
      <w:r>
        <w:rPr>
          <w:rFonts w:ascii="Arial" w:eastAsia="SimSun" w:hAnsi="Arial" w:cs="Arial"/>
          <w:b/>
          <w:bCs/>
          <w:lang w:val="en-US" w:eastAsia="zh-CN" w:bidi="ar-SA"/>
        </w:rPr>
        <w:t>4.0 Introduction</w:t>
      </w:r>
    </w:p>
    <w:p w14:paraId="502E3405" w14:textId="72738743" w:rsidR="004A7295" w:rsidRDefault="00000000">
      <w:pPr>
        <w:widowControl/>
        <w:autoSpaceDE/>
        <w:autoSpaceDN/>
        <w:spacing w:before="100" w:beforeAutospacing="1" w:after="100" w:afterAutospacing="1" w:line="360" w:lineRule="auto"/>
        <w:jc w:val="both"/>
        <w:rPr>
          <w:rFonts w:ascii="Arial" w:eastAsia="SimSun" w:hAnsi="Arial" w:cs="Arial"/>
          <w:lang w:val="en-US" w:eastAsia="zh-CN" w:bidi="ar-SA"/>
        </w:rPr>
      </w:pPr>
      <w:r>
        <w:rPr>
          <w:rFonts w:ascii="Arial" w:eastAsia="SimSun" w:hAnsi="Arial" w:cs="Arial"/>
          <w:lang w:val="en-US" w:eastAsia="zh-CN" w:bidi="ar-SA"/>
        </w:rPr>
        <w:t xml:space="preserve"> </w:t>
      </w:r>
      <w:r w:rsidR="0040326A" w:rsidRPr="0040326A">
        <w:rPr>
          <w:rFonts w:ascii="Arial" w:eastAsia="SimSun" w:hAnsi="Arial" w:cs="Arial"/>
          <w:lang w:val="en-US" w:eastAsia="zh-CN"/>
        </w:rPr>
        <w:t>This chapter presents the findings from an analysis of ten peer-reviewed studies that examine the impact of integrated care (IC) services for older adults within the UK’s health and social care system. Using Braun and Clarke’s (2006) six-phase model of thematic analysis, the chapter systematically identifies, analyses, and reports key patterns and themes across qualitative and mixed-methods data.</w:t>
      </w:r>
    </w:p>
    <w:p w14:paraId="502E3406" w14:textId="6DB8D228" w:rsidR="004A7295" w:rsidRDefault="0040326A">
      <w:pPr>
        <w:widowControl/>
        <w:autoSpaceDE/>
        <w:autoSpaceDN/>
        <w:spacing w:before="100" w:beforeAutospacing="1" w:after="100" w:afterAutospacing="1" w:line="360" w:lineRule="auto"/>
        <w:jc w:val="both"/>
        <w:rPr>
          <w:rFonts w:ascii="Arial" w:eastAsia="SimSun" w:hAnsi="Arial" w:cs="Arial"/>
          <w:lang w:val="en-US" w:eastAsia="zh-CN" w:bidi="ar-SA"/>
        </w:rPr>
      </w:pPr>
      <w:r w:rsidRPr="0040326A">
        <w:rPr>
          <w:rFonts w:ascii="Arial" w:eastAsia="SimSun" w:hAnsi="Arial" w:cs="Arial"/>
          <w:lang w:val="en-US" w:eastAsia="zh-CN"/>
        </w:rPr>
        <w:t>This study covers the period from 2015 to 2024 and includes both qualitative and quantitative research from a range of geographical settings, such as Kent, Luton, Sunderland, Derby, Hampshire, as well as national evaluations of integrated care systems (ICSs) in England. Collectively, these studies offer valuable insight into how integrated care for older adults has developed, how it is implemented in practice, and how it affects the workforce, patient experiences, and overall outcomes.</w:t>
      </w:r>
    </w:p>
    <w:p w14:paraId="502E3407" w14:textId="77777777" w:rsidR="004A7295" w:rsidRDefault="00000000">
      <w:pPr>
        <w:widowControl/>
        <w:autoSpaceDE/>
        <w:autoSpaceDN/>
        <w:spacing w:beforeAutospacing="1" w:afterAutospacing="1" w:line="360" w:lineRule="auto"/>
        <w:jc w:val="both"/>
        <w:rPr>
          <w:rFonts w:ascii="Arial" w:eastAsia="Symbol" w:hAnsi="Arial" w:cs="Arial"/>
          <w:b/>
          <w:bCs/>
          <w:lang w:val="en-US" w:eastAsia="zh-CN" w:bidi="ar-SA"/>
        </w:rPr>
      </w:pPr>
      <w:r>
        <w:rPr>
          <w:rFonts w:ascii="Arial" w:eastAsia="Symbol" w:hAnsi="Arial" w:cs="Arial"/>
          <w:b/>
          <w:bCs/>
          <w:lang w:val="en-US" w:eastAsia="zh-CN" w:bidi="ar-SA"/>
        </w:rPr>
        <w:t xml:space="preserve">4.1 Publishing Cities in England </w:t>
      </w:r>
    </w:p>
    <w:p w14:paraId="502E3408" w14:textId="77777777" w:rsidR="004A7295" w:rsidRDefault="00000000">
      <w:pPr>
        <w:widowControl/>
        <w:numPr>
          <w:ilvl w:val="0"/>
          <w:numId w:val="8"/>
        </w:numPr>
        <w:autoSpaceDE/>
        <w:autoSpaceDN/>
        <w:spacing w:beforeAutospacing="1" w:afterAutospacing="1" w:line="360" w:lineRule="auto"/>
        <w:jc w:val="both"/>
        <w:rPr>
          <w:rFonts w:ascii="Arial" w:eastAsia="SimSun" w:hAnsi="Arial" w:cs="Arial"/>
          <w:lang w:val="en-US" w:eastAsia="zh-CN" w:bidi="ar-SA"/>
        </w:rPr>
      </w:pPr>
      <w:r>
        <w:rPr>
          <w:rFonts w:ascii="Arial" w:eastAsia="SimSun" w:hAnsi="Arial" w:cs="Arial"/>
          <w:lang w:val="en-US" w:eastAsia="zh-CN" w:bidi="ar-SA"/>
        </w:rPr>
        <w:t xml:space="preserve">The ten studies are clearly conducted in England, which is significant because the policy, </w:t>
      </w:r>
      <w:proofErr w:type="spellStart"/>
      <w:r>
        <w:rPr>
          <w:rFonts w:ascii="Arial" w:eastAsia="SimSun" w:hAnsi="Arial" w:cs="Arial"/>
          <w:lang w:val="en-US" w:eastAsia="zh-CN" w:bidi="ar-SA"/>
        </w:rPr>
        <w:t>organisational</w:t>
      </w:r>
      <w:proofErr w:type="spellEnd"/>
      <w:r>
        <w:rPr>
          <w:rFonts w:ascii="Arial" w:eastAsia="SimSun" w:hAnsi="Arial" w:cs="Arial"/>
          <w:lang w:val="en-US" w:eastAsia="zh-CN" w:bidi="ar-SA"/>
        </w:rPr>
        <w:t>, and funding contexts of England shape the development and outcomes of integrated care.</w:t>
      </w:r>
    </w:p>
    <w:p w14:paraId="502E3409" w14:textId="77777777" w:rsidR="004A7295" w:rsidRDefault="00000000">
      <w:pPr>
        <w:widowControl/>
        <w:numPr>
          <w:ilvl w:val="0"/>
          <w:numId w:val="8"/>
        </w:numPr>
        <w:autoSpaceDE/>
        <w:autoSpaceDN/>
        <w:spacing w:beforeAutospacing="1" w:afterAutospacing="1" w:line="360" w:lineRule="auto"/>
        <w:jc w:val="both"/>
        <w:rPr>
          <w:rFonts w:ascii="Arial" w:eastAsia="SimSun" w:hAnsi="Arial" w:cs="Arial"/>
          <w:lang w:val="en-US" w:eastAsia="zh-CN" w:bidi="ar-SA"/>
        </w:rPr>
      </w:pPr>
      <w:r>
        <w:rPr>
          <w:rFonts w:ascii="Arial" w:eastAsia="SimSun" w:hAnsi="Arial" w:cs="Arial"/>
          <w:lang w:val="en-US" w:eastAsia="zh-CN" w:bidi="ar-SA"/>
        </w:rPr>
        <w:t xml:space="preserve"> Research on integrated care is predominantly published in London and Leeds, reflecting the influence of major academic and policy </w:t>
      </w:r>
      <w:proofErr w:type="spellStart"/>
      <w:r>
        <w:rPr>
          <w:rFonts w:ascii="Arial" w:eastAsia="SimSun" w:hAnsi="Arial" w:cs="Arial"/>
          <w:lang w:val="en-US" w:eastAsia="zh-CN" w:bidi="ar-SA"/>
        </w:rPr>
        <w:t>centres</w:t>
      </w:r>
      <w:proofErr w:type="spellEnd"/>
      <w:r>
        <w:rPr>
          <w:rFonts w:ascii="Arial" w:eastAsia="SimSun" w:hAnsi="Arial" w:cs="Arial"/>
          <w:lang w:val="en-US" w:eastAsia="zh-CN" w:bidi="ar-SA"/>
        </w:rPr>
        <w:t xml:space="preserve">. This concentration may shape interpretations by privileging experiences from metropolitan, well-resourced areas with dense service networks, potentially overlooking challenges faced in deprived, rural, or coastal regions where older adults experience greater inequalities, limited access, and higher multimorbidity. </w:t>
      </w:r>
    </w:p>
    <w:p w14:paraId="502E340A" w14:textId="77777777" w:rsidR="004A7295" w:rsidRDefault="00000000">
      <w:pPr>
        <w:widowControl/>
        <w:numPr>
          <w:ilvl w:val="0"/>
          <w:numId w:val="8"/>
        </w:numPr>
        <w:autoSpaceDE/>
        <w:autoSpaceDN/>
        <w:spacing w:beforeAutospacing="1" w:afterAutospacing="1" w:line="360" w:lineRule="auto"/>
        <w:jc w:val="both"/>
        <w:rPr>
          <w:rFonts w:ascii="Arial" w:eastAsia="SimSun" w:hAnsi="Arial" w:cs="Arial"/>
          <w:lang w:val="en-US" w:eastAsia="zh-CN" w:bidi="ar-SA"/>
        </w:rPr>
      </w:pPr>
      <w:r>
        <w:rPr>
          <w:rFonts w:ascii="Arial" w:eastAsia="SimSun" w:hAnsi="Arial" w:cs="Arial"/>
          <w:lang w:val="en-US" w:eastAsia="zh-CN" w:bidi="ar-SA"/>
        </w:rPr>
        <w:t>Although integrated care demonstrates improvements in access, coordination, and patient satisfaction, evidence for reductions in hospital admissions, length of stay, and costs remains inconsistent. These mixed outcomes are strongly shaped by local socioeconomic and demographic factors, including deprivation levels, workforce availability, ethnicity, and community capacity. As such, impact varies significantly between regions, highlighting the need for more context-sensitive and geographically diverse research.</w:t>
      </w:r>
    </w:p>
    <w:p w14:paraId="502E340B" w14:textId="77777777" w:rsidR="004A7295" w:rsidRDefault="004A7295">
      <w:pPr>
        <w:widowControl/>
        <w:autoSpaceDE/>
        <w:autoSpaceDN/>
        <w:spacing w:beforeAutospacing="1" w:afterAutospacing="1" w:line="360" w:lineRule="auto"/>
        <w:jc w:val="both"/>
        <w:rPr>
          <w:rFonts w:ascii="Arial" w:eastAsia="SimSun" w:hAnsi="Arial" w:cs="Arial"/>
          <w:lang w:val="en-US" w:eastAsia="zh-CN" w:bidi="ar-SA"/>
        </w:rPr>
      </w:pPr>
    </w:p>
    <w:p w14:paraId="502E340C" w14:textId="526D2548" w:rsidR="004A7295" w:rsidRDefault="00000000">
      <w:pPr>
        <w:widowControl/>
        <w:autoSpaceDE/>
        <w:autoSpaceDN/>
        <w:spacing w:beforeAutospacing="1" w:afterAutospacing="1" w:line="360" w:lineRule="auto"/>
        <w:jc w:val="both"/>
        <w:outlineLvl w:val="1"/>
        <w:rPr>
          <w:rFonts w:ascii="Arial" w:eastAsia="SimSun" w:hAnsi="Arial" w:cs="Arial"/>
          <w:b/>
          <w:bCs/>
          <w:lang w:val="en-US" w:eastAsia="zh-CN" w:bidi="ar-SA"/>
        </w:rPr>
      </w:pPr>
      <w:r>
        <w:rPr>
          <w:rFonts w:ascii="Arial" w:eastAsia="SimSun" w:hAnsi="Arial" w:cs="Arial"/>
          <w:b/>
          <w:bCs/>
          <w:lang w:val="en-US" w:eastAsia="zh-CN" w:bidi="ar-SA"/>
        </w:rPr>
        <w:lastRenderedPageBreak/>
        <w:t>4.2 Overview of the methodology used in the 10 primary papers.</w:t>
      </w:r>
    </w:p>
    <w:p w14:paraId="502E340D" w14:textId="77777777" w:rsidR="004A7295" w:rsidRDefault="00000000">
      <w:pPr>
        <w:widowControl/>
        <w:autoSpaceDE/>
        <w:autoSpaceDN/>
        <w:spacing w:beforeAutospacing="1" w:afterAutospacing="1" w:line="360" w:lineRule="auto"/>
        <w:jc w:val="both"/>
        <w:outlineLvl w:val="2"/>
        <w:rPr>
          <w:rFonts w:ascii="Arial" w:eastAsia="SimSun" w:hAnsi="Arial" w:cs="Arial"/>
          <w:b/>
          <w:bCs/>
          <w:lang w:val="en-US" w:eastAsia="zh-CN" w:bidi="ar-SA"/>
        </w:rPr>
      </w:pPr>
      <w:r>
        <w:rPr>
          <w:rFonts w:ascii="Arial" w:eastAsia="SimSun" w:hAnsi="Arial" w:cs="Arial"/>
          <w:b/>
          <w:bCs/>
          <w:lang w:val="en-US" w:eastAsia="zh-CN" w:bidi="ar-SA"/>
        </w:rPr>
        <w:t>1. Overview of Research Designs</w:t>
      </w:r>
    </w:p>
    <w:p w14:paraId="502E340E" w14:textId="77777777" w:rsidR="004A7295" w:rsidRDefault="00000000">
      <w:pPr>
        <w:widowControl/>
        <w:autoSpaceDE/>
        <w:autoSpaceDN/>
        <w:spacing w:beforeAutospacing="1" w:afterAutospacing="1" w:line="360" w:lineRule="auto"/>
        <w:jc w:val="both"/>
        <w:rPr>
          <w:rFonts w:ascii="Arial" w:eastAsia="SimSun" w:hAnsi="Arial" w:cs="Arial"/>
          <w:lang w:val="en-US" w:eastAsia="zh-CN" w:bidi="ar-SA"/>
        </w:rPr>
      </w:pPr>
      <w:r>
        <w:rPr>
          <w:rFonts w:ascii="Arial" w:eastAsia="SimSun" w:hAnsi="Arial" w:cs="Arial"/>
          <w:lang w:val="en-US" w:eastAsia="zh-CN" w:bidi="ar-SA"/>
        </w:rPr>
        <w:t>The ten papers collectively employ a diverse range of qualitative, quantitative, and mixed-method designs, reflecting the multidimensional nature of integrated care research. Most studies, such as Robertshaw and Cross (2019), Khan et al. (2024), Knowles et al. (2015), MacInnes et al. (2020), and Akehurst et al. (2022), used qualitative methods, particularly interviews, focus groups, and thematic or framework analysis. These approaches enabled the exploration of complex social p collaboration, professional roles, and patient experience, which align with the interpretivist paradigm.</w:t>
      </w:r>
    </w:p>
    <w:p w14:paraId="502E340F" w14:textId="77777777" w:rsidR="004A7295" w:rsidRDefault="00000000">
      <w:pPr>
        <w:widowControl/>
        <w:autoSpaceDE/>
        <w:autoSpaceDN/>
        <w:spacing w:beforeAutospacing="1" w:afterAutospacing="1" w:line="360" w:lineRule="auto"/>
        <w:jc w:val="both"/>
        <w:rPr>
          <w:rFonts w:ascii="Arial" w:eastAsia="SimSun" w:hAnsi="Arial" w:cs="Arial"/>
          <w:lang w:val="en-US" w:eastAsia="zh-CN" w:bidi="ar-SA"/>
        </w:rPr>
      </w:pPr>
      <w:r>
        <w:rPr>
          <w:rFonts w:ascii="Arial" w:eastAsia="SimSun" w:hAnsi="Arial" w:cs="Arial"/>
          <w:lang w:val="en-US" w:eastAsia="zh-CN" w:bidi="ar-SA"/>
        </w:rPr>
        <w:t>Qualitative methods are strongly endorsed by scholars such as Creswell and Poth (2018) and Braun and Clarke (2019), who argue that understanding integrated care systems requires deep insights into human experience and context. The use of thematic analysis (e.g., Knowles et al., 2015; Khan et al., 2024) and framework analysis (Robertshaw and Cross, 2019) allows researchers to identify recurring patterns and themes within complex service environments. Framework analysis is supported by Gale et al. (2013) as suitable for policy-oriented health research where pre-set themes (e.g., roles, barriers, enablers) interact with emergent data.</w:t>
      </w:r>
    </w:p>
    <w:p w14:paraId="502E3410" w14:textId="77777777" w:rsidR="004A7295" w:rsidRDefault="00000000">
      <w:pPr>
        <w:widowControl/>
        <w:autoSpaceDE/>
        <w:autoSpaceDN/>
        <w:spacing w:beforeAutospacing="1" w:afterAutospacing="1" w:line="360" w:lineRule="auto"/>
        <w:jc w:val="both"/>
        <w:rPr>
          <w:rFonts w:ascii="Arial" w:eastAsia="SimSun" w:hAnsi="Arial" w:cs="Arial"/>
          <w:lang w:val="en-US" w:eastAsia="zh-CN" w:bidi="ar-SA"/>
        </w:rPr>
      </w:pPr>
      <w:r>
        <w:rPr>
          <w:rFonts w:ascii="Arial" w:eastAsia="SimSun" w:hAnsi="Arial" w:cs="Arial"/>
          <w:lang w:val="en-US" w:eastAsia="zh-CN" w:bidi="ar-SA"/>
        </w:rPr>
        <w:t xml:space="preserve">In contrast, Seamer et al. (2023) employed a quantitative synthetic control design, using longitudinal data to estimate the causal impact of an integrated care </w:t>
      </w:r>
      <w:proofErr w:type="spellStart"/>
      <w:r>
        <w:rPr>
          <w:rFonts w:ascii="Arial" w:eastAsia="SimSun" w:hAnsi="Arial" w:cs="Arial"/>
          <w:lang w:val="en-US" w:eastAsia="zh-CN" w:bidi="ar-SA"/>
        </w:rPr>
        <w:t>programme</w:t>
      </w:r>
      <w:proofErr w:type="spellEnd"/>
      <w:r>
        <w:rPr>
          <w:rFonts w:ascii="Arial" w:eastAsia="SimSun" w:hAnsi="Arial" w:cs="Arial"/>
          <w:lang w:val="en-US" w:eastAsia="zh-CN" w:bidi="ar-SA"/>
        </w:rPr>
        <w:t xml:space="preserve"> on hospital admissions. Quantitative methods such as these are supported by Bryman (2016) for providing empirical evidence of outcomes and offering </w:t>
      </w:r>
      <w:proofErr w:type="spellStart"/>
      <w:r>
        <w:rPr>
          <w:rFonts w:ascii="Arial" w:eastAsia="SimSun" w:hAnsi="Arial" w:cs="Arial"/>
          <w:lang w:val="en-US" w:eastAsia="zh-CN" w:bidi="ar-SA"/>
        </w:rPr>
        <w:t>generalisability</w:t>
      </w:r>
      <w:proofErr w:type="spellEnd"/>
      <w:r>
        <w:rPr>
          <w:rFonts w:ascii="Arial" w:eastAsia="SimSun" w:hAnsi="Arial" w:cs="Arial"/>
          <w:lang w:val="en-US" w:eastAsia="zh-CN" w:bidi="ar-SA"/>
        </w:rPr>
        <w:t xml:space="preserve">. Similarly, Erens et al. (2020) </w:t>
      </w:r>
      <w:proofErr w:type="spellStart"/>
      <w:r>
        <w:rPr>
          <w:rFonts w:ascii="Arial" w:eastAsia="SimSun" w:hAnsi="Arial" w:cs="Arial"/>
          <w:lang w:val="en-US" w:eastAsia="zh-CN" w:bidi="ar-SA"/>
        </w:rPr>
        <w:t>utilised</w:t>
      </w:r>
      <w:proofErr w:type="spellEnd"/>
      <w:r>
        <w:rPr>
          <w:rFonts w:ascii="Arial" w:eastAsia="SimSun" w:hAnsi="Arial" w:cs="Arial"/>
          <w:lang w:val="en-US" w:eastAsia="zh-CN" w:bidi="ar-SA"/>
        </w:rPr>
        <w:t xml:space="preserve"> survey-based longitudinal research to track perceptions of integration progress over time, combining descriptive and inferential analysis.</w:t>
      </w:r>
    </w:p>
    <w:p w14:paraId="502E3411" w14:textId="77777777" w:rsidR="004A7295" w:rsidRDefault="00000000">
      <w:pPr>
        <w:widowControl/>
        <w:autoSpaceDE/>
        <w:autoSpaceDN/>
        <w:spacing w:beforeAutospacing="1" w:afterAutospacing="1" w:line="360" w:lineRule="auto"/>
        <w:jc w:val="both"/>
        <w:outlineLvl w:val="2"/>
        <w:rPr>
          <w:rFonts w:ascii="Arial" w:eastAsia="SimSun" w:hAnsi="Arial" w:cs="Arial"/>
          <w:b/>
          <w:bCs/>
          <w:lang w:val="en-US" w:eastAsia="zh-CN" w:bidi="ar-SA"/>
        </w:rPr>
      </w:pPr>
      <w:r>
        <w:rPr>
          <w:rFonts w:ascii="Arial" w:eastAsia="SimSun" w:hAnsi="Arial" w:cs="Arial"/>
          <w:b/>
          <w:bCs/>
          <w:lang w:val="en-US" w:eastAsia="zh-CN" w:bidi="ar-SA"/>
        </w:rPr>
        <w:t>2. Qualitative Approaches: Strengths and Limitations</w:t>
      </w:r>
    </w:p>
    <w:p w14:paraId="502E3412" w14:textId="77777777" w:rsidR="004A7295" w:rsidRDefault="00000000">
      <w:pPr>
        <w:widowControl/>
        <w:autoSpaceDE/>
        <w:autoSpaceDN/>
        <w:spacing w:beforeAutospacing="1" w:afterAutospacing="1" w:line="360" w:lineRule="auto"/>
        <w:jc w:val="both"/>
        <w:rPr>
          <w:rFonts w:ascii="Arial" w:eastAsia="SimSun" w:hAnsi="Arial" w:cs="Arial"/>
          <w:lang w:val="en-US" w:eastAsia="zh-CN" w:bidi="ar-SA"/>
        </w:rPr>
      </w:pPr>
      <w:r>
        <w:rPr>
          <w:rFonts w:ascii="Arial" w:eastAsia="SimSun" w:hAnsi="Arial" w:cs="Arial"/>
          <w:lang w:val="en-US" w:eastAsia="zh-CN" w:bidi="ar-SA"/>
        </w:rPr>
        <w:t>Qualitative designs dominate integrated care research because they allow researchers to examine multi-level social processes such as leadership, communication, and interprofessional collaboration. Studies like Aiello and Mellor (2019) and Akehurst et al. (2022) used case studies and action research, which offer rich contextual data and can inform local improvement strategies. Supporters of this approach, such as Stake (1995) and Yin (2018), argue that case studies provide a holistic understanding of real-world phenomena and are particularly valuable in evaluating complex interventions.</w:t>
      </w:r>
    </w:p>
    <w:p w14:paraId="502E3413" w14:textId="77777777" w:rsidR="004A7295" w:rsidRDefault="00000000">
      <w:pPr>
        <w:widowControl/>
        <w:autoSpaceDE/>
        <w:autoSpaceDN/>
        <w:spacing w:beforeAutospacing="1" w:afterAutospacing="1" w:line="360" w:lineRule="auto"/>
        <w:jc w:val="both"/>
        <w:rPr>
          <w:rFonts w:ascii="Arial" w:eastAsia="SimSun" w:hAnsi="Arial" w:cs="Arial"/>
          <w:lang w:val="en-US" w:eastAsia="zh-CN" w:bidi="ar-SA"/>
        </w:rPr>
      </w:pPr>
      <w:r>
        <w:rPr>
          <w:rFonts w:ascii="Arial" w:eastAsia="SimSun" w:hAnsi="Arial" w:cs="Arial"/>
          <w:lang w:val="en-US" w:eastAsia="zh-CN" w:bidi="ar-SA"/>
        </w:rPr>
        <w:lastRenderedPageBreak/>
        <w:t xml:space="preserve">However, critiques exist. Greenhalgh et al. (2016) caution that qualitative designs often lack external validity, and findings may be context-bound. Quantitative purists (e.g., Gough et al., 2012) argue that without </w:t>
      </w:r>
      <w:proofErr w:type="spellStart"/>
      <w:r>
        <w:rPr>
          <w:rFonts w:ascii="Arial" w:eastAsia="SimSun" w:hAnsi="Arial" w:cs="Arial"/>
          <w:lang w:val="en-US" w:eastAsia="zh-CN" w:bidi="ar-SA"/>
        </w:rPr>
        <w:t>standardisation</w:t>
      </w:r>
      <w:proofErr w:type="spellEnd"/>
      <w:r>
        <w:rPr>
          <w:rFonts w:ascii="Arial" w:eastAsia="SimSun" w:hAnsi="Arial" w:cs="Arial"/>
          <w:lang w:val="en-US" w:eastAsia="zh-CN" w:bidi="ar-SA"/>
        </w:rPr>
        <w:t xml:space="preserve">, such findings cannot easily inform policy or be replicated across sites. Some of the reviewed studies (e.g., Khan et al., 2024; MacInnes et al., 2020) acknowledge this limitation, noting that small sample sizes and purposive sampling constrain </w:t>
      </w:r>
      <w:proofErr w:type="spellStart"/>
      <w:r>
        <w:rPr>
          <w:rFonts w:ascii="Arial" w:eastAsia="SimSun" w:hAnsi="Arial" w:cs="Arial"/>
          <w:lang w:val="en-US" w:eastAsia="zh-CN" w:bidi="ar-SA"/>
        </w:rPr>
        <w:t>generalisability</w:t>
      </w:r>
      <w:proofErr w:type="spellEnd"/>
      <w:r>
        <w:rPr>
          <w:rFonts w:ascii="Arial" w:eastAsia="SimSun" w:hAnsi="Arial" w:cs="Arial"/>
          <w:lang w:val="en-US" w:eastAsia="zh-CN" w:bidi="ar-SA"/>
        </w:rPr>
        <w:t>.</w:t>
      </w:r>
    </w:p>
    <w:p w14:paraId="502E3414" w14:textId="77777777" w:rsidR="004A7295" w:rsidRDefault="00000000">
      <w:pPr>
        <w:widowControl/>
        <w:autoSpaceDE/>
        <w:autoSpaceDN/>
        <w:spacing w:beforeAutospacing="1" w:afterAutospacing="1" w:line="360" w:lineRule="auto"/>
        <w:jc w:val="both"/>
        <w:rPr>
          <w:rFonts w:ascii="Arial" w:eastAsia="SimSun" w:hAnsi="Arial" w:cs="Arial"/>
          <w:lang w:val="en-US" w:eastAsia="zh-CN" w:bidi="ar-SA"/>
        </w:rPr>
      </w:pPr>
      <w:r>
        <w:rPr>
          <w:rFonts w:ascii="Arial" w:eastAsia="SimSun" w:hAnsi="Arial" w:cs="Arial"/>
          <w:lang w:val="en-US" w:eastAsia="zh-CN" w:bidi="ar-SA"/>
        </w:rPr>
        <w:t>Moreover, while framework and thematic analysis are praised for transparency, critics such as Nowell et al. (2017) warn that researcher bias and interpretive subjectivity can compromise reliability if coding is not rigorously verified. A few of the reviewed papers discussed inter-coder reliability, a common shortcoming in qualitative health research.</w:t>
      </w:r>
    </w:p>
    <w:p w14:paraId="502E3415" w14:textId="77777777" w:rsidR="004A7295" w:rsidRDefault="00000000">
      <w:pPr>
        <w:widowControl/>
        <w:autoSpaceDE/>
        <w:autoSpaceDN/>
        <w:spacing w:beforeAutospacing="1" w:afterAutospacing="1" w:line="360" w:lineRule="auto"/>
        <w:jc w:val="both"/>
        <w:outlineLvl w:val="2"/>
        <w:rPr>
          <w:rFonts w:ascii="Arial" w:eastAsia="SimSun" w:hAnsi="Arial" w:cs="Arial"/>
          <w:b/>
          <w:bCs/>
          <w:lang w:val="en-US" w:eastAsia="zh-CN" w:bidi="ar-SA"/>
        </w:rPr>
      </w:pPr>
      <w:r>
        <w:rPr>
          <w:rFonts w:ascii="Arial" w:eastAsia="SimSun" w:hAnsi="Arial" w:cs="Arial"/>
          <w:b/>
          <w:bCs/>
          <w:lang w:val="en-US" w:eastAsia="zh-CN" w:bidi="ar-SA"/>
        </w:rPr>
        <w:t>3. Quantitative and Mixed-Method Approaches</w:t>
      </w:r>
    </w:p>
    <w:p w14:paraId="502E3416" w14:textId="77777777" w:rsidR="004A7295" w:rsidRDefault="00000000">
      <w:pPr>
        <w:widowControl/>
        <w:autoSpaceDE/>
        <w:autoSpaceDN/>
        <w:spacing w:beforeAutospacing="1" w:afterAutospacing="1" w:line="360" w:lineRule="auto"/>
        <w:jc w:val="both"/>
        <w:rPr>
          <w:rFonts w:ascii="Arial" w:eastAsia="SimSun" w:hAnsi="Arial" w:cs="Arial"/>
          <w:lang w:val="en-US" w:eastAsia="zh-CN" w:bidi="ar-SA"/>
        </w:rPr>
      </w:pPr>
      <w:r>
        <w:rPr>
          <w:rFonts w:ascii="Arial" w:eastAsia="SimSun" w:hAnsi="Arial" w:cs="Arial"/>
          <w:lang w:val="en-US" w:eastAsia="zh-CN" w:bidi="ar-SA"/>
        </w:rPr>
        <w:t>Quantitative designs, such as the synthetic control method used by Seamer et al. (2023), provide robust evidence for causal inference. The use of longitudinal administrative data enhances validity by controlling confounders. This method is supported by Abadie et al. (2010) for its ability to estimate counterfactuals in policy evaluation. Similarly, Erens et al. (2020) used longitudinal key informant surveys to demonstrate strength in monitoring systemic change over time.</w:t>
      </w:r>
    </w:p>
    <w:p w14:paraId="502E3417" w14:textId="77777777" w:rsidR="004A7295" w:rsidRDefault="00000000">
      <w:pPr>
        <w:widowControl/>
        <w:autoSpaceDE/>
        <w:autoSpaceDN/>
        <w:spacing w:beforeAutospacing="1" w:afterAutospacing="1" w:line="360" w:lineRule="auto"/>
        <w:jc w:val="both"/>
        <w:rPr>
          <w:rFonts w:ascii="Arial" w:eastAsia="SimSun" w:hAnsi="Arial" w:cs="Arial"/>
          <w:lang w:val="en-US" w:eastAsia="zh-CN" w:bidi="ar-SA"/>
        </w:rPr>
      </w:pPr>
      <w:r>
        <w:rPr>
          <w:rFonts w:ascii="Arial" w:eastAsia="SimSun" w:hAnsi="Arial" w:cs="Arial"/>
          <w:lang w:val="en-US" w:eastAsia="zh-CN" w:bidi="ar-SA"/>
        </w:rPr>
        <w:t>Nevertheless, quantitative approaches in integrated care research face critique for being reductionist.  Goodwin (2016) argues that complex social dynamics, such as professional trust or leadership culture, cannot be captured through metrics.</w:t>
      </w:r>
    </w:p>
    <w:p w14:paraId="502E3418" w14:textId="77777777" w:rsidR="004A7295" w:rsidRDefault="00000000">
      <w:pPr>
        <w:widowControl/>
        <w:autoSpaceDE/>
        <w:autoSpaceDN/>
        <w:spacing w:beforeAutospacing="1" w:afterAutospacing="1" w:line="360" w:lineRule="auto"/>
        <w:jc w:val="both"/>
        <w:rPr>
          <w:rFonts w:ascii="Arial" w:eastAsia="SimSun" w:hAnsi="Arial" w:cs="Arial"/>
          <w:lang w:val="en-US" w:eastAsia="zh-CN" w:bidi="ar-SA"/>
        </w:rPr>
      </w:pPr>
      <w:r>
        <w:rPr>
          <w:rFonts w:ascii="Arial" w:eastAsia="SimSun" w:hAnsi="Arial" w:cs="Arial"/>
          <w:lang w:val="en-US" w:eastAsia="zh-CN" w:bidi="ar-SA"/>
        </w:rPr>
        <w:t xml:space="preserve"> Furthermore, Seamer et al. (2023) acknowledged that their long follow-up period introduced potential bias due to system changes and the weakening reliability of synthetic control over time. Quantitative measures can demonstrate outcomes but may not explain the mechanisms behind success or failure (Pawson and Tilley, 1997).</w:t>
      </w:r>
    </w:p>
    <w:p w14:paraId="502E3419" w14:textId="77777777" w:rsidR="004A7295" w:rsidRDefault="00000000">
      <w:pPr>
        <w:widowControl/>
        <w:autoSpaceDE/>
        <w:autoSpaceDN/>
        <w:spacing w:beforeAutospacing="1" w:afterAutospacing="1" w:line="360" w:lineRule="auto"/>
        <w:jc w:val="both"/>
        <w:rPr>
          <w:rFonts w:ascii="Arial" w:eastAsia="SimSun" w:hAnsi="Arial" w:cs="Arial"/>
          <w:lang w:val="en-US" w:eastAsia="zh-CN" w:bidi="ar-SA"/>
        </w:rPr>
      </w:pPr>
      <w:r>
        <w:rPr>
          <w:rFonts w:ascii="Arial" w:eastAsia="SimSun" w:hAnsi="Arial" w:cs="Arial"/>
          <w:lang w:val="en-US" w:eastAsia="zh-CN" w:bidi="ar-SA"/>
        </w:rPr>
        <w:t xml:space="preserve">Mixed-method approaches, evident implicitly in Akehurst et al. (2022) and Billings et al. (2020), are increasingly </w:t>
      </w:r>
      <w:proofErr w:type="spellStart"/>
      <w:r>
        <w:rPr>
          <w:rFonts w:ascii="Arial" w:eastAsia="SimSun" w:hAnsi="Arial" w:cs="Arial"/>
          <w:lang w:val="en-US" w:eastAsia="zh-CN" w:bidi="ar-SA"/>
        </w:rPr>
        <w:t>recognised</w:t>
      </w:r>
      <w:proofErr w:type="spellEnd"/>
      <w:r>
        <w:rPr>
          <w:rFonts w:ascii="Arial" w:eastAsia="SimSun" w:hAnsi="Arial" w:cs="Arial"/>
          <w:lang w:val="en-US" w:eastAsia="zh-CN" w:bidi="ar-SA"/>
        </w:rPr>
        <w:t xml:space="preserve"> as ideal for integrated care studies. Supporters like </w:t>
      </w:r>
      <w:proofErr w:type="spellStart"/>
      <w:r>
        <w:rPr>
          <w:rFonts w:ascii="Arial" w:eastAsia="SimSun" w:hAnsi="Arial" w:cs="Arial"/>
          <w:lang w:val="en-US" w:eastAsia="zh-CN" w:bidi="ar-SA"/>
        </w:rPr>
        <w:t>Tashakkori</w:t>
      </w:r>
      <w:proofErr w:type="spellEnd"/>
      <w:r>
        <w:rPr>
          <w:rFonts w:ascii="Arial" w:eastAsia="SimSun" w:hAnsi="Arial" w:cs="Arial"/>
          <w:lang w:val="en-US" w:eastAsia="zh-CN" w:bidi="ar-SA"/>
        </w:rPr>
        <w:t xml:space="preserve"> and Teddlie (2010) argue that combining qualitative depth with quantitative </w:t>
      </w:r>
      <w:proofErr w:type="spellStart"/>
      <w:r>
        <w:rPr>
          <w:rFonts w:ascii="Arial" w:eastAsia="SimSun" w:hAnsi="Arial" w:cs="Arial"/>
          <w:lang w:val="en-US" w:eastAsia="zh-CN" w:bidi="ar-SA"/>
        </w:rPr>
        <w:t>rigour</w:t>
      </w:r>
      <w:proofErr w:type="spellEnd"/>
      <w:r>
        <w:rPr>
          <w:rFonts w:ascii="Arial" w:eastAsia="SimSun" w:hAnsi="Arial" w:cs="Arial"/>
          <w:lang w:val="en-US" w:eastAsia="zh-CN" w:bidi="ar-SA"/>
        </w:rPr>
        <w:t xml:space="preserve"> enhances both validity and explanatory power. However, such designs require significant resources, coordination, and methodological competence limitations acknowledged in workforce development evaluations.</w:t>
      </w:r>
    </w:p>
    <w:p w14:paraId="502E341A" w14:textId="77777777" w:rsidR="004A7295" w:rsidRDefault="004A7295">
      <w:pPr>
        <w:widowControl/>
        <w:autoSpaceDE/>
        <w:autoSpaceDN/>
        <w:spacing w:beforeAutospacing="1" w:afterAutospacing="1" w:line="360" w:lineRule="auto"/>
        <w:jc w:val="both"/>
        <w:outlineLvl w:val="2"/>
        <w:rPr>
          <w:rFonts w:ascii="Arial" w:eastAsia="SimSun" w:hAnsi="Arial" w:cs="Arial"/>
          <w:b/>
          <w:bCs/>
          <w:lang w:val="en-US" w:eastAsia="zh-CN" w:bidi="ar-SA"/>
        </w:rPr>
      </w:pPr>
    </w:p>
    <w:p w14:paraId="502E341B" w14:textId="77777777" w:rsidR="004A7295" w:rsidRDefault="00000000">
      <w:pPr>
        <w:widowControl/>
        <w:autoSpaceDE/>
        <w:autoSpaceDN/>
        <w:spacing w:beforeAutospacing="1" w:afterAutospacing="1" w:line="360" w:lineRule="auto"/>
        <w:jc w:val="both"/>
        <w:outlineLvl w:val="2"/>
        <w:rPr>
          <w:rFonts w:ascii="Arial" w:eastAsia="SimSun" w:hAnsi="Arial" w:cs="Arial"/>
          <w:b/>
          <w:bCs/>
          <w:lang w:val="en-US" w:eastAsia="zh-CN" w:bidi="ar-SA"/>
        </w:rPr>
      </w:pPr>
      <w:r>
        <w:rPr>
          <w:rFonts w:ascii="Arial" w:eastAsia="SimSun" w:hAnsi="Arial" w:cs="Arial"/>
          <w:b/>
          <w:bCs/>
          <w:lang w:val="en-US" w:eastAsia="zh-CN" w:bidi="ar-SA"/>
        </w:rPr>
        <w:lastRenderedPageBreak/>
        <w:t>4. Sampling, Data Collection, and Analysis from primary papers.</w:t>
      </w:r>
    </w:p>
    <w:p w14:paraId="502E341C" w14:textId="77777777" w:rsidR="004A7295" w:rsidRDefault="00000000">
      <w:pPr>
        <w:widowControl/>
        <w:autoSpaceDE/>
        <w:autoSpaceDN/>
        <w:spacing w:beforeAutospacing="1" w:afterAutospacing="1" w:line="360" w:lineRule="auto"/>
        <w:jc w:val="both"/>
        <w:rPr>
          <w:rFonts w:ascii="Arial" w:eastAsia="SimSun" w:hAnsi="Arial" w:cs="Arial"/>
          <w:lang w:val="en-US" w:eastAsia="zh-CN" w:bidi="ar-SA"/>
        </w:rPr>
      </w:pPr>
      <w:r>
        <w:rPr>
          <w:rFonts w:ascii="Arial" w:eastAsia="SimSun" w:hAnsi="Arial" w:cs="Arial"/>
          <w:lang w:val="en-US" w:eastAsia="zh-CN" w:bidi="ar-SA"/>
        </w:rPr>
        <w:t>Most studies used purposive or snowball sampling (e.g., Khan et al., 2024; Knowles et al., 2015), suitable for exploratory qualitative research. This provided access to diverse stakeholders (patients, practitioners, and commissioners). However, critics such as Patton (2015) caution that purposive sampling risks selection bias, particularly when participants are self-selected or drawn from motivated networks.</w:t>
      </w:r>
    </w:p>
    <w:p w14:paraId="502E341D" w14:textId="77777777" w:rsidR="004A7295" w:rsidRDefault="00000000">
      <w:pPr>
        <w:widowControl/>
        <w:autoSpaceDE/>
        <w:autoSpaceDN/>
        <w:spacing w:beforeAutospacing="1" w:afterAutospacing="1" w:line="360" w:lineRule="auto"/>
        <w:jc w:val="both"/>
        <w:rPr>
          <w:rFonts w:ascii="Arial" w:eastAsia="SimSun" w:hAnsi="Arial" w:cs="Arial"/>
          <w:lang w:val="en-US" w:eastAsia="zh-CN" w:bidi="ar-SA"/>
        </w:rPr>
      </w:pPr>
      <w:r>
        <w:rPr>
          <w:rFonts w:ascii="Arial" w:eastAsia="SimSun" w:hAnsi="Arial" w:cs="Arial"/>
          <w:lang w:val="en-US" w:eastAsia="zh-CN" w:bidi="ar-SA"/>
        </w:rPr>
        <w:t xml:space="preserve">Data collection methods such as semi-structured interviews, focus groups, and document analysis provided triangulation in several studies (MacInnes et al., 2020; Billings et al., 2020), increasing credibility. Yet, response bias remains a concern, particularly in interview-based studies where social desirability may shape responses (Moser and </w:t>
      </w:r>
      <w:proofErr w:type="spellStart"/>
      <w:r>
        <w:rPr>
          <w:rFonts w:ascii="Arial" w:eastAsia="SimSun" w:hAnsi="Arial" w:cs="Arial"/>
          <w:lang w:val="en-US" w:eastAsia="zh-CN" w:bidi="ar-SA"/>
        </w:rPr>
        <w:t>Korstjens</w:t>
      </w:r>
      <w:proofErr w:type="spellEnd"/>
      <w:r>
        <w:rPr>
          <w:rFonts w:ascii="Arial" w:eastAsia="SimSun" w:hAnsi="Arial" w:cs="Arial"/>
          <w:lang w:val="en-US" w:eastAsia="zh-CN" w:bidi="ar-SA"/>
        </w:rPr>
        <w:t>, 2018).</w:t>
      </w:r>
    </w:p>
    <w:p w14:paraId="502E341E" w14:textId="77777777" w:rsidR="004A7295" w:rsidRDefault="00000000">
      <w:pPr>
        <w:widowControl/>
        <w:autoSpaceDE/>
        <w:autoSpaceDN/>
        <w:spacing w:beforeAutospacing="1" w:afterAutospacing="1" w:line="360" w:lineRule="auto"/>
        <w:jc w:val="both"/>
        <w:rPr>
          <w:rFonts w:ascii="Arial" w:eastAsia="SimSun" w:hAnsi="Arial" w:cs="Arial"/>
          <w:lang w:val="en-US" w:eastAsia="zh-CN" w:bidi="ar-SA"/>
        </w:rPr>
      </w:pPr>
      <w:r>
        <w:rPr>
          <w:rFonts w:ascii="Arial" w:eastAsia="SimSun" w:hAnsi="Arial" w:cs="Arial"/>
          <w:lang w:val="en-US" w:eastAsia="zh-CN" w:bidi="ar-SA"/>
        </w:rPr>
        <w:t>Analytically, most qualitative papers used thematic or framework analysis, providing clear coding structures, but few detailed reflexivity practices, which are vital for maintaining transparency in interpretive research (Finlay, 2002).</w:t>
      </w:r>
    </w:p>
    <w:p w14:paraId="502E3425" w14:textId="77777777" w:rsidR="004A7295" w:rsidRDefault="00000000">
      <w:pPr>
        <w:widowControl/>
        <w:autoSpaceDE/>
        <w:autoSpaceDN/>
        <w:spacing w:line="360" w:lineRule="auto"/>
        <w:jc w:val="both"/>
        <w:rPr>
          <w:rFonts w:ascii="Arial" w:eastAsia="SimSun" w:hAnsi="Arial" w:cs="Arial"/>
          <w:b/>
          <w:bCs/>
          <w:lang w:val="en-US" w:eastAsia="zh-CN" w:bidi="ar-SA"/>
        </w:rPr>
      </w:pPr>
      <w:r>
        <w:rPr>
          <w:rFonts w:ascii="Arial" w:eastAsia="SimSun" w:hAnsi="Arial" w:cs="Arial"/>
          <w:b/>
          <w:bCs/>
          <w:lang w:val="en-US" w:eastAsia="zh-CN" w:bidi="ar-SA"/>
        </w:rPr>
        <w:t>4.3 Gaps in Evidence</w:t>
      </w:r>
    </w:p>
    <w:p w14:paraId="502E3426" w14:textId="77777777" w:rsidR="004A7295" w:rsidRDefault="00000000">
      <w:pPr>
        <w:widowControl/>
        <w:autoSpaceDE/>
        <w:autoSpaceDN/>
        <w:spacing w:line="360" w:lineRule="auto"/>
        <w:jc w:val="both"/>
        <w:rPr>
          <w:rFonts w:ascii="Arial" w:eastAsia="SimSun" w:hAnsi="Arial" w:cs="Arial"/>
          <w:lang w:val="en-US" w:eastAsia="zh-CN" w:bidi="ar-SA"/>
        </w:rPr>
      </w:pPr>
      <w:r>
        <w:rPr>
          <w:rFonts w:ascii="Arial" w:eastAsia="SimSun" w:hAnsi="Arial" w:cs="Arial"/>
          <w:lang w:val="en-US" w:eastAsia="zh-CN" w:bidi="ar-SA"/>
        </w:rPr>
        <w:t>Despite growing evidence supporting integrated care for older adults in the UK, the reviewed studies reveal several critical gaps that limit comprehensive understanding, scalability, and long-term evaluation of integrated models. These gaps occur across methodological, structural, and contextual dimensions.</w:t>
      </w:r>
    </w:p>
    <w:p w14:paraId="502E3427" w14:textId="77777777" w:rsidR="004A7295" w:rsidRDefault="00000000">
      <w:pPr>
        <w:widowControl/>
        <w:autoSpaceDE/>
        <w:autoSpaceDN/>
        <w:spacing w:beforeAutospacing="1" w:afterAutospacing="1" w:line="360" w:lineRule="auto"/>
        <w:jc w:val="both"/>
        <w:rPr>
          <w:rFonts w:ascii="Arial" w:eastAsia="SimSun" w:hAnsi="Arial" w:cs="Arial"/>
          <w:lang w:val="en-US" w:eastAsia="zh-CN" w:bidi="ar-SA"/>
        </w:rPr>
      </w:pPr>
      <w:r>
        <w:rPr>
          <w:rFonts w:ascii="Arial" w:eastAsia="SimSun" w:hAnsi="Arial" w:cs="Arial"/>
          <w:lang w:val="en-US" w:eastAsia="zh-CN" w:bidi="ar-SA"/>
        </w:rPr>
        <w:t xml:space="preserve">Methodological limitations include short evaluation periods that miss long-term effects (Seamer et al., 2023; Erens et al., 2020), inconsistent outcome measures across studies (Billings et al., 2019; Knowles et al., 2015), and over-reliance on qualitative designs (Khan et al., 2024; MacInnes et al., 2020). </w:t>
      </w:r>
      <w:proofErr w:type="gramStart"/>
      <w:r>
        <w:rPr>
          <w:rFonts w:ascii="Arial" w:eastAsia="SimSun" w:hAnsi="Arial" w:cs="Arial"/>
          <w:lang w:val="en-US" w:eastAsia="zh-CN" w:bidi="ar-SA"/>
        </w:rPr>
        <w:t>Small samples,</w:t>
      </w:r>
      <w:proofErr w:type="gramEnd"/>
      <w:r>
        <w:rPr>
          <w:rFonts w:ascii="Arial" w:eastAsia="SimSun" w:hAnsi="Arial" w:cs="Arial"/>
          <w:lang w:val="en-US" w:eastAsia="zh-CN" w:bidi="ar-SA"/>
        </w:rPr>
        <w:t xml:space="preserve"> limited economic analysis, and weak reporting of analytic </w:t>
      </w:r>
      <w:proofErr w:type="spellStart"/>
      <w:r>
        <w:rPr>
          <w:rFonts w:ascii="Arial" w:eastAsia="SimSun" w:hAnsi="Arial" w:cs="Arial"/>
          <w:lang w:val="en-US" w:eastAsia="zh-CN" w:bidi="ar-SA"/>
        </w:rPr>
        <w:t>rigour</w:t>
      </w:r>
      <w:proofErr w:type="spellEnd"/>
      <w:r>
        <w:rPr>
          <w:rFonts w:ascii="Arial" w:eastAsia="SimSun" w:hAnsi="Arial" w:cs="Arial"/>
          <w:lang w:val="en-US" w:eastAsia="zh-CN" w:bidi="ar-SA"/>
        </w:rPr>
        <w:t xml:space="preserve"> further constrain quality (Robertshaw and Cross, 2018).</w:t>
      </w:r>
    </w:p>
    <w:p w14:paraId="502E3428" w14:textId="77777777" w:rsidR="004A7295" w:rsidRDefault="00000000">
      <w:pPr>
        <w:widowControl/>
        <w:autoSpaceDE/>
        <w:autoSpaceDN/>
        <w:spacing w:line="360" w:lineRule="auto"/>
        <w:jc w:val="both"/>
        <w:rPr>
          <w:rFonts w:ascii="Arial" w:eastAsia="SimSun" w:hAnsi="Arial" w:cs="Arial"/>
          <w:lang w:val="en-US" w:eastAsia="zh-CN" w:bidi="ar-SA"/>
        </w:rPr>
      </w:pPr>
      <w:r>
        <w:rPr>
          <w:rFonts w:ascii="Arial" w:eastAsia="SimSun" w:hAnsi="Arial" w:cs="Arial"/>
          <w:lang w:val="en-US" w:eastAsia="zh-CN" w:bidi="ar-SA"/>
        </w:rPr>
        <w:t>Structural gaps arise from fragmented governance and short-term funding models that undermine sustainability (Billings et al., 2019; Erens et al., 2020). Workforce shortages, role ambiguity, and limited cross-sector training impede integrated delivery (Aiello and Mellor, 2019; Akehurst et al., 2022). Poor IT interoperability restricts data sharing and evaluation accuracy (Robertshaw and Cross, 2018), while structural misalignment hinders consistent implementation across regions (Khan et al., 2024).</w:t>
      </w:r>
    </w:p>
    <w:p w14:paraId="502E3429" w14:textId="77777777" w:rsidR="004A7295" w:rsidRDefault="004A7295">
      <w:pPr>
        <w:widowControl/>
        <w:autoSpaceDE/>
        <w:autoSpaceDN/>
        <w:spacing w:line="360" w:lineRule="auto"/>
        <w:jc w:val="both"/>
        <w:rPr>
          <w:rFonts w:ascii="Arial" w:eastAsia="SimSun" w:hAnsi="Arial" w:cs="Arial"/>
          <w:lang w:val="en-US" w:eastAsia="zh-CN" w:bidi="ar-SA"/>
        </w:rPr>
      </w:pPr>
    </w:p>
    <w:p w14:paraId="502E342A" w14:textId="77777777" w:rsidR="004A7295" w:rsidRDefault="00000000">
      <w:pPr>
        <w:widowControl/>
        <w:autoSpaceDE/>
        <w:autoSpaceDN/>
        <w:spacing w:line="360" w:lineRule="auto"/>
        <w:jc w:val="both"/>
        <w:rPr>
          <w:rFonts w:ascii="Arial" w:eastAsia="SimSun" w:hAnsi="Arial" w:cs="Arial"/>
          <w:lang w:val="en-US" w:eastAsia="zh-CN" w:bidi="ar-SA"/>
        </w:rPr>
      </w:pPr>
      <w:r>
        <w:rPr>
          <w:rFonts w:ascii="Arial" w:eastAsia="SimSun" w:hAnsi="Arial" w:cs="Arial"/>
          <w:lang w:val="en-US" w:eastAsia="zh-CN" w:bidi="ar-SA"/>
        </w:rPr>
        <w:t xml:space="preserve">Contextual weaknesses include limited attention to equity impacts and population differences (Goddard, 2023; Khan et al., 2024). Variations in local leadership, </w:t>
      </w:r>
      <w:proofErr w:type="spellStart"/>
      <w:r>
        <w:rPr>
          <w:rFonts w:ascii="Arial" w:eastAsia="SimSun" w:hAnsi="Arial" w:cs="Arial"/>
          <w:lang w:val="en-US" w:eastAsia="zh-CN" w:bidi="ar-SA"/>
        </w:rPr>
        <w:t>organisational</w:t>
      </w:r>
      <w:proofErr w:type="spellEnd"/>
      <w:r>
        <w:rPr>
          <w:rFonts w:ascii="Arial" w:eastAsia="SimSun" w:hAnsi="Arial" w:cs="Arial"/>
          <w:lang w:val="en-US" w:eastAsia="zh-CN" w:bidi="ar-SA"/>
        </w:rPr>
        <w:t xml:space="preserve"> culture, and </w:t>
      </w:r>
      <w:r>
        <w:rPr>
          <w:rFonts w:ascii="Arial" w:eastAsia="SimSun" w:hAnsi="Arial" w:cs="Arial"/>
          <w:lang w:val="en-US" w:eastAsia="zh-CN" w:bidi="ar-SA"/>
        </w:rPr>
        <w:lastRenderedPageBreak/>
        <w:t>community capacity shape integration outcomes but remain underexplored (Billings et al., 2019; MacInnes et al., 2020). Mental–physical health integration receives insufficient focus (Knowles et al., 2015), and regional differences in service delivery lack comparative evaluation (Seamer et al., 2023).</w:t>
      </w:r>
    </w:p>
    <w:p w14:paraId="5A60B875" w14:textId="77777777" w:rsidR="004A7295" w:rsidRDefault="004A7295">
      <w:pPr>
        <w:widowControl/>
        <w:autoSpaceDE/>
        <w:autoSpaceDN/>
        <w:rPr>
          <w:rFonts w:ascii="Arial" w:eastAsia="SimSun" w:hAnsi="Arial" w:cs="Arial"/>
          <w:b/>
          <w:bCs/>
          <w:lang w:val="en-US" w:eastAsia="zh-CN" w:bidi="ar-SA"/>
        </w:rPr>
      </w:pPr>
    </w:p>
    <w:p w14:paraId="502E342C" w14:textId="77777777" w:rsidR="004A7295" w:rsidRDefault="00000000">
      <w:pPr>
        <w:widowControl/>
        <w:autoSpaceDE/>
        <w:autoSpaceDN/>
        <w:rPr>
          <w:rFonts w:ascii="Arial" w:eastAsia="SimSun" w:hAnsi="Arial" w:cs="Arial"/>
          <w:b/>
          <w:bCs/>
          <w:lang w:val="en-US" w:eastAsia="zh-CN" w:bidi="ar-SA"/>
        </w:rPr>
      </w:pPr>
      <w:r>
        <w:rPr>
          <w:rFonts w:ascii="Arial" w:eastAsia="SimSun" w:hAnsi="Arial" w:cs="Arial"/>
          <w:b/>
          <w:bCs/>
          <w:lang w:val="en-US" w:eastAsia="zh-CN" w:bidi="ar-SA"/>
        </w:rPr>
        <w:t xml:space="preserve">4.4 THEMATIC FINDINGS </w:t>
      </w:r>
    </w:p>
    <w:p w14:paraId="502E342D" w14:textId="77777777" w:rsidR="004A7295" w:rsidRDefault="00000000">
      <w:pPr>
        <w:widowControl/>
        <w:autoSpaceDE/>
        <w:autoSpaceDN/>
        <w:spacing w:beforeAutospacing="1" w:afterAutospacing="1" w:line="360" w:lineRule="auto"/>
        <w:jc w:val="both"/>
        <w:rPr>
          <w:rFonts w:ascii="Arial" w:eastAsia="SimSun" w:hAnsi="Arial" w:cs="Arial"/>
          <w:b/>
          <w:bCs/>
          <w:lang w:val="en-US" w:eastAsia="zh-CN" w:bidi="ar-SA"/>
        </w:rPr>
      </w:pPr>
      <w:r>
        <w:rPr>
          <w:rFonts w:ascii="Arial" w:eastAsia="SimSun" w:hAnsi="Arial" w:cs="Arial"/>
          <w:b/>
          <w:bCs/>
          <w:lang w:val="en-US" w:eastAsia="zh-CN" w:bidi="ar-SA"/>
        </w:rPr>
        <w:t>Table 4.1: Ten primary articles</w:t>
      </w:r>
    </w:p>
    <w:tbl>
      <w:tblPr>
        <w:tblW w:w="75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53"/>
        <w:gridCol w:w="2572"/>
        <w:gridCol w:w="2670"/>
      </w:tblGrid>
      <w:tr w:rsidR="004A7295" w14:paraId="502E3432" w14:textId="77777777">
        <w:trPr>
          <w:trHeight w:val="703"/>
        </w:trPr>
        <w:tc>
          <w:tcPr>
            <w:tcW w:w="2353" w:type="dxa"/>
            <w:vAlign w:val="center"/>
          </w:tcPr>
          <w:p w14:paraId="502E342F" w14:textId="77777777" w:rsidR="004A7295" w:rsidRDefault="00000000">
            <w:pPr>
              <w:widowControl/>
              <w:autoSpaceDE/>
              <w:autoSpaceDN/>
              <w:spacing w:line="360" w:lineRule="auto"/>
              <w:jc w:val="both"/>
              <w:rPr>
                <w:rFonts w:ascii="Arial" w:eastAsia="DengXian" w:hAnsi="Arial" w:cs="Arial"/>
                <w:b/>
                <w:bCs/>
                <w:lang w:val="en-US" w:eastAsia="zh-CN" w:bidi="ar-SA"/>
              </w:rPr>
            </w:pPr>
            <w:r>
              <w:rPr>
                <w:rFonts w:ascii="Arial" w:eastAsia="SimSun" w:hAnsi="Arial" w:cs="Arial"/>
                <w:b/>
                <w:bCs/>
                <w:lang w:val="en-US" w:eastAsia="zh-CN" w:bidi="ar"/>
              </w:rPr>
              <w:t>Step 1: Codes</w:t>
            </w:r>
          </w:p>
        </w:tc>
        <w:tc>
          <w:tcPr>
            <w:tcW w:w="2572" w:type="dxa"/>
            <w:vAlign w:val="center"/>
          </w:tcPr>
          <w:p w14:paraId="502E3430" w14:textId="77777777" w:rsidR="004A7295" w:rsidRDefault="00000000">
            <w:pPr>
              <w:widowControl/>
              <w:autoSpaceDE/>
              <w:autoSpaceDN/>
              <w:spacing w:line="360" w:lineRule="auto"/>
              <w:jc w:val="both"/>
              <w:rPr>
                <w:rFonts w:ascii="Arial" w:eastAsia="DengXian" w:hAnsi="Arial" w:cs="Arial"/>
                <w:b/>
                <w:bCs/>
                <w:lang w:val="en-US" w:eastAsia="zh-CN" w:bidi="ar-SA"/>
              </w:rPr>
            </w:pPr>
            <w:r>
              <w:rPr>
                <w:rFonts w:ascii="Arial" w:eastAsia="SimSun" w:hAnsi="Arial" w:cs="Arial"/>
                <w:b/>
                <w:bCs/>
                <w:lang w:val="en-US" w:eastAsia="zh-CN" w:bidi="ar"/>
              </w:rPr>
              <w:t>Step 2: Basic Themes</w:t>
            </w:r>
          </w:p>
        </w:tc>
        <w:tc>
          <w:tcPr>
            <w:tcW w:w="2670" w:type="dxa"/>
            <w:vAlign w:val="center"/>
          </w:tcPr>
          <w:p w14:paraId="502E3431" w14:textId="77777777" w:rsidR="004A7295" w:rsidRDefault="00000000">
            <w:pPr>
              <w:widowControl/>
              <w:autoSpaceDE/>
              <w:autoSpaceDN/>
              <w:spacing w:line="360" w:lineRule="auto"/>
              <w:jc w:val="both"/>
              <w:rPr>
                <w:rFonts w:ascii="Arial" w:eastAsia="DengXian" w:hAnsi="Arial" w:cs="Arial"/>
                <w:b/>
                <w:bCs/>
                <w:lang w:val="en-US" w:eastAsia="zh-CN" w:bidi="ar-SA"/>
              </w:rPr>
            </w:pPr>
            <w:r>
              <w:rPr>
                <w:rFonts w:ascii="Arial" w:eastAsia="SimSun" w:hAnsi="Arial" w:cs="Arial"/>
                <w:b/>
                <w:bCs/>
                <w:lang w:val="en-US" w:eastAsia="zh-CN" w:bidi="ar"/>
              </w:rPr>
              <w:t xml:space="preserve">Step 3: </w:t>
            </w:r>
            <w:proofErr w:type="spellStart"/>
            <w:r>
              <w:rPr>
                <w:rFonts w:ascii="Arial" w:eastAsia="SimSun" w:hAnsi="Arial" w:cs="Arial"/>
                <w:b/>
                <w:bCs/>
                <w:lang w:val="en-US" w:eastAsia="zh-CN" w:bidi="ar"/>
              </w:rPr>
              <w:t>Organising</w:t>
            </w:r>
            <w:proofErr w:type="spellEnd"/>
            <w:r>
              <w:rPr>
                <w:rFonts w:ascii="Arial" w:eastAsia="SimSun" w:hAnsi="Arial" w:cs="Arial"/>
                <w:b/>
                <w:bCs/>
                <w:lang w:val="en-US" w:eastAsia="zh-CN" w:bidi="ar"/>
              </w:rPr>
              <w:t xml:space="preserve"> Themes</w:t>
            </w:r>
          </w:p>
        </w:tc>
      </w:tr>
      <w:tr w:rsidR="004A7295" w14:paraId="502E3437" w14:textId="77777777">
        <w:trPr>
          <w:trHeight w:val="240"/>
        </w:trPr>
        <w:tc>
          <w:tcPr>
            <w:tcW w:w="2353" w:type="dxa"/>
            <w:vAlign w:val="center"/>
          </w:tcPr>
          <w:p w14:paraId="502E3434" w14:textId="77777777" w:rsidR="004A7295" w:rsidRDefault="00000000">
            <w:pPr>
              <w:widowControl/>
              <w:autoSpaceDE/>
              <w:autoSpaceDN/>
              <w:spacing w:line="360" w:lineRule="auto"/>
              <w:jc w:val="both"/>
              <w:rPr>
                <w:rFonts w:ascii="Arial" w:eastAsia="DengXian" w:hAnsi="Arial" w:cs="Arial"/>
                <w:lang w:val="en-US" w:eastAsia="zh-CN" w:bidi="ar-SA"/>
              </w:rPr>
            </w:pPr>
            <w:r>
              <w:rPr>
                <w:rFonts w:ascii="Arial" w:eastAsia="SimSun" w:hAnsi="Arial" w:cs="Arial"/>
                <w:lang w:val="en-US" w:eastAsia="zh-CN" w:bidi="ar"/>
              </w:rPr>
              <w:t>Leadership, funding, local collaboration, frailty framework, GP awareness, COVID-19 disruption</w:t>
            </w:r>
          </w:p>
        </w:tc>
        <w:tc>
          <w:tcPr>
            <w:tcW w:w="2572" w:type="dxa"/>
            <w:vAlign w:val="center"/>
          </w:tcPr>
          <w:p w14:paraId="502E3435" w14:textId="77777777" w:rsidR="004A7295" w:rsidRDefault="00000000">
            <w:pPr>
              <w:widowControl/>
              <w:autoSpaceDE/>
              <w:autoSpaceDN/>
              <w:spacing w:line="360" w:lineRule="auto"/>
              <w:jc w:val="both"/>
              <w:rPr>
                <w:rFonts w:ascii="Arial" w:eastAsia="DengXian" w:hAnsi="Arial" w:cs="Arial"/>
                <w:lang w:val="en-US" w:eastAsia="zh-CN" w:bidi="ar-SA"/>
              </w:rPr>
            </w:pPr>
            <w:r>
              <w:rPr>
                <w:rFonts w:ascii="Arial" w:eastAsia="SimSun" w:hAnsi="Arial" w:cs="Arial"/>
                <w:lang w:val="en-US" w:eastAsia="zh-CN" w:bidi="ar"/>
              </w:rPr>
              <w:t>Contextual enablers and barriers to policy implementation</w:t>
            </w:r>
          </w:p>
        </w:tc>
        <w:tc>
          <w:tcPr>
            <w:tcW w:w="2670" w:type="dxa"/>
            <w:vAlign w:val="center"/>
          </w:tcPr>
          <w:p w14:paraId="502E3436" w14:textId="77777777" w:rsidR="004A7295" w:rsidRDefault="00000000">
            <w:pPr>
              <w:widowControl/>
              <w:autoSpaceDE/>
              <w:autoSpaceDN/>
              <w:spacing w:line="360" w:lineRule="auto"/>
              <w:jc w:val="both"/>
              <w:rPr>
                <w:rFonts w:ascii="Arial" w:eastAsia="DengXian" w:hAnsi="Arial" w:cs="Arial"/>
                <w:lang w:val="en-US" w:eastAsia="zh-CN" w:bidi="ar-SA"/>
              </w:rPr>
            </w:pPr>
            <w:r>
              <w:rPr>
                <w:rFonts w:ascii="Arial" w:eastAsia="SimSun" w:hAnsi="Arial" w:cs="Arial"/>
                <w:lang w:val="en-US" w:eastAsia="zh-CN" w:bidi="ar"/>
              </w:rPr>
              <w:t>System readiness and contextual factors</w:t>
            </w:r>
          </w:p>
        </w:tc>
      </w:tr>
      <w:tr w:rsidR="004A7295" w14:paraId="502E343C" w14:textId="77777777">
        <w:trPr>
          <w:trHeight w:val="1166"/>
        </w:trPr>
        <w:tc>
          <w:tcPr>
            <w:tcW w:w="2353" w:type="dxa"/>
            <w:vAlign w:val="center"/>
          </w:tcPr>
          <w:p w14:paraId="502E3439" w14:textId="77777777" w:rsidR="004A7295" w:rsidRDefault="00000000">
            <w:pPr>
              <w:widowControl/>
              <w:autoSpaceDE/>
              <w:autoSpaceDN/>
              <w:spacing w:line="360" w:lineRule="auto"/>
              <w:jc w:val="both"/>
              <w:rPr>
                <w:rFonts w:ascii="Arial" w:eastAsia="DengXian" w:hAnsi="Arial" w:cs="Arial"/>
                <w:lang w:val="en-US" w:eastAsia="zh-CN" w:bidi="ar-SA"/>
              </w:rPr>
            </w:pPr>
            <w:r>
              <w:rPr>
                <w:rFonts w:ascii="Arial" w:eastAsia="SimSun" w:hAnsi="Arial" w:cs="Arial"/>
                <w:lang w:val="en-US" w:eastAsia="zh-CN" w:bidi="ar"/>
              </w:rPr>
              <w:t xml:space="preserve">Emergency admissions, hospital </w:t>
            </w:r>
            <w:proofErr w:type="spellStart"/>
            <w:r>
              <w:rPr>
                <w:rFonts w:ascii="Arial" w:eastAsia="SimSun" w:hAnsi="Arial" w:cs="Arial"/>
                <w:lang w:val="en-US" w:eastAsia="zh-CN" w:bidi="ar"/>
              </w:rPr>
              <w:t>utilisation</w:t>
            </w:r>
            <w:proofErr w:type="spellEnd"/>
            <w:r>
              <w:rPr>
                <w:rFonts w:ascii="Arial" w:eastAsia="SimSun" w:hAnsi="Arial" w:cs="Arial"/>
                <w:lang w:val="en-US" w:eastAsia="zh-CN" w:bidi="ar"/>
              </w:rPr>
              <w:t>, delayed impact (3 years), data limitations</w:t>
            </w:r>
          </w:p>
        </w:tc>
        <w:tc>
          <w:tcPr>
            <w:tcW w:w="2572" w:type="dxa"/>
            <w:vAlign w:val="center"/>
          </w:tcPr>
          <w:p w14:paraId="502E343A" w14:textId="77777777" w:rsidR="004A7295" w:rsidRDefault="00000000">
            <w:pPr>
              <w:widowControl/>
              <w:autoSpaceDE/>
              <w:autoSpaceDN/>
              <w:spacing w:line="360" w:lineRule="auto"/>
              <w:jc w:val="both"/>
              <w:rPr>
                <w:rFonts w:ascii="Arial" w:eastAsia="DengXian" w:hAnsi="Arial" w:cs="Arial"/>
                <w:lang w:val="en-US" w:eastAsia="zh-CN" w:bidi="ar-SA"/>
              </w:rPr>
            </w:pPr>
            <w:r>
              <w:rPr>
                <w:rFonts w:ascii="Arial" w:eastAsia="SimSun" w:hAnsi="Arial" w:cs="Arial"/>
                <w:lang w:val="en-US" w:eastAsia="zh-CN" w:bidi="ar"/>
              </w:rPr>
              <w:t>Long-term evaluation of integrated care outcomes</w:t>
            </w:r>
          </w:p>
        </w:tc>
        <w:tc>
          <w:tcPr>
            <w:tcW w:w="2670" w:type="dxa"/>
            <w:vAlign w:val="center"/>
          </w:tcPr>
          <w:p w14:paraId="502E343B" w14:textId="77777777" w:rsidR="004A7295" w:rsidRDefault="00000000">
            <w:pPr>
              <w:widowControl/>
              <w:autoSpaceDE/>
              <w:autoSpaceDN/>
              <w:spacing w:line="360" w:lineRule="auto"/>
              <w:jc w:val="both"/>
              <w:rPr>
                <w:rFonts w:ascii="Arial" w:eastAsia="DengXian" w:hAnsi="Arial" w:cs="Arial"/>
                <w:lang w:val="en-US" w:eastAsia="zh-CN" w:bidi="ar-SA"/>
              </w:rPr>
            </w:pPr>
            <w:r>
              <w:rPr>
                <w:rFonts w:ascii="Arial" w:eastAsia="SimSun" w:hAnsi="Arial" w:cs="Arial"/>
                <w:lang w:val="en-US" w:eastAsia="zh-CN" w:bidi="ar"/>
              </w:rPr>
              <w:t>Measured outcomes and effectiveness</w:t>
            </w:r>
          </w:p>
        </w:tc>
      </w:tr>
      <w:tr w:rsidR="004A7295" w14:paraId="502E3441" w14:textId="77777777">
        <w:trPr>
          <w:trHeight w:val="935"/>
        </w:trPr>
        <w:tc>
          <w:tcPr>
            <w:tcW w:w="2353" w:type="dxa"/>
            <w:vAlign w:val="center"/>
          </w:tcPr>
          <w:p w14:paraId="502E343E" w14:textId="77777777" w:rsidR="004A7295" w:rsidRDefault="00000000">
            <w:pPr>
              <w:widowControl/>
              <w:autoSpaceDE/>
              <w:autoSpaceDN/>
              <w:spacing w:line="360" w:lineRule="auto"/>
              <w:jc w:val="both"/>
              <w:rPr>
                <w:rFonts w:ascii="Arial" w:eastAsia="DengXian" w:hAnsi="Arial" w:cs="Arial"/>
                <w:lang w:val="en-US" w:eastAsia="zh-CN" w:bidi="ar-SA"/>
              </w:rPr>
            </w:pPr>
            <w:r>
              <w:rPr>
                <w:rFonts w:ascii="Arial" w:eastAsia="SimSun" w:hAnsi="Arial" w:cs="Arial"/>
                <w:lang w:val="en-US" w:eastAsia="zh-CN" w:bidi="ar"/>
              </w:rPr>
              <w:t>Continuity, trust, communication, care coordinators, home-based services</w:t>
            </w:r>
          </w:p>
        </w:tc>
        <w:tc>
          <w:tcPr>
            <w:tcW w:w="2572" w:type="dxa"/>
            <w:vAlign w:val="center"/>
          </w:tcPr>
          <w:p w14:paraId="502E343F" w14:textId="77777777" w:rsidR="004A7295" w:rsidRDefault="00000000">
            <w:pPr>
              <w:widowControl/>
              <w:autoSpaceDE/>
              <w:autoSpaceDN/>
              <w:spacing w:line="360" w:lineRule="auto"/>
              <w:jc w:val="both"/>
              <w:rPr>
                <w:rFonts w:ascii="Arial" w:eastAsia="DengXian" w:hAnsi="Arial" w:cs="Arial"/>
                <w:lang w:val="en-US" w:eastAsia="zh-CN" w:bidi="ar-SA"/>
              </w:rPr>
            </w:pPr>
            <w:r>
              <w:rPr>
                <w:rFonts w:ascii="Arial" w:eastAsia="SimSun" w:hAnsi="Arial" w:cs="Arial"/>
                <w:lang w:val="en-US" w:eastAsia="zh-CN" w:bidi="ar"/>
              </w:rPr>
              <w:t>Mechanisms sustaining continuity of care for older adults</w:t>
            </w:r>
          </w:p>
        </w:tc>
        <w:tc>
          <w:tcPr>
            <w:tcW w:w="2670" w:type="dxa"/>
            <w:vAlign w:val="center"/>
          </w:tcPr>
          <w:p w14:paraId="502E3440" w14:textId="77777777" w:rsidR="004A7295" w:rsidRDefault="00000000">
            <w:pPr>
              <w:widowControl/>
              <w:autoSpaceDE/>
              <w:autoSpaceDN/>
              <w:spacing w:line="360" w:lineRule="auto"/>
              <w:jc w:val="both"/>
              <w:rPr>
                <w:rFonts w:ascii="Arial" w:eastAsia="DengXian" w:hAnsi="Arial" w:cs="Arial"/>
                <w:lang w:val="en-US" w:eastAsia="zh-CN" w:bidi="ar-SA"/>
              </w:rPr>
            </w:pPr>
            <w:r>
              <w:rPr>
                <w:rFonts w:ascii="Arial" w:eastAsia="SimSun" w:hAnsi="Arial" w:cs="Arial"/>
                <w:lang w:val="en-US" w:eastAsia="zh-CN" w:bidi="ar"/>
              </w:rPr>
              <w:t>Patient-</w:t>
            </w:r>
            <w:proofErr w:type="spellStart"/>
            <w:r>
              <w:rPr>
                <w:rFonts w:ascii="Arial" w:eastAsia="SimSun" w:hAnsi="Arial" w:cs="Arial"/>
                <w:lang w:val="en-US" w:eastAsia="zh-CN" w:bidi="ar"/>
              </w:rPr>
              <w:t>centred</w:t>
            </w:r>
            <w:proofErr w:type="spellEnd"/>
            <w:r>
              <w:rPr>
                <w:rFonts w:ascii="Arial" w:eastAsia="SimSun" w:hAnsi="Arial" w:cs="Arial"/>
                <w:lang w:val="en-US" w:eastAsia="zh-CN" w:bidi="ar"/>
              </w:rPr>
              <w:t xml:space="preserve"> coordinated care</w:t>
            </w:r>
          </w:p>
        </w:tc>
      </w:tr>
      <w:tr w:rsidR="004A7295" w14:paraId="502E3446" w14:textId="77777777">
        <w:trPr>
          <w:trHeight w:val="1166"/>
        </w:trPr>
        <w:tc>
          <w:tcPr>
            <w:tcW w:w="2353" w:type="dxa"/>
            <w:vAlign w:val="center"/>
          </w:tcPr>
          <w:p w14:paraId="502E3443" w14:textId="77777777" w:rsidR="004A7295" w:rsidRDefault="00000000">
            <w:pPr>
              <w:widowControl/>
              <w:autoSpaceDE/>
              <w:autoSpaceDN/>
              <w:spacing w:line="360" w:lineRule="auto"/>
              <w:jc w:val="both"/>
              <w:rPr>
                <w:rFonts w:ascii="Arial" w:eastAsia="DengXian" w:hAnsi="Arial" w:cs="Arial"/>
                <w:lang w:val="en-US" w:eastAsia="zh-CN" w:bidi="ar-SA"/>
              </w:rPr>
            </w:pPr>
            <w:r>
              <w:rPr>
                <w:rFonts w:ascii="Arial" w:eastAsia="SimSun" w:hAnsi="Arial" w:cs="Arial"/>
                <w:lang w:val="en-US" w:eastAsia="zh-CN" w:bidi="ar"/>
              </w:rPr>
              <w:t>Workforce transformation, multi-professional learning, leadership, and role development</w:t>
            </w:r>
          </w:p>
        </w:tc>
        <w:tc>
          <w:tcPr>
            <w:tcW w:w="2572" w:type="dxa"/>
            <w:vAlign w:val="center"/>
          </w:tcPr>
          <w:p w14:paraId="502E3444" w14:textId="77777777" w:rsidR="004A7295" w:rsidRDefault="00000000">
            <w:pPr>
              <w:widowControl/>
              <w:autoSpaceDE/>
              <w:autoSpaceDN/>
              <w:spacing w:line="360" w:lineRule="auto"/>
              <w:jc w:val="both"/>
              <w:rPr>
                <w:rFonts w:ascii="Arial" w:eastAsia="DengXian" w:hAnsi="Arial" w:cs="Arial"/>
                <w:lang w:val="en-US" w:eastAsia="zh-CN" w:bidi="ar-SA"/>
              </w:rPr>
            </w:pPr>
            <w:r>
              <w:rPr>
                <w:rFonts w:ascii="Arial" w:eastAsia="SimSun" w:hAnsi="Arial" w:cs="Arial"/>
                <w:lang w:val="en-US" w:eastAsia="zh-CN" w:bidi="ar"/>
              </w:rPr>
              <w:t>Workforce integration as a prerequisite for system change</w:t>
            </w:r>
          </w:p>
        </w:tc>
        <w:tc>
          <w:tcPr>
            <w:tcW w:w="2670" w:type="dxa"/>
            <w:vAlign w:val="center"/>
          </w:tcPr>
          <w:p w14:paraId="502E3445" w14:textId="77777777" w:rsidR="004A7295" w:rsidRDefault="00000000">
            <w:pPr>
              <w:widowControl/>
              <w:autoSpaceDE/>
              <w:autoSpaceDN/>
              <w:spacing w:line="360" w:lineRule="auto"/>
              <w:jc w:val="both"/>
              <w:rPr>
                <w:rFonts w:ascii="Arial" w:eastAsia="DengXian" w:hAnsi="Arial" w:cs="Arial"/>
                <w:lang w:val="en-US" w:eastAsia="zh-CN" w:bidi="ar-SA"/>
              </w:rPr>
            </w:pPr>
            <w:r>
              <w:rPr>
                <w:rFonts w:ascii="Arial" w:eastAsia="SimSun" w:hAnsi="Arial" w:cs="Arial"/>
                <w:lang w:val="en-US" w:eastAsia="zh-CN" w:bidi="ar"/>
              </w:rPr>
              <w:t>Workforce capability and transformation</w:t>
            </w:r>
          </w:p>
        </w:tc>
      </w:tr>
      <w:tr w:rsidR="004A7295" w14:paraId="502E344B" w14:textId="77777777">
        <w:trPr>
          <w:trHeight w:val="935"/>
        </w:trPr>
        <w:tc>
          <w:tcPr>
            <w:tcW w:w="2353" w:type="dxa"/>
            <w:vAlign w:val="center"/>
          </w:tcPr>
          <w:p w14:paraId="502E3448" w14:textId="77777777" w:rsidR="004A7295" w:rsidRDefault="00000000">
            <w:pPr>
              <w:widowControl/>
              <w:autoSpaceDE/>
              <w:autoSpaceDN/>
              <w:spacing w:line="360" w:lineRule="auto"/>
              <w:jc w:val="both"/>
              <w:rPr>
                <w:rFonts w:ascii="Arial" w:eastAsia="DengXian" w:hAnsi="Arial" w:cs="Arial"/>
                <w:lang w:val="en-US" w:eastAsia="zh-CN" w:bidi="ar-SA"/>
              </w:rPr>
            </w:pPr>
            <w:r>
              <w:rPr>
                <w:rFonts w:ascii="Arial" w:eastAsia="SimSun" w:hAnsi="Arial" w:cs="Arial"/>
                <w:lang w:val="en-US" w:eastAsia="zh-CN" w:bidi="ar"/>
              </w:rPr>
              <w:t>National support, leadership, funding, data quality, and monitoring tensions</w:t>
            </w:r>
          </w:p>
        </w:tc>
        <w:tc>
          <w:tcPr>
            <w:tcW w:w="2572" w:type="dxa"/>
            <w:vAlign w:val="center"/>
          </w:tcPr>
          <w:p w14:paraId="502E3449" w14:textId="77777777" w:rsidR="004A7295" w:rsidRDefault="00000000">
            <w:pPr>
              <w:widowControl/>
              <w:autoSpaceDE/>
              <w:autoSpaceDN/>
              <w:spacing w:line="360" w:lineRule="auto"/>
              <w:jc w:val="both"/>
              <w:rPr>
                <w:rFonts w:ascii="Arial" w:eastAsia="DengXian" w:hAnsi="Arial" w:cs="Arial"/>
                <w:lang w:val="en-US" w:eastAsia="zh-CN" w:bidi="ar-SA"/>
              </w:rPr>
            </w:pPr>
            <w:r>
              <w:rPr>
                <w:rFonts w:ascii="Arial" w:eastAsia="SimSun" w:hAnsi="Arial" w:cs="Arial"/>
                <w:lang w:val="en-US" w:eastAsia="zh-CN" w:bidi="ar"/>
              </w:rPr>
              <w:t>Facilitators and barriers of new care model implementation</w:t>
            </w:r>
          </w:p>
        </w:tc>
        <w:tc>
          <w:tcPr>
            <w:tcW w:w="2670" w:type="dxa"/>
            <w:vAlign w:val="center"/>
          </w:tcPr>
          <w:p w14:paraId="502E344A" w14:textId="77777777" w:rsidR="004A7295" w:rsidRDefault="00000000">
            <w:pPr>
              <w:widowControl/>
              <w:autoSpaceDE/>
              <w:autoSpaceDN/>
              <w:spacing w:line="360" w:lineRule="auto"/>
              <w:jc w:val="both"/>
              <w:rPr>
                <w:rFonts w:ascii="Arial" w:eastAsia="DengXian" w:hAnsi="Arial" w:cs="Arial"/>
                <w:lang w:val="en-US" w:eastAsia="zh-CN" w:bidi="ar-SA"/>
              </w:rPr>
            </w:pPr>
            <w:r>
              <w:rPr>
                <w:rFonts w:ascii="Arial" w:eastAsia="SimSun" w:hAnsi="Arial" w:cs="Arial"/>
                <w:lang w:val="en-US" w:eastAsia="zh-CN" w:bidi="ar"/>
              </w:rPr>
              <w:t>Governance, leadership, and system alignment</w:t>
            </w:r>
          </w:p>
        </w:tc>
      </w:tr>
      <w:tr w:rsidR="004A7295" w14:paraId="502E3450" w14:textId="77777777">
        <w:trPr>
          <w:trHeight w:val="935"/>
        </w:trPr>
        <w:tc>
          <w:tcPr>
            <w:tcW w:w="2353" w:type="dxa"/>
            <w:vAlign w:val="center"/>
          </w:tcPr>
          <w:p w14:paraId="502E344D" w14:textId="77777777" w:rsidR="004A7295" w:rsidRDefault="00000000">
            <w:pPr>
              <w:widowControl/>
              <w:autoSpaceDE/>
              <w:autoSpaceDN/>
              <w:spacing w:line="360" w:lineRule="auto"/>
              <w:jc w:val="both"/>
              <w:rPr>
                <w:rFonts w:ascii="Arial" w:eastAsia="DengXian" w:hAnsi="Arial" w:cs="Arial"/>
                <w:lang w:val="en-US" w:eastAsia="zh-CN" w:bidi="ar-SA"/>
              </w:rPr>
            </w:pPr>
            <w:r>
              <w:rPr>
                <w:rFonts w:ascii="Arial" w:eastAsia="SimSun" w:hAnsi="Arial" w:cs="Arial"/>
                <w:lang w:val="en-US" w:eastAsia="zh-CN" w:bidi="ar"/>
              </w:rPr>
              <w:t xml:space="preserve">Integration pioneers, slow progress, </w:t>
            </w:r>
            <w:r>
              <w:rPr>
                <w:rFonts w:ascii="Arial" w:eastAsia="SimSun" w:hAnsi="Arial" w:cs="Arial"/>
                <w:lang w:val="en-US" w:eastAsia="zh-CN" w:bidi="ar"/>
              </w:rPr>
              <w:lastRenderedPageBreak/>
              <w:t>reduced barriers, long-term timelines</w:t>
            </w:r>
          </w:p>
        </w:tc>
        <w:tc>
          <w:tcPr>
            <w:tcW w:w="2572" w:type="dxa"/>
            <w:vAlign w:val="center"/>
          </w:tcPr>
          <w:p w14:paraId="502E344E" w14:textId="77777777" w:rsidR="004A7295" w:rsidRDefault="00000000">
            <w:pPr>
              <w:widowControl/>
              <w:autoSpaceDE/>
              <w:autoSpaceDN/>
              <w:spacing w:line="360" w:lineRule="auto"/>
              <w:jc w:val="both"/>
              <w:rPr>
                <w:rFonts w:ascii="Arial" w:eastAsia="DengXian" w:hAnsi="Arial" w:cs="Arial"/>
                <w:lang w:val="en-US" w:eastAsia="zh-CN" w:bidi="ar-SA"/>
              </w:rPr>
            </w:pPr>
            <w:r>
              <w:rPr>
                <w:rFonts w:ascii="Arial" w:eastAsia="SimSun" w:hAnsi="Arial" w:cs="Arial"/>
                <w:lang w:val="en-US" w:eastAsia="zh-CN" w:bidi="ar"/>
              </w:rPr>
              <w:lastRenderedPageBreak/>
              <w:t>Evolution of integration efforts and persistent challenges</w:t>
            </w:r>
          </w:p>
        </w:tc>
        <w:tc>
          <w:tcPr>
            <w:tcW w:w="2670" w:type="dxa"/>
            <w:vAlign w:val="center"/>
          </w:tcPr>
          <w:p w14:paraId="502E344F" w14:textId="77777777" w:rsidR="004A7295" w:rsidRDefault="00000000">
            <w:pPr>
              <w:widowControl/>
              <w:autoSpaceDE/>
              <w:autoSpaceDN/>
              <w:spacing w:line="360" w:lineRule="auto"/>
              <w:jc w:val="both"/>
              <w:rPr>
                <w:rFonts w:ascii="Arial" w:eastAsia="DengXian" w:hAnsi="Arial" w:cs="Arial"/>
                <w:lang w:val="en-US" w:eastAsia="zh-CN" w:bidi="ar-SA"/>
              </w:rPr>
            </w:pPr>
            <w:r>
              <w:rPr>
                <w:rFonts w:ascii="Arial" w:eastAsia="SimSun" w:hAnsi="Arial" w:cs="Arial"/>
                <w:lang w:val="en-US" w:eastAsia="zh-CN" w:bidi="ar"/>
              </w:rPr>
              <w:t>Integration maturity and sustainability</w:t>
            </w:r>
          </w:p>
        </w:tc>
      </w:tr>
      <w:tr w:rsidR="004A7295" w14:paraId="502E3455" w14:textId="77777777">
        <w:trPr>
          <w:trHeight w:val="409"/>
        </w:trPr>
        <w:tc>
          <w:tcPr>
            <w:tcW w:w="2353" w:type="dxa"/>
            <w:vAlign w:val="center"/>
          </w:tcPr>
          <w:p w14:paraId="502E3452" w14:textId="77777777" w:rsidR="004A7295" w:rsidRDefault="00000000">
            <w:pPr>
              <w:widowControl/>
              <w:autoSpaceDE/>
              <w:autoSpaceDN/>
              <w:spacing w:line="360" w:lineRule="auto"/>
              <w:jc w:val="both"/>
              <w:rPr>
                <w:rFonts w:ascii="Arial" w:eastAsia="DengXian" w:hAnsi="Arial" w:cs="Arial"/>
                <w:lang w:val="en-US" w:eastAsia="zh-CN" w:bidi="ar-SA"/>
              </w:rPr>
            </w:pPr>
            <w:r>
              <w:rPr>
                <w:rFonts w:ascii="Arial" w:eastAsia="SimSun" w:hAnsi="Arial" w:cs="Arial"/>
                <w:lang w:val="en-US" w:eastAsia="zh-CN" w:bidi="ar"/>
              </w:rPr>
              <w:t xml:space="preserve">Teamwork, capacity, </w:t>
            </w:r>
            <w:proofErr w:type="spellStart"/>
            <w:r>
              <w:rPr>
                <w:rFonts w:ascii="Arial" w:eastAsia="SimSun" w:hAnsi="Arial" w:cs="Arial"/>
                <w:lang w:val="en-US" w:eastAsia="zh-CN" w:bidi="ar"/>
              </w:rPr>
              <w:t>organisational</w:t>
            </w:r>
            <w:proofErr w:type="spellEnd"/>
            <w:r>
              <w:rPr>
                <w:rFonts w:ascii="Arial" w:eastAsia="SimSun" w:hAnsi="Arial" w:cs="Arial"/>
                <w:lang w:val="en-US" w:eastAsia="zh-CN" w:bidi="ar"/>
              </w:rPr>
              <w:t xml:space="preserve"> development, and holistic care</w:t>
            </w:r>
          </w:p>
        </w:tc>
        <w:tc>
          <w:tcPr>
            <w:tcW w:w="2572" w:type="dxa"/>
            <w:vAlign w:val="center"/>
          </w:tcPr>
          <w:p w14:paraId="502E3453" w14:textId="77777777" w:rsidR="004A7295" w:rsidRDefault="00000000">
            <w:pPr>
              <w:widowControl/>
              <w:autoSpaceDE/>
              <w:autoSpaceDN/>
              <w:spacing w:line="360" w:lineRule="auto"/>
              <w:jc w:val="both"/>
              <w:rPr>
                <w:rFonts w:ascii="Arial" w:eastAsia="DengXian" w:hAnsi="Arial" w:cs="Arial"/>
                <w:lang w:val="en-US" w:eastAsia="zh-CN" w:bidi="ar-SA"/>
              </w:rPr>
            </w:pPr>
            <w:r>
              <w:rPr>
                <w:rFonts w:ascii="Arial" w:eastAsia="SimSun" w:hAnsi="Arial" w:cs="Arial"/>
                <w:lang w:val="en-US" w:eastAsia="zh-CN" w:bidi="ar"/>
              </w:rPr>
              <w:t xml:space="preserve">Workforce skills and </w:t>
            </w:r>
            <w:proofErr w:type="spellStart"/>
            <w:r>
              <w:rPr>
                <w:rFonts w:ascii="Arial" w:eastAsia="SimSun" w:hAnsi="Arial" w:cs="Arial"/>
                <w:lang w:val="en-US" w:eastAsia="zh-CN" w:bidi="ar"/>
              </w:rPr>
              <w:t>organisational</w:t>
            </w:r>
            <w:proofErr w:type="spellEnd"/>
            <w:r>
              <w:rPr>
                <w:rFonts w:ascii="Arial" w:eastAsia="SimSun" w:hAnsi="Arial" w:cs="Arial"/>
                <w:lang w:val="en-US" w:eastAsia="zh-CN" w:bidi="ar"/>
              </w:rPr>
              <w:t xml:space="preserve"> processes for integration</w:t>
            </w:r>
          </w:p>
        </w:tc>
        <w:tc>
          <w:tcPr>
            <w:tcW w:w="2670" w:type="dxa"/>
            <w:vAlign w:val="center"/>
          </w:tcPr>
          <w:p w14:paraId="502E3454" w14:textId="77777777" w:rsidR="004A7295" w:rsidRDefault="00000000">
            <w:pPr>
              <w:widowControl/>
              <w:autoSpaceDE/>
              <w:autoSpaceDN/>
              <w:spacing w:line="360" w:lineRule="auto"/>
              <w:jc w:val="both"/>
              <w:rPr>
                <w:rFonts w:ascii="Arial" w:eastAsia="DengXian" w:hAnsi="Arial" w:cs="Arial"/>
                <w:lang w:val="en-US" w:eastAsia="zh-CN" w:bidi="ar-SA"/>
              </w:rPr>
            </w:pPr>
            <w:r>
              <w:rPr>
                <w:rFonts w:ascii="Arial" w:eastAsia="SimSun" w:hAnsi="Arial" w:cs="Arial"/>
                <w:lang w:val="en-US" w:eastAsia="zh-CN" w:bidi="ar"/>
              </w:rPr>
              <w:t>Workforce capability and transformation</w:t>
            </w:r>
          </w:p>
        </w:tc>
      </w:tr>
      <w:tr w:rsidR="004A7295" w14:paraId="502E345A" w14:textId="77777777">
        <w:trPr>
          <w:trHeight w:val="703"/>
        </w:trPr>
        <w:tc>
          <w:tcPr>
            <w:tcW w:w="2353" w:type="dxa"/>
            <w:vAlign w:val="center"/>
          </w:tcPr>
          <w:p w14:paraId="502E3457" w14:textId="77777777" w:rsidR="004A7295" w:rsidRDefault="00000000">
            <w:pPr>
              <w:widowControl/>
              <w:autoSpaceDE/>
              <w:autoSpaceDN/>
              <w:spacing w:line="360" w:lineRule="auto"/>
              <w:jc w:val="both"/>
              <w:rPr>
                <w:rFonts w:ascii="Arial" w:eastAsia="DengXian" w:hAnsi="Arial" w:cs="Arial"/>
                <w:lang w:val="en-US" w:eastAsia="zh-CN" w:bidi="ar-SA"/>
              </w:rPr>
            </w:pPr>
            <w:r>
              <w:rPr>
                <w:rFonts w:ascii="Arial" w:eastAsia="SimSun" w:hAnsi="Arial" w:cs="Arial"/>
                <w:lang w:val="en-US" w:eastAsia="zh-CN" w:bidi="ar"/>
              </w:rPr>
              <w:t>ICS equity plans, health inequalities, and social determinants</w:t>
            </w:r>
          </w:p>
        </w:tc>
        <w:tc>
          <w:tcPr>
            <w:tcW w:w="2572" w:type="dxa"/>
            <w:vAlign w:val="center"/>
          </w:tcPr>
          <w:p w14:paraId="502E3458" w14:textId="77777777" w:rsidR="004A7295" w:rsidRDefault="00000000">
            <w:pPr>
              <w:widowControl/>
              <w:autoSpaceDE/>
              <w:autoSpaceDN/>
              <w:spacing w:line="360" w:lineRule="auto"/>
              <w:jc w:val="both"/>
              <w:rPr>
                <w:rFonts w:ascii="Arial" w:eastAsia="DengXian" w:hAnsi="Arial" w:cs="Arial"/>
                <w:lang w:val="en-US" w:eastAsia="zh-CN" w:bidi="ar-SA"/>
              </w:rPr>
            </w:pPr>
            <w:r>
              <w:rPr>
                <w:rFonts w:ascii="Arial" w:eastAsia="SimSun" w:hAnsi="Arial" w:cs="Arial"/>
                <w:lang w:val="en-US" w:eastAsia="zh-CN" w:bidi="ar"/>
              </w:rPr>
              <w:t>Place-based approaches addressing inequity</w:t>
            </w:r>
          </w:p>
        </w:tc>
        <w:tc>
          <w:tcPr>
            <w:tcW w:w="2670" w:type="dxa"/>
            <w:vAlign w:val="center"/>
          </w:tcPr>
          <w:p w14:paraId="502E3459" w14:textId="77777777" w:rsidR="004A7295" w:rsidRDefault="00000000">
            <w:pPr>
              <w:widowControl/>
              <w:autoSpaceDE/>
              <w:autoSpaceDN/>
              <w:spacing w:line="360" w:lineRule="auto"/>
              <w:jc w:val="both"/>
              <w:rPr>
                <w:rFonts w:ascii="Arial" w:eastAsia="DengXian" w:hAnsi="Arial" w:cs="Arial"/>
                <w:lang w:val="en-US" w:eastAsia="zh-CN" w:bidi="ar-SA"/>
              </w:rPr>
            </w:pPr>
            <w:r>
              <w:rPr>
                <w:rFonts w:ascii="Arial" w:eastAsia="SimSun" w:hAnsi="Arial" w:cs="Arial"/>
                <w:lang w:val="en-US" w:eastAsia="zh-CN" w:bidi="ar"/>
              </w:rPr>
              <w:t>Equity and population-based integration</w:t>
            </w:r>
          </w:p>
        </w:tc>
      </w:tr>
      <w:tr w:rsidR="004A7295" w14:paraId="502E345F" w14:textId="77777777">
        <w:trPr>
          <w:trHeight w:val="1166"/>
        </w:trPr>
        <w:tc>
          <w:tcPr>
            <w:tcW w:w="2353" w:type="dxa"/>
            <w:vAlign w:val="center"/>
          </w:tcPr>
          <w:p w14:paraId="502E345C" w14:textId="77777777" w:rsidR="004A7295" w:rsidRDefault="00000000">
            <w:pPr>
              <w:widowControl/>
              <w:autoSpaceDE/>
              <w:autoSpaceDN/>
              <w:spacing w:line="360" w:lineRule="auto"/>
              <w:jc w:val="both"/>
              <w:rPr>
                <w:rFonts w:ascii="Arial" w:eastAsia="DengXian" w:hAnsi="Arial" w:cs="Arial"/>
                <w:lang w:val="en-US" w:eastAsia="zh-CN" w:bidi="ar-SA"/>
              </w:rPr>
            </w:pPr>
            <w:r>
              <w:rPr>
                <w:rFonts w:ascii="Arial" w:eastAsia="SimSun" w:hAnsi="Arial" w:cs="Arial"/>
                <w:lang w:val="en-US" w:eastAsia="zh-CN" w:bidi="ar"/>
              </w:rPr>
              <w:t>Roles, communication, IT systems, education, and funding constraints</w:t>
            </w:r>
          </w:p>
        </w:tc>
        <w:tc>
          <w:tcPr>
            <w:tcW w:w="2572" w:type="dxa"/>
            <w:vAlign w:val="center"/>
          </w:tcPr>
          <w:p w14:paraId="502E345D" w14:textId="77777777" w:rsidR="004A7295" w:rsidRDefault="00000000">
            <w:pPr>
              <w:widowControl/>
              <w:autoSpaceDE/>
              <w:autoSpaceDN/>
              <w:spacing w:line="360" w:lineRule="auto"/>
              <w:jc w:val="both"/>
              <w:rPr>
                <w:rFonts w:ascii="Arial" w:eastAsia="DengXian" w:hAnsi="Arial" w:cs="Arial"/>
                <w:lang w:val="en-US" w:eastAsia="zh-CN" w:bidi="ar-SA"/>
              </w:rPr>
            </w:pPr>
            <w:r>
              <w:rPr>
                <w:rFonts w:ascii="Arial" w:eastAsia="SimSun" w:hAnsi="Arial" w:cs="Arial"/>
                <w:lang w:val="en-US" w:eastAsia="zh-CN" w:bidi="ar"/>
              </w:rPr>
              <w:t>Professional boundaries and enablers of collaboration</w:t>
            </w:r>
          </w:p>
        </w:tc>
        <w:tc>
          <w:tcPr>
            <w:tcW w:w="2670" w:type="dxa"/>
            <w:vAlign w:val="center"/>
          </w:tcPr>
          <w:p w14:paraId="502E345E" w14:textId="77777777" w:rsidR="004A7295" w:rsidRDefault="00000000">
            <w:pPr>
              <w:widowControl/>
              <w:autoSpaceDE/>
              <w:autoSpaceDN/>
              <w:spacing w:line="360" w:lineRule="auto"/>
              <w:jc w:val="both"/>
              <w:rPr>
                <w:rFonts w:ascii="Arial" w:eastAsia="DengXian" w:hAnsi="Arial" w:cs="Arial"/>
                <w:lang w:val="en-US" w:eastAsia="zh-CN" w:bidi="ar-SA"/>
              </w:rPr>
            </w:pPr>
            <w:r>
              <w:rPr>
                <w:rFonts w:ascii="Arial" w:eastAsia="SimSun" w:hAnsi="Arial" w:cs="Arial"/>
                <w:lang w:val="en-US" w:eastAsia="zh-CN" w:bidi="ar"/>
              </w:rPr>
              <w:t>Workforce capability and transformation</w:t>
            </w:r>
          </w:p>
        </w:tc>
      </w:tr>
      <w:tr w:rsidR="004A7295" w14:paraId="502E3464" w14:textId="77777777">
        <w:trPr>
          <w:trHeight w:val="1175"/>
        </w:trPr>
        <w:tc>
          <w:tcPr>
            <w:tcW w:w="2353" w:type="dxa"/>
            <w:vAlign w:val="center"/>
          </w:tcPr>
          <w:p w14:paraId="502E3461" w14:textId="77777777" w:rsidR="004A7295" w:rsidRDefault="00000000">
            <w:pPr>
              <w:widowControl/>
              <w:autoSpaceDE/>
              <w:autoSpaceDN/>
              <w:spacing w:line="360" w:lineRule="auto"/>
              <w:jc w:val="both"/>
              <w:rPr>
                <w:rFonts w:ascii="Arial" w:eastAsia="DengXian" w:hAnsi="Arial" w:cs="Arial"/>
                <w:lang w:val="en-US" w:eastAsia="zh-CN" w:bidi="ar-SA"/>
              </w:rPr>
            </w:pPr>
            <w:r>
              <w:rPr>
                <w:rFonts w:ascii="Arial" w:eastAsia="SimSun" w:hAnsi="Arial" w:cs="Arial"/>
                <w:lang w:val="en-US" w:eastAsia="zh-CN" w:bidi="ar"/>
              </w:rPr>
              <w:t>Depression and LTCs, collaboration, therapeutic vs service integration, stigma</w:t>
            </w:r>
          </w:p>
        </w:tc>
        <w:tc>
          <w:tcPr>
            <w:tcW w:w="2572" w:type="dxa"/>
            <w:vAlign w:val="center"/>
          </w:tcPr>
          <w:p w14:paraId="502E3462" w14:textId="77777777" w:rsidR="004A7295" w:rsidRDefault="00000000">
            <w:pPr>
              <w:widowControl/>
              <w:autoSpaceDE/>
              <w:autoSpaceDN/>
              <w:spacing w:line="360" w:lineRule="auto"/>
              <w:jc w:val="both"/>
              <w:rPr>
                <w:rFonts w:ascii="Arial" w:eastAsia="DengXian" w:hAnsi="Arial" w:cs="Arial"/>
                <w:lang w:val="en-US" w:eastAsia="zh-CN" w:bidi="ar-SA"/>
              </w:rPr>
            </w:pPr>
            <w:r>
              <w:rPr>
                <w:rFonts w:ascii="Arial" w:eastAsia="SimSun" w:hAnsi="Arial" w:cs="Arial"/>
                <w:lang w:val="en-US" w:eastAsia="zh-CN" w:bidi="ar"/>
              </w:rPr>
              <w:t>Patient and practitioner perspectives on mental-physical integration</w:t>
            </w:r>
          </w:p>
        </w:tc>
        <w:tc>
          <w:tcPr>
            <w:tcW w:w="2670" w:type="dxa"/>
            <w:vAlign w:val="center"/>
          </w:tcPr>
          <w:p w14:paraId="502E3463" w14:textId="77777777" w:rsidR="004A7295" w:rsidRDefault="00000000">
            <w:pPr>
              <w:widowControl/>
              <w:autoSpaceDE/>
              <w:autoSpaceDN/>
              <w:spacing w:line="360" w:lineRule="auto"/>
              <w:jc w:val="both"/>
              <w:rPr>
                <w:rFonts w:ascii="Arial" w:eastAsia="DengXian" w:hAnsi="Arial" w:cs="Arial"/>
                <w:lang w:val="en-US" w:eastAsia="zh-CN" w:bidi="ar-SA"/>
              </w:rPr>
            </w:pPr>
            <w:r>
              <w:rPr>
                <w:rFonts w:ascii="Arial" w:eastAsia="SimSun" w:hAnsi="Arial" w:cs="Arial"/>
                <w:lang w:val="en-US" w:eastAsia="zh-CN" w:bidi="ar"/>
              </w:rPr>
              <w:t>Patient-</w:t>
            </w:r>
            <w:proofErr w:type="spellStart"/>
            <w:r>
              <w:rPr>
                <w:rFonts w:ascii="Arial" w:eastAsia="SimSun" w:hAnsi="Arial" w:cs="Arial"/>
                <w:lang w:val="en-US" w:eastAsia="zh-CN" w:bidi="ar"/>
              </w:rPr>
              <w:t>centred</w:t>
            </w:r>
            <w:proofErr w:type="spellEnd"/>
            <w:r>
              <w:rPr>
                <w:rFonts w:ascii="Arial" w:eastAsia="SimSun" w:hAnsi="Arial" w:cs="Arial"/>
                <w:lang w:val="en-US" w:eastAsia="zh-CN" w:bidi="ar"/>
              </w:rPr>
              <w:t xml:space="preserve"> coordinated care</w:t>
            </w:r>
          </w:p>
        </w:tc>
      </w:tr>
    </w:tbl>
    <w:p w14:paraId="502E3465" w14:textId="77777777" w:rsidR="004A7295" w:rsidRDefault="004A7295">
      <w:pPr>
        <w:widowControl/>
        <w:autoSpaceDE/>
        <w:autoSpaceDN/>
        <w:spacing w:line="360" w:lineRule="auto"/>
        <w:jc w:val="both"/>
        <w:rPr>
          <w:rFonts w:ascii="Arial" w:eastAsia="SimSun" w:hAnsi="Arial" w:cs="Arial"/>
          <w:lang w:val="en-US" w:eastAsia="zh-CN" w:bidi="ar-SA"/>
        </w:rPr>
      </w:pPr>
    </w:p>
    <w:p w14:paraId="502E3466" w14:textId="1D9E4D8D" w:rsidR="004A7295" w:rsidRDefault="00000000">
      <w:pPr>
        <w:widowControl/>
        <w:autoSpaceDE/>
        <w:autoSpaceDN/>
        <w:spacing w:line="360" w:lineRule="auto"/>
        <w:jc w:val="both"/>
        <w:rPr>
          <w:rFonts w:ascii="Arial" w:eastAsia="DengXian" w:hAnsi="Arial" w:cs="Arial"/>
          <w:lang w:val="en-US" w:eastAsia="zh-CN" w:bidi="ar-SA"/>
        </w:rPr>
      </w:pPr>
      <w:r>
        <w:rPr>
          <w:rFonts w:ascii="Arial" w:eastAsia="DengXian" w:hAnsi="Arial" w:cs="Arial"/>
          <w:lang w:val="en-US" w:eastAsia="zh-CN" w:bidi="ar-SA"/>
        </w:rPr>
        <w:t xml:space="preserve">Table 4.1 above </w:t>
      </w:r>
      <w:proofErr w:type="spellStart"/>
      <w:r w:rsidR="0072180D">
        <w:rPr>
          <w:rFonts w:ascii="Arial" w:eastAsia="DengXian" w:hAnsi="Arial" w:cs="Arial"/>
          <w:lang w:val="en-US" w:eastAsia="zh-CN" w:bidi="ar-SA"/>
        </w:rPr>
        <w:t>summarises</w:t>
      </w:r>
      <w:proofErr w:type="spellEnd"/>
      <w:r w:rsidR="0072180D">
        <w:rPr>
          <w:rFonts w:ascii="Arial" w:eastAsia="DengXian" w:hAnsi="Arial" w:cs="Arial"/>
          <w:lang w:val="en-US" w:eastAsia="zh-CN" w:bidi="ar-SA"/>
        </w:rPr>
        <w:t xml:space="preserve"> the ten articles’ codes, basic themes, </w:t>
      </w:r>
      <w:proofErr w:type="spellStart"/>
      <w:r w:rsidR="0072180D">
        <w:rPr>
          <w:rFonts w:ascii="Arial" w:eastAsia="DengXian" w:hAnsi="Arial" w:cs="Arial"/>
          <w:lang w:val="en-US" w:eastAsia="zh-CN" w:bidi="ar-SA"/>
        </w:rPr>
        <w:t>organising</w:t>
      </w:r>
      <w:proofErr w:type="spellEnd"/>
      <w:r w:rsidR="0072180D">
        <w:rPr>
          <w:rFonts w:ascii="Arial" w:eastAsia="DengXian" w:hAnsi="Arial" w:cs="Arial"/>
          <w:lang w:val="en-US" w:eastAsia="zh-CN" w:bidi="ar-SA"/>
        </w:rPr>
        <w:t xml:space="preserve"> themes, and </w:t>
      </w:r>
      <w:r>
        <w:rPr>
          <w:rFonts w:ascii="Arial" w:eastAsia="DengXian" w:hAnsi="Arial" w:cs="Arial"/>
          <w:lang w:val="en-US" w:eastAsia="zh-CN" w:bidi="ar-SA"/>
        </w:rPr>
        <w:t xml:space="preserve">authors and years. </w:t>
      </w:r>
    </w:p>
    <w:p w14:paraId="502E3467" w14:textId="77777777" w:rsidR="004A7295" w:rsidRDefault="004A7295">
      <w:pPr>
        <w:widowControl/>
        <w:autoSpaceDE/>
        <w:autoSpaceDN/>
        <w:spacing w:line="360" w:lineRule="auto"/>
        <w:jc w:val="both"/>
        <w:rPr>
          <w:rFonts w:ascii="Arial" w:eastAsia="DengXian" w:hAnsi="Arial" w:cs="Arial"/>
          <w:b/>
          <w:bCs/>
          <w:lang w:val="en-US" w:eastAsia="zh-CN" w:bidi="ar-SA"/>
        </w:rPr>
      </w:pPr>
    </w:p>
    <w:p w14:paraId="502E3468" w14:textId="77777777" w:rsidR="004A7295" w:rsidRDefault="00000000">
      <w:pPr>
        <w:widowControl/>
        <w:autoSpaceDE/>
        <w:autoSpaceDN/>
        <w:spacing w:line="360" w:lineRule="auto"/>
        <w:jc w:val="both"/>
        <w:rPr>
          <w:rFonts w:ascii="Arial" w:eastAsia="DengXian" w:hAnsi="Arial" w:cs="Arial"/>
          <w:lang w:val="en-US" w:eastAsia="zh-CN" w:bidi="ar-SA"/>
        </w:rPr>
      </w:pPr>
      <w:r>
        <w:rPr>
          <w:rFonts w:ascii="Arial" w:eastAsia="DengXian" w:hAnsi="Arial" w:cs="Arial"/>
          <w:b/>
          <w:bCs/>
          <w:lang w:val="en-US" w:eastAsia="zh-CN" w:bidi="ar-SA"/>
        </w:rPr>
        <w:t>4.4 Thematic Findings</w:t>
      </w:r>
    </w:p>
    <w:p w14:paraId="07944296" w14:textId="77777777" w:rsidR="004A7295" w:rsidRDefault="00000000">
      <w:pPr>
        <w:widowControl/>
        <w:autoSpaceDE/>
        <w:autoSpaceDN/>
        <w:spacing w:beforeAutospacing="1" w:afterAutospacing="1" w:line="360" w:lineRule="auto"/>
        <w:jc w:val="both"/>
        <w:rPr>
          <w:rFonts w:ascii="Arial" w:eastAsia="SimSun" w:hAnsi="Arial" w:cs="Arial"/>
          <w:b/>
          <w:bCs/>
          <w:lang w:val="en-US" w:eastAsia="zh-CN" w:bidi="ar-SA"/>
        </w:rPr>
      </w:pPr>
      <w:r>
        <w:rPr>
          <w:rFonts w:ascii="Arial" w:eastAsia="SimSun" w:hAnsi="Arial" w:cs="Arial"/>
          <w:b/>
          <w:bCs/>
          <w:lang w:val="en-US" w:eastAsia="zh-CN" w:bidi="ar-SA"/>
        </w:rPr>
        <w:t>4.4.1 System Readiness and Contextual Factors</w:t>
      </w:r>
    </w:p>
    <w:p w14:paraId="5F32038A" w14:textId="77777777" w:rsidR="004A7295" w:rsidRDefault="00000000">
      <w:pPr>
        <w:widowControl/>
        <w:autoSpaceDE/>
        <w:autoSpaceDN/>
        <w:spacing w:beforeAutospacing="1" w:afterAutospacing="1" w:line="360" w:lineRule="auto"/>
        <w:jc w:val="both"/>
        <w:rPr>
          <w:rFonts w:ascii="Arial" w:eastAsia="SimSun" w:hAnsi="Arial" w:cs="Arial"/>
          <w:lang w:val="en-US" w:eastAsia="zh-CN" w:bidi="ar-SA"/>
        </w:rPr>
      </w:pPr>
      <w:r>
        <w:rPr>
          <w:rFonts w:ascii="Arial" w:eastAsia="SimSun" w:hAnsi="Arial" w:cs="Arial"/>
          <w:lang w:val="en-US" w:eastAsia="zh-CN" w:bidi="ar-SA"/>
        </w:rPr>
        <w:t xml:space="preserve">The included studies highlight how leadership, funding, policy alignment, data infrastructure, and cross-sector collaboration shape system readiness for integrated care. Khan et al. (2024) show that COVID-19 disrupted integration efforts and exposed fragility </w:t>
      </w:r>
      <w:proofErr w:type="gramStart"/>
      <w:r>
        <w:rPr>
          <w:rFonts w:ascii="Arial" w:eastAsia="SimSun" w:hAnsi="Arial" w:cs="Arial"/>
          <w:lang w:val="en-US" w:eastAsia="zh-CN" w:bidi="ar-SA"/>
        </w:rPr>
        <w:t>in</w:t>
      </w:r>
      <w:proofErr w:type="gramEnd"/>
      <w:r>
        <w:rPr>
          <w:rFonts w:ascii="Arial" w:eastAsia="SimSun" w:hAnsi="Arial" w:cs="Arial"/>
          <w:lang w:val="en-US" w:eastAsia="zh-CN" w:bidi="ar-SA"/>
        </w:rPr>
        <w:t xml:space="preserve"> local systems. Billings et al. (2019) identify persistent data quality issues that limit effective planning, while Erens et al. (2020) demonstrate that progress remains slow despite strong policy ambition.</w:t>
      </w:r>
    </w:p>
    <w:p w14:paraId="52566BDC" w14:textId="77777777" w:rsidR="004A7295" w:rsidRDefault="00000000">
      <w:pPr>
        <w:widowControl/>
        <w:autoSpaceDE/>
        <w:autoSpaceDN/>
        <w:spacing w:beforeAutospacing="1" w:afterAutospacing="1" w:line="360" w:lineRule="auto"/>
        <w:jc w:val="both"/>
        <w:rPr>
          <w:rFonts w:ascii="Arial" w:eastAsia="SimSun" w:hAnsi="Arial" w:cs="Arial"/>
          <w:lang w:val="en-US" w:eastAsia="zh-CN" w:bidi="ar-SA"/>
        </w:rPr>
      </w:pPr>
      <w:r>
        <w:rPr>
          <w:rFonts w:ascii="Arial" w:eastAsia="SimSun" w:hAnsi="Arial" w:cs="Arial"/>
          <w:lang w:val="en-US" w:eastAsia="zh-CN" w:bidi="ar-SA"/>
        </w:rPr>
        <w:t xml:space="preserve">Collectively, these findings reveal a persistent gap between national expectations and local operational capacity. Historical fragmentation, inconsistent investment, and variable leadership maturity continue to impede integration efforts. The theme demonstrates that </w:t>
      </w:r>
      <w:r>
        <w:rPr>
          <w:rFonts w:ascii="Arial" w:eastAsia="SimSun" w:hAnsi="Arial" w:cs="Arial"/>
          <w:lang w:val="en-US" w:eastAsia="zh-CN" w:bidi="ar-SA"/>
        </w:rPr>
        <w:lastRenderedPageBreak/>
        <w:t xml:space="preserve">readiness for integrated care is shaped not only by policy frameworks but also by political stability, resource availability, </w:t>
      </w:r>
      <w:proofErr w:type="spellStart"/>
      <w:r>
        <w:rPr>
          <w:rFonts w:ascii="Arial" w:eastAsia="SimSun" w:hAnsi="Arial" w:cs="Arial"/>
          <w:lang w:val="en-US" w:eastAsia="zh-CN" w:bidi="ar-SA"/>
        </w:rPr>
        <w:t>organisational</w:t>
      </w:r>
      <w:proofErr w:type="spellEnd"/>
      <w:r>
        <w:rPr>
          <w:rFonts w:ascii="Arial" w:eastAsia="SimSun" w:hAnsi="Arial" w:cs="Arial"/>
          <w:lang w:val="en-US" w:eastAsia="zh-CN" w:bidi="ar-SA"/>
        </w:rPr>
        <w:t xml:space="preserve"> culture, and the resilience of local systems.</w:t>
      </w:r>
    </w:p>
    <w:p w14:paraId="61D7FDEE" w14:textId="77777777" w:rsidR="004A7295" w:rsidRDefault="00000000">
      <w:pPr>
        <w:widowControl/>
        <w:autoSpaceDE/>
        <w:autoSpaceDN/>
        <w:spacing w:beforeAutospacing="1" w:afterAutospacing="1" w:line="360" w:lineRule="auto"/>
        <w:jc w:val="both"/>
        <w:rPr>
          <w:rFonts w:ascii="Arial" w:eastAsia="SimSun" w:hAnsi="Arial" w:cs="Arial"/>
          <w:b/>
          <w:bCs/>
          <w:lang w:val="en-US" w:eastAsia="zh-CN" w:bidi="ar-SA"/>
        </w:rPr>
      </w:pPr>
      <w:r>
        <w:rPr>
          <w:rFonts w:ascii="Arial" w:eastAsia="SimSun" w:hAnsi="Arial" w:cs="Arial"/>
          <w:b/>
          <w:bCs/>
          <w:lang w:val="en-US" w:eastAsia="zh-CN" w:bidi="ar-SA"/>
        </w:rPr>
        <w:t>4.4.2 Workforce Capability and Transformation</w:t>
      </w:r>
    </w:p>
    <w:p w14:paraId="3AFCF94F" w14:textId="77777777" w:rsidR="004A7295" w:rsidRDefault="00000000">
      <w:pPr>
        <w:widowControl/>
        <w:autoSpaceDE/>
        <w:autoSpaceDN/>
        <w:spacing w:beforeAutospacing="1" w:afterAutospacing="1" w:line="360" w:lineRule="auto"/>
        <w:jc w:val="both"/>
        <w:rPr>
          <w:rFonts w:ascii="Arial" w:eastAsia="SimSun" w:hAnsi="Arial" w:cs="Arial"/>
          <w:lang w:val="en-US" w:eastAsia="zh-CN" w:bidi="ar-SA"/>
        </w:rPr>
      </w:pPr>
      <w:r>
        <w:rPr>
          <w:rFonts w:ascii="Arial" w:eastAsia="SimSun" w:hAnsi="Arial" w:cs="Arial"/>
          <w:lang w:val="en-US" w:eastAsia="zh-CN" w:bidi="ar-SA"/>
        </w:rPr>
        <w:t xml:space="preserve">The studies </w:t>
      </w:r>
      <w:proofErr w:type="spellStart"/>
      <w:r>
        <w:rPr>
          <w:rFonts w:ascii="Arial" w:eastAsia="SimSun" w:hAnsi="Arial" w:cs="Arial"/>
          <w:lang w:val="en-US" w:eastAsia="zh-CN" w:bidi="ar-SA"/>
        </w:rPr>
        <w:t>emphasise</w:t>
      </w:r>
      <w:proofErr w:type="spellEnd"/>
      <w:r>
        <w:rPr>
          <w:rFonts w:ascii="Arial" w:eastAsia="SimSun" w:hAnsi="Arial" w:cs="Arial"/>
          <w:lang w:val="en-US" w:eastAsia="zh-CN" w:bidi="ar-SA"/>
        </w:rPr>
        <w:t xml:space="preserve"> teamwork, communication, professional boundaries, training, and role development as key workforce elements supporting integrated care. Aiello and Mellor (2019) highlight the need for continuous professional development, while Robertshaw and Cross (2018) show that IT limitations and unclear roles hinder collaboration. Akehurst et al. identify </w:t>
      </w:r>
      <w:proofErr w:type="spellStart"/>
      <w:r>
        <w:rPr>
          <w:rFonts w:ascii="Arial" w:eastAsia="SimSun" w:hAnsi="Arial" w:cs="Arial"/>
          <w:lang w:val="en-US" w:eastAsia="zh-CN" w:bidi="ar-SA"/>
        </w:rPr>
        <w:t>organisational</w:t>
      </w:r>
      <w:proofErr w:type="spellEnd"/>
      <w:r>
        <w:rPr>
          <w:rFonts w:ascii="Arial" w:eastAsia="SimSun" w:hAnsi="Arial" w:cs="Arial"/>
          <w:lang w:val="en-US" w:eastAsia="zh-CN" w:bidi="ar-SA"/>
        </w:rPr>
        <w:t xml:space="preserve"> development as essential yet uneven, and MacInnes et al. (2020) show that staff continuity is critical for building trust among older adults.</w:t>
      </w:r>
    </w:p>
    <w:p w14:paraId="585DA2CB" w14:textId="77777777" w:rsidR="004A7295" w:rsidRDefault="00000000">
      <w:pPr>
        <w:widowControl/>
        <w:autoSpaceDE/>
        <w:autoSpaceDN/>
        <w:spacing w:beforeAutospacing="1" w:afterAutospacing="1" w:line="360" w:lineRule="auto"/>
        <w:jc w:val="both"/>
        <w:rPr>
          <w:rFonts w:ascii="Arial" w:eastAsia="SimSun" w:hAnsi="Arial" w:cs="Arial"/>
          <w:lang w:val="en-US" w:eastAsia="zh-CN" w:bidi="ar-SA"/>
        </w:rPr>
      </w:pPr>
      <w:r>
        <w:rPr>
          <w:rFonts w:ascii="Arial" w:eastAsia="SimSun" w:hAnsi="Arial" w:cs="Arial"/>
          <w:lang w:val="en-US" w:eastAsia="zh-CN" w:bidi="ar-SA"/>
        </w:rPr>
        <w:t>These findings indicate that integrated care is fundamentally relational. However, workforce transformation remains fragile due to shortages, role ambiguity, and inconsistent training. Although the workforce is a decisive pillar of integration, it remains under-resourced, revealing a mismatch between policy aspirations and workforce realities on the ground.</w:t>
      </w:r>
    </w:p>
    <w:p w14:paraId="31F98A38" w14:textId="77777777" w:rsidR="004A7295" w:rsidRDefault="00000000">
      <w:pPr>
        <w:widowControl/>
        <w:autoSpaceDE/>
        <w:autoSpaceDN/>
        <w:spacing w:beforeAutospacing="1" w:afterAutospacing="1" w:line="360" w:lineRule="auto"/>
        <w:jc w:val="both"/>
        <w:rPr>
          <w:rFonts w:ascii="Arial" w:eastAsia="SimSun" w:hAnsi="Arial" w:cs="Arial"/>
          <w:b/>
          <w:bCs/>
          <w:lang w:val="en-US" w:eastAsia="zh-CN" w:bidi="ar-SA"/>
        </w:rPr>
      </w:pPr>
      <w:r>
        <w:rPr>
          <w:rFonts w:ascii="Arial" w:eastAsia="SimSun" w:hAnsi="Arial" w:cs="Arial"/>
          <w:b/>
          <w:bCs/>
          <w:lang w:val="en-US" w:eastAsia="zh-CN" w:bidi="ar-SA"/>
        </w:rPr>
        <w:t>4.4.3 Patient-</w:t>
      </w:r>
      <w:proofErr w:type="spellStart"/>
      <w:r>
        <w:rPr>
          <w:rFonts w:ascii="Arial" w:eastAsia="SimSun" w:hAnsi="Arial" w:cs="Arial"/>
          <w:b/>
          <w:bCs/>
          <w:lang w:val="en-US" w:eastAsia="zh-CN" w:bidi="ar-SA"/>
        </w:rPr>
        <w:t>Centred</w:t>
      </w:r>
      <w:proofErr w:type="spellEnd"/>
      <w:r>
        <w:rPr>
          <w:rFonts w:ascii="Arial" w:eastAsia="SimSun" w:hAnsi="Arial" w:cs="Arial"/>
          <w:b/>
          <w:bCs/>
          <w:lang w:val="en-US" w:eastAsia="zh-CN" w:bidi="ar-SA"/>
        </w:rPr>
        <w:t xml:space="preserve"> Coordinated Care</w:t>
      </w:r>
    </w:p>
    <w:p w14:paraId="05630E87" w14:textId="77777777" w:rsidR="004A7295" w:rsidRDefault="00000000">
      <w:pPr>
        <w:widowControl/>
        <w:autoSpaceDE/>
        <w:autoSpaceDN/>
        <w:spacing w:beforeAutospacing="1" w:afterAutospacing="1" w:line="360" w:lineRule="auto"/>
        <w:jc w:val="both"/>
        <w:rPr>
          <w:rFonts w:ascii="Arial" w:eastAsia="SimSun" w:hAnsi="Arial" w:cs="Arial"/>
          <w:lang w:val="en-US" w:eastAsia="zh-CN" w:bidi="ar-SA"/>
        </w:rPr>
      </w:pPr>
      <w:r>
        <w:rPr>
          <w:rFonts w:ascii="Arial" w:eastAsia="SimSun" w:hAnsi="Arial" w:cs="Arial"/>
          <w:lang w:val="en-US" w:eastAsia="zh-CN" w:bidi="ar-SA"/>
        </w:rPr>
        <w:t xml:space="preserve">This theme focuses on continuity, trust, holistic care, and patient–practitioner relationships. MacInnes et al. (2020) and Knowles et al. (2015) show that relational coordination is more important to older adults than structural </w:t>
      </w:r>
      <w:proofErr w:type="spellStart"/>
      <w:r>
        <w:rPr>
          <w:rFonts w:ascii="Arial" w:eastAsia="SimSun" w:hAnsi="Arial" w:cs="Arial"/>
          <w:lang w:val="en-US" w:eastAsia="zh-CN" w:bidi="ar-SA"/>
        </w:rPr>
        <w:t>reorganisation</w:t>
      </w:r>
      <w:proofErr w:type="spellEnd"/>
      <w:r>
        <w:rPr>
          <w:rFonts w:ascii="Arial" w:eastAsia="SimSun" w:hAnsi="Arial" w:cs="Arial"/>
          <w:lang w:val="en-US" w:eastAsia="zh-CN" w:bidi="ar-SA"/>
        </w:rPr>
        <w:t xml:space="preserve">. Care coordinators help mitigate service fragmentation, but their effectiveness depends heavily on stable staffing. Knowles et al. (2015) highlight ongoing challenges in integrating mental and physical health due to stigma and </w:t>
      </w:r>
      <w:proofErr w:type="spellStart"/>
      <w:r>
        <w:rPr>
          <w:rFonts w:ascii="Arial" w:eastAsia="SimSun" w:hAnsi="Arial" w:cs="Arial"/>
          <w:lang w:val="en-US" w:eastAsia="zh-CN" w:bidi="ar-SA"/>
        </w:rPr>
        <w:t>organisational</w:t>
      </w:r>
      <w:proofErr w:type="spellEnd"/>
      <w:r>
        <w:rPr>
          <w:rFonts w:ascii="Arial" w:eastAsia="SimSun" w:hAnsi="Arial" w:cs="Arial"/>
          <w:lang w:val="en-US" w:eastAsia="zh-CN" w:bidi="ar-SA"/>
        </w:rPr>
        <w:t xml:space="preserve"> silos.</w:t>
      </w:r>
    </w:p>
    <w:p w14:paraId="22259486" w14:textId="77777777" w:rsidR="004A7295" w:rsidRDefault="00000000">
      <w:pPr>
        <w:widowControl/>
        <w:autoSpaceDE/>
        <w:autoSpaceDN/>
        <w:spacing w:beforeAutospacing="1" w:afterAutospacing="1" w:line="360" w:lineRule="auto"/>
        <w:jc w:val="both"/>
        <w:rPr>
          <w:rFonts w:ascii="Arial" w:eastAsia="SimSun" w:hAnsi="Arial" w:cs="Arial"/>
          <w:lang w:val="en-US" w:eastAsia="zh-CN" w:bidi="ar-SA"/>
        </w:rPr>
      </w:pPr>
      <w:r>
        <w:rPr>
          <w:rFonts w:ascii="Arial" w:eastAsia="SimSun" w:hAnsi="Arial" w:cs="Arial"/>
          <w:lang w:val="en-US" w:eastAsia="zh-CN" w:bidi="ar-SA"/>
        </w:rPr>
        <w:t>The findings reveal a disconnect between patient priorities (continuity, emotional support, trust) and system-level priorities (efficiency, reduced admissions). While patient-</w:t>
      </w:r>
      <w:proofErr w:type="spellStart"/>
      <w:r>
        <w:rPr>
          <w:rFonts w:ascii="Arial" w:eastAsia="SimSun" w:hAnsi="Arial" w:cs="Arial"/>
          <w:lang w:val="en-US" w:eastAsia="zh-CN" w:bidi="ar-SA"/>
        </w:rPr>
        <w:t>centred</w:t>
      </w:r>
      <w:proofErr w:type="spellEnd"/>
      <w:r>
        <w:rPr>
          <w:rFonts w:ascii="Arial" w:eastAsia="SimSun" w:hAnsi="Arial" w:cs="Arial"/>
          <w:lang w:val="en-US" w:eastAsia="zh-CN" w:bidi="ar-SA"/>
        </w:rPr>
        <w:t xml:space="preserve"> care is strong conceptually, structural constraints and workforce instability undermine its delivery, leading to inconsistency between policy rhetoric and lived patient experience.</w:t>
      </w:r>
    </w:p>
    <w:p w14:paraId="73F453E8" w14:textId="77777777" w:rsidR="004A7295" w:rsidRDefault="00000000">
      <w:pPr>
        <w:widowControl/>
        <w:autoSpaceDE/>
        <w:autoSpaceDN/>
        <w:spacing w:beforeAutospacing="1" w:afterAutospacing="1" w:line="360" w:lineRule="auto"/>
        <w:jc w:val="both"/>
        <w:rPr>
          <w:rFonts w:ascii="Arial" w:eastAsia="SimSun" w:hAnsi="Arial" w:cs="Arial"/>
          <w:b/>
          <w:bCs/>
          <w:lang w:val="en-US" w:eastAsia="zh-CN" w:bidi="ar-SA"/>
        </w:rPr>
      </w:pPr>
      <w:r>
        <w:rPr>
          <w:rFonts w:ascii="Arial" w:eastAsia="SimSun" w:hAnsi="Arial" w:cs="Arial"/>
          <w:b/>
          <w:bCs/>
          <w:lang w:val="en-US" w:eastAsia="zh-CN" w:bidi="ar-SA"/>
        </w:rPr>
        <w:t>4.4.4 Measured Outcomes and Effectiveness</w:t>
      </w:r>
    </w:p>
    <w:p w14:paraId="00B05003" w14:textId="77777777" w:rsidR="004A7295" w:rsidRDefault="00000000">
      <w:pPr>
        <w:widowControl/>
        <w:autoSpaceDE/>
        <w:autoSpaceDN/>
        <w:spacing w:beforeAutospacing="1" w:afterAutospacing="1" w:line="360" w:lineRule="auto"/>
        <w:jc w:val="both"/>
        <w:rPr>
          <w:rFonts w:ascii="Arial" w:eastAsia="SimSun" w:hAnsi="Arial" w:cs="Arial"/>
          <w:lang w:val="en-US" w:eastAsia="zh-CN" w:bidi="ar-SA"/>
        </w:rPr>
      </w:pPr>
      <w:r>
        <w:rPr>
          <w:rFonts w:ascii="Arial" w:eastAsia="SimSun" w:hAnsi="Arial" w:cs="Arial"/>
          <w:lang w:val="en-US" w:eastAsia="zh-CN" w:bidi="ar-SA"/>
        </w:rPr>
        <w:t xml:space="preserve">Studies attempt to quantify outcomes related to emergency admissions, </w:t>
      </w:r>
      <w:proofErr w:type="spellStart"/>
      <w:r>
        <w:rPr>
          <w:rFonts w:ascii="Arial" w:eastAsia="SimSun" w:hAnsi="Arial" w:cs="Arial"/>
          <w:lang w:val="en-US" w:eastAsia="zh-CN" w:bidi="ar-SA"/>
        </w:rPr>
        <w:t>utilisation</w:t>
      </w:r>
      <w:proofErr w:type="spellEnd"/>
      <w:r>
        <w:rPr>
          <w:rFonts w:ascii="Arial" w:eastAsia="SimSun" w:hAnsi="Arial" w:cs="Arial"/>
          <w:lang w:val="en-US" w:eastAsia="zh-CN" w:bidi="ar-SA"/>
        </w:rPr>
        <w:t xml:space="preserve"> patterns, and long-term impacts. Seamer et al. (2023) identify a three-year lag before benefits become measurable, challenging assumptions about rapid outcomes. Similarly, Erens et al. (2020) show slow progress. Data inconsistencies, short follow-up periods, and limited attribution methods constrain the evidence base.</w:t>
      </w:r>
    </w:p>
    <w:p w14:paraId="18761011" w14:textId="00AB8660" w:rsidR="004A7295" w:rsidRDefault="00000000">
      <w:pPr>
        <w:widowControl/>
        <w:autoSpaceDE/>
        <w:autoSpaceDN/>
        <w:spacing w:beforeAutospacing="1" w:afterAutospacing="1" w:line="360" w:lineRule="auto"/>
        <w:jc w:val="both"/>
        <w:rPr>
          <w:rFonts w:ascii="Arial" w:eastAsia="SimSun" w:hAnsi="Arial" w:cs="Arial"/>
          <w:lang w:val="en-US" w:eastAsia="zh-CN" w:bidi="ar-SA"/>
        </w:rPr>
      </w:pPr>
      <w:r>
        <w:rPr>
          <w:rFonts w:ascii="Arial" w:eastAsia="SimSun" w:hAnsi="Arial" w:cs="Arial"/>
          <w:lang w:val="en-US" w:eastAsia="zh-CN" w:bidi="ar-SA"/>
        </w:rPr>
        <w:lastRenderedPageBreak/>
        <w:t xml:space="preserve">This theme highlights methodological limitations within integrated care research. Improvements exist but are uneven and slow to emerge. The lack of </w:t>
      </w:r>
      <w:proofErr w:type="spellStart"/>
      <w:r>
        <w:rPr>
          <w:rFonts w:ascii="Arial" w:eastAsia="SimSun" w:hAnsi="Arial" w:cs="Arial"/>
          <w:lang w:val="en-US" w:eastAsia="zh-CN" w:bidi="ar-SA"/>
        </w:rPr>
        <w:t>standardised</w:t>
      </w:r>
      <w:proofErr w:type="spellEnd"/>
      <w:r>
        <w:rPr>
          <w:rFonts w:ascii="Arial" w:eastAsia="SimSun" w:hAnsi="Arial" w:cs="Arial"/>
          <w:lang w:val="en-US" w:eastAsia="zh-CN" w:bidi="ar-SA"/>
        </w:rPr>
        <w:t xml:space="preserve"> metrics and insufficient longitudinal evaluation </w:t>
      </w:r>
      <w:r w:rsidR="0072180D">
        <w:rPr>
          <w:rFonts w:ascii="Arial" w:eastAsia="SimSun" w:hAnsi="Arial" w:cs="Arial"/>
          <w:lang w:val="en-US" w:eastAsia="zh-CN" w:bidi="ar-SA"/>
        </w:rPr>
        <w:t>weakens</w:t>
      </w:r>
      <w:r>
        <w:rPr>
          <w:rFonts w:ascii="Arial" w:eastAsia="SimSun" w:hAnsi="Arial" w:cs="Arial"/>
          <w:lang w:val="en-US" w:eastAsia="zh-CN" w:bidi="ar-SA"/>
        </w:rPr>
        <w:t xml:space="preserve"> confidence in claims of effectiveness. Integrated care may deliver value over time, but current evaluation practices struggle to capture its full impact.</w:t>
      </w:r>
    </w:p>
    <w:p w14:paraId="122A3EFA" w14:textId="77777777" w:rsidR="004A7295" w:rsidRDefault="00000000">
      <w:pPr>
        <w:widowControl/>
        <w:autoSpaceDE/>
        <w:autoSpaceDN/>
        <w:spacing w:beforeAutospacing="1" w:afterAutospacing="1" w:line="360" w:lineRule="auto"/>
        <w:jc w:val="both"/>
        <w:rPr>
          <w:rFonts w:ascii="Arial" w:eastAsia="SimSun" w:hAnsi="Arial" w:cs="Arial"/>
          <w:b/>
          <w:bCs/>
          <w:lang w:val="en-US" w:eastAsia="zh-CN" w:bidi="ar-SA"/>
        </w:rPr>
      </w:pPr>
      <w:r>
        <w:rPr>
          <w:rFonts w:ascii="Arial" w:eastAsia="SimSun" w:hAnsi="Arial" w:cs="Arial"/>
          <w:b/>
          <w:bCs/>
          <w:lang w:val="en-US" w:eastAsia="zh-CN" w:bidi="ar-SA"/>
        </w:rPr>
        <w:t>4.4.5 Equity and Population-Based Integration</w:t>
      </w:r>
    </w:p>
    <w:p w14:paraId="0BFEB4C7" w14:textId="77777777" w:rsidR="004A7295" w:rsidRDefault="00000000">
      <w:pPr>
        <w:widowControl/>
        <w:autoSpaceDE/>
        <w:autoSpaceDN/>
        <w:spacing w:beforeAutospacing="1" w:afterAutospacing="1" w:line="360" w:lineRule="auto"/>
        <w:jc w:val="both"/>
        <w:rPr>
          <w:rFonts w:ascii="Arial" w:eastAsia="SimSun" w:hAnsi="Arial" w:cs="Arial"/>
          <w:lang w:val="en-US" w:eastAsia="zh-CN" w:bidi="ar-SA"/>
        </w:rPr>
      </w:pPr>
      <w:r>
        <w:rPr>
          <w:rFonts w:ascii="Arial" w:eastAsia="SimSun" w:hAnsi="Arial" w:cs="Arial"/>
          <w:lang w:val="en-US" w:eastAsia="zh-CN" w:bidi="ar-SA"/>
        </w:rPr>
        <w:t xml:space="preserve">Equity-focused studies explore social determinants, ICS equity plans, and place-based strategies. Goddard (2023) </w:t>
      </w:r>
      <w:proofErr w:type="spellStart"/>
      <w:r>
        <w:rPr>
          <w:rFonts w:ascii="Arial" w:eastAsia="SimSun" w:hAnsi="Arial" w:cs="Arial"/>
          <w:lang w:val="en-US" w:eastAsia="zh-CN" w:bidi="ar-SA"/>
        </w:rPr>
        <w:t>emphasises</w:t>
      </w:r>
      <w:proofErr w:type="spellEnd"/>
      <w:r>
        <w:rPr>
          <w:rFonts w:ascii="Arial" w:eastAsia="SimSun" w:hAnsi="Arial" w:cs="Arial"/>
          <w:lang w:val="en-US" w:eastAsia="zh-CN" w:bidi="ar-SA"/>
        </w:rPr>
        <w:t xml:space="preserve"> the responsibility of ICSs to reduce disparities, while Khan et al. (2024) show that inequities persist even within integrated models, particularly in diverse or deprived communities.</w:t>
      </w:r>
    </w:p>
    <w:p w14:paraId="66031FDD" w14:textId="753BAE0A" w:rsidR="004A7295" w:rsidRDefault="00000000">
      <w:pPr>
        <w:widowControl/>
        <w:autoSpaceDE/>
        <w:autoSpaceDN/>
        <w:spacing w:beforeAutospacing="1" w:afterAutospacing="1" w:line="360" w:lineRule="auto"/>
        <w:jc w:val="both"/>
        <w:rPr>
          <w:rFonts w:ascii="Arial" w:eastAsia="SimSun" w:hAnsi="Arial" w:cs="Arial"/>
          <w:lang w:val="en-US" w:eastAsia="zh-CN" w:bidi="ar-SA"/>
        </w:rPr>
      </w:pPr>
      <w:r>
        <w:rPr>
          <w:rFonts w:ascii="Arial" w:eastAsia="SimSun" w:hAnsi="Arial" w:cs="Arial"/>
          <w:lang w:val="en-US" w:eastAsia="zh-CN" w:bidi="ar-SA"/>
        </w:rPr>
        <w:t xml:space="preserve">Equity remains an emerging but underdeveloped dimension of integrated care. </w:t>
      </w:r>
      <w:r w:rsidR="0072180D">
        <w:rPr>
          <w:rFonts w:ascii="Arial" w:eastAsia="SimSun" w:hAnsi="Arial" w:cs="Arial"/>
          <w:lang w:val="en-US" w:eastAsia="zh-CN" w:bidi="ar-SA"/>
        </w:rPr>
        <w:t>In contrast,</w:t>
      </w:r>
      <w:r>
        <w:rPr>
          <w:rFonts w:ascii="Arial" w:eastAsia="SimSun" w:hAnsi="Arial" w:cs="Arial"/>
          <w:lang w:val="en-US" w:eastAsia="zh-CN" w:bidi="ar-SA"/>
        </w:rPr>
        <w:t xml:space="preserve"> policy commitments are increasing, </w:t>
      </w:r>
      <w:r w:rsidR="0072180D">
        <w:rPr>
          <w:rFonts w:ascii="Arial" w:eastAsia="SimSun" w:hAnsi="Arial" w:cs="Arial"/>
          <w:lang w:val="en-US" w:eastAsia="zh-CN" w:bidi="ar-SA"/>
        </w:rPr>
        <w:t xml:space="preserve">while </w:t>
      </w:r>
      <w:r>
        <w:rPr>
          <w:rFonts w:ascii="Arial" w:eastAsia="SimSun" w:hAnsi="Arial" w:cs="Arial"/>
          <w:lang w:val="en-US" w:eastAsia="zh-CN" w:bidi="ar-SA"/>
        </w:rPr>
        <w:t>research and practice lag. Persistent inequalities highlight the need for culturally competent workforce strategies, community-engaged approaches, and routine measurement of differential outcomes. Without these, integrated care risks reproducing structural inequities rather than reducing them.</w:t>
      </w:r>
    </w:p>
    <w:p w14:paraId="502E3473" w14:textId="77777777" w:rsidR="004A7295" w:rsidRDefault="00000000">
      <w:pPr>
        <w:widowControl/>
        <w:autoSpaceDE/>
        <w:autoSpaceDN/>
        <w:spacing w:beforeAutospacing="1" w:afterAutospacing="1" w:line="360" w:lineRule="auto"/>
        <w:jc w:val="both"/>
        <w:rPr>
          <w:rFonts w:ascii="Arial" w:eastAsia="SimSun" w:hAnsi="Arial" w:cs="Arial"/>
          <w:b/>
          <w:bCs/>
          <w:lang w:val="en-US" w:eastAsia="zh-CN" w:bidi="ar-SA"/>
        </w:rPr>
      </w:pPr>
      <w:r>
        <w:rPr>
          <w:rFonts w:ascii="Arial" w:eastAsia="SimSun" w:hAnsi="Arial" w:cs="Arial"/>
          <w:b/>
          <w:bCs/>
          <w:lang w:val="en-US" w:eastAsia="zh-CN" w:bidi="ar-SA"/>
        </w:rPr>
        <w:t xml:space="preserve">4.5 Discussion on Findings </w:t>
      </w:r>
    </w:p>
    <w:p w14:paraId="502E3474" w14:textId="77777777" w:rsidR="004A7295" w:rsidRDefault="00000000">
      <w:pPr>
        <w:widowControl/>
        <w:autoSpaceDE/>
        <w:autoSpaceDN/>
        <w:spacing w:beforeAutospacing="1" w:afterAutospacing="1" w:line="360" w:lineRule="auto"/>
        <w:jc w:val="both"/>
        <w:rPr>
          <w:rFonts w:ascii="Arial" w:eastAsia="SimSun" w:hAnsi="Arial" w:cs="Arial"/>
          <w:b/>
          <w:bCs/>
          <w:lang w:val="en-US" w:eastAsia="zh-CN" w:bidi="ar-SA"/>
        </w:rPr>
      </w:pPr>
      <w:r>
        <w:rPr>
          <w:rFonts w:ascii="Arial" w:eastAsia="SimSun" w:hAnsi="Arial" w:cs="Arial"/>
          <w:b/>
          <w:bCs/>
          <w:lang w:val="en-US" w:eastAsia="zh-CN" w:bidi="ar-SA"/>
        </w:rPr>
        <w:t>1. System readiness and contextual factors</w:t>
      </w:r>
    </w:p>
    <w:p w14:paraId="502E3475" w14:textId="77777777" w:rsidR="004A7295" w:rsidRDefault="00000000">
      <w:pPr>
        <w:widowControl/>
        <w:autoSpaceDE/>
        <w:autoSpaceDN/>
        <w:spacing w:beforeAutospacing="1" w:afterAutospacing="1" w:line="360" w:lineRule="auto"/>
        <w:jc w:val="both"/>
        <w:rPr>
          <w:rFonts w:ascii="Arial" w:eastAsia="SimSun" w:hAnsi="Arial" w:cs="Arial"/>
          <w:lang w:val="en-US" w:eastAsia="zh-CN" w:bidi="ar-SA"/>
        </w:rPr>
      </w:pPr>
      <w:r>
        <w:rPr>
          <w:rFonts w:ascii="Arial" w:eastAsia="SimSun" w:hAnsi="Arial" w:cs="Arial"/>
          <w:lang w:val="en-US" w:eastAsia="zh-CN" w:bidi="ar-SA"/>
        </w:rPr>
        <w:t xml:space="preserve">The corpus foregrounds system-level enablers and barriers to leadership, funding stability, governance alignment, and local collaboration as preconditions for effective integrated care (IC) (Khan et al., 2024; Billings et al., 2019; Erens et al., 2020). Khan et al. (2024) illustrate that policy mandates (e.g. frailty frameworks) only translate to practice when local leadership and clinical awareness (especially among GPs) exist; Billings et al. (2019) and Erens et al. (2020) show national support </w:t>
      </w:r>
      <w:proofErr w:type="spellStart"/>
      <w:r>
        <w:rPr>
          <w:rFonts w:ascii="Arial" w:eastAsia="SimSun" w:hAnsi="Arial" w:cs="Arial"/>
          <w:lang w:val="en-US" w:eastAsia="zh-CN" w:bidi="ar-SA"/>
        </w:rPr>
        <w:t>programmes</w:t>
      </w:r>
      <w:proofErr w:type="spellEnd"/>
      <w:r>
        <w:rPr>
          <w:rFonts w:ascii="Arial" w:eastAsia="SimSun" w:hAnsi="Arial" w:cs="Arial"/>
          <w:lang w:val="en-US" w:eastAsia="zh-CN" w:bidi="ar-SA"/>
        </w:rPr>
        <w:t xml:space="preserve"> and pioneers produce variable outcomes because local </w:t>
      </w:r>
      <w:proofErr w:type="spellStart"/>
      <w:r>
        <w:rPr>
          <w:rFonts w:ascii="Arial" w:eastAsia="SimSun" w:hAnsi="Arial" w:cs="Arial"/>
          <w:lang w:val="en-US" w:eastAsia="zh-CN" w:bidi="ar-SA"/>
        </w:rPr>
        <w:t>organisational</w:t>
      </w:r>
      <w:proofErr w:type="spellEnd"/>
      <w:r>
        <w:rPr>
          <w:rFonts w:ascii="Arial" w:eastAsia="SimSun" w:hAnsi="Arial" w:cs="Arial"/>
          <w:lang w:val="en-US" w:eastAsia="zh-CN" w:bidi="ar-SA"/>
        </w:rPr>
        <w:t xml:space="preserve"> capacity and data systems differ.</w:t>
      </w:r>
    </w:p>
    <w:p w14:paraId="502E3476" w14:textId="77777777" w:rsidR="004A7295" w:rsidRDefault="00000000">
      <w:pPr>
        <w:widowControl/>
        <w:autoSpaceDE/>
        <w:autoSpaceDN/>
        <w:spacing w:beforeAutospacing="1" w:afterAutospacing="1" w:line="360" w:lineRule="auto"/>
        <w:jc w:val="both"/>
        <w:rPr>
          <w:rFonts w:ascii="Arial" w:eastAsia="SimSun" w:hAnsi="Arial" w:cs="Arial"/>
          <w:lang w:val="en-US" w:eastAsia="zh-CN" w:bidi="ar-SA"/>
        </w:rPr>
      </w:pPr>
      <w:r>
        <w:rPr>
          <w:rFonts w:ascii="Arial" w:eastAsia="SimSun" w:hAnsi="Arial" w:cs="Arial"/>
          <w:lang w:val="en-US" w:eastAsia="zh-CN" w:bidi="ar-SA"/>
        </w:rPr>
        <w:t>Critically, this body of work reveals a persistent “policy–practice” gulf: central ambitions (vanguards, ICSs) are necessary but not sufficient without secure, long-term resourcing and accountable governance arrangements (Billings et al., 2019). Short-term pilot funding produces fragile change that often collapses once central grants end (Erens et al., 2020). The COVID-19 pandemic exposed this fragility: Khan et al. (2024) document how shock events can both accelerate and derail local integration efforts depending on baseline resilience.</w:t>
      </w:r>
    </w:p>
    <w:p w14:paraId="502E3477" w14:textId="084398FC" w:rsidR="004A7295" w:rsidRDefault="00000000">
      <w:pPr>
        <w:widowControl/>
        <w:autoSpaceDE/>
        <w:autoSpaceDN/>
        <w:spacing w:beforeAutospacing="1" w:afterAutospacing="1" w:line="360" w:lineRule="auto"/>
        <w:jc w:val="both"/>
        <w:rPr>
          <w:rFonts w:ascii="Arial" w:eastAsia="SimSun" w:hAnsi="Arial" w:cs="Arial"/>
          <w:lang w:val="en-US" w:eastAsia="zh-CN" w:bidi="ar-SA"/>
        </w:rPr>
      </w:pPr>
      <w:r>
        <w:rPr>
          <w:rFonts w:ascii="Arial" w:eastAsia="SimSun" w:hAnsi="Arial" w:cs="Arial"/>
          <w:lang w:val="en-US" w:eastAsia="zh-CN" w:bidi="ar-SA"/>
        </w:rPr>
        <w:lastRenderedPageBreak/>
        <w:t xml:space="preserve">Many of the studies are published via London-based (BMC/Springer and Ubiquity-IJIC) and Leeds-based (Emerald-JIC) venues, which are influential in shaping national discourse. London journals, given proximity to national policymaking and large metropolitan datasets, may </w:t>
      </w:r>
      <w:proofErr w:type="spellStart"/>
      <w:r>
        <w:rPr>
          <w:rFonts w:ascii="Arial" w:eastAsia="SimSun" w:hAnsi="Arial" w:cs="Arial"/>
          <w:lang w:val="en-US" w:eastAsia="zh-CN" w:bidi="ar-SA"/>
        </w:rPr>
        <w:t>emphasise</w:t>
      </w:r>
      <w:proofErr w:type="spellEnd"/>
      <w:r>
        <w:rPr>
          <w:rFonts w:ascii="Arial" w:eastAsia="SimSun" w:hAnsi="Arial" w:cs="Arial"/>
          <w:lang w:val="en-US" w:eastAsia="zh-CN" w:bidi="ar-SA"/>
        </w:rPr>
        <w:t xml:space="preserve"> system-level reforms and national </w:t>
      </w:r>
      <w:proofErr w:type="spellStart"/>
      <w:r w:rsidR="0040326A">
        <w:rPr>
          <w:rFonts w:ascii="Arial" w:eastAsia="SimSun" w:hAnsi="Arial" w:cs="Arial"/>
          <w:lang w:val="en-US" w:eastAsia="zh-CN" w:bidi="ar-SA"/>
        </w:rPr>
        <w:t>programmes</w:t>
      </w:r>
      <w:proofErr w:type="spellEnd"/>
      <w:r>
        <w:rPr>
          <w:rFonts w:ascii="Arial" w:eastAsia="SimSun" w:hAnsi="Arial" w:cs="Arial"/>
          <w:lang w:val="en-US" w:eastAsia="zh-CN" w:bidi="ar-SA"/>
        </w:rPr>
        <w:t>; Leeds (a regional publishing hub) often foregrounds place-based, operational learning. This concentration can skew the evidence toward urban, better-resourced contexts (publishing bias), thereby under-representing fragile, rural, or highly deprived localities where implementation barriers are often greatest (Billings et al., 2019; Khan et al., 2024). For UK policy, this means national guidance may overfit to contexts represented in these publications unless consciously counterbalanced by research in diverse settings.</w:t>
      </w:r>
    </w:p>
    <w:p w14:paraId="502E3479" w14:textId="77777777" w:rsidR="004A7295" w:rsidRDefault="00000000">
      <w:pPr>
        <w:widowControl/>
        <w:autoSpaceDE/>
        <w:autoSpaceDN/>
        <w:spacing w:beforeAutospacing="1" w:afterAutospacing="1" w:line="360" w:lineRule="auto"/>
        <w:jc w:val="both"/>
        <w:rPr>
          <w:rFonts w:ascii="Arial" w:eastAsia="SimSun" w:hAnsi="Arial" w:cs="Arial"/>
          <w:b/>
          <w:bCs/>
          <w:lang w:val="en-US" w:eastAsia="zh-CN" w:bidi="ar-SA"/>
        </w:rPr>
      </w:pPr>
      <w:r>
        <w:rPr>
          <w:rFonts w:ascii="Arial" w:eastAsia="SimSun" w:hAnsi="Arial" w:cs="Arial"/>
          <w:b/>
          <w:bCs/>
          <w:lang w:val="en-US" w:eastAsia="zh-CN" w:bidi="ar-SA"/>
        </w:rPr>
        <w:t>2. Workforce capability and transformation</w:t>
      </w:r>
    </w:p>
    <w:p w14:paraId="502E347A" w14:textId="77777777" w:rsidR="004A7295" w:rsidRDefault="00000000">
      <w:pPr>
        <w:widowControl/>
        <w:autoSpaceDE/>
        <w:autoSpaceDN/>
        <w:spacing w:beforeAutospacing="1" w:afterAutospacing="1" w:line="360" w:lineRule="auto"/>
        <w:jc w:val="both"/>
        <w:rPr>
          <w:rFonts w:ascii="Arial" w:eastAsia="SimSun" w:hAnsi="Arial" w:cs="Arial"/>
          <w:lang w:val="en-US" w:eastAsia="zh-CN" w:bidi="ar-SA"/>
        </w:rPr>
      </w:pPr>
      <w:r>
        <w:rPr>
          <w:rFonts w:ascii="Arial" w:eastAsia="SimSun" w:hAnsi="Arial" w:cs="Arial"/>
          <w:lang w:val="en-US" w:eastAsia="zh-CN" w:bidi="ar-SA"/>
        </w:rPr>
        <w:t xml:space="preserve">Workforce theme role clarity, multi-professional learning, teamworking and </w:t>
      </w:r>
      <w:proofErr w:type="spellStart"/>
      <w:r>
        <w:rPr>
          <w:rFonts w:ascii="Arial" w:eastAsia="SimSun" w:hAnsi="Arial" w:cs="Arial"/>
          <w:lang w:val="en-US" w:eastAsia="zh-CN" w:bidi="ar-SA"/>
        </w:rPr>
        <w:t>organisational</w:t>
      </w:r>
      <w:proofErr w:type="spellEnd"/>
      <w:r>
        <w:rPr>
          <w:rFonts w:ascii="Arial" w:eastAsia="SimSun" w:hAnsi="Arial" w:cs="Arial"/>
          <w:lang w:val="en-US" w:eastAsia="zh-CN" w:bidi="ar-SA"/>
        </w:rPr>
        <w:t xml:space="preserve"> development are central (Aiello and Mellor, 2019; Akehurst et al., 2022; Robertshaw and Cross, 2018). Aiello and Mellor (2019) frame workforce integration as a strategic enabler; Akehurst et al. (2022) and Robertshaw and Cross (2018) show how local workforce interventions (MDTs, co-location, learning </w:t>
      </w:r>
      <w:proofErr w:type="spellStart"/>
      <w:r>
        <w:rPr>
          <w:rFonts w:ascii="Arial" w:eastAsia="SimSun" w:hAnsi="Arial" w:cs="Arial"/>
          <w:lang w:val="en-US" w:eastAsia="zh-CN" w:bidi="ar-SA"/>
        </w:rPr>
        <w:t>programmes</w:t>
      </w:r>
      <w:proofErr w:type="spellEnd"/>
      <w:r>
        <w:rPr>
          <w:rFonts w:ascii="Arial" w:eastAsia="SimSun" w:hAnsi="Arial" w:cs="Arial"/>
          <w:lang w:val="en-US" w:eastAsia="zh-CN" w:bidi="ar-SA"/>
        </w:rPr>
        <w:t>) improve coordination but are constrained by staffing shortages, time pressures, and unresolved professional boundaries.</w:t>
      </w:r>
    </w:p>
    <w:p w14:paraId="502E347B" w14:textId="77777777" w:rsidR="004A7295" w:rsidRDefault="00000000">
      <w:pPr>
        <w:widowControl/>
        <w:autoSpaceDE/>
        <w:autoSpaceDN/>
        <w:spacing w:beforeAutospacing="1" w:afterAutospacing="1" w:line="360" w:lineRule="auto"/>
        <w:jc w:val="both"/>
        <w:rPr>
          <w:rFonts w:ascii="Arial" w:eastAsia="SimSun" w:hAnsi="Arial" w:cs="Arial"/>
          <w:lang w:val="en-US" w:eastAsia="zh-CN" w:bidi="ar-SA"/>
        </w:rPr>
      </w:pPr>
      <w:r>
        <w:rPr>
          <w:rFonts w:ascii="Arial" w:eastAsia="SimSun" w:hAnsi="Arial" w:cs="Arial"/>
          <w:lang w:val="en-US" w:eastAsia="zh-CN" w:bidi="ar-SA"/>
        </w:rPr>
        <w:t xml:space="preserve">Critically, empirical testing of workforce interventions is thin: most studies describe problems and promising practices rather than evaluate scalable workforce solutions or longitudinal effects on staff wellbeing and retention (Aiello and Mellor, 2019; Akehurst et al., 2022). The result is a policy paradox: workforce transformation is repeatedly recommended, yet evidence on how to </w:t>
      </w:r>
      <w:proofErr w:type="spellStart"/>
      <w:r>
        <w:rPr>
          <w:rFonts w:ascii="Arial" w:eastAsia="SimSun" w:hAnsi="Arial" w:cs="Arial"/>
          <w:lang w:val="en-US" w:eastAsia="zh-CN" w:bidi="ar-SA"/>
        </w:rPr>
        <w:t>operationalise</w:t>
      </w:r>
      <w:proofErr w:type="spellEnd"/>
      <w:r>
        <w:rPr>
          <w:rFonts w:ascii="Arial" w:eastAsia="SimSun" w:hAnsi="Arial" w:cs="Arial"/>
          <w:lang w:val="en-US" w:eastAsia="zh-CN" w:bidi="ar-SA"/>
        </w:rPr>
        <w:t xml:space="preserve"> and finance it at scale is scarce.</w:t>
      </w:r>
    </w:p>
    <w:p w14:paraId="502E347C" w14:textId="77777777" w:rsidR="004A7295" w:rsidRDefault="00000000">
      <w:pPr>
        <w:widowControl/>
        <w:autoSpaceDE/>
        <w:autoSpaceDN/>
        <w:spacing w:beforeAutospacing="1" w:afterAutospacing="1" w:line="360" w:lineRule="auto"/>
        <w:jc w:val="both"/>
        <w:rPr>
          <w:rFonts w:ascii="Arial" w:eastAsia="SimSun" w:hAnsi="Arial" w:cs="Arial"/>
          <w:lang w:val="en-US" w:eastAsia="zh-CN" w:bidi="ar-SA"/>
        </w:rPr>
      </w:pPr>
      <w:r>
        <w:rPr>
          <w:rFonts w:ascii="Arial" w:eastAsia="SimSun" w:hAnsi="Arial" w:cs="Arial"/>
          <w:lang w:val="en-US" w:eastAsia="zh-CN" w:bidi="ar-SA"/>
        </w:rPr>
        <w:t>Journals with broad policy readership (e.g. JIC via Leeds) amplify workforce narratives to commissioners and regional leaders; London-published outlets may orient workforce discussion toward national education and strategic planning. However, journal editorial preferences can shape whether workforce studies are presented as operational case learning (useful to local managers) or as policy argument (useful to national agencies). This affects which kinds of workforce research receive visibility and funding in the UK.</w:t>
      </w:r>
    </w:p>
    <w:p w14:paraId="502E347D" w14:textId="77777777" w:rsidR="004A7295" w:rsidRDefault="00000000">
      <w:pPr>
        <w:widowControl/>
        <w:autoSpaceDE/>
        <w:autoSpaceDN/>
        <w:spacing w:beforeAutospacing="1" w:afterAutospacing="1" w:line="360" w:lineRule="auto"/>
        <w:jc w:val="both"/>
        <w:rPr>
          <w:rFonts w:ascii="Arial" w:eastAsia="SimSun" w:hAnsi="Arial" w:cs="Arial"/>
          <w:b/>
          <w:bCs/>
          <w:lang w:val="en-US" w:eastAsia="zh-CN" w:bidi="ar-SA"/>
        </w:rPr>
      </w:pPr>
      <w:r>
        <w:rPr>
          <w:rFonts w:ascii="Arial" w:eastAsia="SimSun" w:hAnsi="Arial" w:cs="Arial"/>
          <w:b/>
          <w:bCs/>
          <w:lang w:val="en-US" w:eastAsia="zh-CN" w:bidi="ar-SA"/>
        </w:rPr>
        <w:t>3. Patient-</w:t>
      </w:r>
      <w:proofErr w:type="spellStart"/>
      <w:r>
        <w:rPr>
          <w:rFonts w:ascii="Arial" w:eastAsia="SimSun" w:hAnsi="Arial" w:cs="Arial"/>
          <w:b/>
          <w:bCs/>
          <w:lang w:val="en-US" w:eastAsia="zh-CN" w:bidi="ar-SA"/>
        </w:rPr>
        <w:t>centred</w:t>
      </w:r>
      <w:proofErr w:type="spellEnd"/>
      <w:r>
        <w:rPr>
          <w:rFonts w:ascii="Arial" w:eastAsia="SimSun" w:hAnsi="Arial" w:cs="Arial"/>
          <w:b/>
          <w:bCs/>
          <w:lang w:val="en-US" w:eastAsia="zh-CN" w:bidi="ar-SA"/>
        </w:rPr>
        <w:t xml:space="preserve"> coordinated care</w:t>
      </w:r>
    </w:p>
    <w:p w14:paraId="502E347E" w14:textId="77777777" w:rsidR="004A7295" w:rsidRDefault="00000000">
      <w:pPr>
        <w:widowControl/>
        <w:autoSpaceDE/>
        <w:autoSpaceDN/>
        <w:spacing w:beforeAutospacing="1" w:afterAutospacing="1" w:line="360" w:lineRule="auto"/>
        <w:jc w:val="both"/>
        <w:rPr>
          <w:rFonts w:ascii="Arial" w:eastAsia="SimSun" w:hAnsi="Arial" w:cs="Arial"/>
          <w:lang w:val="en-US" w:eastAsia="zh-CN" w:bidi="ar-SA"/>
        </w:rPr>
      </w:pPr>
      <w:r>
        <w:rPr>
          <w:rFonts w:ascii="Arial" w:eastAsia="SimSun" w:hAnsi="Arial" w:cs="Arial"/>
          <w:lang w:val="en-US" w:eastAsia="zh-CN" w:bidi="ar-SA"/>
        </w:rPr>
        <w:t xml:space="preserve">Studies </w:t>
      </w:r>
      <w:proofErr w:type="spellStart"/>
      <w:r>
        <w:rPr>
          <w:rFonts w:ascii="Arial" w:eastAsia="SimSun" w:hAnsi="Arial" w:cs="Arial"/>
          <w:lang w:val="en-US" w:eastAsia="zh-CN" w:bidi="ar-SA"/>
        </w:rPr>
        <w:t>emphasise</w:t>
      </w:r>
      <w:proofErr w:type="spellEnd"/>
      <w:r>
        <w:rPr>
          <w:rFonts w:ascii="Arial" w:eastAsia="SimSun" w:hAnsi="Arial" w:cs="Arial"/>
          <w:lang w:val="en-US" w:eastAsia="zh-CN" w:bidi="ar-SA"/>
        </w:rPr>
        <w:t xml:space="preserve"> that continuity, trust, and relational coordination are the heart of meaningful integration for older adults (MacInnes et al., 2020; Knowles et al., 2015). MacInnes et al. (2020) find that care coordinators, shared records, and home-based services sustain </w:t>
      </w:r>
      <w:r>
        <w:rPr>
          <w:rFonts w:ascii="Arial" w:eastAsia="SimSun" w:hAnsi="Arial" w:cs="Arial"/>
          <w:lang w:val="en-US" w:eastAsia="zh-CN" w:bidi="ar-SA"/>
        </w:rPr>
        <w:lastRenderedPageBreak/>
        <w:t>longitudinal relationships, while Knowles et al. (2015) demonstrate patients' preference for protected, therapeutic spaces, especially when mental and physical health intersect.</w:t>
      </w:r>
    </w:p>
    <w:p w14:paraId="502E347F" w14:textId="77777777" w:rsidR="004A7295" w:rsidRDefault="00000000">
      <w:pPr>
        <w:widowControl/>
        <w:autoSpaceDE/>
        <w:autoSpaceDN/>
        <w:spacing w:beforeAutospacing="1" w:afterAutospacing="1" w:line="360" w:lineRule="auto"/>
        <w:jc w:val="both"/>
        <w:rPr>
          <w:rFonts w:ascii="Arial" w:eastAsia="SimSun" w:hAnsi="Arial" w:cs="Arial"/>
          <w:lang w:val="en-US" w:eastAsia="zh-CN" w:bidi="ar-SA"/>
        </w:rPr>
      </w:pPr>
      <w:r>
        <w:rPr>
          <w:rFonts w:ascii="Arial" w:eastAsia="SimSun" w:hAnsi="Arial" w:cs="Arial"/>
          <w:lang w:val="en-US" w:eastAsia="zh-CN" w:bidi="ar-SA"/>
        </w:rPr>
        <w:t xml:space="preserve">The critical tension is that systems </w:t>
      </w:r>
      <w:proofErr w:type="spellStart"/>
      <w:r>
        <w:rPr>
          <w:rFonts w:ascii="Arial" w:eastAsia="SimSun" w:hAnsi="Arial" w:cs="Arial"/>
          <w:lang w:val="en-US" w:eastAsia="zh-CN" w:bidi="ar-SA"/>
        </w:rPr>
        <w:t>prioritise</w:t>
      </w:r>
      <w:proofErr w:type="spellEnd"/>
      <w:r>
        <w:rPr>
          <w:rFonts w:ascii="Arial" w:eastAsia="SimSun" w:hAnsi="Arial" w:cs="Arial"/>
          <w:lang w:val="en-US" w:eastAsia="zh-CN" w:bidi="ar-SA"/>
        </w:rPr>
        <w:t xml:space="preserve"> measurable efficiencies (admissions, LOS) while patients value relational continuity and holistic care, which are harder to commodify (Knowles et al., 2015). Studies report that where relational continuity exists, user satisfaction and perceived quality rise; nonetheless, staffing instability and </w:t>
      </w:r>
      <w:proofErr w:type="spellStart"/>
      <w:r>
        <w:rPr>
          <w:rFonts w:ascii="Arial" w:eastAsia="SimSun" w:hAnsi="Arial" w:cs="Arial"/>
          <w:lang w:val="en-US" w:eastAsia="zh-CN" w:bidi="ar-SA"/>
        </w:rPr>
        <w:t>organisational</w:t>
      </w:r>
      <w:proofErr w:type="spellEnd"/>
      <w:r>
        <w:rPr>
          <w:rFonts w:ascii="Arial" w:eastAsia="SimSun" w:hAnsi="Arial" w:cs="Arial"/>
          <w:lang w:val="en-US" w:eastAsia="zh-CN" w:bidi="ar-SA"/>
        </w:rPr>
        <w:t xml:space="preserve"> pressures often erode continuity (MacInnes et al., 2020).</w:t>
      </w:r>
    </w:p>
    <w:p w14:paraId="502E3480" w14:textId="77777777" w:rsidR="004A7295" w:rsidRDefault="00000000">
      <w:pPr>
        <w:widowControl/>
        <w:autoSpaceDE/>
        <w:autoSpaceDN/>
        <w:spacing w:beforeAutospacing="1" w:afterAutospacing="1" w:line="360" w:lineRule="auto"/>
        <w:jc w:val="both"/>
        <w:rPr>
          <w:rFonts w:ascii="Arial" w:eastAsia="SimSun" w:hAnsi="Arial" w:cs="Arial"/>
          <w:lang w:val="en-US" w:eastAsia="zh-CN" w:bidi="ar-SA"/>
        </w:rPr>
      </w:pPr>
      <w:r>
        <w:rPr>
          <w:rFonts w:ascii="Arial" w:eastAsia="SimSun" w:hAnsi="Arial" w:cs="Arial"/>
          <w:lang w:val="en-US" w:eastAsia="zh-CN" w:bidi="ar-SA"/>
        </w:rPr>
        <w:t>In addition, BMC family/geriatric outlets (London-Published) tend to reach clinicians and gerontologists, privileging patient experience that can inform clinical practice. JIC articles (Leeds) convey multidisciplinary learning to managers and commissioners. The twin channels help both practice and management uptake; urban/regional bias noted earlier may mean patient experiences from rural or minority communities are under-represented, limiting equitable service redesign.</w:t>
      </w:r>
    </w:p>
    <w:p w14:paraId="502E3481" w14:textId="77777777" w:rsidR="004A7295" w:rsidRDefault="00000000">
      <w:pPr>
        <w:widowControl/>
        <w:autoSpaceDE/>
        <w:autoSpaceDN/>
        <w:spacing w:beforeAutospacing="1" w:afterAutospacing="1" w:line="360" w:lineRule="auto"/>
        <w:jc w:val="both"/>
        <w:rPr>
          <w:rFonts w:ascii="Arial" w:eastAsia="SimSun" w:hAnsi="Arial" w:cs="Arial"/>
          <w:b/>
          <w:bCs/>
          <w:lang w:val="en-US" w:eastAsia="zh-CN" w:bidi="ar-SA"/>
        </w:rPr>
      </w:pPr>
      <w:r>
        <w:rPr>
          <w:rFonts w:ascii="Arial" w:eastAsia="SimSun" w:hAnsi="Arial" w:cs="Arial"/>
          <w:b/>
          <w:bCs/>
          <w:lang w:val="en-US" w:eastAsia="zh-CN" w:bidi="ar-SA"/>
        </w:rPr>
        <w:t>4. Measured outcomes and effectiveness</w:t>
      </w:r>
    </w:p>
    <w:p w14:paraId="502E3482" w14:textId="77777777" w:rsidR="004A7295" w:rsidRDefault="00000000">
      <w:pPr>
        <w:widowControl/>
        <w:autoSpaceDE/>
        <w:autoSpaceDN/>
        <w:spacing w:beforeAutospacing="1" w:afterAutospacing="1" w:line="360" w:lineRule="auto"/>
        <w:jc w:val="both"/>
        <w:rPr>
          <w:rFonts w:ascii="Arial" w:eastAsia="SimSun" w:hAnsi="Arial" w:cs="Arial"/>
          <w:lang w:val="en-US" w:eastAsia="zh-CN" w:bidi="ar-SA"/>
        </w:rPr>
      </w:pPr>
      <w:r>
        <w:rPr>
          <w:rFonts w:ascii="Arial" w:eastAsia="SimSun" w:hAnsi="Arial" w:cs="Arial"/>
          <w:lang w:val="en-US" w:eastAsia="zh-CN" w:bidi="ar-SA"/>
        </w:rPr>
        <w:t xml:space="preserve">The quantitative evidence is nuanced but cautious. Seamer et al. (2023) report modest reductions in emergency admissions after three years, while Erens et al. (2020) document slow, incremental change among pioneers. These results underline two points: </w:t>
      </w:r>
    </w:p>
    <w:p w14:paraId="502E3483" w14:textId="77777777" w:rsidR="004A7295" w:rsidRDefault="00000000">
      <w:pPr>
        <w:widowControl/>
        <w:numPr>
          <w:ilvl w:val="0"/>
          <w:numId w:val="9"/>
        </w:numPr>
        <w:autoSpaceDE/>
        <w:autoSpaceDN/>
        <w:spacing w:beforeAutospacing="1" w:afterAutospacing="1" w:line="360" w:lineRule="auto"/>
        <w:jc w:val="both"/>
        <w:rPr>
          <w:rFonts w:ascii="Arial" w:eastAsia="SimSun" w:hAnsi="Arial" w:cs="Arial"/>
          <w:lang w:val="en-US" w:eastAsia="zh-CN" w:bidi="ar-SA"/>
        </w:rPr>
      </w:pPr>
      <w:r>
        <w:rPr>
          <w:rFonts w:ascii="Arial" w:eastAsia="SimSun" w:hAnsi="Arial" w:cs="Arial"/>
          <w:lang w:val="en-US" w:eastAsia="zh-CN" w:bidi="ar-SA"/>
        </w:rPr>
        <w:t xml:space="preserve">IC effects on </w:t>
      </w:r>
      <w:proofErr w:type="spellStart"/>
      <w:r>
        <w:rPr>
          <w:rFonts w:ascii="Arial" w:eastAsia="SimSun" w:hAnsi="Arial" w:cs="Arial"/>
          <w:lang w:val="en-US" w:eastAsia="zh-CN" w:bidi="ar-SA"/>
        </w:rPr>
        <w:t>utilisation</w:t>
      </w:r>
      <w:proofErr w:type="spellEnd"/>
      <w:r>
        <w:rPr>
          <w:rFonts w:ascii="Arial" w:eastAsia="SimSun" w:hAnsi="Arial" w:cs="Arial"/>
          <w:lang w:val="en-US" w:eastAsia="zh-CN" w:bidi="ar-SA"/>
        </w:rPr>
        <w:t xml:space="preserve"> and costs are often delayed. </w:t>
      </w:r>
    </w:p>
    <w:p w14:paraId="502E3484" w14:textId="77777777" w:rsidR="004A7295" w:rsidRDefault="00000000">
      <w:pPr>
        <w:widowControl/>
        <w:numPr>
          <w:ilvl w:val="0"/>
          <w:numId w:val="9"/>
        </w:numPr>
        <w:autoSpaceDE/>
        <w:autoSpaceDN/>
        <w:spacing w:beforeAutospacing="1" w:afterAutospacing="1" w:line="360" w:lineRule="auto"/>
        <w:jc w:val="both"/>
        <w:rPr>
          <w:rFonts w:ascii="Arial" w:eastAsia="SimSun" w:hAnsi="Arial" w:cs="Arial"/>
          <w:lang w:val="en-US" w:eastAsia="zh-CN" w:bidi="ar-SA"/>
        </w:rPr>
      </w:pPr>
      <w:r>
        <w:rPr>
          <w:rFonts w:ascii="Arial" w:eastAsia="SimSun" w:hAnsi="Arial" w:cs="Arial"/>
          <w:lang w:val="en-US" w:eastAsia="zh-CN" w:bidi="ar-SA"/>
        </w:rPr>
        <w:t>Robust attribution is methodologically challenging due to evolving comparator systems and data limitations.</w:t>
      </w:r>
    </w:p>
    <w:p w14:paraId="502E3485" w14:textId="77777777" w:rsidR="004A7295" w:rsidRDefault="00000000">
      <w:pPr>
        <w:widowControl/>
        <w:autoSpaceDE/>
        <w:autoSpaceDN/>
        <w:spacing w:beforeAutospacing="1" w:afterAutospacing="1" w:line="360" w:lineRule="auto"/>
        <w:jc w:val="both"/>
        <w:rPr>
          <w:rFonts w:ascii="Arial" w:eastAsia="SimSun" w:hAnsi="Arial" w:cs="Arial"/>
          <w:lang w:val="en-US" w:eastAsia="zh-CN" w:bidi="ar-SA"/>
        </w:rPr>
      </w:pPr>
      <w:r>
        <w:rPr>
          <w:rFonts w:ascii="Arial" w:eastAsia="SimSun" w:hAnsi="Arial" w:cs="Arial"/>
          <w:lang w:val="en-US" w:eastAsia="zh-CN" w:bidi="ar-SA"/>
        </w:rPr>
        <w:t xml:space="preserve">Critically, the evidence base suffers from heterogeneous outcome definitions, short follow-ups in many evaluations, and limited cost-effectiveness studies (Seamer et al., 2023; Billings et al., 2019). Without </w:t>
      </w:r>
      <w:proofErr w:type="spellStart"/>
      <w:r>
        <w:rPr>
          <w:rFonts w:ascii="Arial" w:eastAsia="SimSun" w:hAnsi="Arial" w:cs="Arial"/>
          <w:lang w:val="en-US" w:eastAsia="zh-CN" w:bidi="ar-SA"/>
        </w:rPr>
        <w:t>standardised</w:t>
      </w:r>
      <w:proofErr w:type="spellEnd"/>
      <w:r>
        <w:rPr>
          <w:rFonts w:ascii="Arial" w:eastAsia="SimSun" w:hAnsi="Arial" w:cs="Arial"/>
          <w:lang w:val="en-US" w:eastAsia="zh-CN" w:bidi="ar-SA"/>
        </w:rPr>
        <w:t xml:space="preserve"> core outcomes and longer observational windows, the field risks equivocal conclusions that weaken investment cases.</w:t>
      </w:r>
    </w:p>
    <w:p w14:paraId="502E3486" w14:textId="77777777" w:rsidR="004A7295" w:rsidRDefault="00000000">
      <w:pPr>
        <w:widowControl/>
        <w:autoSpaceDE/>
        <w:autoSpaceDN/>
        <w:spacing w:beforeAutospacing="1" w:afterAutospacing="1" w:line="360" w:lineRule="auto"/>
        <w:jc w:val="both"/>
        <w:rPr>
          <w:rFonts w:ascii="Arial" w:eastAsia="SimSun" w:hAnsi="Arial" w:cs="Arial"/>
          <w:lang w:val="en-US" w:eastAsia="zh-CN" w:bidi="ar-SA"/>
        </w:rPr>
      </w:pPr>
      <w:r>
        <w:rPr>
          <w:rFonts w:ascii="Arial" w:eastAsia="SimSun" w:hAnsi="Arial" w:cs="Arial"/>
          <w:lang w:val="en-US" w:eastAsia="zh-CN" w:bidi="ar-SA"/>
        </w:rPr>
        <w:t xml:space="preserve">High-visibility journals published in London and Leeds can shape commissioning expectations. Positive long-term findings (e.g. Seamer et al., 2023) published in visible outlets may support continued funding of IC models; conversely, mixed findings may be used to argue for caution. Editors’ emphasis on rigorous quantitative methods (seen in IJIC) helps elevate methodological standards, but again, the types of </w:t>
      </w:r>
      <w:proofErr w:type="gramStart"/>
      <w:r>
        <w:rPr>
          <w:rFonts w:ascii="Arial" w:eastAsia="SimSun" w:hAnsi="Arial" w:cs="Arial"/>
          <w:lang w:val="en-US" w:eastAsia="zh-CN" w:bidi="ar-SA"/>
        </w:rPr>
        <w:t>locality</w:t>
      </w:r>
      <w:proofErr w:type="gramEnd"/>
      <w:r>
        <w:rPr>
          <w:rFonts w:ascii="Arial" w:eastAsia="SimSun" w:hAnsi="Arial" w:cs="Arial"/>
          <w:lang w:val="en-US" w:eastAsia="zh-CN" w:bidi="ar-SA"/>
        </w:rPr>
        <w:t xml:space="preserve"> studied (often better resourced) condition </w:t>
      </w:r>
      <w:proofErr w:type="spellStart"/>
      <w:r>
        <w:rPr>
          <w:rFonts w:ascii="Arial" w:eastAsia="SimSun" w:hAnsi="Arial" w:cs="Arial"/>
          <w:lang w:val="en-US" w:eastAsia="zh-CN" w:bidi="ar-SA"/>
        </w:rPr>
        <w:t>generalisability</w:t>
      </w:r>
      <w:proofErr w:type="spellEnd"/>
      <w:r>
        <w:rPr>
          <w:rFonts w:ascii="Arial" w:eastAsia="SimSun" w:hAnsi="Arial" w:cs="Arial"/>
          <w:lang w:val="en-US" w:eastAsia="zh-CN" w:bidi="ar-SA"/>
        </w:rPr>
        <w:t xml:space="preserve"> for the whole UK.</w:t>
      </w:r>
    </w:p>
    <w:p w14:paraId="1C614FDD" w14:textId="77777777" w:rsidR="00CA7383" w:rsidRDefault="00CA7383">
      <w:pPr>
        <w:widowControl/>
        <w:autoSpaceDE/>
        <w:autoSpaceDN/>
        <w:spacing w:beforeAutospacing="1" w:afterAutospacing="1" w:line="360" w:lineRule="auto"/>
        <w:jc w:val="both"/>
        <w:rPr>
          <w:rFonts w:ascii="Arial" w:eastAsia="SimSun" w:hAnsi="Arial" w:cs="Arial"/>
          <w:b/>
          <w:bCs/>
          <w:lang w:val="en-US" w:eastAsia="zh-CN" w:bidi="ar-SA"/>
        </w:rPr>
      </w:pPr>
    </w:p>
    <w:p w14:paraId="502E3487" w14:textId="64689D24" w:rsidR="004A7295" w:rsidRDefault="00000000">
      <w:pPr>
        <w:widowControl/>
        <w:autoSpaceDE/>
        <w:autoSpaceDN/>
        <w:spacing w:beforeAutospacing="1" w:afterAutospacing="1" w:line="360" w:lineRule="auto"/>
        <w:jc w:val="both"/>
        <w:rPr>
          <w:rFonts w:ascii="Arial" w:eastAsia="SimSun" w:hAnsi="Arial" w:cs="Arial"/>
          <w:b/>
          <w:bCs/>
          <w:lang w:val="en-US" w:eastAsia="zh-CN" w:bidi="ar-SA"/>
        </w:rPr>
      </w:pPr>
      <w:r>
        <w:rPr>
          <w:rFonts w:ascii="Arial" w:eastAsia="SimSun" w:hAnsi="Arial" w:cs="Arial"/>
          <w:b/>
          <w:bCs/>
          <w:lang w:val="en-US" w:eastAsia="zh-CN" w:bidi="ar-SA"/>
        </w:rPr>
        <w:lastRenderedPageBreak/>
        <w:t>5. Equity and population-based integration</w:t>
      </w:r>
    </w:p>
    <w:p w14:paraId="502E3488" w14:textId="77777777" w:rsidR="004A7295" w:rsidRDefault="00000000">
      <w:pPr>
        <w:widowControl/>
        <w:autoSpaceDE/>
        <w:autoSpaceDN/>
        <w:spacing w:beforeAutospacing="1" w:afterAutospacing="1" w:line="360" w:lineRule="auto"/>
        <w:jc w:val="both"/>
        <w:rPr>
          <w:rFonts w:ascii="Arial" w:eastAsia="SimSun" w:hAnsi="Arial" w:cs="Arial"/>
          <w:lang w:val="en-US" w:eastAsia="zh-CN" w:bidi="ar-SA"/>
        </w:rPr>
      </w:pPr>
      <w:r>
        <w:rPr>
          <w:rFonts w:ascii="Arial" w:eastAsia="SimSun" w:hAnsi="Arial" w:cs="Arial"/>
          <w:lang w:val="en-US" w:eastAsia="zh-CN" w:bidi="ar-SA"/>
        </w:rPr>
        <w:t>An emergent but underdeveloped theme is equity: Goddard (2023) and Khan et al. (2024) argue that ICSs should tackle social determinants, yet empirical evaluations rarely disaggregate outcomes by deprivation, ethnicity, or rurality. This omission is consequential: integrated models may close gaps in well-served areas but widen disparities if deprived populations are harder to engage (Goddard, 2023; Khan et al., 2024).</w:t>
      </w:r>
    </w:p>
    <w:p w14:paraId="502E3489" w14:textId="77777777" w:rsidR="004A7295" w:rsidRDefault="00000000">
      <w:pPr>
        <w:widowControl/>
        <w:autoSpaceDE/>
        <w:autoSpaceDN/>
        <w:spacing w:beforeAutospacing="1" w:afterAutospacing="1" w:line="360" w:lineRule="auto"/>
        <w:jc w:val="both"/>
        <w:rPr>
          <w:rFonts w:ascii="Arial" w:eastAsia="SimSun" w:hAnsi="Arial" w:cs="Arial"/>
          <w:lang w:val="en-US" w:eastAsia="zh-CN" w:bidi="ar-SA"/>
        </w:rPr>
      </w:pPr>
      <w:r>
        <w:rPr>
          <w:rFonts w:ascii="Arial" w:eastAsia="SimSun" w:hAnsi="Arial" w:cs="Arial"/>
          <w:lang w:val="en-US" w:eastAsia="zh-CN" w:bidi="ar-SA"/>
        </w:rPr>
        <w:t>Critically, the research tends to report average effects without sufficiently examining heterogeneous impacts. Few studies adopt equity-sensitive designs or report subgroup analyses, limiting evidence for targeted policy (Goddard, 2023).</w:t>
      </w:r>
    </w:p>
    <w:p w14:paraId="502E348A" w14:textId="77777777" w:rsidR="004A7295" w:rsidRDefault="00000000">
      <w:pPr>
        <w:widowControl/>
        <w:autoSpaceDE/>
        <w:autoSpaceDN/>
        <w:spacing w:beforeAutospacing="1" w:afterAutospacing="1" w:line="360" w:lineRule="auto"/>
        <w:jc w:val="both"/>
        <w:rPr>
          <w:rFonts w:ascii="Arial" w:eastAsia="SimSun" w:hAnsi="Arial" w:cs="Arial"/>
          <w:lang w:val="en-US" w:eastAsia="zh-CN" w:bidi="ar-SA"/>
        </w:rPr>
      </w:pPr>
      <w:r>
        <w:rPr>
          <w:rFonts w:ascii="Arial" w:eastAsia="SimSun" w:hAnsi="Arial" w:cs="Arial"/>
          <w:lang w:val="en-US" w:eastAsia="zh-CN" w:bidi="ar-SA"/>
        </w:rPr>
        <w:t xml:space="preserve">Papers based </w:t>
      </w:r>
      <w:proofErr w:type="gramStart"/>
      <w:r>
        <w:rPr>
          <w:rFonts w:ascii="Arial" w:eastAsia="SimSun" w:hAnsi="Arial" w:cs="Arial"/>
          <w:lang w:val="en-US" w:eastAsia="zh-CN" w:bidi="ar-SA"/>
        </w:rPr>
        <w:t>in</w:t>
      </w:r>
      <w:proofErr w:type="gramEnd"/>
      <w:r>
        <w:rPr>
          <w:rFonts w:ascii="Arial" w:eastAsia="SimSun" w:hAnsi="Arial" w:cs="Arial"/>
          <w:lang w:val="en-US" w:eastAsia="zh-CN" w:bidi="ar-SA"/>
        </w:rPr>
        <w:t xml:space="preserve"> metropolitan publishing hubs may inadvertently </w:t>
      </w:r>
      <w:proofErr w:type="spellStart"/>
      <w:r>
        <w:rPr>
          <w:rFonts w:ascii="Arial" w:eastAsia="SimSun" w:hAnsi="Arial" w:cs="Arial"/>
          <w:lang w:val="en-US" w:eastAsia="zh-CN" w:bidi="ar-SA"/>
        </w:rPr>
        <w:t>prioritise</w:t>
      </w:r>
      <w:proofErr w:type="spellEnd"/>
      <w:r>
        <w:rPr>
          <w:rFonts w:ascii="Arial" w:eastAsia="SimSun" w:hAnsi="Arial" w:cs="Arial"/>
          <w:lang w:val="en-US" w:eastAsia="zh-CN" w:bidi="ar-SA"/>
        </w:rPr>
        <w:t xml:space="preserve"> research from better-resourced settings where equity concerns are less visible, perpetuating blind spots. To correct this, editorial policies and funders should </w:t>
      </w:r>
      <w:proofErr w:type="spellStart"/>
      <w:r>
        <w:rPr>
          <w:rFonts w:ascii="Arial" w:eastAsia="SimSun" w:hAnsi="Arial" w:cs="Arial"/>
          <w:lang w:val="en-US" w:eastAsia="zh-CN" w:bidi="ar-SA"/>
        </w:rPr>
        <w:t>prioritise</w:t>
      </w:r>
      <w:proofErr w:type="spellEnd"/>
      <w:r>
        <w:rPr>
          <w:rFonts w:ascii="Arial" w:eastAsia="SimSun" w:hAnsi="Arial" w:cs="Arial"/>
          <w:lang w:val="en-US" w:eastAsia="zh-CN" w:bidi="ar-SA"/>
        </w:rPr>
        <w:t xml:space="preserve"> studies from diverse geographies and with explicit equity metrics, enabling ICSs and national bodies to make evidence-based, place-sensitive decisions.</w:t>
      </w:r>
    </w:p>
    <w:p w14:paraId="502E348B" w14:textId="77777777" w:rsidR="004A7295" w:rsidRDefault="00000000">
      <w:pPr>
        <w:widowControl/>
        <w:autoSpaceDE/>
        <w:autoSpaceDN/>
        <w:spacing w:beforeAutospacing="1" w:afterAutospacing="1" w:line="360" w:lineRule="auto"/>
        <w:jc w:val="both"/>
        <w:rPr>
          <w:rFonts w:ascii="Arial" w:eastAsia="SimSun" w:hAnsi="Arial" w:cs="Arial"/>
          <w:b/>
          <w:bCs/>
          <w:lang w:val="en-US" w:eastAsia="zh-CN" w:bidi="ar-SA"/>
        </w:rPr>
      </w:pPr>
      <w:r>
        <w:rPr>
          <w:rFonts w:ascii="Arial" w:eastAsia="SimSun" w:hAnsi="Arial" w:cs="Arial"/>
          <w:b/>
          <w:bCs/>
          <w:lang w:val="en-US" w:eastAsia="zh-CN" w:bidi="ar-SA"/>
        </w:rPr>
        <w:t xml:space="preserve">4.6 Conclusion </w:t>
      </w:r>
    </w:p>
    <w:p w14:paraId="502E348C" w14:textId="77777777" w:rsidR="004A7295" w:rsidRDefault="00000000">
      <w:pPr>
        <w:widowControl/>
        <w:autoSpaceDE/>
        <w:autoSpaceDN/>
        <w:spacing w:beforeAutospacing="1" w:afterAutospacing="1" w:line="360" w:lineRule="auto"/>
        <w:jc w:val="both"/>
        <w:rPr>
          <w:rFonts w:ascii="Arial" w:eastAsia="SimSun" w:hAnsi="Arial" w:cs="Arial"/>
          <w:lang w:val="en-US" w:eastAsia="zh-CN" w:bidi="ar-SA"/>
        </w:rPr>
      </w:pPr>
      <w:r>
        <w:rPr>
          <w:rFonts w:ascii="Arial" w:eastAsia="SimSun" w:hAnsi="Arial" w:cs="Arial"/>
          <w:lang w:val="en-US" w:eastAsia="zh-CN" w:bidi="ar-SA"/>
        </w:rPr>
        <w:t xml:space="preserve">Collectively, the ten studies present a coherent, if incomplete, picture: integrated care for older adults in England shows promise, especially for coordination, access and experience, but demonstrable system-level gains (admissions, LOS, costs) are context-dependent and often delayed (Seamer et al., 2023; Erens et al., 2020). Methodological heterogeneity, short funding cycles, workforce constraints, and limited equity analysis weaken </w:t>
      </w:r>
      <w:proofErr w:type="spellStart"/>
      <w:r>
        <w:rPr>
          <w:rFonts w:ascii="Arial" w:eastAsia="SimSun" w:hAnsi="Arial" w:cs="Arial"/>
          <w:lang w:val="en-US" w:eastAsia="zh-CN" w:bidi="ar-SA"/>
        </w:rPr>
        <w:t>generalisability</w:t>
      </w:r>
      <w:proofErr w:type="spellEnd"/>
      <w:r>
        <w:rPr>
          <w:rFonts w:ascii="Arial" w:eastAsia="SimSun" w:hAnsi="Arial" w:cs="Arial"/>
          <w:lang w:val="en-US" w:eastAsia="zh-CN" w:bidi="ar-SA"/>
        </w:rPr>
        <w:t>.</w:t>
      </w:r>
    </w:p>
    <w:p w14:paraId="502E348D" w14:textId="77777777" w:rsidR="004A7295" w:rsidRDefault="00000000">
      <w:pPr>
        <w:widowControl/>
        <w:autoSpaceDE/>
        <w:autoSpaceDN/>
        <w:spacing w:beforeAutospacing="1" w:afterAutospacing="1" w:line="360" w:lineRule="auto"/>
        <w:jc w:val="both"/>
        <w:rPr>
          <w:rFonts w:ascii="Arial" w:eastAsia="SimSun" w:hAnsi="Arial" w:cs="Arial"/>
          <w:lang w:val="en-US" w:eastAsia="zh-CN" w:bidi="ar-SA"/>
        </w:rPr>
      </w:pPr>
      <w:r>
        <w:rPr>
          <w:rFonts w:ascii="Arial" w:eastAsia="SimSun" w:hAnsi="Arial" w:cs="Arial"/>
          <w:lang w:val="en-US" w:eastAsia="zh-CN" w:bidi="ar-SA"/>
        </w:rPr>
        <w:t xml:space="preserve">The positioning of research outlets (predominantly London and Leeds) matters: these hubs shape which studies are published and read by policymakers, potentially biasing narratives toward urban, better-resourced contexts. For UK healthcare, this implies two actionable priorities: </w:t>
      </w:r>
    </w:p>
    <w:p w14:paraId="502E348E" w14:textId="77777777" w:rsidR="004A7295" w:rsidRDefault="00000000">
      <w:pPr>
        <w:widowControl/>
        <w:numPr>
          <w:ilvl w:val="0"/>
          <w:numId w:val="10"/>
        </w:numPr>
        <w:autoSpaceDE/>
        <w:autoSpaceDN/>
        <w:spacing w:beforeAutospacing="1" w:afterAutospacing="1" w:line="360" w:lineRule="auto"/>
        <w:jc w:val="both"/>
        <w:rPr>
          <w:rFonts w:ascii="Arial" w:eastAsia="SimSun" w:hAnsi="Arial" w:cs="Arial"/>
          <w:lang w:val="en-US" w:eastAsia="zh-CN" w:bidi="ar-SA"/>
        </w:rPr>
      </w:pPr>
      <w:r>
        <w:rPr>
          <w:rFonts w:ascii="Arial" w:eastAsia="SimSun" w:hAnsi="Arial" w:cs="Arial"/>
          <w:lang w:val="en-US" w:eastAsia="zh-CN" w:bidi="ar-SA"/>
        </w:rPr>
        <w:t xml:space="preserve">strengthening funding of long-term, mixed-method, equity-sensitive evaluations across diverse localities. </w:t>
      </w:r>
    </w:p>
    <w:p w14:paraId="502E348F" w14:textId="77777777" w:rsidR="004A7295" w:rsidRDefault="00000000">
      <w:pPr>
        <w:widowControl/>
        <w:numPr>
          <w:ilvl w:val="0"/>
          <w:numId w:val="10"/>
        </w:numPr>
        <w:autoSpaceDE/>
        <w:autoSpaceDN/>
        <w:spacing w:beforeAutospacing="1" w:afterAutospacing="1" w:line="360" w:lineRule="auto"/>
        <w:jc w:val="both"/>
        <w:rPr>
          <w:rFonts w:ascii="Arial" w:eastAsia="SimSun" w:hAnsi="Arial" w:cs="Arial"/>
          <w:lang w:val="en-US" w:eastAsia="zh-CN" w:bidi="ar-SA"/>
        </w:rPr>
      </w:pPr>
      <w:r>
        <w:rPr>
          <w:rFonts w:ascii="Arial" w:eastAsia="SimSun" w:hAnsi="Arial" w:cs="Arial"/>
          <w:lang w:val="en-US" w:eastAsia="zh-CN" w:bidi="ar-SA"/>
        </w:rPr>
        <w:t>invest in workforce and data infrastructure so integration is both implementable and measurable at scale. Editorial and funder strategies should deliberately amplify research from underrepresented regions to ensure IC policies are informed by the full geographic and socioeconomic diversity of the UK.</w:t>
      </w:r>
    </w:p>
    <w:p w14:paraId="502E3490" w14:textId="77777777" w:rsidR="004A7295" w:rsidRDefault="004A7295">
      <w:pPr>
        <w:widowControl/>
        <w:autoSpaceDE/>
        <w:autoSpaceDN/>
        <w:spacing w:beforeAutospacing="1" w:afterAutospacing="1" w:line="360" w:lineRule="auto"/>
        <w:jc w:val="both"/>
        <w:rPr>
          <w:rFonts w:ascii="Arial" w:eastAsia="SimSun" w:hAnsi="Arial" w:cs="Arial"/>
          <w:b/>
          <w:bCs/>
          <w:lang w:val="en-US" w:eastAsia="zh-CN" w:bidi="ar-SA"/>
        </w:rPr>
      </w:pPr>
    </w:p>
    <w:p w14:paraId="1AB38F9E" w14:textId="77777777" w:rsidR="0036120D" w:rsidRDefault="0036120D">
      <w:pPr>
        <w:pStyle w:val="Heading1"/>
        <w:ind w:left="0"/>
        <w:jc w:val="center"/>
        <w:rPr>
          <w:rFonts w:cs="Arial"/>
          <w:sz w:val="22"/>
          <w:szCs w:val="22"/>
        </w:rPr>
      </w:pPr>
    </w:p>
    <w:p w14:paraId="502E3499" w14:textId="5A661EAC" w:rsidR="004A7295" w:rsidRDefault="00000000">
      <w:pPr>
        <w:pStyle w:val="Heading1"/>
        <w:ind w:left="0"/>
        <w:jc w:val="center"/>
        <w:rPr>
          <w:rFonts w:cs="Arial"/>
          <w:sz w:val="22"/>
          <w:szCs w:val="22"/>
        </w:rPr>
      </w:pPr>
      <w:r>
        <w:rPr>
          <w:rFonts w:cs="Arial"/>
          <w:sz w:val="22"/>
          <w:szCs w:val="22"/>
        </w:rPr>
        <w:t>CHAPTER 5: RECOMMENDATIONS AND CONCLUSION</w:t>
      </w:r>
    </w:p>
    <w:p w14:paraId="502E349A" w14:textId="77777777" w:rsidR="004A7295" w:rsidRDefault="004A729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
        </w:rPr>
      </w:pPr>
    </w:p>
    <w:p w14:paraId="502E349B" w14:textId="77777777" w:rsidR="004A7295" w:rsidRDefault="00000000">
      <w:pPr>
        <w:widowControl/>
        <w:autoSpaceDE/>
        <w:autoSpaceDN/>
        <w:spacing w:line="360" w:lineRule="auto"/>
        <w:jc w:val="both"/>
        <w:rPr>
          <w:rFonts w:ascii="Arial" w:eastAsia="SimSun" w:hAnsi="Arial" w:cs="Arial"/>
          <w:b/>
          <w:bCs/>
          <w:lang w:val="en-US" w:eastAsia="en-US" w:bidi="ar-SA"/>
        </w:rPr>
      </w:pPr>
      <w:r>
        <w:rPr>
          <w:rFonts w:ascii="Arial" w:eastAsia="SimSun" w:hAnsi="Arial" w:cs="Arial"/>
          <w:b/>
          <w:bCs/>
          <w:lang w:val="en-US" w:eastAsia="en-US" w:bidi="ar-SA"/>
        </w:rPr>
        <w:t>5.1 Introduction</w:t>
      </w:r>
    </w:p>
    <w:p w14:paraId="502E349C" w14:textId="77777777" w:rsidR="004A7295" w:rsidRDefault="00000000">
      <w:pPr>
        <w:widowControl/>
        <w:autoSpaceDE/>
        <w:autoSpaceDN/>
        <w:spacing w:line="360" w:lineRule="auto"/>
        <w:jc w:val="both"/>
        <w:rPr>
          <w:rFonts w:ascii="Arial" w:eastAsia="SimSun" w:hAnsi="Arial" w:cs="Arial"/>
          <w:lang w:val="en-US" w:eastAsia="en-US" w:bidi="ar-SA"/>
        </w:rPr>
      </w:pPr>
      <w:r>
        <w:rPr>
          <w:rFonts w:ascii="Arial" w:eastAsia="SimSun" w:hAnsi="Arial" w:cs="Arial"/>
          <w:lang w:val="en-US" w:eastAsia="en-US" w:bidi="ar-SA"/>
        </w:rPr>
        <w:t xml:space="preserve">This chapter offers a critical evaluation of integrated care services for older adults in the UK, </w:t>
      </w:r>
      <w:proofErr w:type="spellStart"/>
      <w:r>
        <w:rPr>
          <w:rFonts w:ascii="Arial" w:eastAsia="SimSun" w:hAnsi="Arial" w:cs="Arial"/>
          <w:lang w:val="en-US" w:eastAsia="en-US" w:bidi="ar-SA"/>
        </w:rPr>
        <w:t>synthesising</w:t>
      </w:r>
      <w:proofErr w:type="spellEnd"/>
      <w:r>
        <w:rPr>
          <w:rFonts w:ascii="Arial" w:eastAsia="SimSun" w:hAnsi="Arial" w:cs="Arial"/>
          <w:lang w:val="en-US" w:eastAsia="en-US" w:bidi="ar-SA"/>
        </w:rPr>
        <w:t xml:space="preserve"> evidence from ten studies and previous thematic findings. Integrated care remains a national priority aimed at addressing fragmentation between health and social care and improving person-</w:t>
      </w:r>
      <w:proofErr w:type="spellStart"/>
      <w:r>
        <w:rPr>
          <w:rFonts w:ascii="Arial" w:eastAsia="SimSun" w:hAnsi="Arial" w:cs="Arial"/>
          <w:lang w:val="en-US" w:eastAsia="en-US" w:bidi="ar-SA"/>
        </w:rPr>
        <w:t>centred</w:t>
      </w:r>
      <w:proofErr w:type="spellEnd"/>
      <w:r>
        <w:rPr>
          <w:rFonts w:ascii="Arial" w:eastAsia="SimSun" w:hAnsi="Arial" w:cs="Arial"/>
          <w:lang w:val="en-US" w:eastAsia="en-US" w:bidi="ar-SA"/>
        </w:rPr>
        <w:t xml:space="preserve">, coordinated support for ageing populations. However, implementation is uneven and challenged by </w:t>
      </w:r>
      <w:proofErr w:type="spellStart"/>
      <w:r>
        <w:rPr>
          <w:rFonts w:ascii="Arial" w:eastAsia="SimSun" w:hAnsi="Arial" w:cs="Arial"/>
          <w:lang w:val="en-US" w:eastAsia="en-US" w:bidi="ar-SA"/>
        </w:rPr>
        <w:t>organisational</w:t>
      </w:r>
      <w:proofErr w:type="spellEnd"/>
      <w:r>
        <w:rPr>
          <w:rFonts w:ascii="Arial" w:eastAsia="SimSun" w:hAnsi="Arial" w:cs="Arial"/>
          <w:lang w:val="en-US" w:eastAsia="en-US" w:bidi="ar-SA"/>
        </w:rPr>
        <w:t xml:space="preserve">, financial, and structural constraints. The chapter assesses both achievements and persistent gaps, noting that integration efforts are highly </w:t>
      </w:r>
      <w:proofErr w:type="gramStart"/>
      <w:r>
        <w:rPr>
          <w:rFonts w:ascii="Arial" w:eastAsia="SimSun" w:hAnsi="Arial" w:cs="Arial"/>
          <w:lang w:val="en-US" w:eastAsia="en-US" w:bidi="ar-SA"/>
        </w:rPr>
        <w:t>context-dependent</w:t>
      </w:r>
      <w:proofErr w:type="gramEnd"/>
      <w:r>
        <w:rPr>
          <w:rFonts w:ascii="Arial" w:eastAsia="SimSun" w:hAnsi="Arial" w:cs="Arial"/>
          <w:lang w:val="en-US" w:eastAsia="en-US" w:bidi="ar-SA"/>
        </w:rPr>
        <w:t>. It concludes with recommendations to enhance equity, efficiency, and sustainability, alongside implications for practice and priorities for future research.</w:t>
      </w:r>
    </w:p>
    <w:p w14:paraId="502E349D" w14:textId="77777777" w:rsidR="004A7295" w:rsidRDefault="00000000">
      <w:pPr>
        <w:widowControl/>
        <w:autoSpaceDE/>
        <w:autoSpaceDN/>
        <w:spacing w:line="360" w:lineRule="auto"/>
        <w:jc w:val="both"/>
        <w:rPr>
          <w:rFonts w:ascii="Arial" w:eastAsia="SimSun" w:hAnsi="Arial" w:cs="Arial"/>
          <w:lang w:val="en-US" w:eastAsia="en-US" w:bidi="ar-SA"/>
        </w:rPr>
      </w:pPr>
      <w:r>
        <w:rPr>
          <w:rFonts w:ascii="Arial" w:eastAsia="SimSun" w:hAnsi="Arial" w:cs="Arial"/>
          <w:lang w:val="en-US" w:eastAsia="en-US" w:bidi="ar-SA"/>
        </w:rPr>
        <w:t xml:space="preserve"> </w:t>
      </w:r>
    </w:p>
    <w:p w14:paraId="502E349E" w14:textId="77777777" w:rsidR="004A7295" w:rsidRDefault="00000000">
      <w:pPr>
        <w:widowControl/>
        <w:autoSpaceDE/>
        <w:autoSpaceDN/>
        <w:spacing w:line="360" w:lineRule="auto"/>
        <w:jc w:val="both"/>
        <w:rPr>
          <w:rFonts w:ascii="Arial" w:eastAsia="SimSun" w:hAnsi="Arial" w:cs="Arial"/>
          <w:b/>
          <w:bCs/>
          <w:lang w:val="en-US" w:eastAsia="en-US" w:bidi="ar-SA"/>
        </w:rPr>
      </w:pPr>
      <w:r>
        <w:rPr>
          <w:rFonts w:ascii="Arial" w:eastAsia="SimSun" w:hAnsi="Arial" w:cs="Arial"/>
          <w:b/>
          <w:bCs/>
          <w:lang w:val="en-US" w:eastAsia="en-US" w:bidi="ar-SA"/>
        </w:rPr>
        <w:t>5.2 Summary of Key Findings</w:t>
      </w:r>
    </w:p>
    <w:p w14:paraId="502E349F" w14:textId="77777777" w:rsidR="004A7295" w:rsidRDefault="00000000">
      <w:pPr>
        <w:widowControl/>
        <w:autoSpaceDE/>
        <w:autoSpaceDN/>
        <w:spacing w:line="360" w:lineRule="auto"/>
        <w:jc w:val="both"/>
        <w:rPr>
          <w:rFonts w:ascii="Arial" w:eastAsia="SimSun" w:hAnsi="Arial" w:cs="Arial"/>
          <w:lang w:val="en-US" w:eastAsia="en-US" w:bidi="ar-SA"/>
        </w:rPr>
      </w:pPr>
      <w:r>
        <w:rPr>
          <w:rFonts w:ascii="Arial" w:eastAsia="SimSun" w:hAnsi="Arial" w:cs="Arial"/>
          <w:lang w:val="en-US" w:eastAsia="en-US" w:bidi="ar-SA"/>
        </w:rPr>
        <w:t xml:space="preserve">The thematic analysis in Chapter 4 revealed key findings. </w:t>
      </w:r>
    </w:p>
    <w:p w14:paraId="502E34A0" w14:textId="75995FC9" w:rsidR="004A7295" w:rsidRDefault="00000000">
      <w:pPr>
        <w:widowControl/>
        <w:autoSpaceDE/>
        <w:autoSpaceDN/>
        <w:spacing w:line="360" w:lineRule="auto"/>
        <w:jc w:val="both"/>
        <w:rPr>
          <w:rFonts w:ascii="Arial" w:eastAsia="SimSun" w:hAnsi="Arial" w:cs="Arial"/>
          <w:lang w:val="en-US" w:eastAsia="en-US" w:bidi="ar-SA"/>
        </w:rPr>
      </w:pPr>
      <w:r>
        <w:rPr>
          <w:rFonts w:ascii="Arial" w:eastAsia="SimSun" w:hAnsi="Arial" w:cs="Arial"/>
          <w:lang w:val="en-US" w:eastAsia="en-US" w:bidi="ar-SA"/>
        </w:rPr>
        <w:t>The ten reviewed studies collectively demonstrate that integrated care (IC) for older adults in England offers meaningful benefits but remains constrained by structural, methodological, and contextual limitations. System readiness, including leadership, funding stability, and collaborative culture</w:t>
      </w:r>
      <w:r w:rsidR="0036120D">
        <w:rPr>
          <w:rFonts w:ascii="Arial" w:eastAsia="SimSun" w:hAnsi="Arial" w:cs="Arial"/>
          <w:lang w:val="en-US" w:eastAsia="en-US" w:bidi="ar-SA"/>
        </w:rPr>
        <w:t>,</w:t>
      </w:r>
      <w:r>
        <w:rPr>
          <w:rFonts w:ascii="Arial" w:eastAsia="SimSun" w:hAnsi="Arial" w:cs="Arial"/>
          <w:lang w:val="en-US" w:eastAsia="en-US" w:bidi="ar-SA"/>
        </w:rPr>
        <w:t xml:space="preserve"> </w:t>
      </w:r>
      <w:proofErr w:type="gramStart"/>
      <w:r>
        <w:rPr>
          <w:rFonts w:ascii="Arial" w:eastAsia="SimSun" w:hAnsi="Arial" w:cs="Arial"/>
          <w:lang w:val="en-US" w:eastAsia="en-US" w:bidi="ar-SA"/>
        </w:rPr>
        <w:t>emerges</w:t>
      </w:r>
      <w:proofErr w:type="gramEnd"/>
      <w:r>
        <w:rPr>
          <w:rFonts w:ascii="Arial" w:eastAsia="SimSun" w:hAnsi="Arial" w:cs="Arial"/>
          <w:lang w:val="en-US" w:eastAsia="en-US" w:bidi="ar-SA"/>
        </w:rPr>
        <w:t xml:space="preserve"> as a critical foundation, with local variability strongly influencing implementation success. Workforce capability is central to effective integration; however, persistent challenges such as role ambiguity, insufficient training, and professional silos hinder multidisciplinary collaboration. </w:t>
      </w:r>
    </w:p>
    <w:p w14:paraId="502E34A1" w14:textId="77777777" w:rsidR="004A7295" w:rsidRDefault="00000000">
      <w:pPr>
        <w:widowControl/>
        <w:autoSpaceDE/>
        <w:autoSpaceDN/>
        <w:spacing w:line="360" w:lineRule="auto"/>
        <w:jc w:val="both"/>
        <w:rPr>
          <w:rFonts w:ascii="Arial" w:eastAsia="SimSun" w:hAnsi="Arial" w:cs="Arial"/>
          <w:lang w:val="en-US" w:eastAsia="en-US" w:bidi="ar-SA"/>
        </w:rPr>
      </w:pPr>
      <w:r>
        <w:rPr>
          <w:rFonts w:ascii="Arial" w:eastAsia="SimSun" w:hAnsi="Arial" w:cs="Arial"/>
          <w:lang w:val="en-US" w:eastAsia="en-US" w:bidi="ar-SA"/>
        </w:rPr>
        <w:t xml:space="preserve"> </w:t>
      </w:r>
    </w:p>
    <w:p w14:paraId="502E34A2" w14:textId="77777777" w:rsidR="004A7295" w:rsidRDefault="00000000">
      <w:pPr>
        <w:widowControl/>
        <w:autoSpaceDE/>
        <w:autoSpaceDN/>
        <w:spacing w:line="360" w:lineRule="auto"/>
        <w:jc w:val="both"/>
        <w:rPr>
          <w:rFonts w:ascii="Arial" w:eastAsia="SimSun" w:hAnsi="Arial" w:cs="Arial"/>
          <w:lang w:val="en-US" w:eastAsia="en-US" w:bidi="ar-SA"/>
        </w:rPr>
      </w:pPr>
      <w:r>
        <w:rPr>
          <w:rFonts w:ascii="Arial" w:eastAsia="SimSun" w:hAnsi="Arial" w:cs="Arial"/>
          <w:lang w:val="en-US" w:eastAsia="en-US" w:bidi="ar-SA"/>
        </w:rPr>
        <w:t>Patient-</w:t>
      </w:r>
      <w:proofErr w:type="spellStart"/>
      <w:r>
        <w:rPr>
          <w:rFonts w:ascii="Arial" w:eastAsia="SimSun" w:hAnsi="Arial" w:cs="Arial"/>
          <w:lang w:val="en-US" w:eastAsia="en-US" w:bidi="ar-SA"/>
        </w:rPr>
        <w:t>centred</w:t>
      </w:r>
      <w:proofErr w:type="spellEnd"/>
      <w:r>
        <w:rPr>
          <w:rFonts w:ascii="Arial" w:eastAsia="SimSun" w:hAnsi="Arial" w:cs="Arial"/>
          <w:lang w:val="en-US" w:eastAsia="en-US" w:bidi="ar-SA"/>
        </w:rPr>
        <w:t xml:space="preserve"> coordinated care shows clear gains in continuity, trust, and holistic support, yet these relational elements are fragile in overstretched systems. Quantitative evaluations report delayed and inconsistent impacts on key metrics such as hospital admissions, bed use, and costs, reflecting methodological inconsistencies and limited long-term data. Equity-focused integration remains underdeveloped, with few studies explicitly examining differential outcomes across socioeconomic or ethnic groups. Overall, integrated care demonstrates promise, but its effectiveness depends on context-specific enablers, sustained investment, and more rigorous, equity-sensitive evaluation.</w:t>
      </w:r>
    </w:p>
    <w:p w14:paraId="502E34A4" w14:textId="77777777" w:rsidR="004A7295" w:rsidRDefault="00000000">
      <w:pPr>
        <w:widowControl/>
        <w:autoSpaceDE/>
        <w:autoSpaceDN/>
        <w:spacing w:line="360" w:lineRule="auto"/>
        <w:jc w:val="both"/>
        <w:rPr>
          <w:rFonts w:ascii="Arial" w:eastAsia="SimSun" w:hAnsi="Arial" w:cs="Arial"/>
          <w:b/>
          <w:bCs/>
          <w:lang w:val="en-US" w:eastAsia="en-US" w:bidi="ar-SA"/>
        </w:rPr>
      </w:pPr>
      <w:r>
        <w:rPr>
          <w:rFonts w:ascii="Arial" w:eastAsia="SimSun" w:hAnsi="Arial" w:cs="Arial"/>
          <w:lang w:val="en-US" w:eastAsia="en-US" w:bidi="ar-SA"/>
        </w:rPr>
        <w:t xml:space="preserve"> </w:t>
      </w:r>
    </w:p>
    <w:p w14:paraId="502E34A5" w14:textId="77777777" w:rsidR="004A7295" w:rsidRDefault="00000000">
      <w:pPr>
        <w:widowControl/>
        <w:autoSpaceDE/>
        <w:autoSpaceDN/>
        <w:spacing w:line="360" w:lineRule="auto"/>
        <w:jc w:val="both"/>
        <w:rPr>
          <w:rFonts w:ascii="Arial" w:eastAsia="SimSun" w:hAnsi="Arial" w:cs="Arial"/>
          <w:b/>
          <w:bCs/>
          <w:lang w:val="en-US" w:eastAsia="en-US" w:bidi="ar-SA"/>
        </w:rPr>
      </w:pPr>
      <w:r>
        <w:rPr>
          <w:rFonts w:ascii="Arial" w:eastAsia="SimSun" w:hAnsi="Arial" w:cs="Arial"/>
          <w:b/>
          <w:bCs/>
          <w:lang w:val="en-US" w:eastAsia="en-US" w:bidi="ar-SA"/>
        </w:rPr>
        <w:t>5.3 Evaluation of Integrated Care Services of Older Adults in Health and Social Care in the UK</w:t>
      </w:r>
    </w:p>
    <w:p w14:paraId="502E34A6" w14:textId="77777777" w:rsidR="004A7295" w:rsidRDefault="00000000">
      <w:pPr>
        <w:widowControl/>
        <w:autoSpaceDE/>
        <w:autoSpaceDN/>
        <w:spacing w:line="360" w:lineRule="auto"/>
        <w:jc w:val="both"/>
        <w:rPr>
          <w:rFonts w:ascii="Arial" w:eastAsia="SimSun" w:hAnsi="Arial" w:cs="Arial"/>
          <w:b/>
          <w:bCs/>
          <w:lang w:val="en-US" w:eastAsia="en-US" w:bidi="ar-SA"/>
        </w:rPr>
      </w:pPr>
      <w:r>
        <w:rPr>
          <w:rFonts w:ascii="Arial" w:eastAsia="SimSun" w:hAnsi="Arial" w:cs="Arial"/>
          <w:b/>
          <w:bCs/>
          <w:lang w:val="en-US" w:eastAsia="en-US" w:bidi="ar-SA"/>
        </w:rPr>
        <w:t>1. System Readiness, Policy Context, and Structural Capacity</w:t>
      </w:r>
    </w:p>
    <w:p w14:paraId="502E34A7" w14:textId="17FC957D" w:rsidR="004A7295" w:rsidRDefault="00000000">
      <w:pPr>
        <w:widowControl/>
        <w:autoSpaceDE/>
        <w:autoSpaceDN/>
        <w:spacing w:line="360" w:lineRule="auto"/>
        <w:jc w:val="both"/>
        <w:rPr>
          <w:rFonts w:ascii="Arial" w:eastAsia="SimSun" w:hAnsi="Arial" w:cs="Arial"/>
          <w:lang w:val="en-US" w:eastAsia="en-US" w:bidi="ar-SA"/>
        </w:rPr>
      </w:pPr>
      <w:r>
        <w:rPr>
          <w:rFonts w:ascii="Arial" w:eastAsia="SimSun" w:hAnsi="Arial" w:cs="Arial"/>
          <w:lang w:val="en-US" w:eastAsia="en-US" w:bidi="ar-SA"/>
        </w:rPr>
        <w:lastRenderedPageBreak/>
        <w:t>The evidence demonstrates that integrated care depends heavily on system readiness</w:t>
      </w:r>
      <w:r w:rsidR="0036120D">
        <w:rPr>
          <w:rFonts w:ascii="Arial" w:eastAsia="SimSun" w:hAnsi="Arial" w:cs="Arial"/>
          <w:lang w:val="en-US" w:eastAsia="en-US" w:bidi="ar-SA"/>
        </w:rPr>
        <w:t>,</w:t>
      </w:r>
      <w:r>
        <w:rPr>
          <w:rFonts w:ascii="Arial" w:eastAsia="SimSun" w:hAnsi="Arial" w:cs="Arial"/>
          <w:lang w:val="en-US" w:eastAsia="en-US" w:bidi="ar-SA"/>
        </w:rPr>
        <w:t xml:space="preserve"> leadership, funding continuity, policy alignment, and local collaborative capacity. Khan et al. (2024) show that policy frameworks such as frailty pathways can only translate into practice where GP engagement and </w:t>
      </w:r>
      <w:proofErr w:type="spellStart"/>
      <w:r>
        <w:rPr>
          <w:rFonts w:ascii="Arial" w:eastAsia="SimSun" w:hAnsi="Arial" w:cs="Arial"/>
          <w:lang w:val="en-US" w:eastAsia="en-US" w:bidi="ar-SA"/>
        </w:rPr>
        <w:t>organisational</w:t>
      </w:r>
      <w:proofErr w:type="spellEnd"/>
      <w:r>
        <w:rPr>
          <w:rFonts w:ascii="Arial" w:eastAsia="SimSun" w:hAnsi="Arial" w:cs="Arial"/>
          <w:lang w:val="en-US" w:eastAsia="en-US" w:bidi="ar-SA"/>
        </w:rPr>
        <w:t xml:space="preserve"> leadership are strong, while Billings et al. (2019) highlight persistent tensions around data quality, monitoring, and governance. Erens et al. (2020) further reveal that national pioneer </w:t>
      </w:r>
      <w:proofErr w:type="spellStart"/>
      <w:r>
        <w:rPr>
          <w:rFonts w:ascii="Arial" w:eastAsia="SimSun" w:hAnsi="Arial" w:cs="Arial"/>
          <w:lang w:val="en-US" w:eastAsia="en-US" w:bidi="ar-SA"/>
        </w:rPr>
        <w:t>programmes</w:t>
      </w:r>
      <w:proofErr w:type="spellEnd"/>
      <w:r>
        <w:rPr>
          <w:rFonts w:ascii="Arial" w:eastAsia="SimSun" w:hAnsi="Arial" w:cs="Arial"/>
          <w:lang w:val="en-US" w:eastAsia="en-US" w:bidi="ar-SA"/>
        </w:rPr>
        <w:t xml:space="preserve"> achieved only incremental progress, constrained by short-term pilot funding and fragmented accountability across NHS and local authority structures.</w:t>
      </w:r>
      <w:r>
        <w:rPr>
          <w:rFonts w:ascii="Arial" w:eastAsia="SimSun" w:hAnsi="Arial" w:cs="Arial"/>
          <w:lang w:val="en-US" w:eastAsia="en-US" w:bidi="ar-SA"/>
        </w:rPr>
        <w:br/>
      </w:r>
    </w:p>
    <w:p w14:paraId="502E34A8" w14:textId="45127977" w:rsidR="004A7295" w:rsidRDefault="00000000">
      <w:pPr>
        <w:widowControl/>
        <w:autoSpaceDE/>
        <w:autoSpaceDN/>
        <w:spacing w:line="360" w:lineRule="auto"/>
        <w:jc w:val="both"/>
        <w:rPr>
          <w:rFonts w:ascii="Arial" w:eastAsia="SimSun" w:hAnsi="Arial" w:cs="Arial"/>
          <w:lang w:val="en-US" w:eastAsia="en-US" w:bidi="ar-SA"/>
        </w:rPr>
      </w:pPr>
      <w:r>
        <w:rPr>
          <w:rFonts w:ascii="Arial" w:eastAsia="SimSun" w:hAnsi="Arial" w:cs="Arial"/>
          <w:lang w:val="en-US" w:eastAsia="en-US" w:bidi="ar-SA"/>
        </w:rPr>
        <w:t xml:space="preserve">These structural limitations expose the fragility of integration efforts, particularly in socioeconomically deprived or resource-limited areas. Since most publications originate from </w:t>
      </w:r>
      <w:r w:rsidR="0040326A">
        <w:rPr>
          <w:rFonts w:ascii="Arial" w:eastAsia="SimSun" w:hAnsi="Arial" w:cs="Arial"/>
          <w:lang w:val="en-US" w:eastAsia="en-US" w:bidi="ar-SA"/>
        </w:rPr>
        <w:t xml:space="preserve">the </w:t>
      </w:r>
      <w:r>
        <w:rPr>
          <w:rFonts w:ascii="Arial" w:eastAsia="SimSun" w:hAnsi="Arial" w:cs="Arial"/>
          <w:lang w:val="en-US" w:eastAsia="en-US" w:bidi="ar-SA"/>
        </w:rPr>
        <w:t>London and Leeds regions with robust academic and policy ecosystems</w:t>
      </w:r>
      <w:r w:rsidR="0040326A">
        <w:rPr>
          <w:rFonts w:ascii="Arial" w:eastAsia="SimSun" w:hAnsi="Arial" w:cs="Arial"/>
          <w:lang w:val="en-US" w:eastAsia="en-US" w:bidi="ar-SA"/>
        </w:rPr>
        <w:t>,</w:t>
      </w:r>
      <w:r>
        <w:rPr>
          <w:rFonts w:ascii="Arial" w:eastAsia="SimSun" w:hAnsi="Arial" w:cs="Arial"/>
          <w:lang w:val="en-US" w:eastAsia="en-US" w:bidi="ar-SA"/>
        </w:rPr>
        <w:t xml:space="preserve"> there is a risk that findings disproportionately reflect well-supported urban systems. This can lead to overestimation of readiness and underestimate challenges faced in rural, coastal or deprived communities where baseline </w:t>
      </w:r>
      <w:proofErr w:type="spellStart"/>
      <w:r>
        <w:rPr>
          <w:rFonts w:ascii="Arial" w:eastAsia="SimSun" w:hAnsi="Arial" w:cs="Arial"/>
          <w:lang w:val="en-US" w:eastAsia="en-US" w:bidi="ar-SA"/>
        </w:rPr>
        <w:t>organisational</w:t>
      </w:r>
      <w:proofErr w:type="spellEnd"/>
      <w:r>
        <w:rPr>
          <w:rFonts w:ascii="Arial" w:eastAsia="SimSun" w:hAnsi="Arial" w:cs="Arial"/>
          <w:lang w:val="en-US" w:eastAsia="en-US" w:bidi="ar-SA"/>
        </w:rPr>
        <w:t xml:space="preserve"> capacity is weaker.</w:t>
      </w:r>
    </w:p>
    <w:p w14:paraId="502E34A9" w14:textId="77777777" w:rsidR="004A7295" w:rsidRDefault="00000000">
      <w:pPr>
        <w:widowControl/>
        <w:autoSpaceDE/>
        <w:autoSpaceDN/>
        <w:spacing w:line="360" w:lineRule="auto"/>
        <w:jc w:val="both"/>
        <w:rPr>
          <w:rFonts w:ascii="Arial" w:eastAsia="SimSun" w:hAnsi="Arial" w:cs="Arial"/>
          <w:lang w:val="en-US" w:eastAsia="en-US" w:bidi="ar-SA"/>
        </w:rPr>
      </w:pPr>
      <w:r>
        <w:rPr>
          <w:rFonts w:ascii="Arial" w:eastAsia="SimSun" w:hAnsi="Arial" w:cs="Arial"/>
          <w:lang w:val="en-US" w:eastAsia="en-US" w:bidi="ar-SA"/>
        </w:rPr>
        <w:t xml:space="preserve"> </w:t>
      </w:r>
    </w:p>
    <w:p w14:paraId="502E34AA" w14:textId="77777777" w:rsidR="004A7295" w:rsidRDefault="00000000">
      <w:pPr>
        <w:widowControl/>
        <w:autoSpaceDE/>
        <w:autoSpaceDN/>
        <w:spacing w:line="360" w:lineRule="auto"/>
        <w:jc w:val="both"/>
        <w:rPr>
          <w:rFonts w:ascii="Arial" w:eastAsia="SimSun" w:hAnsi="Arial" w:cs="Arial"/>
          <w:b/>
          <w:bCs/>
          <w:lang w:val="en-US" w:eastAsia="en-US" w:bidi="ar-SA"/>
        </w:rPr>
      </w:pPr>
      <w:r>
        <w:rPr>
          <w:rFonts w:ascii="Arial" w:eastAsia="SimSun" w:hAnsi="Arial" w:cs="Arial"/>
          <w:b/>
          <w:bCs/>
          <w:lang w:val="en-US" w:eastAsia="en-US" w:bidi="ar-SA"/>
        </w:rPr>
        <w:t xml:space="preserve">2. Workforce Capability, Professional Integration, and </w:t>
      </w:r>
      <w:proofErr w:type="spellStart"/>
      <w:r>
        <w:rPr>
          <w:rFonts w:ascii="Arial" w:eastAsia="SimSun" w:hAnsi="Arial" w:cs="Arial"/>
          <w:b/>
          <w:bCs/>
          <w:lang w:val="en-US" w:eastAsia="en-US" w:bidi="ar-SA"/>
        </w:rPr>
        <w:t>Organisational</w:t>
      </w:r>
      <w:proofErr w:type="spellEnd"/>
      <w:r>
        <w:rPr>
          <w:rFonts w:ascii="Arial" w:eastAsia="SimSun" w:hAnsi="Arial" w:cs="Arial"/>
          <w:b/>
          <w:bCs/>
          <w:lang w:val="en-US" w:eastAsia="en-US" w:bidi="ar-SA"/>
        </w:rPr>
        <w:t xml:space="preserve"> Development</w:t>
      </w:r>
    </w:p>
    <w:p w14:paraId="502E34AB" w14:textId="0A93F261" w:rsidR="004A7295" w:rsidRDefault="00000000">
      <w:pPr>
        <w:widowControl/>
        <w:autoSpaceDE/>
        <w:autoSpaceDN/>
        <w:spacing w:line="360" w:lineRule="auto"/>
        <w:jc w:val="both"/>
        <w:rPr>
          <w:rFonts w:ascii="Arial" w:eastAsia="SimSun" w:hAnsi="Arial" w:cs="Arial"/>
          <w:lang w:val="en-US" w:eastAsia="en-US" w:bidi="ar-SA"/>
        </w:rPr>
      </w:pPr>
      <w:r>
        <w:rPr>
          <w:rFonts w:ascii="Arial" w:eastAsia="SimSun" w:hAnsi="Arial" w:cs="Arial"/>
          <w:lang w:val="en-US" w:eastAsia="en-US" w:bidi="ar-SA"/>
        </w:rPr>
        <w:t xml:space="preserve">Workforce capability emerges as a central enabling factor across the evidence base. Studies </w:t>
      </w:r>
      <w:proofErr w:type="spellStart"/>
      <w:r>
        <w:rPr>
          <w:rFonts w:ascii="Arial" w:eastAsia="SimSun" w:hAnsi="Arial" w:cs="Arial"/>
          <w:lang w:val="en-US" w:eastAsia="en-US" w:bidi="ar-SA"/>
        </w:rPr>
        <w:t>emphasise</w:t>
      </w:r>
      <w:proofErr w:type="spellEnd"/>
      <w:r>
        <w:rPr>
          <w:rFonts w:ascii="Arial" w:eastAsia="SimSun" w:hAnsi="Arial" w:cs="Arial"/>
          <w:lang w:val="en-US" w:eastAsia="en-US" w:bidi="ar-SA"/>
        </w:rPr>
        <w:t xml:space="preserve"> the importance of professional learning, role clarity, and multidisciplinary teamwork in sustaining integrated practice (Aiello and Mellor, 2019; Akehurst et al., 2022; Robertshaw and Cross, 2018). MacInnes et al. (2020) show that </w:t>
      </w:r>
      <w:r w:rsidR="0036120D">
        <w:rPr>
          <w:rFonts w:ascii="Arial" w:eastAsia="SimSun" w:hAnsi="Arial" w:cs="Arial"/>
          <w:lang w:val="en-US" w:eastAsia="en-US" w:bidi="ar-SA"/>
        </w:rPr>
        <w:t xml:space="preserve">staff continuity </w:t>
      </w:r>
      <w:r>
        <w:rPr>
          <w:rFonts w:ascii="Arial" w:eastAsia="SimSun" w:hAnsi="Arial" w:cs="Arial"/>
          <w:lang w:val="en-US" w:eastAsia="en-US" w:bidi="ar-SA"/>
        </w:rPr>
        <w:t xml:space="preserve">directly supports trust and stability </w:t>
      </w:r>
      <w:r w:rsidR="0036120D">
        <w:rPr>
          <w:rFonts w:ascii="Arial" w:eastAsia="SimSun" w:hAnsi="Arial" w:cs="Arial"/>
          <w:lang w:val="en-US" w:eastAsia="en-US" w:bidi="ar-SA"/>
        </w:rPr>
        <w:t xml:space="preserve">among </w:t>
      </w:r>
      <w:r>
        <w:rPr>
          <w:rFonts w:ascii="Arial" w:eastAsia="SimSun" w:hAnsi="Arial" w:cs="Arial"/>
          <w:lang w:val="en-US" w:eastAsia="en-US" w:bidi="ar-SA"/>
        </w:rPr>
        <w:t>older adults receiving home-based services.</w:t>
      </w:r>
      <w:r>
        <w:rPr>
          <w:rFonts w:ascii="Arial" w:eastAsia="SimSun" w:hAnsi="Arial" w:cs="Arial"/>
          <w:lang w:val="en-US" w:eastAsia="en-US" w:bidi="ar-SA"/>
        </w:rPr>
        <w:br/>
      </w:r>
    </w:p>
    <w:p w14:paraId="502E34AC" w14:textId="19BB8F17" w:rsidR="004A7295" w:rsidRDefault="00000000">
      <w:pPr>
        <w:widowControl/>
        <w:autoSpaceDE/>
        <w:autoSpaceDN/>
        <w:spacing w:line="360" w:lineRule="auto"/>
        <w:jc w:val="both"/>
        <w:rPr>
          <w:rFonts w:ascii="Arial" w:eastAsia="SimSun" w:hAnsi="Arial" w:cs="Arial"/>
          <w:lang w:val="en-US" w:eastAsia="en-US" w:bidi="ar-SA"/>
        </w:rPr>
      </w:pPr>
      <w:r>
        <w:rPr>
          <w:rFonts w:ascii="Arial" w:eastAsia="SimSun" w:hAnsi="Arial" w:cs="Arial"/>
          <w:lang w:val="en-US" w:eastAsia="en-US" w:bidi="ar-SA"/>
        </w:rPr>
        <w:t xml:space="preserve">However, the workforce narrative also exposes systemic weaknesses. Chronic shortages, professional boundary tensions, and inadequate protected time for multidisciplinary collaboration undermine sustainability. Workforce interventions are often </w:t>
      </w:r>
      <w:r w:rsidR="0036120D">
        <w:rPr>
          <w:rFonts w:ascii="Arial" w:eastAsia="SimSun" w:hAnsi="Arial" w:cs="Arial"/>
          <w:lang w:val="en-US" w:eastAsia="en-US" w:bidi="ar-SA"/>
        </w:rPr>
        <w:t>small-scale</w:t>
      </w:r>
      <w:r>
        <w:rPr>
          <w:rFonts w:ascii="Arial" w:eastAsia="SimSun" w:hAnsi="Arial" w:cs="Arial"/>
          <w:lang w:val="en-US" w:eastAsia="en-US" w:bidi="ar-SA"/>
        </w:rPr>
        <w:t xml:space="preserve"> and under-evaluated, providing limited evidence on replicability or cost-effectiveness. The concentration of publications in large urban hubs likewise risks obscuring workforce challenges in peripheral regions where recruitment and retention pressures are far more severe. This suggests workforce transformation is both essential and structurally constrained without wider investment and policy reform.</w:t>
      </w:r>
    </w:p>
    <w:p w14:paraId="502E34AD" w14:textId="77777777" w:rsidR="004A7295" w:rsidRDefault="004A7295">
      <w:pPr>
        <w:widowControl/>
        <w:autoSpaceDE/>
        <w:autoSpaceDN/>
        <w:spacing w:line="360" w:lineRule="auto"/>
        <w:jc w:val="both"/>
        <w:rPr>
          <w:rFonts w:ascii="Arial" w:eastAsia="SimSun" w:hAnsi="Arial" w:cs="Arial"/>
          <w:lang w:val="en-US" w:eastAsia="en-US" w:bidi="ar-SA"/>
        </w:rPr>
      </w:pPr>
    </w:p>
    <w:p w14:paraId="502E34AE" w14:textId="77777777" w:rsidR="004A7295" w:rsidRDefault="00000000">
      <w:pPr>
        <w:widowControl/>
        <w:autoSpaceDE/>
        <w:autoSpaceDN/>
        <w:spacing w:line="360" w:lineRule="auto"/>
        <w:jc w:val="both"/>
        <w:rPr>
          <w:rFonts w:ascii="Arial" w:eastAsia="SimSun" w:hAnsi="Arial" w:cs="Arial"/>
          <w:b/>
          <w:bCs/>
          <w:lang w:val="en-US" w:eastAsia="en-US" w:bidi="ar-SA"/>
        </w:rPr>
      </w:pPr>
      <w:r>
        <w:rPr>
          <w:rFonts w:ascii="Arial" w:eastAsia="SimSun" w:hAnsi="Arial" w:cs="Arial"/>
          <w:b/>
          <w:bCs/>
          <w:lang w:val="en-US" w:eastAsia="en-US" w:bidi="ar-SA"/>
        </w:rPr>
        <w:t>3. Patient-</w:t>
      </w:r>
      <w:proofErr w:type="spellStart"/>
      <w:r>
        <w:rPr>
          <w:rFonts w:ascii="Arial" w:eastAsia="SimSun" w:hAnsi="Arial" w:cs="Arial"/>
          <w:b/>
          <w:bCs/>
          <w:lang w:val="en-US" w:eastAsia="en-US" w:bidi="ar-SA"/>
        </w:rPr>
        <w:t>Centred</w:t>
      </w:r>
      <w:proofErr w:type="spellEnd"/>
      <w:r>
        <w:rPr>
          <w:rFonts w:ascii="Arial" w:eastAsia="SimSun" w:hAnsi="Arial" w:cs="Arial"/>
          <w:b/>
          <w:bCs/>
          <w:lang w:val="en-US" w:eastAsia="en-US" w:bidi="ar-SA"/>
        </w:rPr>
        <w:t xml:space="preserve"> and Holistic Integrated Care</w:t>
      </w:r>
    </w:p>
    <w:p w14:paraId="502E34AF" w14:textId="6F27C976" w:rsidR="004A7295" w:rsidRDefault="00000000">
      <w:pPr>
        <w:widowControl/>
        <w:autoSpaceDE/>
        <w:autoSpaceDN/>
        <w:spacing w:line="360" w:lineRule="auto"/>
        <w:jc w:val="both"/>
        <w:rPr>
          <w:rFonts w:ascii="Arial" w:eastAsia="SimSun" w:hAnsi="Arial" w:cs="Arial"/>
          <w:lang w:val="en-US" w:eastAsia="en-US" w:bidi="ar-SA"/>
        </w:rPr>
      </w:pPr>
      <w:r>
        <w:rPr>
          <w:rFonts w:ascii="Arial" w:eastAsia="SimSun" w:hAnsi="Arial" w:cs="Arial"/>
          <w:lang w:val="en-US" w:eastAsia="en-US" w:bidi="ar-SA"/>
        </w:rPr>
        <w:t xml:space="preserve">The studies consistently illustrate that integrated care enhances relational and holistic support for older adults. MacInnes et al. (2020) demonstrate that coordinated home-based care fosters trust, continuity, and improved patient experience. Knowles et al. (2015) further show the importance of integrating mental and physical health services, particularly for patients with </w:t>
      </w:r>
      <w:r>
        <w:rPr>
          <w:rFonts w:ascii="Arial" w:eastAsia="SimSun" w:hAnsi="Arial" w:cs="Arial"/>
          <w:lang w:val="en-US" w:eastAsia="en-US" w:bidi="ar-SA"/>
        </w:rPr>
        <w:lastRenderedPageBreak/>
        <w:t>depression and long-term conditions.</w:t>
      </w:r>
      <w:r>
        <w:rPr>
          <w:rFonts w:ascii="Arial" w:eastAsia="SimSun" w:hAnsi="Arial" w:cs="Arial"/>
          <w:lang w:val="en-US" w:eastAsia="en-US" w:bidi="ar-SA"/>
        </w:rPr>
        <w:br/>
      </w:r>
    </w:p>
    <w:p w14:paraId="502E34B0" w14:textId="3DBCC79E" w:rsidR="004A7295" w:rsidRDefault="00000000">
      <w:pPr>
        <w:widowControl/>
        <w:autoSpaceDE/>
        <w:autoSpaceDN/>
        <w:spacing w:line="360" w:lineRule="auto"/>
        <w:jc w:val="both"/>
        <w:rPr>
          <w:rFonts w:ascii="Arial" w:eastAsia="SimSun" w:hAnsi="Arial" w:cs="Arial"/>
          <w:lang w:val="en-US" w:eastAsia="en-US" w:bidi="ar-SA"/>
        </w:rPr>
      </w:pPr>
      <w:r>
        <w:rPr>
          <w:rFonts w:ascii="Arial" w:eastAsia="SimSun" w:hAnsi="Arial" w:cs="Arial"/>
          <w:lang w:val="en-US" w:eastAsia="en-US" w:bidi="ar-SA"/>
        </w:rPr>
        <w:t xml:space="preserve"> </w:t>
      </w:r>
      <w:r w:rsidR="00AC45D3">
        <w:rPr>
          <w:rFonts w:ascii="Arial" w:eastAsia="SimSun" w:hAnsi="Arial" w:cs="Arial"/>
          <w:lang w:val="en-US" w:eastAsia="en-US" w:bidi="ar-SA"/>
        </w:rPr>
        <w:t>P</w:t>
      </w:r>
      <w:r>
        <w:rPr>
          <w:rFonts w:ascii="Arial" w:eastAsia="SimSun" w:hAnsi="Arial" w:cs="Arial"/>
          <w:lang w:val="en-US" w:eastAsia="en-US" w:bidi="ar-SA"/>
        </w:rPr>
        <w:t>atient-</w:t>
      </w:r>
      <w:proofErr w:type="spellStart"/>
      <w:r>
        <w:rPr>
          <w:rFonts w:ascii="Arial" w:eastAsia="SimSun" w:hAnsi="Arial" w:cs="Arial"/>
          <w:lang w:val="en-US" w:eastAsia="en-US" w:bidi="ar-SA"/>
        </w:rPr>
        <w:t>centred</w:t>
      </w:r>
      <w:proofErr w:type="spellEnd"/>
      <w:r>
        <w:rPr>
          <w:rFonts w:ascii="Arial" w:eastAsia="SimSun" w:hAnsi="Arial" w:cs="Arial"/>
          <w:lang w:val="en-US" w:eastAsia="en-US" w:bidi="ar-SA"/>
        </w:rPr>
        <w:t xml:space="preserve"> coordination remains difficult to sustain in pressured health systems. Staff turnover, </w:t>
      </w:r>
      <w:proofErr w:type="spellStart"/>
      <w:r>
        <w:rPr>
          <w:rFonts w:ascii="Arial" w:eastAsia="SimSun" w:hAnsi="Arial" w:cs="Arial"/>
          <w:lang w:val="en-US" w:eastAsia="en-US" w:bidi="ar-SA"/>
        </w:rPr>
        <w:t>organisational</w:t>
      </w:r>
      <w:proofErr w:type="spellEnd"/>
      <w:r>
        <w:rPr>
          <w:rFonts w:ascii="Arial" w:eastAsia="SimSun" w:hAnsi="Arial" w:cs="Arial"/>
          <w:lang w:val="en-US" w:eastAsia="en-US" w:bidi="ar-SA"/>
        </w:rPr>
        <w:t xml:space="preserve"> fragmentation, and inconsistent service availability undermine continuity and relational depth. Importantly, patient-</w:t>
      </w:r>
      <w:proofErr w:type="spellStart"/>
      <w:r>
        <w:rPr>
          <w:rFonts w:ascii="Arial" w:eastAsia="SimSun" w:hAnsi="Arial" w:cs="Arial"/>
          <w:lang w:val="en-US" w:eastAsia="en-US" w:bidi="ar-SA"/>
        </w:rPr>
        <w:t>centred</w:t>
      </w:r>
      <w:proofErr w:type="spellEnd"/>
      <w:r>
        <w:rPr>
          <w:rFonts w:ascii="Arial" w:eastAsia="SimSun" w:hAnsi="Arial" w:cs="Arial"/>
          <w:lang w:val="en-US" w:eastAsia="en-US" w:bidi="ar-SA"/>
        </w:rPr>
        <w:t xml:space="preserve"> gains tend to be reported in qualitative studies from better-resourced or pilot contexts; whether these benefits can be </w:t>
      </w:r>
      <w:proofErr w:type="spellStart"/>
      <w:r>
        <w:rPr>
          <w:rFonts w:ascii="Arial" w:eastAsia="SimSun" w:hAnsi="Arial" w:cs="Arial"/>
          <w:lang w:val="en-US" w:eastAsia="en-US" w:bidi="ar-SA"/>
        </w:rPr>
        <w:t>generalised</w:t>
      </w:r>
      <w:proofErr w:type="spellEnd"/>
      <w:r>
        <w:rPr>
          <w:rFonts w:ascii="Arial" w:eastAsia="SimSun" w:hAnsi="Arial" w:cs="Arial"/>
          <w:lang w:val="en-US" w:eastAsia="en-US" w:bidi="ar-SA"/>
        </w:rPr>
        <w:t xml:space="preserve"> to stretched localities where older adults face compounded social inequalities is unclear. The disproportionate representation of metropolitan case studies may therefore overstate the general availability of relational continuity across the UK.</w:t>
      </w:r>
    </w:p>
    <w:p w14:paraId="502E34B1" w14:textId="77777777" w:rsidR="004A7295" w:rsidRDefault="00000000">
      <w:pPr>
        <w:widowControl/>
        <w:autoSpaceDE/>
        <w:autoSpaceDN/>
        <w:spacing w:line="360" w:lineRule="auto"/>
        <w:jc w:val="both"/>
        <w:rPr>
          <w:rFonts w:ascii="Arial" w:eastAsia="SimSun" w:hAnsi="Arial" w:cs="Arial"/>
          <w:lang w:val="en-US" w:eastAsia="en-US" w:bidi="ar-SA"/>
        </w:rPr>
      </w:pPr>
      <w:r>
        <w:rPr>
          <w:rFonts w:ascii="Arial" w:eastAsia="SimSun" w:hAnsi="Arial" w:cs="Arial"/>
          <w:lang w:val="en-US" w:eastAsia="en-US" w:bidi="ar-SA"/>
        </w:rPr>
        <w:t xml:space="preserve"> </w:t>
      </w:r>
    </w:p>
    <w:p w14:paraId="502E34B2" w14:textId="77777777" w:rsidR="004A7295" w:rsidRDefault="00000000">
      <w:pPr>
        <w:widowControl/>
        <w:autoSpaceDE/>
        <w:autoSpaceDN/>
        <w:spacing w:line="360" w:lineRule="auto"/>
        <w:jc w:val="both"/>
        <w:rPr>
          <w:rFonts w:ascii="Arial" w:eastAsia="SimSun" w:hAnsi="Arial" w:cs="Arial"/>
          <w:b/>
          <w:bCs/>
          <w:lang w:val="en-US" w:eastAsia="en-US" w:bidi="ar-SA"/>
        </w:rPr>
      </w:pPr>
      <w:r>
        <w:rPr>
          <w:rFonts w:ascii="Arial" w:eastAsia="SimSun" w:hAnsi="Arial" w:cs="Arial"/>
          <w:b/>
          <w:bCs/>
          <w:lang w:val="en-US" w:eastAsia="en-US" w:bidi="ar-SA"/>
        </w:rPr>
        <w:t>4. Evidence of Outcomes, Evaluation Limitations, and Data Constraints</w:t>
      </w:r>
    </w:p>
    <w:p w14:paraId="502E34B3" w14:textId="77777777" w:rsidR="004A7295" w:rsidRDefault="00000000">
      <w:pPr>
        <w:widowControl/>
        <w:autoSpaceDE/>
        <w:autoSpaceDN/>
        <w:spacing w:line="360" w:lineRule="auto"/>
        <w:jc w:val="both"/>
        <w:rPr>
          <w:rFonts w:ascii="Arial" w:eastAsia="SimSun" w:hAnsi="Arial" w:cs="Arial"/>
          <w:lang w:val="en-US" w:eastAsia="en-US" w:bidi="ar-SA"/>
        </w:rPr>
      </w:pPr>
      <w:r>
        <w:rPr>
          <w:rFonts w:ascii="Arial" w:eastAsia="SimSun" w:hAnsi="Arial" w:cs="Arial"/>
          <w:lang w:val="en-US" w:eastAsia="en-US" w:bidi="ar-SA"/>
        </w:rPr>
        <w:t xml:space="preserve">Quantitative evaluations reveal cautious and often delayed benefits. Seamer et al. (2023) identified reductions in emergency admissions after three years, while Erens et al. (2020) found only gradual improvements among early integration pioneers. These findings align in demonstrating that integrated care does not produce immediate system efficiency but </w:t>
      </w:r>
      <w:proofErr w:type="gramStart"/>
      <w:r>
        <w:rPr>
          <w:rFonts w:ascii="Arial" w:eastAsia="SimSun" w:hAnsi="Arial" w:cs="Arial"/>
          <w:lang w:val="en-US" w:eastAsia="en-US" w:bidi="ar-SA"/>
        </w:rPr>
        <w:t>requires</w:t>
      </w:r>
      <w:proofErr w:type="gramEnd"/>
      <w:r>
        <w:rPr>
          <w:rFonts w:ascii="Arial" w:eastAsia="SimSun" w:hAnsi="Arial" w:cs="Arial"/>
          <w:lang w:val="en-US" w:eastAsia="en-US" w:bidi="ar-SA"/>
        </w:rPr>
        <w:t xml:space="preserve"> long-term investment before measurable impacts emerge.</w:t>
      </w:r>
      <w:r>
        <w:rPr>
          <w:rFonts w:ascii="Arial" w:eastAsia="SimSun" w:hAnsi="Arial" w:cs="Arial"/>
          <w:lang w:val="en-US" w:eastAsia="en-US" w:bidi="ar-SA"/>
        </w:rPr>
        <w:br/>
      </w:r>
    </w:p>
    <w:p w14:paraId="502E34B4" w14:textId="2AFE0C3A" w:rsidR="004A7295" w:rsidRDefault="00000000">
      <w:pPr>
        <w:widowControl/>
        <w:autoSpaceDE/>
        <w:autoSpaceDN/>
        <w:spacing w:line="360" w:lineRule="auto"/>
        <w:jc w:val="both"/>
        <w:rPr>
          <w:rFonts w:ascii="Arial" w:eastAsia="SimSun" w:hAnsi="Arial" w:cs="Arial"/>
          <w:lang w:val="en-US" w:eastAsia="en-US" w:bidi="ar-SA"/>
        </w:rPr>
      </w:pPr>
      <w:r>
        <w:rPr>
          <w:rFonts w:ascii="Arial" w:eastAsia="SimSun" w:hAnsi="Arial" w:cs="Arial"/>
          <w:lang w:val="en-US" w:eastAsia="en-US" w:bidi="ar-SA"/>
        </w:rPr>
        <w:t xml:space="preserve">Methodologically, the evidence base is fragmented: outcome measures vary widely (admissions, </w:t>
      </w:r>
      <w:proofErr w:type="spellStart"/>
      <w:r>
        <w:rPr>
          <w:rFonts w:ascii="Arial" w:eastAsia="SimSun" w:hAnsi="Arial" w:cs="Arial"/>
          <w:lang w:val="en-US" w:eastAsia="en-US" w:bidi="ar-SA"/>
        </w:rPr>
        <w:t>utilisation</w:t>
      </w:r>
      <w:proofErr w:type="spellEnd"/>
      <w:r>
        <w:rPr>
          <w:rFonts w:ascii="Arial" w:eastAsia="SimSun" w:hAnsi="Arial" w:cs="Arial"/>
          <w:lang w:val="en-US" w:eastAsia="en-US" w:bidi="ar-SA"/>
        </w:rPr>
        <w:t xml:space="preserve">, frailty, patient experience), and data quality limitations </w:t>
      </w:r>
      <w:r w:rsidR="00CA7383">
        <w:rPr>
          <w:rFonts w:ascii="Arial" w:eastAsia="SimSun" w:hAnsi="Arial" w:cs="Arial"/>
          <w:lang w:val="en-US" w:eastAsia="en-US" w:bidi="ar-SA"/>
        </w:rPr>
        <w:t xml:space="preserve">include </w:t>
      </w:r>
      <w:r>
        <w:rPr>
          <w:rFonts w:ascii="Arial" w:eastAsia="SimSun" w:hAnsi="Arial" w:cs="Arial"/>
          <w:lang w:val="en-US" w:eastAsia="en-US" w:bidi="ar-SA"/>
        </w:rPr>
        <w:t>poor IT interoperability, incomplete records</w:t>
      </w:r>
      <w:r w:rsidR="00CA7383">
        <w:rPr>
          <w:rFonts w:ascii="Arial" w:eastAsia="SimSun" w:hAnsi="Arial" w:cs="Arial"/>
          <w:lang w:val="en-US" w:eastAsia="en-US" w:bidi="ar-SA"/>
        </w:rPr>
        <w:t>,</w:t>
      </w:r>
      <w:r>
        <w:rPr>
          <w:rFonts w:ascii="Arial" w:eastAsia="SimSun" w:hAnsi="Arial" w:cs="Arial"/>
          <w:lang w:val="en-US" w:eastAsia="en-US" w:bidi="ar-SA"/>
        </w:rPr>
        <w:t xml:space="preserve"> </w:t>
      </w:r>
      <w:r w:rsidR="00CA7383">
        <w:rPr>
          <w:rFonts w:ascii="Arial" w:eastAsia="SimSun" w:hAnsi="Arial" w:cs="Arial"/>
          <w:lang w:val="en-US" w:eastAsia="en-US" w:bidi="ar-SA"/>
        </w:rPr>
        <w:t xml:space="preserve">which </w:t>
      </w:r>
      <w:r>
        <w:rPr>
          <w:rFonts w:ascii="Arial" w:eastAsia="SimSun" w:hAnsi="Arial" w:cs="Arial"/>
          <w:lang w:val="en-US" w:eastAsia="en-US" w:bidi="ar-SA"/>
        </w:rPr>
        <w:t xml:space="preserve">hamper evaluation accuracy (Billings et al., 2019; Robertshaw and Cross, 2018). Short follow-up periods and reliance on local </w:t>
      </w:r>
      <w:proofErr w:type="gramStart"/>
      <w:r>
        <w:rPr>
          <w:rFonts w:ascii="Arial" w:eastAsia="SimSun" w:hAnsi="Arial" w:cs="Arial"/>
          <w:lang w:val="en-US" w:eastAsia="en-US" w:bidi="ar-SA"/>
        </w:rPr>
        <w:t>pilots</w:t>
      </w:r>
      <w:proofErr w:type="gramEnd"/>
      <w:r>
        <w:rPr>
          <w:rFonts w:ascii="Arial" w:eastAsia="SimSun" w:hAnsi="Arial" w:cs="Arial"/>
          <w:lang w:val="en-US" w:eastAsia="en-US" w:bidi="ar-SA"/>
        </w:rPr>
        <w:t xml:space="preserve"> further limit </w:t>
      </w:r>
      <w:proofErr w:type="spellStart"/>
      <w:r>
        <w:rPr>
          <w:rFonts w:ascii="Arial" w:eastAsia="SimSun" w:hAnsi="Arial" w:cs="Arial"/>
          <w:lang w:val="en-US" w:eastAsia="en-US" w:bidi="ar-SA"/>
        </w:rPr>
        <w:t>generalisability</w:t>
      </w:r>
      <w:proofErr w:type="spellEnd"/>
      <w:r>
        <w:rPr>
          <w:rFonts w:ascii="Arial" w:eastAsia="SimSun" w:hAnsi="Arial" w:cs="Arial"/>
          <w:lang w:val="en-US" w:eastAsia="en-US" w:bidi="ar-SA"/>
        </w:rPr>
        <w:t xml:space="preserve">. The dominance of London- and Leeds-based journals means that studies with stronger infrastructure for data integration are over-represented, potentially masking </w:t>
      </w:r>
      <w:proofErr w:type="gramStart"/>
      <w:r>
        <w:rPr>
          <w:rFonts w:ascii="Arial" w:eastAsia="SimSun" w:hAnsi="Arial" w:cs="Arial"/>
          <w:lang w:val="en-US" w:eastAsia="en-US" w:bidi="ar-SA"/>
        </w:rPr>
        <w:t>the far</w:t>
      </w:r>
      <w:proofErr w:type="gramEnd"/>
      <w:r>
        <w:rPr>
          <w:rFonts w:ascii="Arial" w:eastAsia="SimSun" w:hAnsi="Arial" w:cs="Arial"/>
          <w:lang w:val="en-US" w:eastAsia="en-US" w:bidi="ar-SA"/>
        </w:rPr>
        <w:t xml:space="preserve"> weaker data capabilities in many rural and deprived regions. Thus, while outcomes appear modestly positive, the evidence remains insufficiently mature to support universal claims of cost or </w:t>
      </w:r>
      <w:proofErr w:type="spellStart"/>
      <w:r>
        <w:rPr>
          <w:rFonts w:ascii="Arial" w:eastAsia="SimSun" w:hAnsi="Arial" w:cs="Arial"/>
          <w:lang w:val="en-US" w:eastAsia="en-US" w:bidi="ar-SA"/>
        </w:rPr>
        <w:t>utilisation</w:t>
      </w:r>
      <w:proofErr w:type="spellEnd"/>
      <w:r>
        <w:rPr>
          <w:rFonts w:ascii="Arial" w:eastAsia="SimSun" w:hAnsi="Arial" w:cs="Arial"/>
          <w:lang w:val="en-US" w:eastAsia="en-US" w:bidi="ar-SA"/>
        </w:rPr>
        <w:t xml:space="preserve"> benefits.</w:t>
      </w:r>
    </w:p>
    <w:p w14:paraId="502E34B5" w14:textId="77777777" w:rsidR="004A7295" w:rsidRDefault="00000000">
      <w:pPr>
        <w:widowControl/>
        <w:autoSpaceDE/>
        <w:autoSpaceDN/>
        <w:spacing w:line="360" w:lineRule="auto"/>
        <w:jc w:val="both"/>
        <w:rPr>
          <w:rFonts w:ascii="Arial" w:eastAsia="SimSun" w:hAnsi="Arial" w:cs="Arial"/>
          <w:lang w:val="en-US" w:eastAsia="en-US" w:bidi="ar-SA"/>
        </w:rPr>
      </w:pPr>
      <w:r>
        <w:rPr>
          <w:rFonts w:ascii="Arial" w:eastAsia="SimSun" w:hAnsi="Arial" w:cs="Arial"/>
          <w:lang w:val="en-US" w:eastAsia="en-US" w:bidi="ar-SA"/>
        </w:rPr>
        <w:t xml:space="preserve"> </w:t>
      </w:r>
    </w:p>
    <w:p w14:paraId="502E34B8" w14:textId="77777777" w:rsidR="004A7295" w:rsidRDefault="00000000">
      <w:pPr>
        <w:widowControl/>
        <w:autoSpaceDE/>
        <w:autoSpaceDN/>
        <w:spacing w:line="360" w:lineRule="auto"/>
        <w:jc w:val="both"/>
        <w:rPr>
          <w:rFonts w:ascii="Arial" w:eastAsia="SimSun" w:hAnsi="Arial" w:cs="Arial"/>
          <w:b/>
          <w:bCs/>
          <w:lang w:val="en-US" w:eastAsia="en-US" w:bidi="ar-SA"/>
        </w:rPr>
      </w:pPr>
      <w:r>
        <w:rPr>
          <w:rFonts w:ascii="Arial" w:eastAsia="SimSun" w:hAnsi="Arial" w:cs="Arial"/>
          <w:b/>
          <w:bCs/>
          <w:lang w:val="en-US" w:eastAsia="en-US" w:bidi="ar-SA"/>
        </w:rPr>
        <w:t>5. Equity, Socio-Demographic Variation, and Place-Based Integration</w:t>
      </w:r>
    </w:p>
    <w:p w14:paraId="502E34B9" w14:textId="67E29B4D" w:rsidR="004A7295" w:rsidRDefault="00000000">
      <w:pPr>
        <w:widowControl/>
        <w:autoSpaceDE/>
        <w:autoSpaceDN/>
        <w:spacing w:line="360" w:lineRule="auto"/>
        <w:jc w:val="both"/>
        <w:rPr>
          <w:rFonts w:ascii="Arial" w:eastAsia="SimSun" w:hAnsi="Arial" w:cs="Arial"/>
          <w:lang w:val="en-US" w:eastAsia="en-US" w:bidi="ar-SA"/>
        </w:rPr>
      </w:pPr>
      <w:r>
        <w:rPr>
          <w:rFonts w:ascii="Arial" w:eastAsia="SimSun" w:hAnsi="Arial" w:cs="Arial"/>
          <w:lang w:val="en-US" w:eastAsia="en-US" w:bidi="ar-SA"/>
        </w:rPr>
        <w:t xml:space="preserve">Equity is an emerging but critically underdeveloped dimension of integrated care research. Goddard (2023) highlights </w:t>
      </w:r>
      <w:r w:rsidR="0036120D">
        <w:rPr>
          <w:rFonts w:ascii="Arial" w:eastAsia="SimSun" w:hAnsi="Arial" w:cs="Arial"/>
          <w:lang w:val="en-US" w:eastAsia="en-US" w:bidi="ar-SA"/>
        </w:rPr>
        <w:t xml:space="preserve">the </w:t>
      </w:r>
      <w:r>
        <w:rPr>
          <w:rFonts w:ascii="Arial" w:eastAsia="SimSun" w:hAnsi="Arial" w:cs="Arial"/>
          <w:lang w:val="en-US" w:eastAsia="en-US" w:bidi="ar-SA"/>
        </w:rPr>
        <w:t>responsibility of ICSs to tackle health inequalities, yet few empirical studies disaggregate outcomes by deprivation, ethnicity, or rurality. Khan et al. (2024) show that implementation effectiveness varies significantly with local socioeconomic conditions and professional capacity, suggesting that IC may benefit more advantaged populations first.</w:t>
      </w:r>
      <w:r>
        <w:rPr>
          <w:rFonts w:ascii="Arial" w:eastAsia="SimSun" w:hAnsi="Arial" w:cs="Arial"/>
          <w:lang w:val="en-US" w:eastAsia="en-US" w:bidi="ar-SA"/>
        </w:rPr>
        <w:br/>
      </w:r>
    </w:p>
    <w:p w14:paraId="502E34BA" w14:textId="6FD83757" w:rsidR="004A7295" w:rsidRDefault="00000000">
      <w:pPr>
        <w:widowControl/>
        <w:autoSpaceDE/>
        <w:autoSpaceDN/>
        <w:spacing w:line="360" w:lineRule="auto"/>
        <w:jc w:val="both"/>
        <w:rPr>
          <w:rFonts w:ascii="Arial" w:eastAsia="SimSun" w:hAnsi="Arial" w:cs="Arial"/>
          <w:lang w:val="en-US" w:eastAsia="en-US" w:bidi="ar-SA"/>
        </w:rPr>
      </w:pPr>
      <w:r>
        <w:rPr>
          <w:rFonts w:ascii="Arial" w:eastAsia="SimSun" w:hAnsi="Arial" w:cs="Arial"/>
          <w:lang w:val="en-US" w:eastAsia="en-US" w:bidi="ar-SA"/>
        </w:rPr>
        <w:t xml:space="preserve">The predominance of research published in metropolitan hubs means that evidence disproportionately reflects urban contexts, </w:t>
      </w:r>
      <w:r w:rsidR="0036120D">
        <w:rPr>
          <w:rFonts w:ascii="Arial" w:eastAsia="SimSun" w:hAnsi="Arial" w:cs="Arial"/>
          <w:lang w:val="en-US" w:eastAsia="en-US" w:bidi="ar-SA"/>
        </w:rPr>
        <w:t xml:space="preserve">and </w:t>
      </w:r>
      <w:r>
        <w:rPr>
          <w:rFonts w:ascii="Arial" w:eastAsia="SimSun" w:hAnsi="Arial" w:cs="Arial"/>
          <w:lang w:val="en-US" w:eastAsia="en-US" w:bidi="ar-SA"/>
        </w:rPr>
        <w:t xml:space="preserve">the experiences of older adults in </w:t>
      </w:r>
      <w:r>
        <w:rPr>
          <w:rFonts w:ascii="Arial" w:eastAsia="SimSun" w:hAnsi="Arial" w:cs="Arial"/>
          <w:lang w:val="en-US" w:eastAsia="en-US" w:bidi="ar-SA"/>
        </w:rPr>
        <w:lastRenderedPageBreak/>
        <w:t>socioeconomically disadvantaged, rural or coastal areas</w:t>
      </w:r>
      <w:r w:rsidR="0036120D">
        <w:rPr>
          <w:rFonts w:ascii="Arial" w:eastAsia="SimSun" w:hAnsi="Arial" w:cs="Arial"/>
          <w:lang w:val="en-US" w:eastAsia="en-US" w:bidi="ar-SA"/>
        </w:rPr>
        <w:t>,</w:t>
      </w:r>
      <w:r>
        <w:rPr>
          <w:rFonts w:ascii="Arial" w:eastAsia="SimSun" w:hAnsi="Arial" w:cs="Arial"/>
          <w:lang w:val="en-US" w:eastAsia="en-US" w:bidi="ar-SA"/>
        </w:rPr>
        <w:t xml:space="preserve"> who often face the highest burden of multimorbidity and service fragmentation</w:t>
      </w:r>
      <w:r w:rsidR="0036120D">
        <w:rPr>
          <w:rFonts w:ascii="Arial" w:eastAsia="SimSun" w:hAnsi="Arial" w:cs="Arial"/>
          <w:lang w:val="en-US" w:eastAsia="en-US" w:bidi="ar-SA"/>
        </w:rPr>
        <w:t>,</w:t>
      </w:r>
      <w:r>
        <w:rPr>
          <w:rFonts w:ascii="Arial" w:eastAsia="SimSun" w:hAnsi="Arial" w:cs="Arial"/>
          <w:lang w:val="en-US" w:eastAsia="en-US" w:bidi="ar-SA"/>
        </w:rPr>
        <w:t xml:space="preserve"> remain underrepresented. This imbalance risks shaping national policy around contexts that do not reflect the UK’s full demographic complexity, thereby widening rather than narrowing inequalities.</w:t>
      </w:r>
    </w:p>
    <w:p w14:paraId="502E34BB" w14:textId="77777777" w:rsidR="004A7295" w:rsidRDefault="00000000">
      <w:pPr>
        <w:widowControl/>
        <w:autoSpaceDE/>
        <w:autoSpaceDN/>
        <w:spacing w:line="360" w:lineRule="auto"/>
        <w:jc w:val="both"/>
        <w:rPr>
          <w:rFonts w:ascii="Arial" w:eastAsia="SimSun" w:hAnsi="Arial" w:cs="Arial"/>
          <w:lang w:val="en-US" w:eastAsia="en-US" w:bidi="ar-SA"/>
        </w:rPr>
      </w:pPr>
      <w:r>
        <w:rPr>
          <w:rFonts w:ascii="Arial" w:eastAsia="SimSun" w:hAnsi="Arial" w:cs="Arial"/>
          <w:lang w:val="en-US" w:eastAsia="en-US" w:bidi="ar-SA"/>
        </w:rPr>
        <w:t xml:space="preserve"> </w:t>
      </w:r>
    </w:p>
    <w:p w14:paraId="502E34BC" w14:textId="77777777" w:rsidR="004A7295" w:rsidRDefault="00000000">
      <w:pPr>
        <w:widowControl/>
        <w:autoSpaceDE/>
        <w:autoSpaceDN/>
        <w:spacing w:line="360" w:lineRule="auto"/>
        <w:jc w:val="both"/>
        <w:rPr>
          <w:rFonts w:ascii="Arial" w:eastAsia="SimSun" w:hAnsi="Arial" w:cs="Arial"/>
          <w:b/>
          <w:bCs/>
          <w:lang w:val="en-US" w:eastAsia="en-US" w:bidi="ar-SA"/>
        </w:rPr>
      </w:pPr>
      <w:r>
        <w:rPr>
          <w:rFonts w:ascii="Arial" w:eastAsia="SimSun" w:hAnsi="Arial" w:cs="Arial"/>
          <w:b/>
          <w:bCs/>
          <w:lang w:val="en-US" w:eastAsia="en-US" w:bidi="ar-SA"/>
        </w:rPr>
        <w:t>5.4 Recommendations</w:t>
      </w:r>
    </w:p>
    <w:p w14:paraId="502E34BD" w14:textId="77777777" w:rsidR="004A7295" w:rsidRDefault="00000000">
      <w:pPr>
        <w:widowControl/>
        <w:autoSpaceDE/>
        <w:autoSpaceDN/>
        <w:spacing w:line="360" w:lineRule="auto"/>
        <w:jc w:val="both"/>
        <w:rPr>
          <w:rFonts w:ascii="Arial" w:eastAsia="SimSun" w:hAnsi="Arial" w:cs="Arial"/>
          <w:lang w:val="en-US" w:eastAsia="en-US" w:bidi="ar-SA"/>
        </w:rPr>
      </w:pPr>
      <w:r>
        <w:rPr>
          <w:rFonts w:ascii="Arial" w:eastAsia="SimSun" w:hAnsi="Arial" w:cs="Arial"/>
          <w:lang w:val="en-US" w:eastAsia="en-US" w:bidi="ar-SA"/>
        </w:rPr>
        <w:t>Based on the evaluation of evidence, the following recommendations are proposed to enhance integrated care for older adults in the UK:</w:t>
      </w:r>
    </w:p>
    <w:p w14:paraId="723DF645" w14:textId="77777777" w:rsidR="004A7295" w:rsidRDefault="00000000">
      <w:pPr>
        <w:widowControl/>
        <w:autoSpaceDE/>
        <w:autoSpaceDN/>
        <w:spacing w:line="360" w:lineRule="auto"/>
        <w:jc w:val="both"/>
        <w:rPr>
          <w:rFonts w:ascii="Arial" w:eastAsia="SimSun" w:hAnsi="Arial" w:cs="Arial"/>
          <w:b/>
          <w:bCs/>
          <w:lang w:val="en-US" w:eastAsia="en-US" w:bidi="ar-SA"/>
        </w:rPr>
      </w:pPr>
      <w:r>
        <w:rPr>
          <w:rFonts w:ascii="Arial" w:eastAsia="SimSun" w:hAnsi="Arial" w:cs="Arial"/>
          <w:b/>
          <w:bCs/>
          <w:lang w:val="en-US" w:eastAsia="en-US" w:bidi="ar-SA"/>
        </w:rPr>
        <w:t>1. Strengthen Funding, Governance, and Equity</w:t>
      </w:r>
    </w:p>
    <w:p w14:paraId="141E25A1" w14:textId="77777777" w:rsidR="004A7295" w:rsidRDefault="00000000">
      <w:pPr>
        <w:widowControl/>
        <w:autoSpaceDE/>
        <w:autoSpaceDN/>
        <w:spacing w:line="360" w:lineRule="auto"/>
        <w:jc w:val="both"/>
        <w:rPr>
          <w:rFonts w:ascii="Arial" w:eastAsia="SimSun" w:hAnsi="Arial" w:cs="Arial"/>
          <w:lang w:val="en-US" w:eastAsia="en-US" w:bidi="ar-SA"/>
        </w:rPr>
      </w:pPr>
      <w:r>
        <w:rPr>
          <w:rFonts w:ascii="Arial" w:eastAsia="SimSun" w:hAnsi="Arial" w:cs="Arial"/>
          <w:lang w:val="en-US" w:eastAsia="en-US" w:bidi="ar-SA"/>
        </w:rPr>
        <w:t>Implement multi-year funding agreements for Integrated Care Systems (ICSs) with clear governance structures and integrate equity-focused KPIs. This addresses findings from System Readiness and Equity and Population-Based Integration, ensuring financial stability, accountability, and monitoring of disparities in deprived or diverse populations (Khan et al., 2024; Billings et al., 2019; Goddard, 2023).</w:t>
      </w:r>
    </w:p>
    <w:p w14:paraId="75FB92DE" w14:textId="77777777" w:rsidR="004A7295" w:rsidRDefault="004A7295">
      <w:pPr>
        <w:widowControl/>
        <w:autoSpaceDE/>
        <w:autoSpaceDN/>
        <w:spacing w:line="360" w:lineRule="auto"/>
        <w:jc w:val="both"/>
        <w:rPr>
          <w:rFonts w:ascii="Arial" w:eastAsia="SimSun" w:hAnsi="Arial" w:cs="Arial"/>
          <w:lang w:val="en-US" w:eastAsia="en-US" w:bidi="ar-SA"/>
        </w:rPr>
      </w:pPr>
    </w:p>
    <w:p w14:paraId="375E1D2A" w14:textId="77777777" w:rsidR="004A7295" w:rsidRDefault="00000000">
      <w:pPr>
        <w:widowControl/>
        <w:autoSpaceDE/>
        <w:autoSpaceDN/>
        <w:spacing w:line="360" w:lineRule="auto"/>
        <w:jc w:val="both"/>
        <w:rPr>
          <w:rFonts w:ascii="Arial" w:eastAsia="SimSun" w:hAnsi="Arial" w:cs="Arial"/>
          <w:b/>
          <w:bCs/>
          <w:lang w:val="en-US" w:eastAsia="en-US" w:bidi="ar-SA"/>
        </w:rPr>
      </w:pPr>
      <w:r>
        <w:rPr>
          <w:rFonts w:ascii="Arial" w:eastAsia="SimSun" w:hAnsi="Arial" w:cs="Arial"/>
          <w:b/>
          <w:bCs/>
          <w:lang w:val="en-US" w:eastAsia="en-US" w:bidi="ar-SA"/>
        </w:rPr>
        <w:t>2. Develop Workforce Capacity and Skills</w:t>
      </w:r>
    </w:p>
    <w:p w14:paraId="4069B369" w14:textId="77777777" w:rsidR="004A7295" w:rsidRDefault="00000000">
      <w:pPr>
        <w:widowControl/>
        <w:autoSpaceDE/>
        <w:autoSpaceDN/>
        <w:spacing w:line="360" w:lineRule="auto"/>
        <w:jc w:val="both"/>
        <w:rPr>
          <w:rFonts w:ascii="Arial" w:eastAsia="SimSun" w:hAnsi="Arial" w:cs="Arial"/>
          <w:lang w:val="en-US" w:eastAsia="en-US" w:bidi="ar-SA"/>
        </w:rPr>
      </w:pPr>
      <w:r>
        <w:rPr>
          <w:rFonts w:ascii="Arial" w:eastAsia="SimSun" w:hAnsi="Arial" w:cs="Arial"/>
          <w:lang w:val="en-US" w:eastAsia="en-US" w:bidi="ar-SA"/>
        </w:rPr>
        <w:t>Establish mandatory cross-sector training modules on frailty management, interdisciplinary decision-making, and secure data sharing. This responds to workforce barriers such as role ambiguity, IT limitations, and skill gaps highlighted in Workforce Capability and Transformation (Aiello &amp; Mellor, 2019; Robertshaw &amp; Cross, 2018).</w:t>
      </w:r>
    </w:p>
    <w:p w14:paraId="5FAE8D3C" w14:textId="77777777" w:rsidR="004A7295" w:rsidRDefault="004A7295">
      <w:pPr>
        <w:widowControl/>
        <w:autoSpaceDE/>
        <w:autoSpaceDN/>
        <w:spacing w:line="360" w:lineRule="auto"/>
        <w:jc w:val="both"/>
        <w:rPr>
          <w:rFonts w:ascii="Arial" w:eastAsia="SimSun" w:hAnsi="Arial" w:cs="Arial"/>
          <w:lang w:val="en-US" w:eastAsia="en-US" w:bidi="ar-SA"/>
        </w:rPr>
      </w:pPr>
    </w:p>
    <w:p w14:paraId="39A2EE28" w14:textId="77777777" w:rsidR="004A7295" w:rsidRDefault="00000000">
      <w:pPr>
        <w:widowControl/>
        <w:autoSpaceDE/>
        <w:autoSpaceDN/>
        <w:spacing w:line="360" w:lineRule="auto"/>
        <w:jc w:val="both"/>
        <w:rPr>
          <w:rFonts w:ascii="Arial" w:eastAsia="SimSun" w:hAnsi="Arial" w:cs="Arial"/>
          <w:b/>
          <w:bCs/>
          <w:lang w:val="en-US" w:eastAsia="en-US" w:bidi="ar-SA"/>
        </w:rPr>
      </w:pPr>
      <w:r>
        <w:rPr>
          <w:rFonts w:ascii="Arial" w:eastAsia="SimSun" w:hAnsi="Arial" w:cs="Arial"/>
          <w:b/>
          <w:bCs/>
          <w:lang w:val="en-US" w:eastAsia="en-US" w:bidi="ar-SA"/>
        </w:rPr>
        <w:t>3. Enhance Data Infrastructure and Evaluation</w:t>
      </w:r>
    </w:p>
    <w:p w14:paraId="64F4E160" w14:textId="77777777" w:rsidR="004A7295" w:rsidRDefault="00000000">
      <w:pPr>
        <w:widowControl/>
        <w:autoSpaceDE/>
        <w:autoSpaceDN/>
        <w:spacing w:line="360" w:lineRule="auto"/>
        <w:jc w:val="both"/>
        <w:rPr>
          <w:rFonts w:ascii="Arial" w:eastAsia="SimSun" w:hAnsi="Arial" w:cs="Arial"/>
          <w:lang w:val="en-US" w:eastAsia="en-US" w:bidi="ar-SA"/>
        </w:rPr>
      </w:pPr>
      <w:r>
        <w:rPr>
          <w:rFonts w:ascii="Arial" w:eastAsia="SimSun" w:hAnsi="Arial" w:cs="Arial"/>
          <w:lang w:val="en-US" w:eastAsia="en-US" w:bidi="ar-SA"/>
        </w:rPr>
        <w:t xml:space="preserve">Implement interoperable electronic health and social care records with </w:t>
      </w:r>
      <w:proofErr w:type="spellStart"/>
      <w:r>
        <w:rPr>
          <w:rFonts w:ascii="Arial" w:eastAsia="SimSun" w:hAnsi="Arial" w:cs="Arial"/>
          <w:lang w:val="en-US" w:eastAsia="en-US" w:bidi="ar-SA"/>
        </w:rPr>
        <w:t>standardised</w:t>
      </w:r>
      <w:proofErr w:type="spellEnd"/>
      <w:r>
        <w:rPr>
          <w:rFonts w:ascii="Arial" w:eastAsia="SimSun" w:hAnsi="Arial" w:cs="Arial"/>
          <w:lang w:val="en-US" w:eastAsia="en-US" w:bidi="ar-SA"/>
        </w:rPr>
        <w:t xml:space="preserve"> protocols and real-time sharing, coupled with national standards for long-term outcome measurement. This addresses fragmented information systems and inconsistent metrics identified in System Readiness and Measured Outcomes, enabling robust monitoring and evaluation (Billings et al., 2019; Seamer et al., 2023).</w:t>
      </w:r>
    </w:p>
    <w:p w14:paraId="7995C428" w14:textId="77777777" w:rsidR="004A7295" w:rsidRDefault="004A7295">
      <w:pPr>
        <w:widowControl/>
        <w:autoSpaceDE/>
        <w:autoSpaceDN/>
        <w:spacing w:line="360" w:lineRule="auto"/>
        <w:jc w:val="both"/>
        <w:rPr>
          <w:rFonts w:ascii="Arial" w:eastAsia="SimSun" w:hAnsi="Arial" w:cs="Arial"/>
          <w:lang w:val="en-US" w:eastAsia="en-US" w:bidi="ar-SA"/>
        </w:rPr>
      </w:pPr>
    </w:p>
    <w:p w14:paraId="0ED99377" w14:textId="77777777" w:rsidR="004A7295" w:rsidRDefault="00000000">
      <w:pPr>
        <w:widowControl/>
        <w:autoSpaceDE/>
        <w:autoSpaceDN/>
        <w:spacing w:line="360" w:lineRule="auto"/>
        <w:jc w:val="both"/>
        <w:rPr>
          <w:rFonts w:ascii="Arial" w:eastAsia="SimSun" w:hAnsi="Arial" w:cs="Arial"/>
          <w:b/>
          <w:bCs/>
          <w:lang w:val="en-US" w:eastAsia="en-US" w:bidi="ar-SA"/>
        </w:rPr>
      </w:pPr>
      <w:r>
        <w:rPr>
          <w:rFonts w:ascii="Arial" w:eastAsia="SimSun" w:hAnsi="Arial" w:cs="Arial"/>
          <w:b/>
          <w:bCs/>
          <w:lang w:val="en-US" w:eastAsia="en-US" w:bidi="ar-SA"/>
        </w:rPr>
        <w:t>4. Strengthen Patient and Carer Involvement</w:t>
      </w:r>
    </w:p>
    <w:p w14:paraId="3406D1FA" w14:textId="77777777" w:rsidR="004A7295" w:rsidRDefault="00000000">
      <w:pPr>
        <w:widowControl/>
        <w:autoSpaceDE/>
        <w:autoSpaceDN/>
        <w:spacing w:line="360" w:lineRule="auto"/>
        <w:jc w:val="both"/>
        <w:rPr>
          <w:rFonts w:ascii="Arial" w:eastAsia="SimSun" w:hAnsi="Arial" w:cs="Arial"/>
          <w:lang w:val="en-US" w:eastAsia="en-US" w:bidi="ar-SA"/>
        </w:rPr>
      </w:pPr>
      <w:r>
        <w:rPr>
          <w:rFonts w:ascii="Arial" w:eastAsia="SimSun" w:hAnsi="Arial" w:cs="Arial"/>
          <w:lang w:val="en-US" w:eastAsia="en-US" w:bidi="ar-SA"/>
        </w:rPr>
        <w:t>Establish co-design panels with older adults and caregivers to develop care plans, service pathways, and evaluation frameworks, including structured feedback loops. This supports relational coordination and continuity highlighted in Patient-</w:t>
      </w:r>
      <w:proofErr w:type="spellStart"/>
      <w:r>
        <w:rPr>
          <w:rFonts w:ascii="Arial" w:eastAsia="SimSun" w:hAnsi="Arial" w:cs="Arial"/>
          <w:lang w:val="en-US" w:eastAsia="en-US" w:bidi="ar-SA"/>
        </w:rPr>
        <w:t>Centred</w:t>
      </w:r>
      <w:proofErr w:type="spellEnd"/>
      <w:r>
        <w:rPr>
          <w:rFonts w:ascii="Arial" w:eastAsia="SimSun" w:hAnsi="Arial" w:cs="Arial"/>
          <w:lang w:val="en-US" w:eastAsia="en-US" w:bidi="ar-SA"/>
        </w:rPr>
        <w:t xml:space="preserve"> Coordinated Care, ensuring services align with patient priorities (MacInnes et al., 2020; Knowles et al., 2015).</w:t>
      </w:r>
    </w:p>
    <w:p w14:paraId="6F3D7AD2" w14:textId="77777777" w:rsidR="004A7295" w:rsidRDefault="004A7295">
      <w:pPr>
        <w:widowControl/>
        <w:autoSpaceDE/>
        <w:autoSpaceDN/>
        <w:spacing w:line="360" w:lineRule="auto"/>
        <w:jc w:val="both"/>
        <w:rPr>
          <w:rFonts w:ascii="Arial" w:eastAsia="SimSun" w:hAnsi="Arial" w:cs="Arial"/>
          <w:lang w:val="en-US" w:eastAsia="en-US" w:bidi="ar-SA"/>
        </w:rPr>
      </w:pPr>
    </w:p>
    <w:p w14:paraId="60BDFF03" w14:textId="77777777" w:rsidR="004A7295" w:rsidRDefault="00000000">
      <w:pPr>
        <w:widowControl/>
        <w:autoSpaceDE/>
        <w:autoSpaceDN/>
        <w:spacing w:line="360" w:lineRule="auto"/>
        <w:jc w:val="both"/>
        <w:rPr>
          <w:rFonts w:ascii="Arial" w:eastAsia="SimSun" w:hAnsi="Arial" w:cs="Arial"/>
          <w:b/>
          <w:bCs/>
          <w:lang w:val="en-US" w:eastAsia="en-US" w:bidi="ar-SA"/>
        </w:rPr>
      </w:pPr>
      <w:r>
        <w:rPr>
          <w:rFonts w:ascii="Arial" w:eastAsia="SimSun" w:hAnsi="Arial" w:cs="Arial"/>
          <w:b/>
          <w:bCs/>
          <w:lang w:val="en-US" w:eastAsia="en-US" w:bidi="ar-SA"/>
        </w:rPr>
        <w:t>5. Expand Evidence-Based Preventive and Community-Based Models</w:t>
      </w:r>
    </w:p>
    <w:p w14:paraId="10486079" w14:textId="77777777" w:rsidR="004A7295" w:rsidRDefault="00000000">
      <w:pPr>
        <w:widowControl/>
        <w:autoSpaceDE/>
        <w:autoSpaceDN/>
        <w:spacing w:line="360" w:lineRule="auto"/>
        <w:jc w:val="both"/>
        <w:rPr>
          <w:rFonts w:ascii="Arial" w:eastAsia="SimSun" w:hAnsi="Arial" w:cs="Arial"/>
          <w:lang w:val="en-US" w:eastAsia="en-US" w:bidi="ar-SA"/>
        </w:rPr>
      </w:pPr>
      <w:r>
        <w:rPr>
          <w:rFonts w:ascii="Arial" w:eastAsia="SimSun" w:hAnsi="Arial" w:cs="Arial"/>
          <w:lang w:val="en-US" w:eastAsia="en-US" w:bidi="ar-SA"/>
        </w:rPr>
        <w:t xml:space="preserve">Scale frailty hubs, care coordinator </w:t>
      </w:r>
      <w:proofErr w:type="spellStart"/>
      <w:r>
        <w:rPr>
          <w:rFonts w:ascii="Arial" w:eastAsia="SimSun" w:hAnsi="Arial" w:cs="Arial"/>
          <w:lang w:val="en-US" w:eastAsia="en-US" w:bidi="ar-SA"/>
        </w:rPr>
        <w:t>programmes</w:t>
      </w:r>
      <w:proofErr w:type="spellEnd"/>
      <w:r>
        <w:rPr>
          <w:rFonts w:ascii="Arial" w:eastAsia="SimSun" w:hAnsi="Arial" w:cs="Arial"/>
          <w:lang w:val="en-US" w:eastAsia="en-US" w:bidi="ar-SA"/>
        </w:rPr>
        <w:t xml:space="preserve">, and </w:t>
      </w:r>
      <w:proofErr w:type="gramStart"/>
      <w:r>
        <w:rPr>
          <w:rFonts w:ascii="Arial" w:eastAsia="SimSun" w:hAnsi="Arial" w:cs="Arial"/>
          <w:lang w:val="en-US" w:eastAsia="en-US" w:bidi="ar-SA"/>
        </w:rPr>
        <w:t>home-based early</w:t>
      </w:r>
      <w:proofErr w:type="gramEnd"/>
      <w:r>
        <w:rPr>
          <w:rFonts w:ascii="Arial" w:eastAsia="SimSun" w:hAnsi="Arial" w:cs="Arial"/>
          <w:lang w:val="en-US" w:eastAsia="en-US" w:bidi="ar-SA"/>
        </w:rPr>
        <w:t xml:space="preserve"> interventions for older adults with multimorbidity. Evidence from Patient-</w:t>
      </w:r>
      <w:proofErr w:type="spellStart"/>
      <w:r>
        <w:rPr>
          <w:rFonts w:ascii="Arial" w:eastAsia="SimSun" w:hAnsi="Arial" w:cs="Arial"/>
          <w:lang w:val="en-US" w:eastAsia="en-US" w:bidi="ar-SA"/>
        </w:rPr>
        <w:t>Centred</w:t>
      </w:r>
      <w:proofErr w:type="spellEnd"/>
      <w:r>
        <w:rPr>
          <w:rFonts w:ascii="Arial" w:eastAsia="SimSun" w:hAnsi="Arial" w:cs="Arial"/>
          <w:lang w:val="en-US" w:eastAsia="en-US" w:bidi="ar-SA"/>
        </w:rPr>
        <w:t xml:space="preserve"> Coordinated Care and Measured </w:t>
      </w:r>
      <w:r>
        <w:rPr>
          <w:rFonts w:ascii="Arial" w:eastAsia="SimSun" w:hAnsi="Arial" w:cs="Arial"/>
          <w:lang w:val="en-US" w:eastAsia="en-US" w:bidi="ar-SA"/>
        </w:rPr>
        <w:lastRenderedPageBreak/>
        <w:t>Outcomes shows these models improve continuity, reduce hospital admissions, and support holistic, person-</w:t>
      </w:r>
      <w:proofErr w:type="spellStart"/>
      <w:r>
        <w:rPr>
          <w:rFonts w:ascii="Arial" w:eastAsia="SimSun" w:hAnsi="Arial" w:cs="Arial"/>
          <w:lang w:val="en-US" w:eastAsia="en-US" w:bidi="ar-SA"/>
        </w:rPr>
        <w:t>centred</w:t>
      </w:r>
      <w:proofErr w:type="spellEnd"/>
      <w:r>
        <w:rPr>
          <w:rFonts w:ascii="Arial" w:eastAsia="SimSun" w:hAnsi="Arial" w:cs="Arial"/>
          <w:lang w:val="en-US" w:eastAsia="en-US" w:bidi="ar-SA"/>
        </w:rPr>
        <w:t xml:space="preserve"> care (MacInnes et al., 2020; Seamer et al., 2023).</w:t>
      </w:r>
    </w:p>
    <w:p w14:paraId="502E34D5" w14:textId="77777777" w:rsidR="004A7295" w:rsidRDefault="00000000">
      <w:pPr>
        <w:widowControl/>
        <w:autoSpaceDE/>
        <w:autoSpaceDN/>
        <w:spacing w:line="360" w:lineRule="auto"/>
        <w:jc w:val="both"/>
        <w:rPr>
          <w:rFonts w:ascii="Arial" w:eastAsia="SimSun" w:hAnsi="Arial" w:cs="Arial"/>
          <w:lang w:val="en-US" w:eastAsia="en-US" w:bidi="ar-SA"/>
        </w:rPr>
      </w:pPr>
      <w:r>
        <w:rPr>
          <w:rFonts w:ascii="Arial" w:eastAsia="SimSun" w:hAnsi="Arial" w:cs="Arial"/>
          <w:lang w:val="en-US" w:eastAsia="en-US" w:bidi="ar-SA"/>
        </w:rPr>
        <w:t xml:space="preserve"> </w:t>
      </w:r>
    </w:p>
    <w:p w14:paraId="502E34D6" w14:textId="77777777" w:rsidR="004A7295" w:rsidRDefault="00000000">
      <w:pPr>
        <w:widowControl/>
        <w:autoSpaceDE/>
        <w:autoSpaceDN/>
        <w:spacing w:line="360" w:lineRule="auto"/>
        <w:jc w:val="both"/>
        <w:rPr>
          <w:rFonts w:ascii="Arial" w:eastAsia="SimSun" w:hAnsi="Arial" w:cs="Arial"/>
          <w:b/>
          <w:bCs/>
          <w:lang w:val="en-US" w:eastAsia="en-US" w:bidi="ar-SA"/>
        </w:rPr>
      </w:pPr>
      <w:r>
        <w:rPr>
          <w:rFonts w:ascii="Arial" w:eastAsia="SimSun" w:hAnsi="Arial" w:cs="Arial"/>
          <w:b/>
          <w:bCs/>
          <w:lang w:val="en-US" w:eastAsia="en-US" w:bidi="ar-SA"/>
        </w:rPr>
        <w:t>5.5 Suggestions for Further Studies</w:t>
      </w:r>
    </w:p>
    <w:p w14:paraId="7389CA16" w14:textId="0928210C" w:rsidR="004A7295" w:rsidRDefault="00000000">
      <w:pPr>
        <w:widowControl/>
        <w:autoSpaceDE/>
        <w:autoSpaceDN/>
        <w:spacing w:line="360" w:lineRule="auto"/>
        <w:jc w:val="both"/>
        <w:rPr>
          <w:rFonts w:ascii="Arial" w:eastAsia="SimSun" w:hAnsi="Arial" w:cs="Arial"/>
          <w:lang w:val="en-US" w:eastAsia="en-US" w:bidi="ar-SA"/>
        </w:rPr>
      </w:pPr>
      <w:r>
        <w:rPr>
          <w:rFonts w:ascii="Arial" w:eastAsia="SimSun" w:hAnsi="Arial" w:cs="Arial"/>
          <w:lang w:val="en-US" w:eastAsia="en-US" w:bidi="ar-SA"/>
        </w:rPr>
        <w:t xml:space="preserve">Future research on integrated care for older adults should </w:t>
      </w:r>
      <w:proofErr w:type="spellStart"/>
      <w:r>
        <w:rPr>
          <w:rFonts w:ascii="Arial" w:eastAsia="SimSun" w:hAnsi="Arial" w:cs="Arial"/>
          <w:lang w:val="en-US" w:eastAsia="en-US" w:bidi="ar-SA"/>
        </w:rPr>
        <w:t>prioritise</w:t>
      </w:r>
      <w:proofErr w:type="spellEnd"/>
      <w:r>
        <w:rPr>
          <w:rFonts w:ascii="Arial" w:eastAsia="SimSun" w:hAnsi="Arial" w:cs="Arial"/>
          <w:lang w:val="en-US" w:eastAsia="en-US" w:bidi="ar-SA"/>
        </w:rPr>
        <w:t xml:space="preserve"> longitudinal studies to assess sustained outcomes over time and comprehensive economic evaluations to determine cost-effectiveness and financial sustainability. Investigating patient and carer experiences, particularly among those with multiple chronic conditions or cognitive decline, is essential to inform person-</w:t>
      </w:r>
      <w:proofErr w:type="spellStart"/>
      <w:r>
        <w:rPr>
          <w:rFonts w:ascii="Arial" w:eastAsia="SimSun" w:hAnsi="Arial" w:cs="Arial"/>
          <w:lang w:val="en-US" w:eastAsia="en-US" w:bidi="ar-SA"/>
        </w:rPr>
        <w:t>centred</w:t>
      </w:r>
      <w:proofErr w:type="spellEnd"/>
      <w:r>
        <w:rPr>
          <w:rFonts w:ascii="Arial" w:eastAsia="SimSun" w:hAnsi="Arial" w:cs="Arial"/>
          <w:lang w:val="en-US" w:eastAsia="en-US" w:bidi="ar-SA"/>
        </w:rPr>
        <w:t xml:space="preserve"> practice. Equity-focused studies across socioeconomic and ethnic groups are needed to evaluate the impact of integration on health inequalities. Additionally, research should examine the role of digital technologies such as telehealth, AI, and electronic dashboards in enhancing care coordination, as well as the effects of integration on workforce </w:t>
      </w:r>
      <w:r w:rsidR="001B6C95">
        <w:rPr>
          <w:rFonts w:ascii="Arial" w:eastAsia="SimSun" w:hAnsi="Arial" w:cs="Arial"/>
          <w:lang w:val="en-US" w:eastAsia="en-US" w:bidi="ar-SA"/>
        </w:rPr>
        <w:t>well-being</w:t>
      </w:r>
      <w:r>
        <w:rPr>
          <w:rFonts w:ascii="Arial" w:eastAsia="SimSun" w:hAnsi="Arial" w:cs="Arial"/>
          <w:lang w:val="en-US" w:eastAsia="en-US" w:bidi="ar-SA"/>
        </w:rPr>
        <w:t>, recruitment, and retention.</w:t>
      </w:r>
    </w:p>
    <w:p w14:paraId="502E34E4" w14:textId="77777777" w:rsidR="004A7295" w:rsidRDefault="004A7295">
      <w:pPr>
        <w:widowControl/>
        <w:autoSpaceDE/>
        <w:autoSpaceDN/>
        <w:spacing w:line="360" w:lineRule="auto"/>
        <w:jc w:val="both"/>
        <w:rPr>
          <w:rFonts w:ascii="Arial" w:eastAsia="SimSun" w:hAnsi="Arial" w:cs="Arial"/>
          <w:lang w:val="en-US" w:eastAsia="en-US" w:bidi="ar-SA"/>
        </w:rPr>
      </w:pPr>
    </w:p>
    <w:p w14:paraId="502E34E5" w14:textId="77777777" w:rsidR="004A7295" w:rsidRDefault="00000000">
      <w:pPr>
        <w:widowControl/>
        <w:autoSpaceDE/>
        <w:autoSpaceDN/>
        <w:spacing w:line="360" w:lineRule="auto"/>
        <w:jc w:val="both"/>
        <w:rPr>
          <w:rFonts w:ascii="Arial" w:eastAsia="SimSun" w:hAnsi="Arial" w:cs="Arial"/>
          <w:b/>
          <w:bCs/>
          <w:lang w:val="en-US" w:eastAsia="en-US" w:bidi="ar-SA"/>
        </w:rPr>
      </w:pPr>
      <w:r>
        <w:rPr>
          <w:rFonts w:ascii="Arial" w:eastAsia="SimSun" w:hAnsi="Arial" w:cs="Arial"/>
          <w:b/>
          <w:bCs/>
          <w:lang w:val="en-US" w:eastAsia="en-US" w:bidi="ar-SA"/>
        </w:rPr>
        <w:t>5.6 Implications of Findings</w:t>
      </w:r>
    </w:p>
    <w:p w14:paraId="502E34E6" w14:textId="77777777" w:rsidR="004A7295" w:rsidRDefault="00000000">
      <w:pPr>
        <w:widowControl/>
        <w:autoSpaceDE/>
        <w:autoSpaceDN/>
        <w:spacing w:line="360" w:lineRule="auto"/>
        <w:jc w:val="both"/>
        <w:rPr>
          <w:rFonts w:ascii="Arial" w:eastAsia="SimSun" w:hAnsi="Arial" w:cs="Arial"/>
          <w:lang w:val="en-US" w:eastAsia="en-US" w:bidi="ar-SA"/>
        </w:rPr>
      </w:pPr>
      <w:r>
        <w:rPr>
          <w:rFonts w:ascii="Arial" w:eastAsia="SimSun" w:hAnsi="Arial" w:cs="Arial"/>
          <w:lang w:val="en-US" w:eastAsia="en-US" w:bidi="ar-SA"/>
        </w:rPr>
        <w:t>The findings carry important implications for policy, practice, and research.</w:t>
      </w:r>
      <w:r>
        <w:rPr>
          <w:rFonts w:ascii="Arial" w:eastAsia="SimSun" w:hAnsi="Arial" w:cs="Arial"/>
          <w:lang w:val="en-US" w:eastAsia="en-US" w:bidi="ar-SA"/>
        </w:rPr>
        <w:br/>
        <w:t>For policymakers, they underscore the need for consistent national funding, long-term monitoring, and locally adaptable strategies to ensure sustainability. For practitioners, integrated care demands collaborative leadership, effective communication, and continuous professional development. The emphasis on equity and prevention suggests that care systems must not only treat illness but also address social determinants of health.</w:t>
      </w:r>
    </w:p>
    <w:p w14:paraId="502E34E7" w14:textId="77777777" w:rsidR="004A7295" w:rsidRDefault="00000000">
      <w:pPr>
        <w:widowControl/>
        <w:autoSpaceDE/>
        <w:autoSpaceDN/>
        <w:spacing w:line="360" w:lineRule="auto"/>
        <w:jc w:val="both"/>
        <w:rPr>
          <w:rFonts w:ascii="Arial" w:eastAsia="SimSun" w:hAnsi="Arial" w:cs="Arial"/>
          <w:lang w:val="en-US" w:eastAsia="en-US" w:bidi="ar-SA"/>
        </w:rPr>
      </w:pPr>
      <w:r>
        <w:rPr>
          <w:rFonts w:ascii="Arial" w:eastAsia="SimSun" w:hAnsi="Arial" w:cs="Arial"/>
          <w:lang w:val="en-US" w:eastAsia="en-US" w:bidi="ar-SA"/>
        </w:rPr>
        <w:br/>
        <w:t xml:space="preserve">For research, these findings highlight the necessity of mixed-method, longitudinal designs that integrate patient experiences with measurable service outcomes. Overall, the evidence reinforces that integration is not merely an </w:t>
      </w:r>
      <w:proofErr w:type="spellStart"/>
      <w:r>
        <w:rPr>
          <w:rFonts w:ascii="Arial" w:eastAsia="SimSun" w:hAnsi="Arial" w:cs="Arial"/>
          <w:lang w:val="en-US" w:eastAsia="en-US" w:bidi="ar-SA"/>
        </w:rPr>
        <w:t>organisational</w:t>
      </w:r>
      <w:proofErr w:type="spellEnd"/>
      <w:r>
        <w:rPr>
          <w:rFonts w:ascii="Arial" w:eastAsia="SimSun" w:hAnsi="Arial" w:cs="Arial"/>
          <w:lang w:val="en-US" w:eastAsia="en-US" w:bidi="ar-SA"/>
        </w:rPr>
        <w:t xml:space="preserve"> reform but a cultural transformation requiring shared values, partnership, and a focus on holistic wellbeing.</w:t>
      </w:r>
    </w:p>
    <w:p w14:paraId="502E34E8" w14:textId="77777777" w:rsidR="004A7295" w:rsidRDefault="00000000">
      <w:pPr>
        <w:widowControl/>
        <w:autoSpaceDE/>
        <w:autoSpaceDN/>
        <w:spacing w:line="360" w:lineRule="auto"/>
        <w:jc w:val="both"/>
        <w:rPr>
          <w:rFonts w:ascii="Arial" w:eastAsia="SimSun" w:hAnsi="Arial" w:cs="Arial"/>
          <w:lang w:val="en-US" w:eastAsia="en-US" w:bidi="ar-SA"/>
        </w:rPr>
      </w:pPr>
      <w:r>
        <w:rPr>
          <w:rFonts w:ascii="Arial" w:eastAsia="SimSun" w:hAnsi="Arial" w:cs="Arial"/>
          <w:lang w:val="en-US" w:eastAsia="en-US" w:bidi="ar-SA"/>
        </w:rPr>
        <w:t xml:space="preserve"> </w:t>
      </w:r>
    </w:p>
    <w:p w14:paraId="502E34E9" w14:textId="77777777" w:rsidR="004A7295" w:rsidRDefault="00000000">
      <w:pPr>
        <w:widowControl/>
        <w:autoSpaceDE/>
        <w:autoSpaceDN/>
        <w:spacing w:line="360" w:lineRule="auto"/>
        <w:jc w:val="both"/>
        <w:rPr>
          <w:rFonts w:ascii="Arial" w:eastAsia="SimSun" w:hAnsi="Arial" w:cs="Arial"/>
          <w:b/>
          <w:bCs/>
          <w:lang w:val="en-US" w:eastAsia="en-US" w:bidi="ar-SA"/>
        </w:rPr>
      </w:pPr>
      <w:r>
        <w:rPr>
          <w:rFonts w:ascii="Arial" w:eastAsia="SimSun" w:hAnsi="Arial" w:cs="Arial"/>
          <w:b/>
          <w:bCs/>
          <w:lang w:val="en-US" w:eastAsia="en-US" w:bidi="ar-SA"/>
        </w:rPr>
        <w:t>5.7 Conclusion</w:t>
      </w:r>
    </w:p>
    <w:p w14:paraId="502E34F0" w14:textId="5AC46316" w:rsidR="004A7295" w:rsidRDefault="00000000">
      <w:pPr>
        <w:widowControl/>
        <w:autoSpaceDE/>
        <w:autoSpaceDN/>
        <w:spacing w:line="360" w:lineRule="auto"/>
        <w:jc w:val="both"/>
        <w:rPr>
          <w:rFonts w:ascii="Arial" w:hAnsi="Arial" w:cs="Arial"/>
        </w:rPr>
      </w:pPr>
      <w:r>
        <w:rPr>
          <w:rFonts w:ascii="Arial" w:eastAsia="SimSun" w:hAnsi="Arial" w:cs="Arial"/>
        </w:rPr>
        <w:t xml:space="preserve">This project synthesised evidence on integrated care services for older adults in the UK, revealing that integration can improve continuity, coordination, and preventive care. However, structural fragmentation, workforce shortages, funding instability, and limitations in evaluation continue to challenge effective implementation. The findings underscore that achieving meaningful integration requires sustained leadership, cross-sector collaboration, interoperable data systems, and active patient and caregiver involvement. While the review is limited by the scope of included studies and variability in methodological quality, it highlights critical pathways for improving service delivery and reducing inequities. Overall, this study contributes to knowledge by clarifying the practical and systemic factors that shape integrated </w:t>
      </w:r>
      <w:r>
        <w:rPr>
          <w:rFonts w:ascii="Arial" w:eastAsia="SimSun" w:hAnsi="Arial" w:cs="Arial"/>
        </w:rPr>
        <w:lastRenderedPageBreak/>
        <w:t xml:space="preserve">care, offering evidence-informed guidance for policy and practice </w:t>
      </w:r>
      <w:r w:rsidR="00CA7383">
        <w:rPr>
          <w:rFonts w:ascii="Arial" w:eastAsia="SimSun" w:hAnsi="Arial" w:cs="Arial"/>
        </w:rPr>
        <w:t>focused on</w:t>
      </w:r>
      <w:r>
        <w:rPr>
          <w:rFonts w:ascii="Arial" w:eastAsia="SimSun" w:hAnsi="Arial" w:cs="Arial"/>
        </w:rPr>
        <w:t xml:space="preserve"> ensuring coordinated, person-centred care for older adults</w:t>
      </w:r>
      <w:r>
        <w:rPr>
          <w:rFonts w:ascii="Arial" w:eastAsia="SimSun" w:hAnsi="Arial" w:cs="Arial"/>
          <w:lang w:val="en-US"/>
        </w:rPr>
        <w:t xml:space="preserve">. </w:t>
      </w:r>
    </w:p>
    <w:p w14:paraId="502E34F1" w14:textId="3B1A1FE7" w:rsidR="004A7295" w:rsidRDefault="00000000">
      <w:pPr>
        <w:rPr>
          <w:rFonts w:ascii="Arial" w:hAnsi="Arial" w:cs="Arial"/>
          <w:b/>
          <w:bCs/>
        </w:rPr>
      </w:pPr>
      <w:r>
        <w:rPr>
          <w:rFonts w:ascii="Arial" w:hAnsi="Arial" w:cs="Arial"/>
          <w:b/>
          <w:bCs/>
        </w:rPr>
        <w:br w:type="page"/>
      </w:r>
      <w:r>
        <w:rPr>
          <w:rFonts w:ascii="Arial" w:hAnsi="Arial" w:cs="Arial"/>
          <w:b/>
          <w:bCs/>
        </w:rPr>
        <w:lastRenderedPageBreak/>
        <w:t xml:space="preserve">REFERENCES </w:t>
      </w:r>
    </w:p>
    <w:p w14:paraId="502E34F3" w14:textId="77777777" w:rsidR="004A7295" w:rsidRDefault="00000000">
      <w:pPr>
        <w:pStyle w:val="Heading1"/>
        <w:spacing w:before="240" w:line="276" w:lineRule="auto"/>
        <w:jc w:val="both"/>
        <w:rPr>
          <w:rFonts w:cs="Arial"/>
          <w:b w:val="0"/>
          <w:bCs/>
          <w:sz w:val="22"/>
          <w:szCs w:val="22"/>
        </w:rPr>
      </w:pPr>
      <w:r>
        <w:rPr>
          <w:rFonts w:cs="Arial"/>
          <w:b w:val="0"/>
          <w:bCs/>
          <w:sz w:val="22"/>
          <w:szCs w:val="22"/>
        </w:rPr>
        <w:t xml:space="preserve">Abadie, A., Diamond, A. and </w:t>
      </w:r>
      <w:proofErr w:type="spellStart"/>
      <w:r>
        <w:rPr>
          <w:rFonts w:cs="Arial"/>
          <w:b w:val="0"/>
          <w:bCs/>
          <w:sz w:val="22"/>
          <w:szCs w:val="22"/>
        </w:rPr>
        <w:t>Hainmueller</w:t>
      </w:r>
      <w:proofErr w:type="spellEnd"/>
      <w:r>
        <w:rPr>
          <w:rFonts w:cs="Arial"/>
          <w:b w:val="0"/>
          <w:bCs/>
          <w:sz w:val="22"/>
          <w:szCs w:val="22"/>
        </w:rPr>
        <w:t xml:space="preserve">, J. (2010). Synthetic control methods for comparative case studies: Estimating the effect of California’s tobacco control program. Journal of the American Statistical Association, 105(490), pp. 493–505. Available </w:t>
      </w:r>
      <w:proofErr w:type="spellStart"/>
      <w:proofErr w:type="gramStart"/>
      <w:r>
        <w:rPr>
          <w:rFonts w:cs="Arial"/>
          <w:b w:val="0"/>
          <w:bCs/>
          <w:sz w:val="22"/>
          <w:szCs w:val="22"/>
        </w:rPr>
        <w:t>at:https</w:t>
      </w:r>
      <w:proofErr w:type="spellEnd"/>
      <w:r>
        <w:rPr>
          <w:rFonts w:cs="Arial"/>
          <w:b w:val="0"/>
          <w:bCs/>
          <w:sz w:val="22"/>
          <w:szCs w:val="22"/>
        </w:rPr>
        <w:t>://doi.org/10.1198/jasa.2009.ap08746</w:t>
      </w:r>
      <w:proofErr w:type="gramEnd"/>
      <w:r>
        <w:rPr>
          <w:rFonts w:cs="Arial"/>
          <w:b w:val="0"/>
          <w:bCs/>
          <w:sz w:val="22"/>
          <w:szCs w:val="22"/>
        </w:rPr>
        <w:t xml:space="preserve"> (Accessed: 05 September 2025).</w:t>
      </w:r>
    </w:p>
    <w:p w14:paraId="502E34F4" w14:textId="77777777" w:rsidR="004A7295" w:rsidRDefault="00000000">
      <w:pPr>
        <w:pStyle w:val="Heading1"/>
        <w:spacing w:before="240" w:line="276" w:lineRule="auto"/>
        <w:jc w:val="both"/>
        <w:rPr>
          <w:rFonts w:cs="Arial"/>
          <w:b w:val="0"/>
          <w:bCs/>
          <w:sz w:val="22"/>
          <w:szCs w:val="22"/>
        </w:rPr>
      </w:pPr>
      <w:r>
        <w:rPr>
          <w:rFonts w:cs="Arial"/>
          <w:b w:val="0"/>
          <w:bCs/>
          <w:sz w:val="22"/>
          <w:szCs w:val="22"/>
        </w:rPr>
        <w:t>Age UK (2023b). Unpaid Carers and the Crisis in Community Care. Available at: https://www.ageuk.org.uk/latest-press/articles/2023/age-uk-issues-clarion-call-for-a-big-shift-towards-joined-up-home-and-community-based-health-and-social-care-services-for-older-people/ (Accessed: 28 July 2025).</w:t>
      </w:r>
    </w:p>
    <w:p w14:paraId="502E34F5" w14:textId="77777777" w:rsidR="004A7295" w:rsidRDefault="00000000">
      <w:pPr>
        <w:pStyle w:val="Heading1"/>
        <w:spacing w:before="240" w:line="276" w:lineRule="auto"/>
        <w:jc w:val="both"/>
        <w:rPr>
          <w:rFonts w:cs="Arial"/>
          <w:b w:val="0"/>
          <w:bCs/>
          <w:sz w:val="22"/>
          <w:szCs w:val="22"/>
        </w:rPr>
      </w:pPr>
      <w:r>
        <w:rPr>
          <w:rFonts w:cs="Arial"/>
          <w:b w:val="0"/>
          <w:bCs/>
          <w:sz w:val="22"/>
          <w:szCs w:val="22"/>
        </w:rPr>
        <w:t>Age UK (2024a). The State of Health and Care of Older People in England 2024. Available at: https://www.ageuk.org.uk/discover/2024/september/state-of-health-and-care-of-older-people-in-england-2024/ (Accessed: 27 July 2025).</w:t>
      </w:r>
    </w:p>
    <w:p w14:paraId="502E34F6" w14:textId="77777777" w:rsidR="004A7295" w:rsidRDefault="00000000">
      <w:pPr>
        <w:pStyle w:val="Heading1"/>
        <w:spacing w:before="240" w:line="276" w:lineRule="auto"/>
        <w:jc w:val="both"/>
        <w:rPr>
          <w:rFonts w:cs="Arial"/>
          <w:b w:val="0"/>
          <w:bCs/>
          <w:sz w:val="22"/>
          <w:szCs w:val="22"/>
        </w:rPr>
      </w:pPr>
      <w:r>
        <w:rPr>
          <w:rFonts w:cs="Arial"/>
          <w:b w:val="0"/>
          <w:bCs/>
          <w:sz w:val="22"/>
          <w:szCs w:val="22"/>
        </w:rPr>
        <w:t xml:space="preserve">Ahmed, S.K., Mohammed, R.A., Nashwan, A.J., Ibrahim, R.H., Abdalla, A.Q., Ameen, B.M.M. and </w:t>
      </w:r>
      <w:proofErr w:type="spellStart"/>
      <w:r>
        <w:rPr>
          <w:rFonts w:cs="Arial"/>
          <w:b w:val="0"/>
          <w:bCs/>
          <w:sz w:val="22"/>
          <w:szCs w:val="22"/>
        </w:rPr>
        <w:t>Khdhir</w:t>
      </w:r>
      <w:proofErr w:type="spellEnd"/>
      <w:r>
        <w:rPr>
          <w:rFonts w:cs="Arial"/>
          <w:b w:val="0"/>
          <w:bCs/>
          <w:sz w:val="22"/>
          <w:szCs w:val="22"/>
        </w:rPr>
        <w:t xml:space="preserve">, R.M. (2025). Using thematic analysis in qualitative research. Journal of Medicine, Surgery, and Public Health, 6, p.100198.Available at: https://www.sciencedirect.com/science/article/pii/S2949916X25000222 (Accessed: 19 September 2025).  </w:t>
      </w:r>
    </w:p>
    <w:p w14:paraId="502E34F7" w14:textId="77777777" w:rsidR="004A7295" w:rsidRDefault="00000000">
      <w:pPr>
        <w:pStyle w:val="Heading1"/>
        <w:spacing w:before="240" w:line="276" w:lineRule="auto"/>
        <w:jc w:val="both"/>
        <w:rPr>
          <w:rFonts w:cs="Arial"/>
          <w:b w:val="0"/>
          <w:bCs/>
          <w:sz w:val="22"/>
          <w:szCs w:val="22"/>
        </w:rPr>
      </w:pPr>
      <w:r>
        <w:rPr>
          <w:rFonts w:cs="Arial"/>
          <w:b w:val="0"/>
          <w:bCs/>
          <w:sz w:val="22"/>
          <w:szCs w:val="22"/>
        </w:rPr>
        <w:t>Aiello, M. and Mellor, R. (2019). Workforce integration in health and care: A qualitative exploration of policy and practice. Journal of Integrated Care, 27(4), pp. 342–352. Available at: https://doi.org/10.1108/JICA-03-2019-0015 (Accessed: 04 September 2025).</w:t>
      </w:r>
    </w:p>
    <w:p w14:paraId="502E34F9" w14:textId="77777777" w:rsidR="004A7295" w:rsidRDefault="00000000">
      <w:pPr>
        <w:pStyle w:val="Heading1"/>
        <w:spacing w:before="240" w:line="276" w:lineRule="auto"/>
        <w:jc w:val="both"/>
        <w:rPr>
          <w:rFonts w:cs="Arial"/>
          <w:b w:val="0"/>
          <w:bCs/>
          <w:sz w:val="22"/>
          <w:szCs w:val="22"/>
        </w:rPr>
      </w:pPr>
      <w:r>
        <w:rPr>
          <w:rFonts w:cs="Arial"/>
          <w:b w:val="0"/>
          <w:bCs/>
          <w:sz w:val="22"/>
          <w:szCs w:val="22"/>
        </w:rPr>
        <w:t>Akehurst, J., Brown, L. and West, E. (2022). Developing integrated workforce capacity across care sectors: An action research approach. Journal of Integrated Care, 30(5), pp. 15–27. Available at: https://doi.org/10.1108/JICA-05-2020-0030 (Accessed: 04 September 2025).</w:t>
      </w:r>
    </w:p>
    <w:p w14:paraId="502E34FA" w14:textId="77777777" w:rsidR="004A7295" w:rsidRDefault="00000000">
      <w:pPr>
        <w:pStyle w:val="Heading1"/>
        <w:spacing w:before="240" w:line="276" w:lineRule="auto"/>
        <w:jc w:val="both"/>
        <w:rPr>
          <w:rFonts w:cs="Arial"/>
          <w:b w:val="0"/>
          <w:bCs/>
          <w:sz w:val="22"/>
          <w:szCs w:val="22"/>
        </w:rPr>
      </w:pPr>
      <w:r>
        <w:rPr>
          <w:rFonts w:cs="Arial"/>
          <w:b w:val="0"/>
          <w:bCs/>
          <w:sz w:val="22"/>
          <w:szCs w:val="22"/>
        </w:rPr>
        <w:t>Appleby, J., Harrison, A. &amp; Devlin, N. (2015) The NHS in a Nutshell. London: King’s Fund.</w:t>
      </w:r>
    </w:p>
    <w:p w14:paraId="502E34FB" w14:textId="77777777" w:rsidR="004A7295" w:rsidRDefault="00000000">
      <w:pPr>
        <w:pStyle w:val="Heading1"/>
        <w:spacing w:before="240" w:line="276" w:lineRule="auto"/>
        <w:jc w:val="both"/>
        <w:rPr>
          <w:rFonts w:cs="Arial"/>
          <w:b w:val="0"/>
          <w:bCs/>
          <w:sz w:val="22"/>
          <w:szCs w:val="22"/>
        </w:rPr>
      </w:pPr>
      <w:r>
        <w:rPr>
          <w:rFonts w:cs="Arial"/>
          <w:b w:val="0"/>
          <w:bCs/>
          <w:sz w:val="22"/>
          <w:szCs w:val="22"/>
        </w:rPr>
        <w:t>Beckett, F. and Beckett, C. (2024). Bevan: Creator of the NHS. Available at: https://www.torrossa.com/it/resources/an/5846661 [Accessed 12 Aug 2025].</w:t>
      </w:r>
    </w:p>
    <w:p w14:paraId="502E34FC" w14:textId="77777777" w:rsidR="004A7295" w:rsidRDefault="00000000">
      <w:pPr>
        <w:pStyle w:val="Heading1"/>
        <w:spacing w:before="240" w:line="276" w:lineRule="auto"/>
        <w:jc w:val="both"/>
        <w:rPr>
          <w:rFonts w:cs="Arial"/>
          <w:b w:val="0"/>
          <w:bCs/>
          <w:sz w:val="22"/>
          <w:szCs w:val="22"/>
        </w:rPr>
      </w:pPr>
      <w:r>
        <w:rPr>
          <w:rFonts w:cs="Arial"/>
          <w:b w:val="0"/>
          <w:bCs/>
          <w:sz w:val="22"/>
          <w:szCs w:val="22"/>
        </w:rPr>
        <w:t>Berg, B.L. and Nanavati, M. (2016). Introduction to methods in social research. 4th ed. Boston: Pearson Education.</w:t>
      </w:r>
    </w:p>
    <w:p w14:paraId="502E34FD" w14:textId="77777777" w:rsidR="004A7295" w:rsidRDefault="00000000">
      <w:pPr>
        <w:pStyle w:val="Heading1"/>
        <w:spacing w:before="240" w:line="276" w:lineRule="auto"/>
        <w:jc w:val="both"/>
        <w:rPr>
          <w:rFonts w:cs="Arial"/>
          <w:b w:val="0"/>
          <w:bCs/>
          <w:sz w:val="22"/>
          <w:szCs w:val="22"/>
        </w:rPr>
      </w:pPr>
      <w:r>
        <w:rPr>
          <w:rFonts w:cs="Arial"/>
          <w:b w:val="0"/>
          <w:bCs/>
          <w:sz w:val="22"/>
          <w:szCs w:val="22"/>
        </w:rPr>
        <w:t>Billings, J., Davis, J., Wilson, R., Coulter, A. and Round, T. (2019). Assessing national support for new care models in England: Lessons from the Vanguards. Journal of Integrated Care, 27(3), pp. 227–239. Available at: https://doi.org/10.1108/JICA-05-2019-0020 (Accessed: 05 September 2025).</w:t>
      </w:r>
    </w:p>
    <w:p w14:paraId="502E34FE" w14:textId="77777777" w:rsidR="004A7295" w:rsidRDefault="00000000">
      <w:pPr>
        <w:pStyle w:val="Heading1"/>
        <w:spacing w:before="240" w:line="276" w:lineRule="auto"/>
        <w:jc w:val="both"/>
        <w:rPr>
          <w:rFonts w:cs="Arial"/>
          <w:b w:val="0"/>
          <w:bCs/>
          <w:sz w:val="22"/>
          <w:szCs w:val="22"/>
        </w:rPr>
      </w:pPr>
      <w:r>
        <w:rPr>
          <w:rFonts w:cs="Arial"/>
          <w:b w:val="0"/>
          <w:bCs/>
          <w:sz w:val="22"/>
          <w:szCs w:val="22"/>
        </w:rPr>
        <w:t xml:space="preserve">Billings, J., </w:t>
      </w:r>
      <w:proofErr w:type="spellStart"/>
      <w:r>
        <w:rPr>
          <w:rFonts w:cs="Arial"/>
          <w:b w:val="0"/>
          <w:bCs/>
          <w:sz w:val="22"/>
          <w:szCs w:val="22"/>
        </w:rPr>
        <w:t>Mikelyte</w:t>
      </w:r>
      <w:proofErr w:type="spellEnd"/>
      <w:r>
        <w:rPr>
          <w:rFonts w:cs="Arial"/>
          <w:b w:val="0"/>
          <w:bCs/>
          <w:sz w:val="22"/>
          <w:szCs w:val="22"/>
        </w:rPr>
        <w:t xml:space="preserve">, R., Coleman, A., MacInnes, J., Allen, P., Croke, S. and </w:t>
      </w:r>
      <w:proofErr w:type="spellStart"/>
      <w:r>
        <w:rPr>
          <w:rFonts w:cs="Arial"/>
          <w:b w:val="0"/>
          <w:bCs/>
          <w:sz w:val="22"/>
          <w:szCs w:val="22"/>
        </w:rPr>
        <w:t>Checkland</w:t>
      </w:r>
      <w:proofErr w:type="spellEnd"/>
      <w:r>
        <w:rPr>
          <w:rFonts w:cs="Arial"/>
          <w:b w:val="0"/>
          <w:bCs/>
          <w:sz w:val="22"/>
          <w:szCs w:val="22"/>
        </w:rPr>
        <w:t>, K. (2020). Supporting integrated care in practice: Perceptions of a national support programme for the development of new care models in England. Journal of Integrated Care, 28(1), pp.27-40.</w:t>
      </w:r>
    </w:p>
    <w:p w14:paraId="502E34FF" w14:textId="77777777" w:rsidR="004A7295" w:rsidRDefault="00000000">
      <w:pPr>
        <w:pStyle w:val="Heading1"/>
        <w:spacing w:before="240" w:line="276" w:lineRule="auto"/>
        <w:jc w:val="both"/>
        <w:rPr>
          <w:rFonts w:cs="Arial"/>
          <w:b w:val="0"/>
          <w:bCs/>
          <w:sz w:val="22"/>
          <w:szCs w:val="22"/>
        </w:rPr>
      </w:pPr>
      <w:r>
        <w:rPr>
          <w:rFonts w:cs="Arial"/>
          <w:b w:val="0"/>
          <w:bCs/>
          <w:sz w:val="22"/>
          <w:szCs w:val="22"/>
        </w:rPr>
        <w:t xml:space="preserve">Booth, A., Briscoe, S. and Wright, J.M. (2020). The “realist search”: a systematic scoping </w:t>
      </w:r>
      <w:r>
        <w:rPr>
          <w:rFonts w:cs="Arial"/>
          <w:b w:val="0"/>
          <w:bCs/>
          <w:sz w:val="22"/>
          <w:szCs w:val="22"/>
        </w:rPr>
        <w:lastRenderedPageBreak/>
        <w:t xml:space="preserve">review of current practice and reporting. Research synthesis methods, 11(1), </w:t>
      </w:r>
      <w:proofErr w:type="spellStart"/>
      <w:proofErr w:type="gramStart"/>
      <w:r>
        <w:rPr>
          <w:rFonts w:cs="Arial"/>
          <w:b w:val="0"/>
          <w:bCs/>
          <w:sz w:val="22"/>
          <w:szCs w:val="22"/>
        </w:rPr>
        <w:t>pp.Available</w:t>
      </w:r>
      <w:proofErr w:type="spellEnd"/>
      <w:proofErr w:type="gramEnd"/>
      <w:r>
        <w:rPr>
          <w:rFonts w:cs="Arial"/>
          <w:b w:val="0"/>
          <w:bCs/>
          <w:sz w:val="22"/>
          <w:szCs w:val="22"/>
        </w:rPr>
        <w:t xml:space="preserve"> at: 14-35. </w:t>
      </w:r>
      <w:proofErr w:type="gramStart"/>
      <w:r>
        <w:rPr>
          <w:rFonts w:cs="Arial"/>
          <w:b w:val="0"/>
          <w:bCs/>
          <w:sz w:val="22"/>
          <w:szCs w:val="22"/>
        </w:rPr>
        <w:t>https://onlinelibrary.wiley.com/doi/abs/10.1002/jrsm.1386  (</w:t>
      </w:r>
      <w:proofErr w:type="gramEnd"/>
      <w:r>
        <w:rPr>
          <w:rFonts w:cs="Arial"/>
          <w:b w:val="0"/>
          <w:bCs/>
          <w:sz w:val="22"/>
          <w:szCs w:val="22"/>
        </w:rPr>
        <w:t>Accessed: 21 September 2025).</w:t>
      </w:r>
    </w:p>
    <w:p w14:paraId="502E3500" w14:textId="77777777" w:rsidR="004A7295" w:rsidRDefault="00000000">
      <w:pPr>
        <w:pStyle w:val="Heading1"/>
        <w:spacing w:before="240" w:line="276" w:lineRule="auto"/>
        <w:jc w:val="both"/>
        <w:rPr>
          <w:rFonts w:cs="Arial"/>
          <w:b w:val="0"/>
          <w:bCs/>
          <w:sz w:val="22"/>
          <w:szCs w:val="22"/>
        </w:rPr>
      </w:pPr>
      <w:r>
        <w:rPr>
          <w:rFonts w:cs="Arial"/>
          <w:b w:val="0"/>
          <w:bCs/>
          <w:sz w:val="22"/>
          <w:szCs w:val="22"/>
        </w:rPr>
        <w:t xml:space="preserve">Brändle, T. and </w:t>
      </w:r>
      <w:proofErr w:type="spellStart"/>
      <w:r>
        <w:rPr>
          <w:rFonts w:cs="Arial"/>
          <w:b w:val="0"/>
          <w:bCs/>
          <w:sz w:val="22"/>
          <w:szCs w:val="22"/>
        </w:rPr>
        <w:t>Colombier</w:t>
      </w:r>
      <w:proofErr w:type="spellEnd"/>
      <w:r>
        <w:rPr>
          <w:rFonts w:cs="Arial"/>
          <w:b w:val="0"/>
          <w:bCs/>
          <w:sz w:val="22"/>
          <w:szCs w:val="22"/>
        </w:rPr>
        <w:t>, C. (2022). Healthcare expenditure projections up to 2050: ageing and the COVID-19 crisis (Vol. 25, pp. 1-58). FFA Working Paper.</w:t>
      </w:r>
    </w:p>
    <w:p w14:paraId="502E3501" w14:textId="77777777" w:rsidR="004A7295" w:rsidRDefault="00000000">
      <w:pPr>
        <w:pStyle w:val="Heading1"/>
        <w:spacing w:before="240" w:line="276" w:lineRule="auto"/>
        <w:jc w:val="both"/>
        <w:rPr>
          <w:rFonts w:cs="Arial"/>
          <w:b w:val="0"/>
          <w:bCs/>
          <w:sz w:val="22"/>
          <w:szCs w:val="22"/>
        </w:rPr>
      </w:pPr>
      <w:r>
        <w:rPr>
          <w:rFonts w:cs="Arial"/>
          <w:b w:val="0"/>
          <w:bCs/>
          <w:sz w:val="22"/>
          <w:szCs w:val="22"/>
        </w:rPr>
        <w:t>Braun, V. and Clarke, V. (2006). Using thematic analysis in psychology. Qualitative Research in Psychology, 3(2), pp. 77–101. Available at: https://doi.org/10.1191/1478088706qp063oa (Accessed: 04 September 2025).</w:t>
      </w:r>
    </w:p>
    <w:p w14:paraId="502E3502" w14:textId="77777777" w:rsidR="004A7295" w:rsidRDefault="00000000">
      <w:pPr>
        <w:pStyle w:val="Heading1"/>
        <w:spacing w:before="240" w:line="276" w:lineRule="auto"/>
        <w:jc w:val="both"/>
        <w:rPr>
          <w:rFonts w:cs="Arial"/>
          <w:b w:val="0"/>
          <w:bCs/>
          <w:sz w:val="22"/>
          <w:szCs w:val="22"/>
        </w:rPr>
      </w:pPr>
      <w:r>
        <w:rPr>
          <w:rFonts w:cs="Arial"/>
          <w:b w:val="0"/>
          <w:bCs/>
          <w:sz w:val="22"/>
          <w:szCs w:val="22"/>
        </w:rPr>
        <w:t>Braun, V. and Clarke, V. (2019). Reflecting on reflexive thematic analysis. Qualitative Research in Sport, Exercise and Health, 11(4), pp. 589–597. Available at: https://doi.org/10.1080/2159676X.2019.1628806 (Accessed: 04 September 2025).</w:t>
      </w:r>
    </w:p>
    <w:p w14:paraId="502E3503" w14:textId="77777777" w:rsidR="004A7295" w:rsidRDefault="00000000">
      <w:pPr>
        <w:pStyle w:val="Heading1"/>
        <w:spacing w:before="240" w:line="276" w:lineRule="auto"/>
        <w:jc w:val="both"/>
        <w:rPr>
          <w:rFonts w:cs="Arial"/>
          <w:b w:val="0"/>
          <w:bCs/>
          <w:sz w:val="22"/>
          <w:szCs w:val="22"/>
        </w:rPr>
      </w:pPr>
      <w:r>
        <w:rPr>
          <w:rFonts w:cs="Arial"/>
          <w:b w:val="0"/>
          <w:bCs/>
          <w:sz w:val="22"/>
          <w:szCs w:val="22"/>
        </w:rPr>
        <w:t>Braun, V. and Clarke, V. (2021). Can I use TA? Should I use TA? Should I not use TA? Comparing reflexive thematic analysis and other pattern‐based qualitative analytic approaches. Counselling and psychotherapy research, 21(1), pp.37-</w:t>
      </w:r>
      <w:proofErr w:type="gramStart"/>
      <w:r>
        <w:rPr>
          <w:rFonts w:cs="Arial"/>
          <w:b w:val="0"/>
          <w:bCs/>
          <w:sz w:val="22"/>
          <w:szCs w:val="22"/>
        </w:rPr>
        <w:t>47.Available</w:t>
      </w:r>
      <w:proofErr w:type="gramEnd"/>
      <w:r>
        <w:rPr>
          <w:rFonts w:cs="Arial"/>
          <w:b w:val="0"/>
          <w:bCs/>
          <w:sz w:val="22"/>
          <w:szCs w:val="22"/>
        </w:rPr>
        <w:t xml:space="preserve"> at: https://onlinelibrary.wiley.com/doi/abs/10.1002/capr.12360 (Accessed: 23 September 2025). </w:t>
      </w:r>
    </w:p>
    <w:p w14:paraId="502E3504" w14:textId="77777777" w:rsidR="004A7295" w:rsidRDefault="00000000">
      <w:pPr>
        <w:pStyle w:val="Heading1"/>
        <w:spacing w:before="240" w:line="276" w:lineRule="auto"/>
        <w:jc w:val="both"/>
        <w:rPr>
          <w:rFonts w:cs="Arial"/>
          <w:b w:val="0"/>
          <w:bCs/>
          <w:sz w:val="22"/>
          <w:szCs w:val="22"/>
        </w:rPr>
      </w:pPr>
      <w:r>
        <w:rPr>
          <w:rFonts w:cs="Arial"/>
          <w:b w:val="0"/>
          <w:bCs/>
          <w:sz w:val="22"/>
          <w:szCs w:val="22"/>
        </w:rPr>
        <w:t xml:space="preserve">Braun, V. and Clarke, V. (2022). Conceptual and design thinking for thematic analysis. Qualitative psychology, 9(1), p.3.Available at: https://psycnet.apa.org/fulltext/2021-45248-001.html (Accessed: 21 September 2025). </w:t>
      </w:r>
    </w:p>
    <w:p w14:paraId="502E3505" w14:textId="77777777" w:rsidR="004A7295" w:rsidRDefault="00000000">
      <w:pPr>
        <w:pStyle w:val="Heading1"/>
        <w:spacing w:before="240" w:line="276" w:lineRule="auto"/>
        <w:jc w:val="both"/>
        <w:rPr>
          <w:rFonts w:cs="Arial"/>
          <w:b w:val="0"/>
          <w:bCs/>
          <w:sz w:val="22"/>
          <w:szCs w:val="22"/>
        </w:rPr>
      </w:pPr>
      <w:r>
        <w:rPr>
          <w:rFonts w:cs="Arial"/>
          <w:b w:val="0"/>
          <w:bCs/>
          <w:sz w:val="22"/>
          <w:szCs w:val="22"/>
        </w:rPr>
        <w:t>Braun, V. and Clarke, V. (2023a). Is thematic analysis used well in health psychology? A critical review of published research, with recommendations for quality practice and reporting. Health Psychology Review, 17(4), pp.695-718.Available at: https://www.tandfonline.com/doi/abs/10.1080/17437199.2022.2161594 (Accessed: 23 September 2025).</w:t>
      </w:r>
    </w:p>
    <w:p w14:paraId="502E3507" w14:textId="77777777" w:rsidR="004A7295" w:rsidRDefault="00000000">
      <w:pPr>
        <w:pStyle w:val="Heading1"/>
        <w:spacing w:before="240" w:line="276" w:lineRule="auto"/>
        <w:jc w:val="both"/>
        <w:rPr>
          <w:rFonts w:cs="Arial"/>
          <w:b w:val="0"/>
          <w:bCs/>
          <w:sz w:val="22"/>
          <w:szCs w:val="22"/>
        </w:rPr>
      </w:pPr>
      <w:r>
        <w:rPr>
          <w:rFonts w:cs="Arial"/>
          <w:b w:val="0"/>
          <w:bCs/>
          <w:sz w:val="22"/>
          <w:szCs w:val="22"/>
        </w:rPr>
        <w:t>Bryman, A. (2016). Social research methods. 5th ed. Oxford: Oxford University Press.</w:t>
      </w:r>
    </w:p>
    <w:p w14:paraId="502E3508" w14:textId="77777777" w:rsidR="004A7295" w:rsidRDefault="00000000">
      <w:pPr>
        <w:pStyle w:val="Heading1"/>
        <w:spacing w:before="240" w:line="276" w:lineRule="auto"/>
        <w:jc w:val="both"/>
        <w:rPr>
          <w:rFonts w:cs="Arial"/>
          <w:b w:val="0"/>
          <w:bCs/>
          <w:sz w:val="22"/>
          <w:szCs w:val="22"/>
        </w:rPr>
      </w:pPr>
      <w:proofErr w:type="spellStart"/>
      <w:r>
        <w:rPr>
          <w:rFonts w:cs="Arial"/>
          <w:b w:val="0"/>
          <w:bCs/>
          <w:sz w:val="22"/>
          <w:szCs w:val="22"/>
        </w:rPr>
        <w:t>Büchter</w:t>
      </w:r>
      <w:proofErr w:type="spellEnd"/>
      <w:r>
        <w:rPr>
          <w:rFonts w:cs="Arial"/>
          <w:b w:val="0"/>
          <w:bCs/>
          <w:sz w:val="22"/>
          <w:szCs w:val="22"/>
        </w:rPr>
        <w:t xml:space="preserve">, R.B., Weise, A. and Pieper, D. (2020). Development, testing and use of data extraction forms in systematic reviews: a review of methodological guidance. BMC Medical Research Methodology, 20(1), p.259. Available at: https://link.springer.com/article/10.1186/s12874-020-01143-3 (Accessed: 22 September 2025). </w:t>
      </w:r>
    </w:p>
    <w:p w14:paraId="502E3509" w14:textId="77777777" w:rsidR="004A7295" w:rsidRDefault="00000000">
      <w:pPr>
        <w:pStyle w:val="Heading1"/>
        <w:spacing w:before="240" w:line="276" w:lineRule="auto"/>
        <w:jc w:val="both"/>
        <w:rPr>
          <w:rFonts w:cs="Arial"/>
          <w:b w:val="0"/>
          <w:bCs/>
          <w:sz w:val="22"/>
          <w:szCs w:val="22"/>
        </w:rPr>
      </w:pPr>
      <w:r>
        <w:rPr>
          <w:rFonts w:cs="Arial"/>
          <w:b w:val="0"/>
          <w:bCs/>
          <w:sz w:val="22"/>
          <w:szCs w:val="22"/>
        </w:rPr>
        <w:t>Campbell-Perry, S. (2022). The blended professional: Barriers and boundaries to collaborative institutional cultures. In The Impact of the Integrated Practitioner in Higher Education (pp. 115-125). Routledge.</w:t>
      </w:r>
    </w:p>
    <w:p w14:paraId="502E350A" w14:textId="77777777" w:rsidR="004A7295" w:rsidRDefault="00000000">
      <w:pPr>
        <w:pStyle w:val="Heading1"/>
        <w:spacing w:before="240" w:line="276" w:lineRule="auto"/>
        <w:jc w:val="both"/>
        <w:rPr>
          <w:rFonts w:cs="Arial"/>
          <w:b w:val="0"/>
          <w:bCs/>
          <w:sz w:val="22"/>
          <w:szCs w:val="22"/>
        </w:rPr>
      </w:pPr>
      <w:proofErr w:type="spellStart"/>
      <w:r>
        <w:rPr>
          <w:rFonts w:cs="Arial"/>
          <w:b w:val="0"/>
          <w:bCs/>
          <w:sz w:val="22"/>
          <w:szCs w:val="22"/>
        </w:rPr>
        <w:t>Chamanga</w:t>
      </w:r>
      <w:proofErr w:type="spellEnd"/>
      <w:r>
        <w:rPr>
          <w:rFonts w:cs="Arial"/>
          <w:b w:val="0"/>
          <w:bCs/>
          <w:sz w:val="22"/>
          <w:szCs w:val="22"/>
        </w:rPr>
        <w:t>, E., Dyson, J., Loke, J. and McKeown, E. (2020). Factors influencing the recruitment and retention of registered nurses in adult community nursing services: an integrative literature review. Primary health care research &amp; development, 21, p.e31.</w:t>
      </w:r>
    </w:p>
    <w:p w14:paraId="502E350B" w14:textId="77777777" w:rsidR="004A7295" w:rsidRDefault="00000000">
      <w:pPr>
        <w:pStyle w:val="Heading1"/>
        <w:spacing w:before="240" w:line="276" w:lineRule="auto"/>
        <w:jc w:val="both"/>
        <w:rPr>
          <w:rFonts w:cs="Arial"/>
          <w:b w:val="0"/>
          <w:bCs/>
          <w:sz w:val="22"/>
          <w:szCs w:val="22"/>
        </w:rPr>
      </w:pPr>
      <w:r>
        <w:rPr>
          <w:rFonts w:cs="Arial"/>
          <w:b w:val="0"/>
          <w:bCs/>
          <w:sz w:val="22"/>
          <w:szCs w:val="22"/>
        </w:rPr>
        <w:t>Coleman, K., Austin, B.T., Brach, C. and Wagner, E.H. (2009). Evidence on the Chronic Care Model in the new millennium. Health Affairs, 28(1), pp.75–85.</w:t>
      </w:r>
    </w:p>
    <w:p w14:paraId="502E350C" w14:textId="77777777" w:rsidR="004A7295" w:rsidRDefault="00000000">
      <w:pPr>
        <w:pStyle w:val="Heading1"/>
        <w:spacing w:before="240" w:line="276" w:lineRule="auto"/>
        <w:jc w:val="both"/>
        <w:rPr>
          <w:rFonts w:cs="Arial"/>
          <w:b w:val="0"/>
          <w:bCs/>
          <w:sz w:val="22"/>
          <w:szCs w:val="22"/>
        </w:rPr>
      </w:pPr>
      <w:r>
        <w:rPr>
          <w:rFonts w:cs="Arial"/>
          <w:b w:val="0"/>
          <w:bCs/>
          <w:sz w:val="22"/>
          <w:szCs w:val="22"/>
        </w:rPr>
        <w:lastRenderedPageBreak/>
        <w:t xml:space="preserve">Creswell, J.W. and </w:t>
      </w:r>
      <w:proofErr w:type="spellStart"/>
      <w:r>
        <w:rPr>
          <w:rFonts w:cs="Arial"/>
          <w:b w:val="0"/>
          <w:bCs/>
          <w:sz w:val="22"/>
          <w:szCs w:val="22"/>
        </w:rPr>
        <w:t>Poth</w:t>
      </w:r>
      <w:proofErr w:type="spellEnd"/>
      <w:r>
        <w:rPr>
          <w:rFonts w:cs="Arial"/>
          <w:b w:val="0"/>
          <w:bCs/>
          <w:sz w:val="22"/>
          <w:szCs w:val="22"/>
        </w:rPr>
        <w:t>, C.N. (2018). Qualitative inquiry and research design: Choosing among five approaches. 4th ed. Thousand Oaks, CA: Sage.</w:t>
      </w:r>
    </w:p>
    <w:p w14:paraId="502E350D" w14:textId="77777777" w:rsidR="004A7295" w:rsidRDefault="00000000">
      <w:pPr>
        <w:pStyle w:val="Heading1"/>
        <w:spacing w:before="240" w:line="276" w:lineRule="auto"/>
        <w:jc w:val="both"/>
        <w:rPr>
          <w:rFonts w:cs="Arial"/>
          <w:b w:val="0"/>
          <w:bCs/>
          <w:sz w:val="22"/>
          <w:szCs w:val="22"/>
        </w:rPr>
      </w:pPr>
      <w:r>
        <w:rPr>
          <w:rFonts w:cs="Arial"/>
          <w:b w:val="0"/>
          <w:bCs/>
          <w:sz w:val="22"/>
          <w:szCs w:val="22"/>
        </w:rPr>
        <w:t>Davidson, L., Scott, J. and Forster, N. (2021). Patient experiences of integrated care within the United Kingdom: a systematic review. International Journal of Care Coordination, 24(2), pp.39-56.</w:t>
      </w:r>
    </w:p>
    <w:p w14:paraId="502E350E" w14:textId="77777777" w:rsidR="004A7295" w:rsidRDefault="00000000">
      <w:pPr>
        <w:pStyle w:val="Heading1"/>
        <w:spacing w:before="240" w:line="276" w:lineRule="auto"/>
        <w:jc w:val="both"/>
        <w:rPr>
          <w:rFonts w:cs="Arial"/>
          <w:b w:val="0"/>
          <w:bCs/>
          <w:sz w:val="22"/>
          <w:szCs w:val="22"/>
        </w:rPr>
      </w:pPr>
      <w:r>
        <w:rPr>
          <w:rFonts w:cs="Arial"/>
          <w:b w:val="0"/>
          <w:bCs/>
          <w:sz w:val="22"/>
          <w:szCs w:val="22"/>
        </w:rPr>
        <w:t>Department of Health and Social Care (2019). Better Care Fund: Policy Framework 2019–20. London: DHSC.</w:t>
      </w:r>
    </w:p>
    <w:p w14:paraId="502E350F" w14:textId="77777777" w:rsidR="004A7295" w:rsidRDefault="00000000">
      <w:pPr>
        <w:pStyle w:val="Heading1"/>
        <w:spacing w:before="240" w:line="276" w:lineRule="auto"/>
        <w:jc w:val="both"/>
        <w:rPr>
          <w:rFonts w:cs="Arial"/>
          <w:b w:val="0"/>
          <w:bCs/>
          <w:sz w:val="22"/>
          <w:szCs w:val="22"/>
        </w:rPr>
      </w:pPr>
      <w:r>
        <w:rPr>
          <w:rFonts w:cs="Arial"/>
          <w:b w:val="0"/>
          <w:bCs/>
          <w:sz w:val="22"/>
          <w:szCs w:val="22"/>
        </w:rPr>
        <w:t>Department of Health and Social Care (2022). Joining Up Care for People, Places and Populations. Available at: https://www.gov.uk/government/publications/health-and-social-care-integration-joining-up-care-for-people-places-and-populations/ (Accessed: 28 July 2025).</w:t>
      </w:r>
    </w:p>
    <w:p w14:paraId="502E3510" w14:textId="77777777" w:rsidR="004A7295" w:rsidRDefault="00000000">
      <w:pPr>
        <w:pStyle w:val="Heading1"/>
        <w:spacing w:before="240" w:line="276" w:lineRule="auto"/>
        <w:jc w:val="both"/>
        <w:rPr>
          <w:rFonts w:cs="Arial"/>
          <w:b w:val="0"/>
          <w:bCs/>
          <w:sz w:val="22"/>
          <w:szCs w:val="22"/>
        </w:rPr>
      </w:pPr>
      <w:r>
        <w:rPr>
          <w:rFonts w:cs="Arial"/>
          <w:b w:val="0"/>
          <w:bCs/>
          <w:sz w:val="22"/>
          <w:szCs w:val="22"/>
        </w:rPr>
        <w:t>Department of Health and Social Care (2023). Health and Social Care Integration: Progress and Challenges. London: DHSC.</w:t>
      </w:r>
    </w:p>
    <w:p w14:paraId="502E3511" w14:textId="77777777" w:rsidR="004A7295" w:rsidRDefault="00000000">
      <w:pPr>
        <w:pStyle w:val="Heading1"/>
        <w:spacing w:before="240" w:line="276" w:lineRule="auto"/>
        <w:jc w:val="both"/>
        <w:rPr>
          <w:rFonts w:cs="Arial"/>
          <w:b w:val="0"/>
          <w:bCs/>
          <w:sz w:val="22"/>
          <w:szCs w:val="22"/>
        </w:rPr>
      </w:pPr>
      <w:r>
        <w:rPr>
          <w:rFonts w:cs="Arial"/>
          <w:b w:val="0"/>
          <w:bCs/>
          <w:sz w:val="22"/>
          <w:szCs w:val="22"/>
        </w:rPr>
        <w:t xml:space="preserve">Dixon, A., </w:t>
      </w:r>
      <w:proofErr w:type="spellStart"/>
      <w:r>
        <w:rPr>
          <w:rFonts w:cs="Arial"/>
          <w:b w:val="0"/>
          <w:bCs/>
          <w:sz w:val="22"/>
          <w:szCs w:val="22"/>
        </w:rPr>
        <w:t>Poteliakhoff</w:t>
      </w:r>
      <w:proofErr w:type="spellEnd"/>
      <w:r>
        <w:rPr>
          <w:rFonts w:cs="Arial"/>
          <w:b w:val="0"/>
          <w:bCs/>
          <w:sz w:val="22"/>
          <w:szCs w:val="22"/>
        </w:rPr>
        <w:t>, E. &amp; Hurst, J. (2010). The Quality of Care in the NHS. London: The Health Foundation.</w:t>
      </w:r>
    </w:p>
    <w:p w14:paraId="502E3512" w14:textId="77777777" w:rsidR="004A7295" w:rsidRDefault="00000000">
      <w:pPr>
        <w:pStyle w:val="Heading1"/>
        <w:spacing w:before="240" w:line="276" w:lineRule="auto"/>
        <w:jc w:val="both"/>
        <w:rPr>
          <w:rFonts w:cs="Arial"/>
          <w:b w:val="0"/>
          <w:bCs/>
          <w:sz w:val="22"/>
          <w:szCs w:val="22"/>
        </w:rPr>
      </w:pPr>
      <w:r>
        <w:rPr>
          <w:rFonts w:cs="Arial"/>
          <w:b w:val="0"/>
          <w:bCs/>
          <w:sz w:val="22"/>
          <w:szCs w:val="22"/>
        </w:rPr>
        <w:t>Elizondo, A., Williams, R., Anderson, S. and Cresswell, K. (2024). Implementing integrated care infrastructure: A longitudinal study on the interplay of policies, interorganizational arrangements, and interoperability in NHS England. Health Policy, p.105237.</w:t>
      </w:r>
    </w:p>
    <w:p w14:paraId="502E3513" w14:textId="77777777" w:rsidR="004A7295" w:rsidRDefault="00000000">
      <w:pPr>
        <w:pStyle w:val="Heading1"/>
        <w:spacing w:before="240" w:line="276" w:lineRule="auto"/>
        <w:jc w:val="both"/>
        <w:rPr>
          <w:rFonts w:cs="Arial"/>
          <w:b w:val="0"/>
          <w:bCs/>
          <w:sz w:val="22"/>
          <w:szCs w:val="22"/>
        </w:rPr>
      </w:pPr>
      <w:r>
        <w:rPr>
          <w:rFonts w:cs="Arial"/>
          <w:b w:val="0"/>
          <w:bCs/>
          <w:sz w:val="22"/>
          <w:szCs w:val="22"/>
        </w:rPr>
        <w:t>England, N.H.S. and Improvement, N.H.S. (2019). The NHS long term plan. 2019 [online] Available at: https://www.england.nhs.uk/wp-content/uploads/2020/03/science-in-healthcare-delivering-the-nhs-long-term-plan.pdf [Accessed 6 Aug 2025].</w:t>
      </w:r>
    </w:p>
    <w:p w14:paraId="502E3514" w14:textId="77777777" w:rsidR="004A7295" w:rsidRDefault="00000000">
      <w:pPr>
        <w:pStyle w:val="Heading1"/>
        <w:spacing w:before="240" w:line="276" w:lineRule="auto"/>
        <w:jc w:val="both"/>
        <w:rPr>
          <w:rFonts w:cs="Arial"/>
          <w:b w:val="0"/>
          <w:bCs/>
          <w:sz w:val="22"/>
          <w:szCs w:val="22"/>
        </w:rPr>
      </w:pPr>
      <w:r>
        <w:rPr>
          <w:rFonts w:cs="Arial"/>
          <w:b w:val="0"/>
          <w:bCs/>
          <w:sz w:val="22"/>
          <w:szCs w:val="22"/>
        </w:rPr>
        <w:t xml:space="preserve">Erens, B., </w:t>
      </w:r>
      <w:proofErr w:type="spellStart"/>
      <w:r>
        <w:rPr>
          <w:rFonts w:cs="Arial"/>
          <w:b w:val="0"/>
          <w:bCs/>
          <w:sz w:val="22"/>
          <w:szCs w:val="22"/>
        </w:rPr>
        <w:t>Wistow</w:t>
      </w:r>
      <w:proofErr w:type="spellEnd"/>
      <w:r>
        <w:rPr>
          <w:rFonts w:cs="Arial"/>
          <w:b w:val="0"/>
          <w:bCs/>
          <w:sz w:val="22"/>
          <w:szCs w:val="22"/>
        </w:rPr>
        <w:t xml:space="preserve">, G., Mays, N., </w:t>
      </w:r>
      <w:proofErr w:type="spellStart"/>
      <w:r>
        <w:rPr>
          <w:rFonts w:cs="Arial"/>
          <w:b w:val="0"/>
          <w:bCs/>
          <w:sz w:val="22"/>
          <w:szCs w:val="22"/>
        </w:rPr>
        <w:t>Manacorda</w:t>
      </w:r>
      <w:proofErr w:type="spellEnd"/>
      <w:r>
        <w:rPr>
          <w:rFonts w:cs="Arial"/>
          <w:b w:val="0"/>
          <w:bCs/>
          <w:sz w:val="22"/>
          <w:szCs w:val="22"/>
        </w:rPr>
        <w:t xml:space="preserve">, T., </w:t>
      </w:r>
      <w:proofErr w:type="gramStart"/>
      <w:r>
        <w:rPr>
          <w:rFonts w:cs="Arial"/>
          <w:b w:val="0"/>
          <w:bCs/>
          <w:sz w:val="22"/>
          <w:szCs w:val="22"/>
        </w:rPr>
        <w:t xml:space="preserve">Douglas,   </w:t>
      </w:r>
      <w:proofErr w:type="gramEnd"/>
      <w:r>
        <w:rPr>
          <w:rFonts w:cs="Arial"/>
          <w:b w:val="0"/>
          <w:bCs/>
          <w:sz w:val="22"/>
          <w:szCs w:val="22"/>
        </w:rPr>
        <w:t>N. and Ling, T. (2020). Early evaluation of the Integrated Care and Support Pioneers Programme in England. Journal of Integrated Care, 28(2), pp. 123–138. Available at: https://doi.org/10.1108/JICA-05-2019-0020 (Accessed: 03 September 2025).</w:t>
      </w:r>
    </w:p>
    <w:p w14:paraId="502E3515" w14:textId="77777777" w:rsidR="004A7295" w:rsidRDefault="00000000">
      <w:pPr>
        <w:pStyle w:val="Heading1"/>
        <w:spacing w:before="240" w:line="276" w:lineRule="auto"/>
        <w:jc w:val="both"/>
        <w:rPr>
          <w:rFonts w:cs="Arial"/>
          <w:b w:val="0"/>
          <w:bCs/>
          <w:sz w:val="22"/>
          <w:szCs w:val="22"/>
        </w:rPr>
      </w:pPr>
      <w:r>
        <w:rPr>
          <w:rFonts w:cs="Arial"/>
          <w:b w:val="0"/>
          <w:bCs/>
          <w:sz w:val="22"/>
          <w:szCs w:val="22"/>
        </w:rPr>
        <w:t>European Observatory on Health Systems and Policies (2018). Health Systems in Transition: United Kingdom (England). Available at: https://www.euro.who.int/__data/assets/pdf_file/0006/311292/Health-systems-in-transition-United-Kingdom-England.pdf (Accessed: 11 August 2025).</w:t>
      </w:r>
    </w:p>
    <w:p w14:paraId="502E3516" w14:textId="77777777" w:rsidR="004A7295" w:rsidRDefault="00000000">
      <w:pPr>
        <w:pStyle w:val="Heading1"/>
        <w:spacing w:before="240" w:line="276" w:lineRule="auto"/>
        <w:jc w:val="both"/>
        <w:rPr>
          <w:rFonts w:cs="Arial"/>
          <w:b w:val="0"/>
          <w:bCs/>
          <w:sz w:val="22"/>
          <w:szCs w:val="22"/>
        </w:rPr>
      </w:pPr>
      <w:r>
        <w:rPr>
          <w:rFonts w:cs="Arial"/>
          <w:b w:val="0"/>
          <w:bCs/>
          <w:sz w:val="22"/>
          <w:szCs w:val="22"/>
        </w:rPr>
        <w:t xml:space="preserve">Financial Times (2023). How Integrated Care Services are Helping Older Patients. Available at: </w:t>
      </w:r>
      <w:proofErr w:type="gramStart"/>
      <w:r>
        <w:rPr>
          <w:rFonts w:cs="Arial"/>
          <w:b w:val="0"/>
          <w:bCs/>
          <w:sz w:val="22"/>
          <w:szCs w:val="22"/>
        </w:rPr>
        <w:t>https://www.ft.com/content/21f68bf3-c56e-4910-9e94-7cd3cd707519  (</w:t>
      </w:r>
      <w:proofErr w:type="gramEnd"/>
      <w:r>
        <w:rPr>
          <w:rFonts w:cs="Arial"/>
          <w:b w:val="0"/>
          <w:bCs/>
          <w:sz w:val="22"/>
          <w:szCs w:val="22"/>
        </w:rPr>
        <w:t>Accessed: 27 July 2025).</w:t>
      </w:r>
    </w:p>
    <w:p w14:paraId="502E3517" w14:textId="77777777" w:rsidR="004A7295" w:rsidRDefault="00000000">
      <w:pPr>
        <w:pStyle w:val="Heading1"/>
        <w:spacing w:before="240" w:line="276" w:lineRule="auto"/>
        <w:jc w:val="both"/>
        <w:rPr>
          <w:rFonts w:cs="Arial"/>
          <w:b w:val="0"/>
          <w:bCs/>
          <w:sz w:val="22"/>
          <w:szCs w:val="22"/>
        </w:rPr>
      </w:pPr>
      <w:r>
        <w:rPr>
          <w:rFonts w:cs="Arial"/>
          <w:b w:val="0"/>
          <w:bCs/>
          <w:sz w:val="22"/>
          <w:szCs w:val="22"/>
        </w:rPr>
        <w:t>Finlay, L. (2002). Negotiating the swamp: The opportunity and challenge of reflexivity in research practice. Qualitative Research, 2(2), pp. 209–230. Available at: https://doi.org/10.1177/146879410200200205 (Accessed: 05 September 2025).</w:t>
      </w:r>
    </w:p>
    <w:p w14:paraId="502E3518" w14:textId="77777777" w:rsidR="004A7295" w:rsidRDefault="00000000">
      <w:pPr>
        <w:pStyle w:val="Heading1"/>
        <w:spacing w:before="240" w:line="276" w:lineRule="auto"/>
        <w:jc w:val="both"/>
        <w:rPr>
          <w:rFonts w:cs="Arial"/>
          <w:b w:val="0"/>
          <w:bCs/>
          <w:sz w:val="22"/>
          <w:szCs w:val="22"/>
        </w:rPr>
      </w:pPr>
      <w:r>
        <w:rPr>
          <w:rFonts w:cs="Arial"/>
          <w:b w:val="0"/>
          <w:bCs/>
          <w:sz w:val="22"/>
          <w:szCs w:val="22"/>
        </w:rPr>
        <w:t xml:space="preserve">Finlay, L. (2021). Thematic analysis: The ‘good’, the ‘bad’ and the ‘ugly’. European Journal for Qualitative Research in Psychotherapy, 11, pp.103-116.Available at: https://openjournals.ljmu.ac.uk/ejqrp/article/view/3062 (Accessed: 21 September 2025). </w:t>
      </w:r>
    </w:p>
    <w:p w14:paraId="502E3519" w14:textId="77777777" w:rsidR="004A7295" w:rsidRDefault="00000000">
      <w:pPr>
        <w:pStyle w:val="Heading1"/>
        <w:spacing w:before="240" w:line="276" w:lineRule="auto"/>
        <w:jc w:val="both"/>
        <w:rPr>
          <w:rFonts w:cs="Arial"/>
          <w:b w:val="0"/>
          <w:bCs/>
          <w:sz w:val="22"/>
          <w:szCs w:val="22"/>
        </w:rPr>
      </w:pPr>
      <w:r>
        <w:rPr>
          <w:rFonts w:cs="Arial"/>
          <w:b w:val="0"/>
          <w:bCs/>
          <w:sz w:val="22"/>
          <w:szCs w:val="22"/>
        </w:rPr>
        <w:lastRenderedPageBreak/>
        <w:t xml:space="preserve">Forder, J.E., </w:t>
      </w:r>
      <w:proofErr w:type="spellStart"/>
      <w:r>
        <w:rPr>
          <w:rFonts w:cs="Arial"/>
          <w:b w:val="0"/>
          <w:bCs/>
          <w:sz w:val="22"/>
          <w:szCs w:val="22"/>
        </w:rPr>
        <w:t>Caiels</w:t>
      </w:r>
      <w:proofErr w:type="spellEnd"/>
      <w:r>
        <w:rPr>
          <w:rFonts w:cs="Arial"/>
          <w:b w:val="0"/>
          <w:bCs/>
          <w:sz w:val="22"/>
          <w:szCs w:val="22"/>
        </w:rPr>
        <w:t xml:space="preserve">, J., Harlock, J., </w:t>
      </w:r>
      <w:proofErr w:type="spellStart"/>
      <w:r>
        <w:rPr>
          <w:rFonts w:cs="Arial"/>
          <w:b w:val="0"/>
          <w:bCs/>
          <w:sz w:val="22"/>
          <w:szCs w:val="22"/>
        </w:rPr>
        <w:t>Wistow</w:t>
      </w:r>
      <w:proofErr w:type="spellEnd"/>
      <w:r>
        <w:rPr>
          <w:rFonts w:cs="Arial"/>
          <w:b w:val="0"/>
          <w:bCs/>
          <w:sz w:val="22"/>
          <w:szCs w:val="22"/>
        </w:rPr>
        <w:t xml:space="preserve">, G., </w:t>
      </w:r>
      <w:proofErr w:type="spellStart"/>
      <w:r>
        <w:rPr>
          <w:rFonts w:cs="Arial"/>
          <w:b w:val="0"/>
          <w:bCs/>
          <w:sz w:val="22"/>
          <w:szCs w:val="22"/>
        </w:rPr>
        <w:t>Malisauskaite</w:t>
      </w:r>
      <w:proofErr w:type="spellEnd"/>
      <w:r>
        <w:rPr>
          <w:rFonts w:cs="Arial"/>
          <w:b w:val="0"/>
          <w:bCs/>
          <w:sz w:val="22"/>
          <w:szCs w:val="22"/>
        </w:rPr>
        <w:t xml:space="preserve">, G., Peters, M., Marczak, J., </w:t>
      </w:r>
      <w:proofErr w:type="spellStart"/>
      <w:r>
        <w:rPr>
          <w:rFonts w:cs="Arial"/>
          <w:b w:val="0"/>
          <w:bCs/>
          <w:sz w:val="22"/>
          <w:szCs w:val="22"/>
        </w:rPr>
        <w:t>d'Amico</w:t>
      </w:r>
      <w:proofErr w:type="spellEnd"/>
      <w:r>
        <w:rPr>
          <w:rFonts w:cs="Arial"/>
          <w:b w:val="0"/>
          <w:bCs/>
          <w:sz w:val="22"/>
          <w:szCs w:val="22"/>
        </w:rPr>
        <w:t>, F., Fernández, J.L., Fitzpatrick, R. and Jones, K.C. (2018). A system-level evaluation of the Better Care Fund. Available at: https://kar.kent.ac.uk/77827/1/bcf.pdf [Accessed 7 Aug 2025].</w:t>
      </w:r>
    </w:p>
    <w:p w14:paraId="502E351A" w14:textId="77777777" w:rsidR="004A7295" w:rsidRDefault="00000000">
      <w:pPr>
        <w:pStyle w:val="Heading1"/>
        <w:spacing w:before="240" w:line="276" w:lineRule="auto"/>
        <w:jc w:val="both"/>
        <w:rPr>
          <w:rFonts w:cs="Arial"/>
          <w:b w:val="0"/>
          <w:bCs/>
          <w:sz w:val="22"/>
          <w:szCs w:val="22"/>
        </w:rPr>
      </w:pPr>
      <w:r>
        <w:rPr>
          <w:rFonts w:cs="Arial"/>
          <w:b w:val="0"/>
          <w:bCs/>
          <w:sz w:val="22"/>
          <w:szCs w:val="22"/>
        </w:rPr>
        <w:t>Gale, N.K., Heath, G., Cameron, E., Rashid, S. and Redwood, S. (2013). Using the framework method for the analysis of qualitative data in multi-disciplinary health research. BMC Medical Research Methodology, 13(117), pp. 1–8. Available at: https://doi.org/10.1186/1471-2288-13-117 (Accessed: 05 September 2025).</w:t>
      </w:r>
    </w:p>
    <w:p w14:paraId="502E351B" w14:textId="77777777" w:rsidR="004A7295" w:rsidRDefault="00000000">
      <w:pPr>
        <w:pStyle w:val="Heading1"/>
        <w:spacing w:before="240" w:line="276" w:lineRule="auto"/>
        <w:jc w:val="both"/>
        <w:rPr>
          <w:rFonts w:cs="Arial"/>
          <w:b w:val="0"/>
          <w:bCs/>
          <w:sz w:val="22"/>
          <w:szCs w:val="22"/>
        </w:rPr>
      </w:pPr>
      <w:r>
        <w:rPr>
          <w:rFonts w:cs="Arial"/>
          <w:b w:val="0"/>
          <w:bCs/>
          <w:sz w:val="22"/>
          <w:szCs w:val="22"/>
        </w:rPr>
        <w:t>Glasgow, R.E., Orleans, C.T., Wagner, E.H., Curry, S.J. and Solberg, L.I. (2001). Does the Chronic Care Model serve also as a template for improving prevention? The Milbank Quarterly, 79(4), pp.579–612.</w:t>
      </w:r>
    </w:p>
    <w:p w14:paraId="502E351C" w14:textId="77777777" w:rsidR="004A7295" w:rsidRDefault="00000000">
      <w:pPr>
        <w:pStyle w:val="Heading1"/>
        <w:spacing w:before="240" w:line="276" w:lineRule="auto"/>
        <w:jc w:val="both"/>
        <w:rPr>
          <w:rFonts w:cs="Arial"/>
          <w:b w:val="0"/>
          <w:bCs/>
          <w:sz w:val="22"/>
          <w:szCs w:val="22"/>
        </w:rPr>
      </w:pPr>
      <w:r>
        <w:rPr>
          <w:rFonts w:cs="Arial"/>
          <w:b w:val="0"/>
          <w:bCs/>
          <w:sz w:val="22"/>
          <w:szCs w:val="22"/>
        </w:rPr>
        <w:t>Goddard, M. (2023). Integrated Care Systems and health equity in England: Reviewing strategic approaches to reducing inequalities. Journal of Integrated Care, 31(3), pp. 235–249. Available at: https://doi.org/10.1108/JICA-08-2022-0044 (Accessed: 05 August 2025).</w:t>
      </w:r>
    </w:p>
    <w:p w14:paraId="502E351D" w14:textId="77777777" w:rsidR="004A7295" w:rsidRDefault="00000000">
      <w:pPr>
        <w:pStyle w:val="Heading1"/>
        <w:spacing w:before="240" w:line="276" w:lineRule="auto"/>
        <w:jc w:val="both"/>
        <w:rPr>
          <w:rFonts w:cs="Arial"/>
          <w:b w:val="0"/>
          <w:bCs/>
          <w:sz w:val="22"/>
          <w:szCs w:val="22"/>
        </w:rPr>
      </w:pPr>
      <w:r>
        <w:rPr>
          <w:rFonts w:cs="Arial"/>
          <w:b w:val="0"/>
          <w:bCs/>
          <w:sz w:val="22"/>
          <w:szCs w:val="22"/>
        </w:rPr>
        <w:t>Goodwin, N. (2016). Understanding integrated care: A complex process, a fundamental principle. International Journal of Integrated Care, 16(4), pp. 1–4. Available at: https://doi.org/10.5334/ijic.2530 (Accessed: 05 September 2025).</w:t>
      </w:r>
    </w:p>
    <w:p w14:paraId="502E351E" w14:textId="77777777" w:rsidR="004A7295" w:rsidRDefault="00000000">
      <w:pPr>
        <w:pStyle w:val="Heading1"/>
        <w:spacing w:before="240" w:line="276" w:lineRule="auto"/>
        <w:jc w:val="both"/>
        <w:rPr>
          <w:rFonts w:cs="Arial"/>
          <w:b w:val="0"/>
          <w:bCs/>
          <w:sz w:val="22"/>
          <w:szCs w:val="22"/>
        </w:rPr>
      </w:pPr>
      <w:r>
        <w:rPr>
          <w:rFonts w:cs="Arial"/>
          <w:b w:val="0"/>
          <w:bCs/>
          <w:sz w:val="22"/>
          <w:szCs w:val="22"/>
        </w:rPr>
        <w:t>Goodwin, N. (2021). Integrated care systems: The route to better outcomes in England? Journal of Integrated Care, 29(2), pp. 87–</w:t>
      </w:r>
      <w:proofErr w:type="gramStart"/>
      <w:r>
        <w:rPr>
          <w:rFonts w:cs="Arial"/>
          <w:b w:val="0"/>
          <w:bCs/>
          <w:sz w:val="22"/>
          <w:szCs w:val="22"/>
        </w:rPr>
        <w:t>95.Available</w:t>
      </w:r>
      <w:proofErr w:type="gramEnd"/>
      <w:r>
        <w:rPr>
          <w:rFonts w:cs="Arial"/>
          <w:b w:val="0"/>
          <w:bCs/>
          <w:sz w:val="22"/>
          <w:szCs w:val="22"/>
        </w:rPr>
        <w:t xml:space="preserve"> at:  https://doi.org/10.1108/JICA-01-2021-0005 (Accessed: 03 September 2025).</w:t>
      </w:r>
    </w:p>
    <w:p w14:paraId="502E351F" w14:textId="77777777" w:rsidR="004A7295" w:rsidRDefault="00000000">
      <w:pPr>
        <w:pStyle w:val="Heading1"/>
        <w:spacing w:before="240" w:line="276" w:lineRule="auto"/>
        <w:jc w:val="both"/>
        <w:rPr>
          <w:rFonts w:cs="Arial"/>
          <w:b w:val="0"/>
          <w:bCs/>
          <w:sz w:val="22"/>
          <w:szCs w:val="22"/>
        </w:rPr>
      </w:pPr>
      <w:r>
        <w:rPr>
          <w:rFonts w:cs="Arial"/>
          <w:b w:val="0"/>
          <w:bCs/>
          <w:sz w:val="22"/>
          <w:szCs w:val="22"/>
        </w:rPr>
        <w:t>Gorsky, M. (2008). The British National Health Service 1948–2008: a review of the historiography. Social History of Medicine, 21(3), pp.437-460.</w:t>
      </w:r>
    </w:p>
    <w:p w14:paraId="502E3520" w14:textId="77777777" w:rsidR="004A7295" w:rsidRDefault="00000000">
      <w:pPr>
        <w:pStyle w:val="Heading1"/>
        <w:spacing w:before="240" w:line="276" w:lineRule="auto"/>
        <w:jc w:val="both"/>
        <w:rPr>
          <w:rFonts w:cs="Arial"/>
          <w:b w:val="0"/>
          <w:bCs/>
          <w:sz w:val="22"/>
          <w:szCs w:val="22"/>
        </w:rPr>
      </w:pPr>
      <w:r>
        <w:rPr>
          <w:rFonts w:cs="Arial"/>
          <w:b w:val="0"/>
          <w:bCs/>
          <w:sz w:val="22"/>
          <w:szCs w:val="22"/>
        </w:rPr>
        <w:t>Gough, D., Oliver, S. and Thomas, J. (2012). An introduction to systematic reviews. London: Sage.</w:t>
      </w:r>
    </w:p>
    <w:p w14:paraId="502E3521" w14:textId="77777777" w:rsidR="004A7295" w:rsidRDefault="00000000">
      <w:pPr>
        <w:pStyle w:val="Heading1"/>
        <w:spacing w:before="240" w:line="276" w:lineRule="auto"/>
        <w:jc w:val="both"/>
        <w:rPr>
          <w:rFonts w:cs="Arial"/>
          <w:b w:val="0"/>
          <w:bCs/>
          <w:sz w:val="22"/>
          <w:szCs w:val="22"/>
        </w:rPr>
      </w:pPr>
      <w:r>
        <w:rPr>
          <w:rFonts w:cs="Arial"/>
          <w:b w:val="0"/>
          <w:bCs/>
          <w:sz w:val="22"/>
          <w:szCs w:val="22"/>
        </w:rPr>
        <w:t>Greene, J.C. (2007). Mixed methods in social inquiry. San Francisco: Jossey-Bass.</w:t>
      </w:r>
    </w:p>
    <w:p w14:paraId="502E3522" w14:textId="77777777" w:rsidR="004A7295" w:rsidRDefault="00000000">
      <w:pPr>
        <w:pStyle w:val="Heading1"/>
        <w:spacing w:before="240" w:line="276" w:lineRule="auto"/>
        <w:jc w:val="both"/>
        <w:rPr>
          <w:rFonts w:cs="Arial"/>
          <w:b w:val="0"/>
          <w:bCs/>
          <w:sz w:val="22"/>
          <w:szCs w:val="22"/>
        </w:rPr>
      </w:pPr>
      <w:r>
        <w:rPr>
          <w:rFonts w:cs="Arial"/>
          <w:b w:val="0"/>
          <w:bCs/>
          <w:sz w:val="22"/>
          <w:szCs w:val="22"/>
        </w:rPr>
        <w:t>Greenhalgh, T., Papoutsi, C., Plumb, K. and MacFarlane, F. (2016). Studying complexity in health services research: A practical guide. London: Policy Press.</w:t>
      </w:r>
    </w:p>
    <w:p w14:paraId="502E3523" w14:textId="77777777" w:rsidR="004A7295" w:rsidRDefault="00000000">
      <w:pPr>
        <w:pStyle w:val="Heading1"/>
        <w:spacing w:before="240" w:line="276" w:lineRule="auto"/>
        <w:jc w:val="both"/>
        <w:rPr>
          <w:rFonts w:cs="Arial"/>
          <w:b w:val="0"/>
          <w:bCs/>
          <w:sz w:val="22"/>
          <w:szCs w:val="22"/>
        </w:rPr>
      </w:pPr>
      <w:r>
        <w:rPr>
          <w:rFonts w:cs="Arial"/>
          <w:b w:val="0"/>
          <w:bCs/>
          <w:sz w:val="22"/>
          <w:szCs w:val="22"/>
        </w:rPr>
        <w:t>Ham, C., Curry, N. and Thompson, C. (2010). Clinical and service integration: The route to improved outcomes. London: The King's Fund.</w:t>
      </w:r>
    </w:p>
    <w:p w14:paraId="502E3524" w14:textId="77777777" w:rsidR="004A7295" w:rsidRDefault="00000000">
      <w:pPr>
        <w:pStyle w:val="Heading1"/>
        <w:spacing w:before="240" w:line="276" w:lineRule="auto"/>
        <w:jc w:val="both"/>
        <w:rPr>
          <w:rFonts w:cs="Arial"/>
          <w:b w:val="0"/>
          <w:bCs/>
          <w:sz w:val="22"/>
          <w:szCs w:val="22"/>
        </w:rPr>
      </w:pPr>
      <w:r>
        <w:rPr>
          <w:rFonts w:cs="Arial"/>
          <w:b w:val="0"/>
          <w:bCs/>
          <w:sz w:val="22"/>
          <w:szCs w:val="22"/>
        </w:rPr>
        <w:t>Heaton, J. (2004). Reworking qualitative data. London: Sage.</w:t>
      </w:r>
    </w:p>
    <w:p w14:paraId="502E3525" w14:textId="77777777" w:rsidR="004A7295" w:rsidRDefault="00000000">
      <w:pPr>
        <w:pStyle w:val="Heading1"/>
        <w:spacing w:before="240" w:line="276" w:lineRule="auto"/>
        <w:jc w:val="both"/>
        <w:rPr>
          <w:rFonts w:cs="Arial"/>
          <w:b w:val="0"/>
          <w:bCs/>
          <w:sz w:val="22"/>
          <w:szCs w:val="22"/>
        </w:rPr>
      </w:pPr>
      <w:r>
        <w:rPr>
          <w:rFonts w:cs="Arial"/>
          <w:b w:val="0"/>
          <w:bCs/>
          <w:sz w:val="22"/>
          <w:szCs w:val="22"/>
        </w:rPr>
        <w:t>Jain, P., Jain, B., Hammond, A., Sabet, C.J., Rahim, F.O., Patel, T.A., Jain, U., Batra, M. and Lewis, S. (2025). Value-based care: Lessons for the UK’s National Health Service. Value in Health.</w:t>
      </w:r>
    </w:p>
    <w:p w14:paraId="502E3526" w14:textId="77777777" w:rsidR="004A7295" w:rsidRDefault="00000000">
      <w:pPr>
        <w:pStyle w:val="Heading1"/>
        <w:spacing w:before="240" w:line="276" w:lineRule="auto"/>
        <w:jc w:val="both"/>
        <w:rPr>
          <w:rFonts w:cs="Arial"/>
          <w:b w:val="0"/>
          <w:bCs/>
          <w:sz w:val="22"/>
          <w:szCs w:val="22"/>
        </w:rPr>
      </w:pPr>
      <w:r>
        <w:rPr>
          <w:rFonts w:cs="Arial"/>
          <w:b w:val="0"/>
          <w:bCs/>
          <w:sz w:val="22"/>
          <w:szCs w:val="22"/>
        </w:rPr>
        <w:t>Kaehne, A., Birrell, D., Miller, R. and Petch, A. (2017). Bringing integration home: Policy on health and social care integration in the four nations of the UK. Journal of Integrated Care, 25(2), pp.84-98.</w:t>
      </w:r>
    </w:p>
    <w:p w14:paraId="502E3527" w14:textId="77777777" w:rsidR="004A7295" w:rsidRDefault="00000000">
      <w:pPr>
        <w:pStyle w:val="Heading1"/>
        <w:spacing w:before="240" w:line="276" w:lineRule="auto"/>
        <w:jc w:val="both"/>
        <w:rPr>
          <w:rFonts w:cs="Arial"/>
          <w:b w:val="0"/>
          <w:bCs/>
          <w:sz w:val="22"/>
          <w:szCs w:val="22"/>
        </w:rPr>
      </w:pPr>
      <w:r>
        <w:rPr>
          <w:rFonts w:cs="Arial"/>
          <w:b w:val="0"/>
          <w:bCs/>
          <w:sz w:val="22"/>
          <w:szCs w:val="22"/>
        </w:rPr>
        <w:lastRenderedPageBreak/>
        <w:t>Katon, W.J., Lin, E.H.B. and Von Korff, M. (2010). Collaborative care models for depression and chronic disease. Current Opinion in Psychiatry, 23(4), pp.305–309.</w:t>
      </w:r>
    </w:p>
    <w:p w14:paraId="502E3528" w14:textId="77777777" w:rsidR="004A7295" w:rsidRDefault="00000000">
      <w:pPr>
        <w:pStyle w:val="Heading1"/>
        <w:spacing w:before="240" w:line="276" w:lineRule="auto"/>
        <w:jc w:val="both"/>
        <w:rPr>
          <w:rFonts w:cs="Arial"/>
          <w:b w:val="0"/>
          <w:bCs/>
          <w:sz w:val="22"/>
          <w:szCs w:val="22"/>
        </w:rPr>
      </w:pPr>
      <w:r>
        <w:rPr>
          <w:rFonts w:cs="Arial"/>
          <w:b w:val="0"/>
          <w:bCs/>
          <w:sz w:val="22"/>
          <w:szCs w:val="22"/>
        </w:rPr>
        <w:t>Kaur, K., Mutanda, D., Almond, P., Pandey, A., Young, P., Levitan, T. and Bibby-Jones, A.M. (2023). A co-produced service evaluation of ethnic minority community service user experiences of a specialist mental health service during the COVID-19 pandemic. BMC Health Services Research, 23(1), p.1107.</w:t>
      </w:r>
    </w:p>
    <w:p w14:paraId="502E3529" w14:textId="77777777" w:rsidR="004A7295" w:rsidRDefault="00000000">
      <w:pPr>
        <w:pStyle w:val="Heading1"/>
        <w:spacing w:before="240" w:line="276" w:lineRule="auto"/>
        <w:jc w:val="both"/>
        <w:rPr>
          <w:rFonts w:cs="Arial"/>
          <w:b w:val="0"/>
          <w:bCs/>
          <w:sz w:val="22"/>
          <w:szCs w:val="22"/>
        </w:rPr>
      </w:pPr>
      <w:r>
        <w:rPr>
          <w:rFonts w:cs="Arial"/>
          <w:b w:val="0"/>
          <w:bCs/>
          <w:sz w:val="22"/>
          <w:szCs w:val="22"/>
        </w:rPr>
        <w:t>Khan, F., Davies, A. and Lewis, R. (2024). Implementing integrated care for older adults with frailty: A qualitative study of the Luton Frailty Framework in England. BMC Geriatrics, 24(1), pp. 1–</w:t>
      </w:r>
      <w:proofErr w:type="gramStart"/>
      <w:r>
        <w:rPr>
          <w:rFonts w:cs="Arial"/>
          <w:b w:val="0"/>
          <w:bCs/>
          <w:sz w:val="22"/>
          <w:szCs w:val="22"/>
        </w:rPr>
        <w:t>15.Available</w:t>
      </w:r>
      <w:proofErr w:type="gramEnd"/>
      <w:r>
        <w:rPr>
          <w:rFonts w:cs="Arial"/>
          <w:b w:val="0"/>
          <w:bCs/>
          <w:sz w:val="22"/>
          <w:szCs w:val="22"/>
        </w:rPr>
        <w:t xml:space="preserve"> at:  https://doi.org/10.1186/s12877-024-05412-4 (Accessed: 11 August 2025).</w:t>
      </w:r>
    </w:p>
    <w:p w14:paraId="502E352B" w14:textId="77777777" w:rsidR="004A7295" w:rsidRDefault="00000000">
      <w:pPr>
        <w:pStyle w:val="Heading1"/>
        <w:spacing w:before="240" w:line="276" w:lineRule="auto"/>
        <w:jc w:val="both"/>
        <w:rPr>
          <w:rFonts w:cs="Arial"/>
          <w:b w:val="0"/>
          <w:bCs/>
          <w:sz w:val="22"/>
          <w:szCs w:val="22"/>
        </w:rPr>
      </w:pPr>
      <w:r>
        <w:rPr>
          <w:rFonts w:cs="Arial"/>
          <w:b w:val="0"/>
          <w:bCs/>
          <w:sz w:val="22"/>
          <w:szCs w:val="22"/>
        </w:rPr>
        <w:t>Knowles, S.E., Chew-Graham, C., Adeyemi, I., Coupe, N. and Coventry, P.A. (2015). Managing depression in people with multimorbidity: A qualitative evaluation of an integrated collaborative care model. BMC Family Practice, 16(32), pp. 1–10. Available at: https://doi.org/10.1186/s12875-015-0246-5 (Accessed: 05 September 2025).</w:t>
      </w:r>
    </w:p>
    <w:p w14:paraId="502E352C" w14:textId="77777777" w:rsidR="004A7295" w:rsidRDefault="00000000">
      <w:pPr>
        <w:pStyle w:val="Heading1"/>
        <w:spacing w:before="240" w:line="276" w:lineRule="auto"/>
        <w:jc w:val="both"/>
        <w:rPr>
          <w:rFonts w:cs="Arial"/>
          <w:b w:val="0"/>
          <w:bCs/>
          <w:sz w:val="22"/>
          <w:szCs w:val="22"/>
        </w:rPr>
      </w:pPr>
      <w:r>
        <w:rPr>
          <w:rFonts w:cs="Arial"/>
          <w:b w:val="0"/>
          <w:bCs/>
          <w:sz w:val="22"/>
          <w:szCs w:val="22"/>
        </w:rPr>
        <w:t>Koch, T. and Kralik, D. (2006). Participatory action research in health care. Oxford: Blackwell.</w:t>
      </w:r>
    </w:p>
    <w:p w14:paraId="502E352D" w14:textId="77777777" w:rsidR="004A7295" w:rsidRDefault="00000000">
      <w:pPr>
        <w:pStyle w:val="Heading1"/>
        <w:spacing w:before="240" w:line="276" w:lineRule="auto"/>
        <w:jc w:val="both"/>
        <w:rPr>
          <w:rFonts w:cs="Arial"/>
          <w:b w:val="0"/>
          <w:bCs/>
          <w:sz w:val="22"/>
          <w:szCs w:val="22"/>
        </w:rPr>
      </w:pPr>
      <w:r>
        <w:rPr>
          <w:rFonts w:cs="Arial"/>
          <w:b w:val="0"/>
          <w:bCs/>
          <w:sz w:val="22"/>
          <w:szCs w:val="22"/>
        </w:rPr>
        <w:t xml:space="preserve">Kodner, D.L. and </w:t>
      </w:r>
      <w:proofErr w:type="spellStart"/>
      <w:r>
        <w:rPr>
          <w:rFonts w:cs="Arial"/>
          <w:b w:val="0"/>
          <w:bCs/>
          <w:sz w:val="22"/>
          <w:szCs w:val="22"/>
        </w:rPr>
        <w:t>Spreeuwenberg</w:t>
      </w:r>
      <w:proofErr w:type="spellEnd"/>
      <w:r>
        <w:rPr>
          <w:rFonts w:cs="Arial"/>
          <w:b w:val="0"/>
          <w:bCs/>
          <w:sz w:val="22"/>
          <w:szCs w:val="22"/>
        </w:rPr>
        <w:t>, C. (2002). ‘Integrated care: Meaning, logic, applications, and implications’, International Journal of Integrated Care, 2(4), pp. 1-6.</w:t>
      </w:r>
    </w:p>
    <w:p w14:paraId="502E352E" w14:textId="77777777" w:rsidR="004A7295" w:rsidRDefault="00000000">
      <w:pPr>
        <w:pStyle w:val="Heading1"/>
        <w:spacing w:before="240" w:line="276" w:lineRule="auto"/>
        <w:jc w:val="both"/>
        <w:rPr>
          <w:rFonts w:cs="Arial"/>
          <w:b w:val="0"/>
          <w:bCs/>
          <w:sz w:val="22"/>
          <w:szCs w:val="22"/>
        </w:rPr>
      </w:pPr>
      <w:r>
        <w:rPr>
          <w:rFonts w:cs="Arial"/>
          <w:b w:val="0"/>
          <w:bCs/>
          <w:sz w:val="22"/>
          <w:szCs w:val="22"/>
        </w:rPr>
        <w:t>Kozlowska, O., Lumb, A., Tan, G.D. and Rea, R. (2018). Barriers and facilitators to integrating primary and specialist healthcare in the United Kingdom: a narrative literature review. Future healthcare journal, 5(1), pp.64-80.</w:t>
      </w:r>
    </w:p>
    <w:p w14:paraId="502E352F" w14:textId="77777777" w:rsidR="004A7295" w:rsidRDefault="00000000">
      <w:pPr>
        <w:pStyle w:val="Heading1"/>
        <w:spacing w:before="240" w:line="276" w:lineRule="auto"/>
        <w:jc w:val="both"/>
        <w:rPr>
          <w:rFonts w:cs="Arial"/>
          <w:b w:val="0"/>
          <w:bCs/>
          <w:sz w:val="22"/>
          <w:szCs w:val="22"/>
        </w:rPr>
      </w:pPr>
      <w:proofErr w:type="spellStart"/>
      <w:r>
        <w:rPr>
          <w:rFonts w:cs="Arial"/>
          <w:b w:val="0"/>
          <w:bCs/>
          <w:sz w:val="22"/>
          <w:szCs w:val="22"/>
        </w:rPr>
        <w:t>Kufile</w:t>
      </w:r>
      <w:proofErr w:type="spellEnd"/>
      <w:r>
        <w:rPr>
          <w:rFonts w:cs="Arial"/>
          <w:b w:val="0"/>
          <w:bCs/>
          <w:sz w:val="22"/>
          <w:szCs w:val="22"/>
        </w:rPr>
        <w:t xml:space="preserve">, O.T., Akinrinoye, O.V., Onifade, A.Y., Ejike, O.G., </w:t>
      </w:r>
      <w:proofErr w:type="spellStart"/>
      <w:r>
        <w:rPr>
          <w:rFonts w:cs="Arial"/>
          <w:b w:val="0"/>
          <w:bCs/>
          <w:sz w:val="22"/>
          <w:szCs w:val="22"/>
        </w:rPr>
        <w:t>Otokiti</w:t>
      </w:r>
      <w:proofErr w:type="spellEnd"/>
      <w:r>
        <w:rPr>
          <w:rFonts w:cs="Arial"/>
          <w:b w:val="0"/>
          <w:bCs/>
          <w:sz w:val="22"/>
          <w:szCs w:val="22"/>
        </w:rPr>
        <w:t xml:space="preserve">, B.O. and </w:t>
      </w:r>
      <w:proofErr w:type="spellStart"/>
      <w:r>
        <w:rPr>
          <w:rFonts w:cs="Arial"/>
          <w:b w:val="0"/>
          <w:bCs/>
          <w:sz w:val="22"/>
          <w:szCs w:val="22"/>
        </w:rPr>
        <w:t>Umezurike</w:t>
      </w:r>
      <w:proofErr w:type="spellEnd"/>
      <w:r>
        <w:rPr>
          <w:rFonts w:cs="Arial"/>
          <w:b w:val="0"/>
          <w:bCs/>
          <w:sz w:val="22"/>
          <w:szCs w:val="22"/>
        </w:rPr>
        <w:t>, S.A. (2023). Developing conceptual attribution models for cross-platform marketing performance evaluation. International Journal of Multidisciplinary Research and Growth Evaluation, 4(2), pp.844-854. Available at: https://www.allmultidisciplinaryjournal.com/uploads/archives/20250630154207_MGE-2025-3-408.1.pdf (Accessed: 21 September 2025).</w:t>
      </w:r>
    </w:p>
    <w:p w14:paraId="502E3531" w14:textId="77777777" w:rsidR="004A7295" w:rsidRDefault="00000000">
      <w:pPr>
        <w:pStyle w:val="Heading1"/>
        <w:spacing w:before="240" w:line="276" w:lineRule="auto"/>
        <w:jc w:val="both"/>
        <w:rPr>
          <w:rFonts w:cs="Arial"/>
          <w:b w:val="0"/>
          <w:bCs/>
          <w:sz w:val="22"/>
          <w:szCs w:val="22"/>
        </w:rPr>
      </w:pPr>
      <w:r>
        <w:rPr>
          <w:rFonts w:cs="Arial"/>
          <w:b w:val="0"/>
          <w:bCs/>
          <w:sz w:val="22"/>
          <w:szCs w:val="22"/>
        </w:rPr>
        <w:t>Lords, H. (2017). The long-term sustainability of the NHS and adult social care. London: House of Lords.</w:t>
      </w:r>
    </w:p>
    <w:p w14:paraId="502E3532" w14:textId="77777777" w:rsidR="004A7295" w:rsidRDefault="00000000">
      <w:pPr>
        <w:pStyle w:val="Heading1"/>
        <w:spacing w:before="240" w:line="276" w:lineRule="auto"/>
        <w:jc w:val="both"/>
        <w:rPr>
          <w:rFonts w:cs="Arial"/>
          <w:b w:val="0"/>
          <w:bCs/>
          <w:sz w:val="22"/>
          <w:szCs w:val="22"/>
        </w:rPr>
      </w:pPr>
      <w:r>
        <w:rPr>
          <w:rFonts w:cs="Arial"/>
          <w:b w:val="0"/>
          <w:bCs/>
          <w:sz w:val="22"/>
          <w:szCs w:val="22"/>
        </w:rPr>
        <w:t xml:space="preserve">Lorne, C., Allen, P., </w:t>
      </w:r>
      <w:proofErr w:type="spellStart"/>
      <w:r>
        <w:rPr>
          <w:rFonts w:cs="Arial"/>
          <w:b w:val="0"/>
          <w:bCs/>
          <w:sz w:val="22"/>
          <w:szCs w:val="22"/>
        </w:rPr>
        <w:t>Checkland</w:t>
      </w:r>
      <w:proofErr w:type="spellEnd"/>
      <w:r>
        <w:rPr>
          <w:rFonts w:cs="Arial"/>
          <w:b w:val="0"/>
          <w:bCs/>
          <w:sz w:val="22"/>
          <w:szCs w:val="22"/>
        </w:rPr>
        <w:t xml:space="preserve">, K., </w:t>
      </w:r>
      <w:proofErr w:type="spellStart"/>
      <w:r>
        <w:rPr>
          <w:rFonts w:cs="Arial"/>
          <w:b w:val="0"/>
          <w:bCs/>
          <w:sz w:val="22"/>
          <w:szCs w:val="22"/>
        </w:rPr>
        <w:t>Osipovic</w:t>
      </w:r>
      <w:proofErr w:type="spellEnd"/>
      <w:r>
        <w:rPr>
          <w:rFonts w:cs="Arial"/>
          <w:b w:val="0"/>
          <w:bCs/>
          <w:sz w:val="22"/>
          <w:szCs w:val="22"/>
        </w:rPr>
        <w:t>, D., Sanderson, M., Hammond, J. and Peckham, S. (2019). Integrated care systems: What can current reforms learn from past research on regional co-ordination of health and care in England? A literature review. Available at: https://oro.open.ac.uk/69278/ [Accessed 1 Aug 2025].</w:t>
      </w:r>
    </w:p>
    <w:p w14:paraId="502E3533" w14:textId="77777777" w:rsidR="004A7295" w:rsidRDefault="00000000">
      <w:pPr>
        <w:pStyle w:val="Heading1"/>
        <w:spacing w:before="240" w:line="276" w:lineRule="auto"/>
        <w:jc w:val="both"/>
        <w:rPr>
          <w:rFonts w:cs="Arial"/>
          <w:b w:val="0"/>
          <w:bCs/>
          <w:sz w:val="22"/>
          <w:szCs w:val="22"/>
        </w:rPr>
      </w:pPr>
      <w:r>
        <w:rPr>
          <w:rFonts w:cs="Arial"/>
          <w:b w:val="0"/>
          <w:bCs/>
          <w:sz w:val="22"/>
          <w:szCs w:val="22"/>
        </w:rPr>
        <w:t>MacInnes, J., Allan, P., Graham, C. and Saunders, S. (2020). Continuity and coordination of integrated care for older adults: A case study approach. International Journal of Integrated Care, 20(4), pp. 1–10. Available at: https://doi.org/10.5334/ijic.5457 (Accessed: 11 August 2025).</w:t>
      </w:r>
    </w:p>
    <w:p w14:paraId="502E3535" w14:textId="77777777" w:rsidR="004A7295" w:rsidRDefault="00000000">
      <w:pPr>
        <w:pStyle w:val="Heading1"/>
        <w:spacing w:before="240" w:line="276" w:lineRule="auto"/>
        <w:jc w:val="both"/>
        <w:rPr>
          <w:rFonts w:cs="Arial"/>
          <w:b w:val="0"/>
          <w:bCs/>
          <w:sz w:val="22"/>
          <w:szCs w:val="22"/>
        </w:rPr>
      </w:pPr>
      <w:r>
        <w:rPr>
          <w:rFonts w:cs="Arial"/>
          <w:b w:val="0"/>
          <w:bCs/>
          <w:sz w:val="22"/>
          <w:szCs w:val="22"/>
        </w:rPr>
        <w:t xml:space="preserve">Mackieson, P., Shlonsky, A. and Connolly, M. (2019). Increasing rigor and reducing bias in qualitative research: A document analysis of parliamentary debates using applied thematic </w:t>
      </w:r>
      <w:r>
        <w:rPr>
          <w:rFonts w:cs="Arial"/>
          <w:b w:val="0"/>
          <w:bCs/>
          <w:sz w:val="22"/>
          <w:szCs w:val="22"/>
        </w:rPr>
        <w:lastRenderedPageBreak/>
        <w:t xml:space="preserve">analysis. Qualitative social work, 18(6), pp.965-980.Available at: https://journals.sagepub.com/doi/abs/10.1177/1473325018786996 (Accessed: 23 September 2025). </w:t>
      </w:r>
    </w:p>
    <w:p w14:paraId="502E3536" w14:textId="77777777" w:rsidR="004A7295" w:rsidRDefault="00000000">
      <w:pPr>
        <w:pStyle w:val="Heading1"/>
        <w:spacing w:before="240" w:line="276" w:lineRule="auto"/>
        <w:jc w:val="both"/>
        <w:rPr>
          <w:rFonts w:cs="Arial"/>
          <w:b w:val="0"/>
          <w:bCs/>
          <w:sz w:val="22"/>
          <w:szCs w:val="22"/>
        </w:rPr>
      </w:pPr>
      <w:r>
        <w:rPr>
          <w:rFonts w:cs="Arial"/>
          <w:b w:val="0"/>
          <w:bCs/>
          <w:sz w:val="22"/>
          <w:szCs w:val="22"/>
        </w:rPr>
        <w:t>Makhoul, J., Chehab, R.F., Shaito, Z. and Sibai, A.M. (2018). A scoping review of reporting ‘Ethical Research Practices’ in research conducted among refugees and war-affected populations in the Arab world. BMC Medical Ethics, 19(1), p.36.Available at: https://link.springer.com/article/10.1186/s12910-018-0277-2 (Accessed: 22 September 2025).</w:t>
      </w:r>
    </w:p>
    <w:p w14:paraId="502E3537" w14:textId="77777777" w:rsidR="004A7295" w:rsidRDefault="00000000">
      <w:pPr>
        <w:pStyle w:val="Heading1"/>
        <w:spacing w:before="240" w:line="276" w:lineRule="auto"/>
        <w:jc w:val="both"/>
        <w:rPr>
          <w:rFonts w:cs="Arial"/>
          <w:b w:val="0"/>
          <w:bCs/>
          <w:sz w:val="22"/>
          <w:szCs w:val="22"/>
        </w:rPr>
      </w:pPr>
      <w:r>
        <w:rPr>
          <w:rFonts w:cs="Arial"/>
          <w:b w:val="0"/>
          <w:bCs/>
          <w:sz w:val="22"/>
          <w:szCs w:val="22"/>
        </w:rPr>
        <w:t>Mays, N., Dixon, A. and Jones, L. (2017). The NHS: A Brief History of the UK’s National Health Service. London: The Nuffield Trust.</w:t>
      </w:r>
    </w:p>
    <w:p w14:paraId="502E3538" w14:textId="77777777" w:rsidR="004A7295" w:rsidRDefault="00000000">
      <w:pPr>
        <w:pStyle w:val="Heading1"/>
        <w:spacing w:before="240" w:line="276" w:lineRule="auto"/>
        <w:jc w:val="both"/>
        <w:rPr>
          <w:rFonts w:cs="Arial"/>
          <w:b w:val="0"/>
          <w:bCs/>
          <w:sz w:val="22"/>
          <w:szCs w:val="22"/>
        </w:rPr>
      </w:pPr>
      <w:r>
        <w:rPr>
          <w:rFonts w:cs="Arial"/>
          <w:b w:val="0"/>
          <w:bCs/>
          <w:sz w:val="22"/>
          <w:szCs w:val="22"/>
        </w:rPr>
        <w:t>McColl, A. et al. (2014). Primary Care and Public Health: A Critical Challenge in Integrated Care. Toronto: University of Toronto Press.</w:t>
      </w:r>
    </w:p>
    <w:p w14:paraId="502E3539" w14:textId="77777777" w:rsidR="004A7295" w:rsidRDefault="00000000">
      <w:pPr>
        <w:pStyle w:val="Heading1"/>
        <w:spacing w:before="240" w:line="276" w:lineRule="auto"/>
        <w:jc w:val="both"/>
        <w:rPr>
          <w:rFonts w:cs="Arial"/>
          <w:b w:val="0"/>
          <w:bCs/>
          <w:sz w:val="22"/>
          <w:szCs w:val="22"/>
        </w:rPr>
      </w:pPr>
      <w:r>
        <w:rPr>
          <w:rFonts w:cs="Arial"/>
          <w:b w:val="0"/>
          <w:bCs/>
          <w:sz w:val="22"/>
          <w:szCs w:val="22"/>
        </w:rPr>
        <w:t xml:space="preserve">Moser, A. and </w:t>
      </w:r>
      <w:proofErr w:type="spellStart"/>
      <w:r>
        <w:rPr>
          <w:rFonts w:cs="Arial"/>
          <w:b w:val="0"/>
          <w:bCs/>
          <w:sz w:val="22"/>
          <w:szCs w:val="22"/>
        </w:rPr>
        <w:t>Korstjens</w:t>
      </w:r>
      <w:proofErr w:type="spellEnd"/>
      <w:r>
        <w:rPr>
          <w:rFonts w:cs="Arial"/>
          <w:b w:val="0"/>
          <w:bCs/>
          <w:sz w:val="22"/>
          <w:szCs w:val="22"/>
        </w:rPr>
        <w:t>, I. (2018). Series: Practical guidance to qualitative research. Part 3: Sampling, data collection and analysis. European Journal of General Practice, 24(1), pp. 9–18. Available at: https://doi.org/10.1080/13814788.2017.1375091 (Accessed: 05 September 2025).</w:t>
      </w:r>
    </w:p>
    <w:p w14:paraId="502E353A" w14:textId="77777777" w:rsidR="004A7295" w:rsidRDefault="00000000">
      <w:pPr>
        <w:pStyle w:val="Heading1"/>
        <w:spacing w:before="240" w:line="276" w:lineRule="auto"/>
        <w:jc w:val="both"/>
        <w:rPr>
          <w:rFonts w:cs="Arial"/>
          <w:b w:val="0"/>
          <w:bCs/>
          <w:sz w:val="22"/>
          <w:szCs w:val="22"/>
        </w:rPr>
      </w:pPr>
      <w:r>
        <w:rPr>
          <w:rFonts w:cs="Arial"/>
          <w:b w:val="0"/>
          <w:bCs/>
          <w:sz w:val="22"/>
          <w:szCs w:val="22"/>
        </w:rPr>
        <w:t>National Audit Office (2018) The Health and Social Care Interface. London: NAO.</w:t>
      </w:r>
    </w:p>
    <w:p w14:paraId="502E353B" w14:textId="77777777" w:rsidR="004A7295" w:rsidRDefault="00000000">
      <w:pPr>
        <w:pStyle w:val="Heading1"/>
        <w:spacing w:before="240" w:line="276" w:lineRule="auto"/>
        <w:jc w:val="both"/>
        <w:rPr>
          <w:rFonts w:cs="Arial"/>
          <w:b w:val="0"/>
          <w:bCs/>
          <w:sz w:val="22"/>
          <w:szCs w:val="22"/>
        </w:rPr>
      </w:pPr>
      <w:r>
        <w:rPr>
          <w:rFonts w:cs="Arial"/>
          <w:b w:val="0"/>
          <w:bCs/>
          <w:sz w:val="22"/>
          <w:szCs w:val="22"/>
        </w:rPr>
        <w:t>NHS England (2014). The NHS Five Year Forward View. Available at: https://www.england.nhs.uk/ (Accessed: 12 August 2025).</w:t>
      </w:r>
    </w:p>
    <w:p w14:paraId="502E353C" w14:textId="77777777" w:rsidR="004A7295" w:rsidRDefault="00000000">
      <w:pPr>
        <w:pStyle w:val="Heading1"/>
        <w:spacing w:before="240" w:line="276" w:lineRule="auto"/>
        <w:jc w:val="both"/>
        <w:rPr>
          <w:rFonts w:cs="Arial"/>
          <w:b w:val="0"/>
          <w:bCs/>
          <w:sz w:val="22"/>
          <w:szCs w:val="22"/>
        </w:rPr>
      </w:pPr>
      <w:r>
        <w:rPr>
          <w:rFonts w:cs="Arial"/>
          <w:b w:val="0"/>
          <w:bCs/>
          <w:sz w:val="22"/>
          <w:szCs w:val="22"/>
        </w:rPr>
        <w:t>NHS England (2015). The Forward View into action: New Care Models. [online] Available at: https://www.england.nhs.uk [Accessed 4 Aug 2025].</w:t>
      </w:r>
    </w:p>
    <w:p w14:paraId="502E353D" w14:textId="77777777" w:rsidR="004A7295" w:rsidRDefault="00000000">
      <w:pPr>
        <w:pStyle w:val="Heading1"/>
        <w:spacing w:before="240" w:line="276" w:lineRule="auto"/>
        <w:jc w:val="both"/>
        <w:rPr>
          <w:rFonts w:cs="Arial"/>
          <w:b w:val="0"/>
          <w:bCs/>
          <w:sz w:val="22"/>
          <w:szCs w:val="22"/>
        </w:rPr>
      </w:pPr>
      <w:r>
        <w:rPr>
          <w:rFonts w:cs="Arial"/>
          <w:b w:val="0"/>
          <w:bCs/>
          <w:sz w:val="22"/>
          <w:szCs w:val="22"/>
        </w:rPr>
        <w:t>NHS England (2019). The NHS Long Term Plan. Available at: https://www.longtermplan.nhs.uk/ (Accessed: 28 July 2025).</w:t>
      </w:r>
    </w:p>
    <w:p w14:paraId="502E353E" w14:textId="77777777" w:rsidR="004A7295" w:rsidRDefault="00000000">
      <w:pPr>
        <w:pStyle w:val="Heading1"/>
        <w:spacing w:before="240" w:line="276" w:lineRule="auto"/>
        <w:jc w:val="both"/>
        <w:rPr>
          <w:rFonts w:cs="Arial"/>
          <w:b w:val="0"/>
          <w:bCs/>
          <w:sz w:val="22"/>
          <w:szCs w:val="22"/>
        </w:rPr>
      </w:pPr>
      <w:r>
        <w:rPr>
          <w:rFonts w:cs="Arial"/>
          <w:b w:val="0"/>
          <w:bCs/>
          <w:sz w:val="22"/>
          <w:szCs w:val="22"/>
        </w:rPr>
        <w:t>NHS England (2021). Integrated Care Systems. Available at: https://www.england.nhs.uk/integrated-care/ (Accessed: 12 August 2025).</w:t>
      </w:r>
    </w:p>
    <w:p w14:paraId="502E353F" w14:textId="77777777" w:rsidR="004A7295" w:rsidRDefault="00000000">
      <w:pPr>
        <w:pStyle w:val="Heading1"/>
        <w:spacing w:before="240" w:line="276" w:lineRule="auto"/>
        <w:jc w:val="both"/>
        <w:rPr>
          <w:rFonts w:cs="Arial"/>
          <w:b w:val="0"/>
          <w:bCs/>
          <w:sz w:val="22"/>
          <w:szCs w:val="22"/>
        </w:rPr>
      </w:pPr>
      <w:r>
        <w:rPr>
          <w:rFonts w:cs="Arial"/>
          <w:b w:val="0"/>
          <w:bCs/>
          <w:sz w:val="22"/>
          <w:szCs w:val="22"/>
        </w:rPr>
        <w:t>NHS England (2022). Integrated Care Systems: Guidance and Principles. Available at: https://www.england.nhs.uk/integratedcare/ (Accessed: 27 July 2025).</w:t>
      </w:r>
    </w:p>
    <w:p w14:paraId="502E3540" w14:textId="77777777" w:rsidR="004A7295" w:rsidRDefault="00000000">
      <w:pPr>
        <w:pStyle w:val="Heading1"/>
        <w:spacing w:before="240" w:line="276" w:lineRule="auto"/>
        <w:jc w:val="both"/>
        <w:rPr>
          <w:rFonts w:cs="Arial"/>
          <w:b w:val="0"/>
          <w:bCs/>
          <w:sz w:val="22"/>
          <w:szCs w:val="22"/>
        </w:rPr>
      </w:pPr>
      <w:r>
        <w:rPr>
          <w:rFonts w:cs="Arial"/>
          <w:b w:val="0"/>
          <w:bCs/>
          <w:sz w:val="22"/>
          <w:szCs w:val="22"/>
        </w:rPr>
        <w:t>NHS England (2023). Integrated Care Systems: Annual Report 2023. Available at: https://www.england.nhs.uk/integratedcare/annual-report-2023/ (Accessed: 27 July 2025).</w:t>
      </w:r>
    </w:p>
    <w:p w14:paraId="502E3541" w14:textId="77777777" w:rsidR="004A7295" w:rsidRDefault="00000000">
      <w:pPr>
        <w:pStyle w:val="Heading1"/>
        <w:spacing w:before="240" w:line="276" w:lineRule="auto"/>
        <w:jc w:val="both"/>
        <w:rPr>
          <w:rFonts w:cs="Arial"/>
          <w:b w:val="0"/>
          <w:bCs/>
          <w:sz w:val="22"/>
          <w:szCs w:val="22"/>
        </w:rPr>
      </w:pPr>
      <w:r>
        <w:rPr>
          <w:rFonts w:cs="Arial"/>
          <w:b w:val="0"/>
          <w:bCs/>
          <w:sz w:val="22"/>
          <w:szCs w:val="22"/>
        </w:rPr>
        <w:t>NHS England (2024). Population Health Management in Lincolnshire ICS. Available at: https://www.england.nhs.uk/long-read/linking-data-and-embedding-a-single-system-wide-population-health-management-approach/ (Accessed: 26 July 2025).</w:t>
      </w:r>
    </w:p>
    <w:p w14:paraId="502E3542" w14:textId="77777777" w:rsidR="004A7295" w:rsidRDefault="00000000">
      <w:pPr>
        <w:pStyle w:val="Heading1"/>
        <w:spacing w:before="240" w:line="276" w:lineRule="auto"/>
        <w:jc w:val="both"/>
        <w:rPr>
          <w:rFonts w:cs="Arial"/>
          <w:b w:val="0"/>
          <w:bCs/>
          <w:sz w:val="22"/>
          <w:szCs w:val="22"/>
        </w:rPr>
      </w:pPr>
      <w:r>
        <w:rPr>
          <w:rFonts w:cs="Arial"/>
          <w:b w:val="0"/>
          <w:bCs/>
          <w:sz w:val="22"/>
          <w:szCs w:val="22"/>
        </w:rPr>
        <w:t>Nowell, L.S., Norris, J.M., White, D.E. and Moules, N.J. (2017). Thematic analysis: Striving to meet the trustworthiness criteria. International Journal of Qualitative Methods, 16(1), pp. 1–13. Available at: https://doi.org/10.1177/1609406917733847 (Accessed: 03 September 2025).</w:t>
      </w:r>
    </w:p>
    <w:p w14:paraId="502E3543" w14:textId="77777777" w:rsidR="004A7295" w:rsidRDefault="00000000">
      <w:pPr>
        <w:pStyle w:val="Heading1"/>
        <w:spacing w:before="240" w:line="276" w:lineRule="auto"/>
        <w:jc w:val="both"/>
        <w:rPr>
          <w:rFonts w:cs="Arial"/>
          <w:b w:val="0"/>
          <w:bCs/>
          <w:sz w:val="22"/>
          <w:szCs w:val="22"/>
        </w:rPr>
      </w:pPr>
      <w:r>
        <w:rPr>
          <w:rFonts w:cs="Arial"/>
          <w:b w:val="0"/>
          <w:bCs/>
          <w:sz w:val="22"/>
          <w:szCs w:val="22"/>
        </w:rPr>
        <w:lastRenderedPageBreak/>
        <w:t>Nutting, P.A., Miller, W.L., Crabtree, B.F., Jaén, C.R., Stewart, E.E. and Stange, K.C. (2009). Initial lessons from the first national demonstration project on practice transformation to a patient-centered medical home. Annals of Family Medicine, 7(3), pp.254–260.</w:t>
      </w:r>
    </w:p>
    <w:p w14:paraId="502E3544" w14:textId="77777777" w:rsidR="004A7295" w:rsidRDefault="00000000">
      <w:pPr>
        <w:pStyle w:val="Heading1"/>
        <w:spacing w:before="240" w:line="276" w:lineRule="auto"/>
        <w:jc w:val="both"/>
        <w:rPr>
          <w:rFonts w:cs="Arial"/>
          <w:b w:val="0"/>
          <w:bCs/>
          <w:sz w:val="22"/>
          <w:szCs w:val="22"/>
        </w:rPr>
      </w:pPr>
      <w:proofErr w:type="spellStart"/>
      <w:r>
        <w:rPr>
          <w:rFonts w:cs="Arial"/>
          <w:b w:val="0"/>
          <w:bCs/>
          <w:sz w:val="22"/>
          <w:szCs w:val="22"/>
        </w:rPr>
        <w:t>Papanicolas</w:t>
      </w:r>
      <w:proofErr w:type="spellEnd"/>
      <w:r>
        <w:rPr>
          <w:rFonts w:cs="Arial"/>
          <w:b w:val="0"/>
          <w:bCs/>
          <w:sz w:val="22"/>
          <w:szCs w:val="22"/>
        </w:rPr>
        <w:t xml:space="preserve">, I., </w:t>
      </w:r>
      <w:proofErr w:type="spellStart"/>
      <w:r>
        <w:rPr>
          <w:rFonts w:cs="Arial"/>
          <w:b w:val="0"/>
          <w:bCs/>
          <w:sz w:val="22"/>
          <w:szCs w:val="22"/>
        </w:rPr>
        <w:t>Woskie</w:t>
      </w:r>
      <w:proofErr w:type="spellEnd"/>
      <w:r>
        <w:rPr>
          <w:rFonts w:cs="Arial"/>
          <w:b w:val="0"/>
          <w:bCs/>
          <w:sz w:val="22"/>
          <w:szCs w:val="22"/>
        </w:rPr>
        <w:t>, L.R. and Jha, A.K. (2018). ‘Health Care Spending in the United States and Other High-Income Countries’, JAMA, 319(10), pp. 1024-1039.</w:t>
      </w:r>
    </w:p>
    <w:p w14:paraId="502E3545" w14:textId="77777777" w:rsidR="004A7295" w:rsidRDefault="00000000">
      <w:pPr>
        <w:pStyle w:val="Heading1"/>
        <w:spacing w:before="240" w:line="276" w:lineRule="auto"/>
        <w:jc w:val="both"/>
        <w:rPr>
          <w:rFonts w:cs="Arial"/>
          <w:b w:val="0"/>
          <w:bCs/>
          <w:sz w:val="22"/>
          <w:szCs w:val="22"/>
        </w:rPr>
      </w:pPr>
      <w:r>
        <w:rPr>
          <w:rFonts w:cs="Arial"/>
          <w:b w:val="0"/>
          <w:bCs/>
          <w:sz w:val="22"/>
          <w:szCs w:val="22"/>
        </w:rPr>
        <w:t>Patton, M.Q. (2015). Qualitative research and evaluation methods. 4th ed. Thousand Oaks, CA: Sage.</w:t>
      </w:r>
    </w:p>
    <w:p w14:paraId="502E3546" w14:textId="77777777" w:rsidR="004A7295" w:rsidRDefault="00000000">
      <w:pPr>
        <w:pStyle w:val="Heading1"/>
        <w:spacing w:before="240" w:line="276" w:lineRule="auto"/>
        <w:jc w:val="both"/>
        <w:rPr>
          <w:rFonts w:cs="Arial"/>
          <w:b w:val="0"/>
          <w:bCs/>
          <w:sz w:val="22"/>
          <w:szCs w:val="22"/>
        </w:rPr>
      </w:pPr>
      <w:r>
        <w:rPr>
          <w:rFonts w:cs="Arial"/>
          <w:b w:val="0"/>
          <w:bCs/>
          <w:sz w:val="22"/>
          <w:szCs w:val="22"/>
        </w:rPr>
        <w:t>Pawson, R. and Tilley, N. (1997). Realistic evaluation. London: Sage.</w:t>
      </w:r>
    </w:p>
    <w:p w14:paraId="502E3547" w14:textId="77777777" w:rsidR="004A7295" w:rsidRDefault="00000000">
      <w:pPr>
        <w:pStyle w:val="Heading1"/>
        <w:spacing w:before="240" w:line="276" w:lineRule="auto"/>
        <w:jc w:val="both"/>
        <w:rPr>
          <w:rFonts w:cs="Arial"/>
          <w:b w:val="0"/>
          <w:bCs/>
          <w:sz w:val="22"/>
          <w:szCs w:val="22"/>
        </w:rPr>
      </w:pPr>
      <w:r>
        <w:rPr>
          <w:rFonts w:cs="Arial"/>
          <w:b w:val="0"/>
          <w:bCs/>
          <w:sz w:val="22"/>
          <w:szCs w:val="22"/>
        </w:rPr>
        <w:t>Preston-Shoot, M., O’Donoghue, F. and Binding, J. (2022). Hope springs: further learning on self-neglect from safeguarding adult reviews and practice. The Journal of Adult Protection, 24(3/4), pp.161-178.</w:t>
      </w:r>
    </w:p>
    <w:p w14:paraId="502E3548" w14:textId="77777777" w:rsidR="004A7295" w:rsidRDefault="00000000">
      <w:pPr>
        <w:pStyle w:val="Heading1"/>
        <w:spacing w:before="240" w:line="276" w:lineRule="auto"/>
        <w:jc w:val="both"/>
        <w:rPr>
          <w:rFonts w:cs="Arial"/>
          <w:b w:val="0"/>
          <w:bCs/>
          <w:sz w:val="22"/>
          <w:szCs w:val="22"/>
        </w:rPr>
      </w:pPr>
      <w:r>
        <w:rPr>
          <w:rFonts w:cs="Arial"/>
          <w:b w:val="0"/>
          <w:bCs/>
          <w:sz w:val="22"/>
          <w:szCs w:val="22"/>
        </w:rPr>
        <w:t>Reason, P. and Bradbury, H. (2008). The SAGE handbook of action research: Participative inquiry and practice. 2nd ed. London: Sage.</w:t>
      </w:r>
    </w:p>
    <w:p w14:paraId="502E3549" w14:textId="77777777" w:rsidR="004A7295" w:rsidRDefault="00000000">
      <w:pPr>
        <w:pStyle w:val="Heading1"/>
        <w:spacing w:before="240" w:line="276" w:lineRule="auto"/>
        <w:jc w:val="both"/>
        <w:rPr>
          <w:rFonts w:cs="Arial"/>
          <w:b w:val="0"/>
          <w:bCs/>
          <w:sz w:val="22"/>
          <w:szCs w:val="22"/>
        </w:rPr>
      </w:pPr>
      <w:r>
        <w:rPr>
          <w:rFonts w:cs="Arial"/>
          <w:b w:val="0"/>
          <w:bCs/>
          <w:sz w:val="22"/>
          <w:szCs w:val="22"/>
        </w:rPr>
        <w:t xml:space="preserve">Reeves, C., Islam, A. and Gentry, T. (2024). The State of Health and Care of Older People in England 2024. Age UK, pp. </w:t>
      </w:r>
    </w:p>
    <w:p w14:paraId="502E354A" w14:textId="77777777" w:rsidR="004A7295" w:rsidRDefault="00000000">
      <w:pPr>
        <w:pStyle w:val="Heading1"/>
        <w:spacing w:before="240" w:line="276" w:lineRule="auto"/>
        <w:jc w:val="both"/>
        <w:rPr>
          <w:rFonts w:cs="Arial"/>
          <w:b w:val="0"/>
          <w:bCs/>
          <w:sz w:val="22"/>
          <w:szCs w:val="22"/>
        </w:rPr>
      </w:pPr>
      <w:r>
        <w:rPr>
          <w:rFonts w:cs="Arial"/>
          <w:b w:val="0"/>
          <w:bCs/>
          <w:sz w:val="22"/>
          <w:szCs w:val="22"/>
        </w:rPr>
        <w:t>Rice, T. (2017). The U.S. Healthcare System and the NHS: Comparative Perspectives. New York: Routledge.</w:t>
      </w:r>
    </w:p>
    <w:p w14:paraId="502E354B" w14:textId="77777777" w:rsidR="004A7295" w:rsidRDefault="00000000">
      <w:pPr>
        <w:pStyle w:val="Heading1"/>
        <w:spacing w:before="240" w:line="276" w:lineRule="auto"/>
        <w:jc w:val="both"/>
        <w:rPr>
          <w:rFonts w:cs="Arial"/>
          <w:b w:val="0"/>
          <w:bCs/>
          <w:sz w:val="22"/>
          <w:szCs w:val="22"/>
        </w:rPr>
      </w:pPr>
      <w:r>
        <w:rPr>
          <w:rFonts w:cs="Arial"/>
          <w:b w:val="0"/>
          <w:bCs/>
          <w:sz w:val="22"/>
          <w:szCs w:val="22"/>
        </w:rPr>
        <w:t>Robertshaw, D. and Cross, A. (2018). Developing integrated dementia care: Insights from the UK workforce. Journal of Integrated Care, 26(2), pp. 162–175. Available at: https://doi.org/10.1108/JICA-10-2017-0043 (Accessed: 11 August 2025).</w:t>
      </w:r>
    </w:p>
    <w:p w14:paraId="502E354C" w14:textId="77777777" w:rsidR="004A7295" w:rsidRDefault="00000000">
      <w:pPr>
        <w:pStyle w:val="Heading1"/>
        <w:spacing w:before="240" w:line="276" w:lineRule="auto"/>
        <w:jc w:val="both"/>
        <w:rPr>
          <w:rFonts w:cs="Arial"/>
          <w:b w:val="0"/>
          <w:bCs/>
          <w:sz w:val="22"/>
          <w:szCs w:val="22"/>
        </w:rPr>
      </w:pPr>
      <w:r>
        <w:rPr>
          <w:rFonts w:cs="Arial"/>
          <w:b w:val="0"/>
          <w:bCs/>
          <w:sz w:val="22"/>
          <w:szCs w:val="22"/>
        </w:rPr>
        <w:t>Robertshaw, D. and Cross, A. (2019). Roles and responsibilities in integrated care for dementia. Journal of Integrated Care, 27(2), pp.131-140.</w:t>
      </w:r>
    </w:p>
    <w:p w14:paraId="502E354D" w14:textId="77777777" w:rsidR="004A7295" w:rsidRDefault="00000000">
      <w:pPr>
        <w:pStyle w:val="Heading1"/>
        <w:spacing w:before="240" w:line="276" w:lineRule="auto"/>
        <w:jc w:val="both"/>
        <w:rPr>
          <w:rFonts w:cs="Arial"/>
          <w:b w:val="0"/>
          <w:bCs/>
          <w:sz w:val="22"/>
          <w:szCs w:val="22"/>
        </w:rPr>
      </w:pPr>
      <w:r>
        <w:rPr>
          <w:rFonts w:cs="Arial"/>
          <w:b w:val="0"/>
          <w:bCs/>
          <w:sz w:val="22"/>
          <w:szCs w:val="22"/>
        </w:rPr>
        <w:t>Royal College of Nursing (2020). Workforce Pressures in the NHS: A Crisis in Care. Available at: https://www.rcn.org.uk/ (Accessed: 12 August 2025).</w:t>
      </w:r>
    </w:p>
    <w:p w14:paraId="502E354E" w14:textId="77777777" w:rsidR="004A7295" w:rsidRDefault="00000000">
      <w:pPr>
        <w:pStyle w:val="Heading1"/>
        <w:spacing w:before="240" w:line="276" w:lineRule="auto"/>
        <w:jc w:val="both"/>
        <w:rPr>
          <w:rFonts w:cs="Arial"/>
          <w:b w:val="0"/>
          <w:bCs/>
          <w:sz w:val="22"/>
          <w:szCs w:val="22"/>
        </w:rPr>
      </w:pPr>
      <w:r>
        <w:rPr>
          <w:rFonts w:cs="Arial"/>
          <w:b w:val="0"/>
          <w:bCs/>
          <w:sz w:val="22"/>
          <w:szCs w:val="22"/>
        </w:rPr>
        <w:t>Russell, G.M., Hogg, W., Lemelin, J. and Dionne, E. (2009). Beyond fighting fires and chasing tails? Chronic illness care plans in Ontario, Canada. Annals of Family Medicine, 7(5), pp.427–434.</w:t>
      </w:r>
    </w:p>
    <w:p w14:paraId="502E354F" w14:textId="77777777" w:rsidR="004A7295" w:rsidRDefault="00000000">
      <w:pPr>
        <w:pStyle w:val="Heading1"/>
        <w:spacing w:before="240" w:line="276" w:lineRule="auto"/>
        <w:jc w:val="both"/>
        <w:rPr>
          <w:rFonts w:cs="Arial"/>
          <w:b w:val="0"/>
          <w:bCs/>
          <w:sz w:val="22"/>
          <w:szCs w:val="22"/>
        </w:rPr>
      </w:pPr>
      <w:proofErr w:type="spellStart"/>
      <w:r>
        <w:rPr>
          <w:rFonts w:cs="Arial"/>
          <w:b w:val="0"/>
          <w:bCs/>
          <w:sz w:val="22"/>
          <w:szCs w:val="22"/>
        </w:rPr>
        <w:t>Sabbaghan</w:t>
      </w:r>
      <w:proofErr w:type="spellEnd"/>
      <w:r>
        <w:rPr>
          <w:rFonts w:cs="Arial"/>
          <w:b w:val="0"/>
          <w:bCs/>
          <w:sz w:val="22"/>
          <w:szCs w:val="22"/>
        </w:rPr>
        <w:t xml:space="preserve">, S. (2024). Exploring the synergy of human and AI-driven approaches in thematic analysis for qualitative educational research. Journal of Applied Learning and Teaching, 7(2), pp.129-140.Available at: https://jalt.journals.publicknowledgeproject.org/index.php/jalt/article/view/2009 (Accessed: 23 September 2025). </w:t>
      </w:r>
    </w:p>
    <w:p w14:paraId="502E3550" w14:textId="77777777" w:rsidR="004A7295" w:rsidRDefault="00000000">
      <w:pPr>
        <w:pStyle w:val="Heading1"/>
        <w:spacing w:before="240" w:line="276" w:lineRule="auto"/>
        <w:jc w:val="both"/>
        <w:rPr>
          <w:rFonts w:cs="Arial"/>
          <w:b w:val="0"/>
          <w:bCs/>
          <w:sz w:val="22"/>
          <w:szCs w:val="22"/>
        </w:rPr>
      </w:pPr>
      <w:r>
        <w:rPr>
          <w:rFonts w:cs="Arial"/>
          <w:b w:val="0"/>
          <w:bCs/>
          <w:sz w:val="22"/>
          <w:szCs w:val="22"/>
        </w:rPr>
        <w:t xml:space="preserve">Sadler, E., Potterton, V., Anderson, R., </w:t>
      </w:r>
      <w:proofErr w:type="spellStart"/>
      <w:r>
        <w:rPr>
          <w:rFonts w:cs="Arial"/>
          <w:b w:val="0"/>
          <w:bCs/>
          <w:sz w:val="22"/>
          <w:szCs w:val="22"/>
        </w:rPr>
        <w:t>Khadjesari</w:t>
      </w:r>
      <w:proofErr w:type="spellEnd"/>
      <w:r>
        <w:rPr>
          <w:rFonts w:cs="Arial"/>
          <w:b w:val="0"/>
          <w:bCs/>
          <w:sz w:val="22"/>
          <w:szCs w:val="22"/>
        </w:rPr>
        <w:t xml:space="preserve">, Z., Sheehan, K., Butt, F., </w:t>
      </w:r>
      <w:proofErr w:type="spellStart"/>
      <w:r>
        <w:rPr>
          <w:rFonts w:cs="Arial"/>
          <w:b w:val="0"/>
          <w:bCs/>
          <w:sz w:val="22"/>
          <w:szCs w:val="22"/>
        </w:rPr>
        <w:t>Sevdalis</w:t>
      </w:r>
      <w:proofErr w:type="spellEnd"/>
      <w:r>
        <w:rPr>
          <w:rFonts w:cs="Arial"/>
          <w:b w:val="0"/>
          <w:bCs/>
          <w:sz w:val="22"/>
          <w:szCs w:val="22"/>
        </w:rPr>
        <w:t xml:space="preserve">, N. and Sandall, J. (2019). Service user, carer and provider perspectives on integrated care for older people with frailty, and factors perceived to facilitate and hinder implementation: A systematic review and narrative synthesis. </w:t>
      </w:r>
      <w:proofErr w:type="spellStart"/>
      <w:r>
        <w:rPr>
          <w:rFonts w:cs="Arial"/>
          <w:b w:val="0"/>
          <w:bCs/>
          <w:sz w:val="22"/>
          <w:szCs w:val="22"/>
        </w:rPr>
        <w:t>PloS</w:t>
      </w:r>
      <w:proofErr w:type="spellEnd"/>
      <w:r>
        <w:rPr>
          <w:rFonts w:cs="Arial"/>
          <w:b w:val="0"/>
          <w:bCs/>
          <w:sz w:val="22"/>
          <w:szCs w:val="22"/>
        </w:rPr>
        <w:t xml:space="preserve"> one, 14(5), p.e0216488.</w:t>
      </w:r>
    </w:p>
    <w:p w14:paraId="502E3551" w14:textId="77777777" w:rsidR="004A7295" w:rsidRDefault="00000000">
      <w:pPr>
        <w:pStyle w:val="Heading1"/>
        <w:spacing w:before="240" w:line="276" w:lineRule="auto"/>
        <w:jc w:val="both"/>
        <w:rPr>
          <w:rFonts w:cs="Arial"/>
          <w:b w:val="0"/>
          <w:bCs/>
          <w:sz w:val="22"/>
          <w:szCs w:val="22"/>
        </w:rPr>
      </w:pPr>
      <w:r>
        <w:rPr>
          <w:rFonts w:cs="Arial"/>
          <w:b w:val="0"/>
          <w:bCs/>
          <w:sz w:val="22"/>
          <w:szCs w:val="22"/>
        </w:rPr>
        <w:lastRenderedPageBreak/>
        <w:t>Schwandt, T.A. (2014). The Sage dictionary of qualitative inquiry. 4th ed. Thousand Oaks, CA: Sage.</w:t>
      </w:r>
    </w:p>
    <w:p w14:paraId="502E3552" w14:textId="77777777" w:rsidR="004A7295" w:rsidRDefault="00000000">
      <w:pPr>
        <w:pStyle w:val="Heading1"/>
        <w:spacing w:before="240" w:line="276" w:lineRule="auto"/>
        <w:jc w:val="both"/>
        <w:rPr>
          <w:rFonts w:cs="Arial"/>
          <w:b w:val="0"/>
          <w:bCs/>
          <w:sz w:val="22"/>
          <w:szCs w:val="22"/>
        </w:rPr>
      </w:pPr>
      <w:r>
        <w:rPr>
          <w:rFonts w:cs="Arial"/>
          <w:b w:val="0"/>
          <w:bCs/>
          <w:sz w:val="22"/>
          <w:szCs w:val="22"/>
        </w:rPr>
        <w:t>Seamer, P., Griffin, R. and Lacey, A. (2023). Evaluating the long-term impacts of integrated care on hospital utilisation among older adults: A synthetic control study in England. International Journal of Integrated Care, 23(3), pp. 1–12. Available at: https://doi.org/10.5334/ijic.6475 (Accessed: 11 August 2025).</w:t>
      </w:r>
    </w:p>
    <w:p w14:paraId="502E3553" w14:textId="77777777" w:rsidR="004A7295" w:rsidRDefault="00000000">
      <w:pPr>
        <w:pStyle w:val="Heading1"/>
        <w:spacing w:before="240" w:line="276" w:lineRule="auto"/>
        <w:jc w:val="both"/>
        <w:rPr>
          <w:rFonts w:cs="Arial"/>
          <w:b w:val="0"/>
          <w:bCs/>
          <w:sz w:val="22"/>
          <w:szCs w:val="22"/>
        </w:rPr>
      </w:pPr>
      <w:r>
        <w:rPr>
          <w:rFonts w:cs="Arial"/>
          <w:b w:val="0"/>
          <w:bCs/>
          <w:sz w:val="22"/>
          <w:szCs w:val="22"/>
        </w:rPr>
        <w:t>Skills for Care (2024). Workforce Report: Adult Social Care Sector in England 2024. Leeds: Skills for Care.</w:t>
      </w:r>
    </w:p>
    <w:p w14:paraId="502E3554" w14:textId="77777777" w:rsidR="004A7295" w:rsidRDefault="00000000">
      <w:pPr>
        <w:pStyle w:val="Heading1"/>
        <w:spacing w:before="240" w:line="276" w:lineRule="auto"/>
        <w:jc w:val="both"/>
        <w:rPr>
          <w:rFonts w:cs="Arial"/>
          <w:b w:val="0"/>
          <w:bCs/>
          <w:sz w:val="22"/>
          <w:szCs w:val="22"/>
        </w:rPr>
      </w:pPr>
      <w:r>
        <w:rPr>
          <w:rFonts w:cs="Arial"/>
          <w:b w:val="0"/>
          <w:bCs/>
          <w:sz w:val="22"/>
          <w:szCs w:val="22"/>
        </w:rPr>
        <w:t>Stake, R.E. (1995). The art of case study research. Thousand Oaks, CA: Sage.</w:t>
      </w:r>
    </w:p>
    <w:p w14:paraId="502E3555" w14:textId="77777777" w:rsidR="004A7295" w:rsidRDefault="00000000">
      <w:pPr>
        <w:pStyle w:val="Heading1"/>
        <w:spacing w:before="240" w:line="276" w:lineRule="auto"/>
        <w:jc w:val="both"/>
        <w:rPr>
          <w:rFonts w:cs="Arial"/>
          <w:b w:val="0"/>
          <w:bCs/>
          <w:sz w:val="22"/>
          <w:szCs w:val="22"/>
        </w:rPr>
      </w:pPr>
      <w:proofErr w:type="spellStart"/>
      <w:r>
        <w:rPr>
          <w:rFonts w:cs="Arial"/>
          <w:b w:val="0"/>
          <w:bCs/>
          <w:sz w:val="22"/>
          <w:szCs w:val="22"/>
        </w:rPr>
        <w:t>Tashakkori</w:t>
      </w:r>
      <w:proofErr w:type="spellEnd"/>
      <w:r>
        <w:rPr>
          <w:rFonts w:cs="Arial"/>
          <w:b w:val="0"/>
          <w:bCs/>
          <w:sz w:val="22"/>
          <w:szCs w:val="22"/>
        </w:rPr>
        <w:t>, A. and Teddlie, C. (2010). SAGE handbook of mixed methods in social and behavioural research. 2nd ed. Thousand Oaks, CA: Sage.</w:t>
      </w:r>
    </w:p>
    <w:p w14:paraId="502E3557" w14:textId="77777777" w:rsidR="004A7295" w:rsidRDefault="00000000">
      <w:pPr>
        <w:pStyle w:val="Heading1"/>
        <w:spacing w:before="240" w:line="276" w:lineRule="auto"/>
        <w:jc w:val="both"/>
        <w:rPr>
          <w:rFonts w:cs="Arial"/>
          <w:b w:val="0"/>
          <w:bCs/>
          <w:sz w:val="22"/>
          <w:szCs w:val="22"/>
        </w:rPr>
      </w:pPr>
      <w:r>
        <w:rPr>
          <w:rFonts w:cs="Arial"/>
          <w:b w:val="0"/>
          <w:bCs/>
          <w:sz w:val="22"/>
          <w:szCs w:val="22"/>
        </w:rPr>
        <w:t xml:space="preserve">Terry, G., Hayfield, N., Clarke, V. and Braun, V. (2017). Thematic analysis. The SAGE handbook of qualitative research in psychology, 2(17-37), p.25.Available at: https://books.google.com/books?hl=en&amp;lr=&amp;id=AAniDgAAQBAJ&amp;oi=fnd&amp;pg=PA17&amp;dq=One+of+the+most+frequently+cited+strengths+of+Braun+and+Clarke%E2%80%99s+method+is+its+flexibility.&amp;ots=dpl9onDcI1&amp;sig=NYPMfsizq0sQ_EdM6nEqFBlmQ30 (Accessed: 23 September 2025). </w:t>
      </w:r>
    </w:p>
    <w:p w14:paraId="502E3558" w14:textId="77777777" w:rsidR="004A7295" w:rsidRDefault="00000000">
      <w:pPr>
        <w:pStyle w:val="Heading1"/>
        <w:spacing w:before="240" w:line="276" w:lineRule="auto"/>
        <w:jc w:val="both"/>
        <w:rPr>
          <w:rFonts w:cs="Arial"/>
          <w:b w:val="0"/>
          <w:bCs/>
          <w:sz w:val="22"/>
          <w:szCs w:val="22"/>
        </w:rPr>
      </w:pPr>
      <w:r>
        <w:rPr>
          <w:rFonts w:cs="Arial"/>
          <w:b w:val="0"/>
          <w:bCs/>
          <w:sz w:val="22"/>
          <w:szCs w:val="22"/>
        </w:rPr>
        <w:t>The Guardian (2025a). ‘Thousands denied NHS Continuing Healthcare despite growing need’, The Guardian, 5 January. Available at: https://www.theguardian.com/society/2025/jan/05/how-the-continuing-healthcare-system-is-failing-sick-and-elderly-people (Accessed: 27 July 2025).</w:t>
      </w:r>
    </w:p>
    <w:p w14:paraId="502E3559" w14:textId="77777777" w:rsidR="004A7295" w:rsidRDefault="00000000">
      <w:pPr>
        <w:pStyle w:val="Heading1"/>
        <w:spacing w:before="240" w:line="276" w:lineRule="auto"/>
        <w:jc w:val="both"/>
        <w:rPr>
          <w:rFonts w:cs="Arial"/>
          <w:b w:val="0"/>
          <w:bCs/>
          <w:sz w:val="22"/>
          <w:szCs w:val="22"/>
        </w:rPr>
      </w:pPr>
      <w:r>
        <w:rPr>
          <w:rFonts w:cs="Arial"/>
          <w:b w:val="0"/>
          <w:bCs/>
          <w:sz w:val="22"/>
          <w:szCs w:val="22"/>
        </w:rPr>
        <w:t>The Guardian (2025b) ‘Adults in England denied state social care due to cuts’, The Guardian, 25 June. Available at: https://www.theguardian.com/society/2025/jun/25/adults-england-denied-state-social-care-due-to-cuts (Accessed: 27 July 2025).</w:t>
      </w:r>
    </w:p>
    <w:p w14:paraId="502E355A" w14:textId="77777777" w:rsidR="004A7295" w:rsidRDefault="00000000">
      <w:pPr>
        <w:pStyle w:val="Heading1"/>
        <w:spacing w:before="240" w:line="276" w:lineRule="auto"/>
        <w:jc w:val="both"/>
        <w:rPr>
          <w:rFonts w:cs="Arial"/>
          <w:b w:val="0"/>
          <w:bCs/>
          <w:sz w:val="22"/>
          <w:szCs w:val="22"/>
        </w:rPr>
      </w:pPr>
      <w:r>
        <w:rPr>
          <w:rFonts w:cs="Arial"/>
          <w:b w:val="0"/>
          <w:bCs/>
          <w:sz w:val="22"/>
          <w:szCs w:val="22"/>
        </w:rPr>
        <w:t>The King’s Fund (2020). The NHS Long-Term Plan: A National Perspective. Available at: https://www.kingsfund.org.uk/publications/nhs-long-term-plan (Accessed: 11 August 2025).</w:t>
      </w:r>
    </w:p>
    <w:p w14:paraId="502E355B" w14:textId="77777777" w:rsidR="004A7295" w:rsidRDefault="00000000">
      <w:pPr>
        <w:pStyle w:val="Heading1"/>
        <w:spacing w:before="240" w:line="276" w:lineRule="auto"/>
        <w:jc w:val="both"/>
        <w:rPr>
          <w:rFonts w:cs="Arial"/>
          <w:b w:val="0"/>
          <w:bCs/>
          <w:sz w:val="22"/>
          <w:szCs w:val="22"/>
        </w:rPr>
      </w:pPr>
      <w:r>
        <w:rPr>
          <w:rFonts w:cs="Arial"/>
          <w:b w:val="0"/>
          <w:bCs/>
          <w:sz w:val="22"/>
          <w:szCs w:val="22"/>
        </w:rPr>
        <w:t>The Times (2025). ‘Spend a night in A&amp;E and you’ll see why the NHS is suffocating’, The Times, 13 February. Available at: https://www.thetimes.co.uk/article/spend-a-night-in-a-and-e-and-youll-see-why-the-nhs-is-suffocating-the-exits-arent-working-xs6mk0fg6 (Accessed: 25 July 2025).</w:t>
      </w:r>
    </w:p>
    <w:p w14:paraId="502E355C" w14:textId="77777777" w:rsidR="004A7295" w:rsidRDefault="00000000">
      <w:pPr>
        <w:pStyle w:val="Heading1"/>
        <w:spacing w:before="240" w:line="276" w:lineRule="auto"/>
        <w:jc w:val="both"/>
        <w:rPr>
          <w:rFonts w:cs="Arial"/>
          <w:b w:val="0"/>
          <w:bCs/>
          <w:sz w:val="22"/>
          <w:szCs w:val="22"/>
        </w:rPr>
      </w:pPr>
      <w:r>
        <w:rPr>
          <w:rFonts w:cs="Arial"/>
          <w:b w:val="0"/>
          <w:bCs/>
          <w:sz w:val="22"/>
          <w:szCs w:val="22"/>
        </w:rPr>
        <w:t>Tsai, A.C., Morton, S.C., Mangione, C.M. and Keeler, E.B. (2005). A meta-analysis of interventions to improve care for chronic illnesses. American Journal of Managed Care, 11(8), pp.478–488.</w:t>
      </w:r>
    </w:p>
    <w:p w14:paraId="502E355D" w14:textId="77777777" w:rsidR="004A7295" w:rsidRDefault="00000000">
      <w:pPr>
        <w:pStyle w:val="Heading1"/>
        <w:spacing w:before="240" w:line="276" w:lineRule="auto"/>
        <w:jc w:val="both"/>
        <w:rPr>
          <w:rFonts w:cs="Arial"/>
          <w:b w:val="0"/>
          <w:bCs/>
          <w:sz w:val="22"/>
          <w:szCs w:val="22"/>
        </w:rPr>
      </w:pPr>
      <w:r>
        <w:rPr>
          <w:rFonts w:cs="Arial"/>
          <w:b w:val="0"/>
          <w:bCs/>
          <w:sz w:val="22"/>
          <w:szCs w:val="22"/>
        </w:rPr>
        <w:t>Wagner, E.H., Austin, B.T. and Von Korff, M. (1996). Organizing care for patients with chronic illness. The Milbank Quarterly, 74(4), pp.511–544.</w:t>
      </w:r>
    </w:p>
    <w:p w14:paraId="502E355E" w14:textId="77777777" w:rsidR="004A7295" w:rsidRDefault="00000000">
      <w:pPr>
        <w:pStyle w:val="Heading1"/>
        <w:spacing w:before="240" w:line="276" w:lineRule="auto"/>
        <w:jc w:val="both"/>
        <w:rPr>
          <w:rFonts w:cs="Arial"/>
          <w:b w:val="0"/>
          <w:bCs/>
          <w:sz w:val="22"/>
          <w:szCs w:val="22"/>
        </w:rPr>
      </w:pPr>
      <w:r>
        <w:rPr>
          <w:rFonts w:cs="Arial"/>
          <w:b w:val="0"/>
          <w:bCs/>
          <w:sz w:val="22"/>
          <w:szCs w:val="22"/>
        </w:rPr>
        <w:t>Wagner, E.H., Austin, B.T., Davis, C., Hindmarsh, M., Schaefer, J. and Bonomi, A. (2001). Improving chronic illness care: translating evidence into action. Health Affairs, 20(6), pp.64–78.</w:t>
      </w:r>
    </w:p>
    <w:p w14:paraId="502E355F" w14:textId="77777777" w:rsidR="004A7295" w:rsidRDefault="00000000">
      <w:pPr>
        <w:pStyle w:val="Heading1"/>
        <w:spacing w:before="240" w:line="276" w:lineRule="auto"/>
        <w:jc w:val="both"/>
        <w:rPr>
          <w:rFonts w:cs="Arial"/>
          <w:b w:val="0"/>
          <w:bCs/>
          <w:sz w:val="22"/>
          <w:szCs w:val="22"/>
        </w:rPr>
      </w:pPr>
      <w:proofErr w:type="spellStart"/>
      <w:r>
        <w:rPr>
          <w:rFonts w:cs="Arial"/>
          <w:b w:val="0"/>
          <w:bCs/>
          <w:sz w:val="22"/>
          <w:szCs w:val="22"/>
        </w:rPr>
        <w:lastRenderedPageBreak/>
        <w:t>Wistow</w:t>
      </w:r>
      <w:proofErr w:type="spellEnd"/>
      <w:r>
        <w:rPr>
          <w:rFonts w:cs="Arial"/>
          <w:b w:val="0"/>
          <w:bCs/>
          <w:sz w:val="22"/>
          <w:szCs w:val="22"/>
        </w:rPr>
        <w:t>, G. (2020). Integration and partnership working in England: Taking stock and looking ahead. Journal of Integrated Care, 28(3), pp. 239–252. Available at: https://doi.org/10.1108/JICA-04-2020-0024 (Accessed: 05 September 2025).</w:t>
      </w:r>
    </w:p>
    <w:p w14:paraId="502E3560" w14:textId="77777777" w:rsidR="004A7295" w:rsidRDefault="00000000">
      <w:pPr>
        <w:pStyle w:val="Heading1"/>
        <w:spacing w:before="240" w:line="276" w:lineRule="auto"/>
        <w:jc w:val="both"/>
        <w:rPr>
          <w:rFonts w:cs="Arial"/>
          <w:b w:val="0"/>
          <w:bCs/>
          <w:sz w:val="22"/>
          <w:szCs w:val="22"/>
        </w:rPr>
      </w:pPr>
      <w:proofErr w:type="spellStart"/>
      <w:r>
        <w:rPr>
          <w:rFonts w:cs="Arial"/>
          <w:b w:val="0"/>
          <w:bCs/>
          <w:sz w:val="22"/>
          <w:szCs w:val="22"/>
        </w:rPr>
        <w:t>Wistow</w:t>
      </w:r>
      <w:proofErr w:type="spellEnd"/>
      <w:r>
        <w:rPr>
          <w:rFonts w:cs="Arial"/>
          <w:b w:val="0"/>
          <w:bCs/>
          <w:sz w:val="22"/>
          <w:szCs w:val="22"/>
        </w:rPr>
        <w:t>, G. (2021). Integrated care systems in the English NHS: Development, progress and prospects. Journal of Integrated Care, 29(2), pp.111–121</w:t>
      </w:r>
    </w:p>
    <w:p w14:paraId="502E3561" w14:textId="77777777" w:rsidR="004A7295" w:rsidRDefault="00000000">
      <w:pPr>
        <w:pStyle w:val="Heading1"/>
        <w:spacing w:before="240" w:line="276" w:lineRule="auto"/>
        <w:jc w:val="both"/>
        <w:rPr>
          <w:rFonts w:cs="Arial"/>
          <w:b w:val="0"/>
          <w:bCs/>
          <w:sz w:val="22"/>
          <w:szCs w:val="22"/>
        </w:rPr>
      </w:pPr>
      <w:r>
        <w:rPr>
          <w:rFonts w:cs="Arial"/>
          <w:b w:val="0"/>
          <w:bCs/>
          <w:sz w:val="22"/>
          <w:szCs w:val="22"/>
        </w:rPr>
        <w:t>World Health Organization (WHO) (2016). Framework on Integrated Health Services Delivery. Available at: https://www.who.int/publications/i/item/framework-on-integrated-health-services-delivery (Accessed: 12 August 2025).</w:t>
      </w:r>
    </w:p>
    <w:p w14:paraId="502E3562" w14:textId="77777777" w:rsidR="004A7295" w:rsidRDefault="00000000">
      <w:pPr>
        <w:pStyle w:val="Heading1"/>
        <w:spacing w:before="240" w:line="276" w:lineRule="auto"/>
        <w:jc w:val="both"/>
        <w:rPr>
          <w:rFonts w:cs="Arial"/>
          <w:b w:val="0"/>
          <w:bCs/>
          <w:sz w:val="22"/>
          <w:szCs w:val="22"/>
        </w:rPr>
      </w:pPr>
      <w:r>
        <w:rPr>
          <w:rFonts w:cs="Arial"/>
          <w:b w:val="0"/>
          <w:bCs/>
          <w:sz w:val="22"/>
          <w:szCs w:val="22"/>
        </w:rPr>
        <w:t>World Health Organization. (2002). Noncommunicable Disease and Mental Health Cluster. Innovative care for chronic conditions: building blocks for action: global report. World Health Organization. Available at: https://books.google.com/books?hl=en&amp;lr=&amp;id=waYsDwAAQBAJ&amp;oi=fnd&amp;pg=PA1&amp;dq=World+Health+Organization+(WHO)+(2002).+Innovative+care+for+chronic+conditions:+Building+blocks+for+action.+Geneva:+WHO&amp;ots=ub6BNVkJ9Y&amp;sig=M0YNDw_rDYlkECcffkEcffdf8Mw [Accessed 6 Aug 2025].</w:t>
      </w:r>
    </w:p>
    <w:p w14:paraId="502E3563" w14:textId="77777777" w:rsidR="004A7295" w:rsidRDefault="00000000">
      <w:pPr>
        <w:pStyle w:val="Heading1"/>
        <w:spacing w:before="240" w:line="276" w:lineRule="auto"/>
        <w:jc w:val="both"/>
        <w:rPr>
          <w:rFonts w:cs="Arial"/>
          <w:b w:val="0"/>
          <w:bCs/>
          <w:sz w:val="22"/>
          <w:szCs w:val="22"/>
        </w:rPr>
      </w:pPr>
      <w:r>
        <w:rPr>
          <w:rFonts w:cs="Arial"/>
          <w:b w:val="0"/>
          <w:bCs/>
          <w:sz w:val="22"/>
          <w:szCs w:val="22"/>
        </w:rPr>
        <w:t>Yin, R.K. (2018). Case study research and applications: Design and methods. 6th ed. Thousand Oaks, CA: Sage.</w:t>
      </w:r>
    </w:p>
    <w:p w14:paraId="502E3564" w14:textId="77777777" w:rsidR="004A7295" w:rsidRDefault="004A7295">
      <w:pPr>
        <w:spacing w:line="360" w:lineRule="auto"/>
        <w:jc w:val="both"/>
        <w:rPr>
          <w:rFonts w:ascii="Arial" w:eastAsia="Arial Unicode MS" w:hAnsi="Arial" w:cs="Arial"/>
        </w:rPr>
      </w:pPr>
    </w:p>
    <w:p w14:paraId="502E3565" w14:textId="77777777" w:rsidR="004A7295" w:rsidRDefault="004A7295">
      <w:pPr>
        <w:spacing w:line="360" w:lineRule="auto"/>
        <w:jc w:val="both"/>
        <w:rPr>
          <w:rFonts w:ascii="Arial" w:eastAsia="Arial Unicode MS" w:hAnsi="Arial" w:cs="Arial"/>
        </w:rPr>
      </w:pPr>
    </w:p>
    <w:p w14:paraId="502E3566" w14:textId="77777777" w:rsidR="004A7295" w:rsidRDefault="004A7295">
      <w:pPr>
        <w:spacing w:line="360" w:lineRule="auto"/>
        <w:jc w:val="both"/>
        <w:rPr>
          <w:rFonts w:ascii="Arial" w:eastAsia="Arial Unicode MS" w:hAnsi="Arial" w:cs="Arial"/>
        </w:rPr>
      </w:pPr>
    </w:p>
    <w:p w14:paraId="502E3567" w14:textId="77777777" w:rsidR="004A7295" w:rsidRDefault="004A7295">
      <w:pPr>
        <w:spacing w:line="360" w:lineRule="auto"/>
        <w:jc w:val="both"/>
        <w:rPr>
          <w:rFonts w:ascii="Arial" w:eastAsia="Arial Unicode MS" w:hAnsi="Arial" w:cs="Arial"/>
        </w:rPr>
      </w:pPr>
    </w:p>
    <w:p w14:paraId="502E3568" w14:textId="77777777" w:rsidR="004A7295" w:rsidRDefault="004A729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rPr>
      </w:pPr>
    </w:p>
    <w:p w14:paraId="502E3569" w14:textId="77777777" w:rsidR="004A7295" w:rsidRDefault="004A729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rPr>
      </w:pPr>
    </w:p>
    <w:p w14:paraId="502E356A" w14:textId="77777777" w:rsidR="004A7295" w:rsidRDefault="004A7295">
      <w:pPr>
        <w:spacing w:line="360" w:lineRule="auto"/>
        <w:rPr>
          <w:rFonts w:ascii="Arial" w:eastAsia="Arial Unicode MS" w:hAnsi="Arial" w:cs="Arial"/>
          <w:b/>
          <w:i/>
        </w:rPr>
      </w:pPr>
    </w:p>
    <w:p w14:paraId="502E356B" w14:textId="77777777" w:rsidR="004A7295" w:rsidRDefault="00000000">
      <w:pPr>
        <w:rPr>
          <w:rFonts w:ascii="Arial" w:eastAsia="Arial Unicode MS" w:hAnsi="Arial" w:cs="Arial"/>
          <w:b/>
        </w:rPr>
      </w:pPr>
      <w:r>
        <w:rPr>
          <w:rFonts w:ascii="Arial" w:eastAsia="Arial Unicode MS" w:hAnsi="Arial" w:cs="Arial"/>
          <w:b/>
        </w:rPr>
        <w:br w:type="page"/>
      </w:r>
    </w:p>
    <w:p w14:paraId="502E356C" w14:textId="77777777" w:rsidR="004A7295" w:rsidRDefault="00000000">
      <w:pPr>
        <w:pStyle w:val="Heading1"/>
        <w:ind w:left="0"/>
        <w:rPr>
          <w:rFonts w:cs="Arial"/>
          <w:sz w:val="22"/>
          <w:szCs w:val="22"/>
        </w:rPr>
      </w:pPr>
      <w:r>
        <w:rPr>
          <w:rFonts w:cs="Arial"/>
          <w:sz w:val="22"/>
          <w:szCs w:val="22"/>
        </w:rPr>
        <w:lastRenderedPageBreak/>
        <w:t xml:space="preserve">APPENDICES </w:t>
      </w:r>
    </w:p>
    <w:p w14:paraId="502E356D" w14:textId="77777777" w:rsidR="004A7295" w:rsidRDefault="004A729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
          <w:i/>
        </w:rPr>
      </w:pPr>
    </w:p>
    <w:p w14:paraId="502E356E" w14:textId="77777777" w:rsidR="004A7295" w:rsidRDefault="00000000">
      <w:pPr>
        <w:spacing w:line="360" w:lineRule="auto"/>
        <w:jc w:val="both"/>
        <w:rPr>
          <w:rFonts w:ascii="Arial" w:eastAsia="Arial Unicode MS" w:hAnsi="Arial" w:cs="Arial"/>
          <w:b/>
          <w:bCs/>
          <w:lang w:val="en-US"/>
        </w:rPr>
      </w:pPr>
      <w:r>
        <w:rPr>
          <w:rFonts w:ascii="Arial" w:eastAsia="Arial Unicode MS" w:hAnsi="Arial" w:cs="Arial"/>
          <w:b/>
          <w:bCs/>
          <w:lang w:val="en-US"/>
        </w:rPr>
        <w:t>Table 4.1: The study’s design and location</w:t>
      </w:r>
    </w:p>
    <w:tbl>
      <w:tblPr>
        <w:tblStyle w:val="TableGrid"/>
        <w:tblW w:w="9268" w:type="dxa"/>
        <w:tblLayout w:type="fixed"/>
        <w:tblLook w:val="04A0" w:firstRow="1" w:lastRow="0" w:firstColumn="1" w:lastColumn="0" w:noHBand="0" w:noVBand="1"/>
      </w:tblPr>
      <w:tblGrid>
        <w:gridCol w:w="579"/>
        <w:gridCol w:w="1426"/>
        <w:gridCol w:w="2136"/>
        <w:gridCol w:w="1403"/>
        <w:gridCol w:w="2299"/>
        <w:gridCol w:w="1425"/>
      </w:tblGrid>
      <w:tr w:rsidR="004A7295" w14:paraId="502E3575" w14:textId="77777777">
        <w:tc>
          <w:tcPr>
            <w:tcW w:w="579" w:type="dxa"/>
            <w:tcBorders>
              <w:top w:val="single" w:sz="4" w:space="0" w:color="auto"/>
              <w:left w:val="single" w:sz="4" w:space="0" w:color="auto"/>
              <w:bottom w:val="single" w:sz="4" w:space="0" w:color="auto"/>
              <w:right w:val="single" w:sz="4" w:space="0" w:color="auto"/>
            </w:tcBorders>
            <w:vAlign w:val="center"/>
          </w:tcPr>
          <w:p w14:paraId="502E356F" w14:textId="77777777" w:rsidR="004A7295" w:rsidRDefault="00000000">
            <w:pPr>
              <w:spacing w:line="360" w:lineRule="auto"/>
              <w:jc w:val="both"/>
              <w:rPr>
                <w:rFonts w:ascii="Arial" w:eastAsia="Arial Unicode MS" w:hAnsi="Arial" w:cs="Arial"/>
                <w:b/>
                <w:bCs/>
                <w:lang w:val="en-US"/>
              </w:rPr>
            </w:pPr>
            <w:r>
              <w:rPr>
                <w:rFonts w:ascii="Arial" w:eastAsia="Arial Unicode MS" w:hAnsi="Arial" w:cs="Arial"/>
                <w:b/>
                <w:bCs/>
                <w:lang w:val="en-US"/>
              </w:rPr>
              <w:t>No.</w:t>
            </w:r>
          </w:p>
        </w:tc>
        <w:tc>
          <w:tcPr>
            <w:tcW w:w="1426" w:type="dxa"/>
            <w:tcBorders>
              <w:top w:val="single" w:sz="4" w:space="0" w:color="auto"/>
              <w:left w:val="single" w:sz="4" w:space="0" w:color="auto"/>
              <w:bottom w:val="single" w:sz="4" w:space="0" w:color="auto"/>
              <w:right w:val="single" w:sz="4" w:space="0" w:color="auto"/>
            </w:tcBorders>
            <w:vAlign w:val="center"/>
          </w:tcPr>
          <w:p w14:paraId="502E3570" w14:textId="77777777" w:rsidR="004A7295" w:rsidRDefault="00000000">
            <w:pPr>
              <w:spacing w:line="360" w:lineRule="auto"/>
              <w:jc w:val="both"/>
              <w:rPr>
                <w:rFonts w:ascii="Arial" w:eastAsia="Arial Unicode MS" w:hAnsi="Arial" w:cs="Arial"/>
                <w:b/>
                <w:bCs/>
                <w:lang w:val="en-US"/>
              </w:rPr>
            </w:pPr>
            <w:r>
              <w:rPr>
                <w:rFonts w:ascii="Arial" w:eastAsia="Arial Unicode MS" w:hAnsi="Arial" w:cs="Arial"/>
                <w:b/>
                <w:bCs/>
                <w:lang w:val="en-US"/>
              </w:rPr>
              <w:t>Author(s) / Year</w:t>
            </w:r>
          </w:p>
        </w:tc>
        <w:tc>
          <w:tcPr>
            <w:tcW w:w="2136" w:type="dxa"/>
            <w:tcBorders>
              <w:top w:val="single" w:sz="4" w:space="0" w:color="auto"/>
              <w:left w:val="single" w:sz="4" w:space="0" w:color="auto"/>
              <w:bottom w:val="single" w:sz="4" w:space="0" w:color="auto"/>
              <w:right w:val="single" w:sz="4" w:space="0" w:color="auto"/>
            </w:tcBorders>
            <w:vAlign w:val="center"/>
          </w:tcPr>
          <w:p w14:paraId="502E3571" w14:textId="77777777" w:rsidR="004A7295" w:rsidRDefault="00000000">
            <w:pPr>
              <w:spacing w:line="360" w:lineRule="auto"/>
              <w:jc w:val="both"/>
              <w:rPr>
                <w:rFonts w:ascii="Arial" w:eastAsia="Arial Unicode MS" w:hAnsi="Arial" w:cs="Arial"/>
                <w:b/>
                <w:bCs/>
                <w:lang w:val="en-US"/>
              </w:rPr>
            </w:pPr>
            <w:r>
              <w:rPr>
                <w:rFonts w:ascii="Arial" w:eastAsia="Arial Unicode MS" w:hAnsi="Arial" w:cs="Arial"/>
                <w:b/>
                <w:bCs/>
                <w:lang w:val="en-US"/>
              </w:rPr>
              <w:t>Title</w:t>
            </w:r>
          </w:p>
        </w:tc>
        <w:tc>
          <w:tcPr>
            <w:tcW w:w="1403" w:type="dxa"/>
            <w:tcBorders>
              <w:top w:val="single" w:sz="4" w:space="0" w:color="auto"/>
              <w:left w:val="single" w:sz="4" w:space="0" w:color="auto"/>
              <w:bottom w:val="single" w:sz="4" w:space="0" w:color="auto"/>
              <w:right w:val="single" w:sz="4" w:space="0" w:color="auto"/>
            </w:tcBorders>
            <w:vAlign w:val="center"/>
          </w:tcPr>
          <w:p w14:paraId="502E3572" w14:textId="77777777" w:rsidR="004A7295" w:rsidRDefault="00000000">
            <w:pPr>
              <w:spacing w:line="360" w:lineRule="auto"/>
              <w:jc w:val="both"/>
              <w:rPr>
                <w:rFonts w:ascii="Arial" w:eastAsia="Arial Unicode MS" w:hAnsi="Arial" w:cs="Arial"/>
                <w:b/>
                <w:bCs/>
                <w:lang w:val="en-US"/>
              </w:rPr>
            </w:pPr>
            <w:r>
              <w:rPr>
                <w:rFonts w:ascii="Arial" w:eastAsia="Arial Unicode MS" w:hAnsi="Arial" w:cs="Arial"/>
                <w:b/>
                <w:bCs/>
                <w:lang w:val="en-US"/>
              </w:rPr>
              <w:t>Design</w:t>
            </w:r>
          </w:p>
        </w:tc>
        <w:tc>
          <w:tcPr>
            <w:tcW w:w="2299" w:type="dxa"/>
            <w:tcBorders>
              <w:top w:val="single" w:sz="4" w:space="0" w:color="auto"/>
              <w:left w:val="single" w:sz="4" w:space="0" w:color="auto"/>
              <w:bottom w:val="single" w:sz="4" w:space="0" w:color="auto"/>
              <w:right w:val="single" w:sz="4" w:space="0" w:color="auto"/>
            </w:tcBorders>
            <w:vAlign w:val="center"/>
          </w:tcPr>
          <w:p w14:paraId="502E3573" w14:textId="77777777" w:rsidR="004A7295" w:rsidRDefault="00000000">
            <w:pPr>
              <w:spacing w:line="360" w:lineRule="auto"/>
              <w:jc w:val="both"/>
              <w:rPr>
                <w:rFonts w:ascii="Arial" w:eastAsia="Arial Unicode MS" w:hAnsi="Arial" w:cs="Arial"/>
                <w:b/>
                <w:bCs/>
                <w:lang w:val="en-US"/>
              </w:rPr>
            </w:pPr>
            <w:r>
              <w:rPr>
                <w:rFonts w:ascii="Arial" w:eastAsia="Arial Unicode MS" w:hAnsi="Arial" w:cs="Arial"/>
                <w:b/>
                <w:bCs/>
                <w:lang w:val="en-US"/>
              </w:rPr>
              <w:t>Focus</w:t>
            </w:r>
          </w:p>
        </w:tc>
        <w:tc>
          <w:tcPr>
            <w:tcW w:w="1425" w:type="dxa"/>
            <w:tcBorders>
              <w:top w:val="single" w:sz="4" w:space="0" w:color="auto"/>
              <w:left w:val="single" w:sz="4" w:space="0" w:color="auto"/>
              <w:bottom w:val="single" w:sz="4" w:space="0" w:color="auto"/>
              <w:right w:val="single" w:sz="4" w:space="0" w:color="auto"/>
            </w:tcBorders>
            <w:vAlign w:val="center"/>
          </w:tcPr>
          <w:p w14:paraId="502E3574" w14:textId="77777777" w:rsidR="004A7295" w:rsidRDefault="00000000">
            <w:pPr>
              <w:spacing w:line="360" w:lineRule="auto"/>
              <w:jc w:val="both"/>
              <w:rPr>
                <w:rFonts w:ascii="Arial" w:eastAsia="Arial Unicode MS" w:hAnsi="Arial" w:cs="Arial"/>
                <w:b/>
                <w:bCs/>
                <w:lang w:val="en-US"/>
              </w:rPr>
            </w:pPr>
            <w:r>
              <w:rPr>
                <w:rFonts w:ascii="Arial" w:eastAsia="Arial Unicode MS" w:hAnsi="Arial" w:cs="Arial"/>
                <w:b/>
                <w:bCs/>
                <w:lang w:val="en-US"/>
              </w:rPr>
              <w:t>Location (Publishing City)</w:t>
            </w:r>
          </w:p>
        </w:tc>
      </w:tr>
      <w:tr w:rsidR="004A7295" w14:paraId="502E357C" w14:textId="77777777">
        <w:tc>
          <w:tcPr>
            <w:tcW w:w="579" w:type="dxa"/>
            <w:tcBorders>
              <w:top w:val="single" w:sz="4" w:space="0" w:color="auto"/>
              <w:left w:val="single" w:sz="4" w:space="0" w:color="auto"/>
              <w:bottom w:val="single" w:sz="4" w:space="0" w:color="auto"/>
              <w:right w:val="single" w:sz="4" w:space="0" w:color="auto"/>
            </w:tcBorders>
            <w:vAlign w:val="center"/>
          </w:tcPr>
          <w:p w14:paraId="502E3576" w14:textId="77777777" w:rsidR="004A7295" w:rsidRDefault="00000000">
            <w:pPr>
              <w:spacing w:line="360" w:lineRule="auto"/>
              <w:jc w:val="both"/>
              <w:rPr>
                <w:rFonts w:ascii="Arial" w:eastAsia="Arial Unicode MS" w:hAnsi="Arial" w:cs="Arial"/>
                <w:lang w:val="en-US"/>
              </w:rPr>
            </w:pPr>
            <w:r>
              <w:rPr>
                <w:rFonts w:ascii="Arial" w:eastAsia="Arial Unicode MS" w:hAnsi="Arial" w:cs="Arial"/>
                <w:lang w:val="en-US"/>
              </w:rPr>
              <w:t>1</w:t>
            </w:r>
          </w:p>
        </w:tc>
        <w:tc>
          <w:tcPr>
            <w:tcW w:w="1426" w:type="dxa"/>
            <w:tcBorders>
              <w:top w:val="single" w:sz="4" w:space="0" w:color="auto"/>
              <w:left w:val="single" w:sz="4" w:space="0" w:color="auto"/>
              <w:bottom w:val="single" w:sz="4" w:space="0" w:color="auto"/>
              <w:right w:val="single" w:sz="4" w:space="0" w:color="auto"/>
            </w:tcBorders>
            <w:vAlign w:val="center"/>
          </w:tcPr>
          <w:p w14:paraId="502E3577" w14:textId="77777777" w:rsidR="004A7295" w:rsidRDefault="00000000">
            <w:pPr>
              <w:spacing w:line="360" w:lineRule="auto"/>
              <w:jc w:val="both"/>
              <w:rPr>
                <w:rFonts w:ascii="Arial" w:eastAsia="Arial Unicode MS" w:hAnsi="Arial" w:cs="Arial"/>
                <w:lang w:val="en-US"/>
              </w:rPr>
            </w:pPr>
            <w:r>
              <w:rPr>
                <w:rFonts w:ascii="Arial" w:eastAsia="Arial Unicode MS" w:hAnsi="Arial" w:cs="Arial"/>
                <w:lang w:val="en-US"/>
              </w:rPr>
              <w:t>Seamer et al. (2023)</w:t>
            </w:r>
          </w:p>
        </w:tc>
        <w:tc>
          <w:tcPr>
            <w:tcW w:w="2136" w:type="dxa"/>
            <w:tcBorders>
              <w:top w:val="single" w:sz="4" w:space="0" w:color="auto"/>
              <w:left w:val="single" w:sz="4" w:space="0" w:color="auto"/>
              <w:bottom w:val="single" w:sz="4" w:space="0" w:color="auto"/>
              <w:right w:val="single" w:sz="4" w:space="0" w:color="auto"/>
            </w:tcBorders>
            <w:vAlign w:val="center"/>
          </w:tcPr>
          <w:p w14:paraId="502E3578" w14:textId="77777777" w:rsidR="004A7295" w:rsidRDefault="00000000">
            <w:pPr>
              <w:spacing w:line="360" w:lineRule="auto"/>
              <w:jc w:val="both"/>
              <w:rPr>
                <w:rFonts w:ascii="Arial" w:eastAsia="Arial Unicode MS" w:hAnsi="Arial" w:cs="Arial"/>
                <w:lang w:val="en-US"/>
              </w:rPr>
            </w:pPr>
            <w:r>
              <w:rPr>
                <w:rFonts w:ascii="Arial" w:eastAsia="Arial Unicode MS" w:hAnsi="Arial" w:cs="Arial"/>
                <w:lang w:val="en-US"/>
              </w:rPr>
              <w:t xml:space="preserve">The Long-Term Impacts of an Integrated Care </w:t>
            </w:r>
            <w:proofErr w:type="spellStart"/>
            <w:r>
              <w:rPr>
                <w:rFonts w:ascii="Arial" w:eastAsia="Arial Unicode MS" w:hAnsi="Arial" w:cs="Arial"/>
                <w:lang w:val="en-US"/>
              </w:rPr>
              <w:t>Programme</w:t>
            </w:r>
            <w:proofErr w:type="spellEnd"/>
            <w:r>
              <w:rPr>
                <w:rFonts w:ascii="Arial" w:eastAsia="Arial Unicode MS" w:hAnsi="Arial" w:cs="Arial"/>
                <w:lang w:val="en-US"/>
              </w:rPr>
              <w:t xml:space="preserve"> on Hospital </w:t>
            </w:r>
            <w:proofErr w:type="spellStart"/>
            <w:r>
              <w:rPr>
                <w:rFonts w:ascii="Arial" w:eastAsia="Arial Unicode MS" w:hAnsi="Arial" w:cs="Arial"/>
                <w:lang w:val="en-US"/>
              </w:rPr>
              <w:t>Utilisation</w:t>
            </w:r>
            <w:proofErr w:type="spellEnd"/>
            <w:r>
              <w:rPr>
                <w:rFonts w:ascii="Arial" w:eastAsia="Arial Unicode MS" w:hAnsi="Arial" w:cs="Arial"/>
                <w:lang w:val="en-US"/>
              </w:rPr>
              <w:t xml:space="preserve"> among Older Adults in the South of England: A Synthetic Control Study</w:t>
            </w:r>
          </w:p>
        </w:tc>
        <w:tc>
          <w:tcPr>
            <w:tcW w:w="1403" w:type="dxa"/>
            <w:tcBorders>
              <w:top w:val="single" w:sz="4" w:space="0" w:color="auto"/>
              <w:left w:val="single" w:sz="4" w:space="0" w:color="auto"/>
              <w:bottom w:val="single" w:sz="4" w:space="0" w:color="auto"/>
              <w:right w:val="single" w:sz="4" w:space="0" w:color="auto"/>
            </w:tcBorders>
            <w:vAlign w:val="center"/>
          </w:tcPr>
          <w:p w14:paraId="502E3579" w14:textId="77777777" w:rsidR="004A7295" w:rsidRDefault="00000000">
            <w:pPr>
              <w:spacing w:line="360" w:lineRule="auto"/>
              <w:jc w:val="both"/>
              <w:rPr>
                <w:rFonts w:ascii="Arial" w:eastAsia="Arial Unicode MS" w:hAnsi="Arial" w:cs="Arial"/>
                <w:lang w:val="en-US"/>
              </w:rPr>
            </w:pPr>
            <w:r>
              <w:rPr>
                <w:rFonts w:ascii="Arial" w:eastAsia="Arial Unicode MS" w:hAnsi="Arial" w:cs="Arial"/>
                <w:lang w:val="en-US"/>
              </w:rPr>
              <w:t>Quantitative (</w:t>
            </w:r>
            <w:proofErr w:type="spellStart"/>
            <w:r>
              <w:rPr>
                <w:rFonts w:ascii="Arial" w:eastAsia="Arial Unicode MS" w:hAnsi="Arial" w:cs="Arial"/>
                <w:lang w:val="en-US"/>
              </w:rPr>
              <w:t>Generalised</w:t>
            </w:r>
            <w:proofErr w:type="spellEnd"/>
            <w:r>
              <w:rPr>
                <w:rFonts w:ascii="Arial" w:eastAsia="Arial Unicode MS" w:hAnsi="Arial" w:cs="Arial"/>
                <w:lang w:val="en-US"/>
              </w:rPr>
              <w:t xml:space="preserve"> Synthetic Control Study)</w:t>
            </w:r>
          </w:p>
        </w:tc>
        <w:tc>
          <w:tcPr>
            <w:tcW w:w="2299" w:type="dxa"/>
            <w:tcBorders>
              <w:top w:val="single" w:sz="4" w:space="0" w:color="auto"/>
              <w:left w:val="single" w:sz="4" w:space="0" w:color="auto"/>
              <w:bottom w:val="single" w:sz="4" w:space="0" w:color="auto"/>
              <w:right w:val="single" w:sz="4" w:space="0" w:color="auto"/>
            </w:tcBorders>
            <w:vAlign w:val="center"/>
          </w:tcPr>
          <w:p w14:paraId="502E357A" w14:textId="77777777" w:rsidR="004A7295" w:rsidRDefault="00000000">
            <w:pPr>
              <w:spacing w:line="360" w:lineRule="auto"/>
              <w:jc w:val="both"/>
              <w:rPr>
                <w:rFonts w:ascii="Arial" w:eastAsia="Arial Unicode MS" w:hAnsi="Arial" w:cs="Arial"/>
                <w:lang w:val="en-US"/>
              </w:rPr>
            </w:pPr>
            <w:r>
              <w:rPr>
                <w:rFonts w:ascii="Arial" w:eastAsia="Arial Unicode MS" w:hAnsi="Arial" w:cs="Arial"/>
                <w:lang w:val="en-US"/>
              </w:rPr>
              <w:t xml:space="preserve">Evaluated the long-term effect of integrated care on hospital admissions among older adults in </w:t>
            </w:r>
            <w:proofErr w:type="gramStart"/>
            <w:r>
              <w:rPr>
                <w:rFonts w:ascii="Arial" w:eastAsia="Arial Unicode MS" w:hAnsi="Arial" w:cs="Arial"/>
                <w:lang w:val="en-US"/>
              </w:rPr>
              <w:t>North East</w:t>
            </w:r>
            <w:proofErr w:type="gramEnd"/>
            <w:r>
              <w:rPr>
                <w:rFonts w:ascii="Arial" w:eastAsia="Arial Unicode MS" w:hAnsi="Arial" w:cs="Arial"/>
                <w:lang w:val="en-US"/>
              </w:rPr>
              <w:t xml:space="preserve"> Hampshire and Farnham</w:t>
            </w:r>
          </w:p>
        </w:tc>
        <w:tc>
          <w:tcPr>
            <w:tcW w:w="1425" w:type="dxa"/>
            <w:tcBorders>
              <w:top w:val="single" w:sz="4" w:space="0" w:color="auto"/>
              <w:left w:val="single" w:sz="4" w:space="0" w:color="auto"/>
              <w:bottom w:val="single" w:sz="4" w:space="0" w:color="auto"/>
              <w:right w:val="single" w:sz="4" w:space="0" w:color="auto"/>
            </w:tcBorders>
            <w:vAlign w:val="center"/>
          </w:tcPr>
          <w:p w14:paraId="502E357B" w14:textId="77777777" w:rsidR="004A7295" w:rsidRDefault="00000000">
            <w:pPr>
              <w:spacing w:line="360" w:lineRule="auto"/>
              <w:jc w:val="both"/>
              <w:rPr>
                <w:rFonts w:ascii="Arial" w:eastAsia="Arial Unicode MS" w:hAnsi="Arial" w:cs="Arial"/>
                <w:lang w:val="en-US"/>
              </w:rPr>
            </w:pPr>
            <w:r>
              <w:rPr>
                <w:rFonts w:ascii="Arial" w:eastAsia="Arial Unicode MS" w:hAnsi="Arial" w:cs="Arial"/>
                <w:lang w:val="en-US"/>
              </w:rPr>
              <w:t>Birmingham, UK (International Journal of Integrated Care)</w:t>
            </w:r>
          </w:p>
        </w:tc>
      </w:tr>
      <w:tr w:rsidR="004A7295" w14:paraId="502E3583" w14:textId="77777777">
        <w:tc>
          <w:tcPr>
            <w:tcW w:w="579" w:type="dxa"/>
            <w:tcBorders>
              <w:top w:val="single" w:sz="4" w:space="0" w:color="auto"/>
              <w:left w:val="single" w:sz="4" w:space="0" w:color="auto"/>
              <w:bottom w:val="single" w:sz="4" w:space="0" w:color="auto"/>
              <w:right w:val="single" w:sz="4" w:space="0" w:color="auto"/>
            </w:tcBorders>
            <w:vAlign w:val="center"/>
          </w:tcPr>
          <w:p w14:paraId="502E357D" w14:textId="77777777" w:rsidR="004A7295" w:rsidRDefault="00000000">
            <w:pPr>
              <w:spacing w:line="360" w:lineRule="auto"/>
              <w:jc w:val="both"/>
              <w:rPr>
                <w:rFonts w:ascii="Arial" w:eastAsia="Arial Unicode MS" w:hAnsi="Arial" w:cs="Arial"/>
                <w:lang w:val="en-US"/>
              </w:rPr>
            </w:pPr>
            <w:r>
              <w:rPr>
                <w:rFonts w:ascii="Arial" w:eastAsia="Arial Unicode MS" w:hAnsi="Arial" w:cs="Arial"/>
                <w:lang w:val="en-US"/>
              </w:rPr>
              <w:t>2</w:t>
            </w:r>
          </w:p>
        </w:tc>
        <w:tc>
          <w:tcPr>
            <w:tcW w:w="1426" w:type="dxa"/>
            <w:tcBorders>
              <w:top w:val="single" w:sz="4" w:space="0" w:color="auto"/>
              <w:left w:val="single" w:sz="4" w:space="0" w:color="auto"/>
              <w:bottom w:val="single" w:sz="4" w:space="0" w:color="auto"/>
              <w:right w:val="single" w:sz="4" w:space="0" w:color="auto"/>
            </w:tcBorders>
            <w:vAlign w:val="center"/>
          </w:tcPr>
          <w:p w14:paraId="502E357E" w14:textId="77777777" w:rsidR="004A7295" w:rsidRDefault="00000000">
            <w:pPr>
              <w:spacing w:line="360" w:lineRule="auto"/>
              <w:jc w:val="both"/>
              <w:rPr>
                <w:rFonts w:ascii="Arial" w:eastAsia="Arial Unicode MS" w:hAnsi="Arial" w:cs="Arial"/>
                <w:lang w:val="en-US"/>
              </w:rPr>
            </w:pPr>
            <w:r>
              <w:rPr>
                <w:rFonts w:ascii="Arial" w:eastAsia="Arial Unicode MS" w:hAnsi="Arial" w:cs="Arial"/>
                <w:lang w:val="en-US"/>
              </w:rPr>
              <w:t>MacInnes, et al. (2020)</w:t>
            </w:r>
          </w:p>
        </w:tc>
        <w:tc>
          <w:tcPr>
            <w:tcW w:w="2136" w:type="dxa"/>
            <w:tcBorders>
              <w:top w:val="single" w:sz="4" w:space="0" w:color="auto"/>
              <w:left w:val="single" w:sz="4" w:space="0" w:color="auto"/>
              <w:bottom w:val="single" w:sz="4" w:space="0" w:color="auto"/>
              <w:right w:val="single" w:sz="4" w:space="0" w:color="auto"/>
            </w:tcBorders>
            <w:vAlign w:val="center"/>
          </w:tcPr>
          <w:p w14:paraId="502E357F" w14:textId="77777777" w:rsidR="004A7295" w:rsidRDefault="00000000">
            <w:pPr>
              <w:spacing w:line="360" w:lineRule="auto"/>
              <w:jc w:val="both"/>
              <w:rPr>
                <w:rFonts w:ascii="Arial" w:eastAsia="Arial Unicode MS" w:hAnsi="Arial" w:cs="Arial"/>
                <w:lang w:val="en-US"/>
              </w:rPr>
            </w:pPr>
            <w:r>
              <w:rPr>
                <w:rFonts w:ascii="Arial" w:eastAsia="Arial Unicode MS" w:hAnsi="Arial" w:cs="Arial"/>
                <w:lang w:val="en-US"/>
              </w:rPr>
              <w:t>The Over 75 Service: Continuity of Integrated Care for Older People in a United Kingdom Primary Care Setting</w:t>
            </w:r>
          </w:p>
        </w:tc>
        <w:tc>
          <w:tcPr>
            <w:tcW w:w="1403" w:type="dxa"/>
            <w:tcBorders>
              <w:top w:val="single" w:sz="4" w:space="0" w:color="auto"/>
              <w:left w:val="single" w:sz="4" w:space="0" w:color="auto"/>
              <w:bottom w:val="single" w:sz="4" w:space="0" w:color="auto"/>
              <w:right w:val="single" w:sz="4" w:space="0" w:color="auto"/>
            </w:tcBorders>
            <w:vAlign w:val="center"/>
          </w:tcPr>
          <w:p w14:paraId="502E3580" w14:textId="77777777" w:rsidR="004A7295" w:rsidRDefault="00000000">
            <w:pPr>
              <w:spacing w:line="360" w:lineRule="auto"/>
              <w:jc w:val="both"/>
              <w:rPr>
                <w:rFonts w:ascii="Arial" w:eastAsia="Arial Unicode MS" w:hAnsi="Arial" w:cs="Arial"/>
                <w:lang w:val="en-US"/>
              </w:rPr>
            </w:pPr>
            <w:r>
              <w:rPr>
                <w:rFonts w:ascii="Arial" w:eastAsia="Arial Unicode MS" w:hAnsi="Arial" w:cs="Arial"/>
                <w:lang w:val="en-US"/>
              </w:rPr>
              <w:t>Qualitative Case Study</w:t>
            </w:r>
          </w:p>
        </w:tc>
        <w:tc>
          <w:tcPr>
            <w:tcW w:w="2299" w:type="dxa"/>
            <w:tcBorders>
              <w:top w:val="single" w:sz="4" w:space="0" w:color="auto"/>
              <w:left w:val="single" w:sz="4" w:space="0" w:color="auto"/>
              <w:bottom w:val="single" w:sz="4" w:space="0" w:color="auto"/>
              <w:right w:val="single" w:sz="4" w:space="0" w:color="auto"/>
            </w:tcBorders>
            <w:vAlign w:val="center"/>
          </w:tcPr>
          <w:p w14:paraId="502E3581" w14:textId="77777777" w:rsidR="004A7295" w:rsidRDefault="00000000">
            <w:pPr>
              <w:spacing w:line="360" w:lineRule="auto"/>
              <w:jc w:val="both"/>
              <w:rPr>
                <w:rFonts w:ascii="Arial" w:eastAsia="Arial Unicode MS" w:hAnsi="Arial" w:cs="Arial"/>
                <w:lang w:val="en-US"/>
              </w:rPr>
            </w:pPr>
            <w:r>
              <w:rPr>
                <w:rFonts w:ascii="Arial" w:eastAsia="Arial Unicode MS" w:hAnsi="Arial" w:cs="Arial"/>
                <w:lang w:val="en-US"/>
              </w:rPr>
              <w:t>Explored continuity of integrated care for older adults over 75 living at home with complex needs</w:t>
            </w:r>
          </w:p>
        </w:tc>
        <w:tc>
          <w:tcPr>
            <w:tcW w:w="1425" w:type="dxa"/>
            <w:tcBorders>
              <w:top w:val="single" w:sz="4" w:space="0" w:color="auto"/>
              <w:left w:val="single" w:sz="4" w:space="0" w:color="auto"/>
              <w:bottom w:val="single" w:sz="4" w:space="0" w:color="auto"/>
              <w:right w:val="single" w:sz="4" w:space="0" w:color="auto"/>
            </w:tcBorders>
            <w:vAlign w:val="center"/>
          </w:tcPr>
          <w:p w14:paraId="502E3582" w14:textId="77777777" w:rsidR="004A7295" w:rsidRDefault="00000000">
            <w:pPr>
              <w:spacing w:line="360" w:lineRule="auto"/>
              <w:jc w:val="both"/>
              <w:rPr>
                <w:rFonts w:ascii="Arial" w:eastAsia="Arial Unicode MS" w:hAnsi="Arial" w:cs="Arial"/>
                <w:lang w:val="en-US"/>
              </w:rPr>
            </w:pPr>
            <w:r>
              <w:rPr>
                <w:rFonts w:ascii="Arial" w:eastAsia="Arial Unicode MS" w:hAnsi="Arial" w:cs="Arial"/>
                <w:lang w:val="en-US"/>
              </w:rPr>
              <w:t>Canterbury, UK (University of Kent / IJIC)</w:t>
            </w:r>
          </w:p>
        </w:tc>
      </w:tr>
      <w:tr w:rsidR="004A7295" w14:paraId="502E358A" w14:textId="77777777">
        <w:tc>
          <w:tcPr>
            <w:tcW w:w="579" w:type="dxa"/>
            <w:tcBorders>
              <w:top w:val="single" w:sz="4" w:space="0" w:color="auto"/>
              <w:left w:val="single" w:sz="4" w:space="0" w:color="auto"/>
              <w:bottom w:val="single" w:sz="4" w:space="0" w:color="auto"/>
              <w:right w:val="single" w:sz="4" w:space="0" w:color="auto"/>
            </w:tcBorders>
            <w:vAlign w:val="center"/>
          </w:tcPr>
          <w:p w14:paraId="502E3584" w14:textId="77777777" w:rsidR="004A7295" w:rsidRDefault="00000000">
            <w:pPr>
              <w:spacing w:line="360" w:lineRule="auto"/>
              <w:jc w:val="both"/>
              <w:rPr>
                <w:rFonts w:ascii="Arial" w:eastAsia="Arial Unicode MS" w:hAnsi="Arial" w:cs="Arial"/>
                <w:lang w:val="en-US"/>
              </w:rPr>
            </w:pPr>
            <w:r>
              <w:rPr>
                <w:rFonts w:ascii="Arial" w:eastAsia="Arial Unicode MS" w:hAnsi="Arial" w:cs="Arial"/>
                <w:lang w:val="en-US"/>
              </w:rPr>
              <w:t>3</w:t>
            </w:r>
          </w:p>
        </w:tc>
        <w:tc>
          <w:tcPr>
            <w:tcW w:w="1426" w:type="dxa"/>
            <w:tcBorders>
              <w:top w:val="single" w:sz="4" w:space="0" w:color="auto"/>
              <w:left w:val="single" w:sz="4" w:space="0" w:color="auto"/>
              <w:bottom w:val="single" w:sz="4" w:space="0" w:color="auto"/>
              <w:right w:val="single" w:sz="4" w:space="0" w:color="auto"/>
            </w:tcBorders>
            <w:vAlign w:val="center"/>
          </w:tcPr>
          <w:p w14:paraId="502E3585" w14:textId="77777777" w:rsidR="004A7295" w:rsidRDefault="00000000">
            <w:pPr>
              <w:spacing w:line="360" w:lineRule="auto"/>
              <w:jc w:val="both"/>
              <w:rPr>
                <w:rFonts w:ascii="Arial" w:eastAsia="Arial Unicode MS" w:hAnsi="Arial" w:cs="Arial"/>
                <w:lang w:val="en-US"/>
              </w:rPr>
            </w:pPr>
            <w:r>
              <w:rPr>
                <w:rFonts w:ascii="Arial" w:eastAsia="Arial Unicode MS" w:hAnsi="Arial" w:cs="Arial"/>
                <w:lang w:val="en-US"/>
              </w:rPr>
              <w:t>Aiello and Mellor (2019)</w:t>
            </w:r>
          </w:p>
        </w:tc>
        <w:tc>
          <w:tcPr>
            <w:tcW w:w="2136" w:type="dxa"/>
            <w:tcBorders>
              <w:top w:val="single" w:sz="4" w:space="0" w:color="auto"/>
              <w:left w:val="single" w:sz="4" w:space="0" w:color="auto"/>
              <w:bottom w:val="single" w:sz="4" w:space="0" w:color="auto"/>
              <w:right w:val="single" w:sz="4" w:space="0" w:color="auto"/>
            </w:tcBorders>
            <w:vAlign w:val="center"/>
          </w:tcPr>
          <w:p w14:paraId="502E3586" w14:textId="77777777" w:rsidR="004A7295" w:rsidRDefault="00000000">
            <w:pPr>
              <w:spacing w:line="360" w:lineRule="auto"/>
              <w:jc w:val="both"/>
              <w:rPr>
                <w:rFonts w:ascii="Arial" w:eastAsia="Arial Unicode MS" w:hAnsi="Arial" w:cs="Arial"/>
                <w:lang w:val="en-US"/>
              </w:rPr>
            </w:pPr>
            <w:r>
              <w:rPr>
                <w:rFonts w:ascii="Arial" w:eastAsia="Arial Unicode MS" w:hAnsi="Arial" w:cs="Arial"/>
                <w:lang w:val="en-US"/>
              </w:rPr>
              <w:t xml:space="preserve">Integrating Health and Care </w:t>
            </w:r>
            <w:proofErr w:type="gramStart"/>
            <w:r>
              <w:rPr>
                <w:rFonts w:ascii="Arial" w:eastAsia="Arial Unicode MS" w:hAnsi="Arial" w:cs="Arial"/>
                <w:lang w:val="en-US"/>
              </w:rPr>
              <w:t>in</w:t>
            </w:r>
            <w:proofErr w:type="gramEnd"/>
            <w:r>
              <w:rPr>
                <w:rFonts w:ascii="Arial" w:eastAsia="Arial Unicode MS" w:hAnsi="Arial" w:cs="Arial"/>
                <w:lang w:val="en-US"/>
              </w:rPr>
              <w:t xml:space="preserve"> the 21st Century Workforce</w:t>
            </w:r>
          </w:p>
        </w:tc>
        <w:tc>
          <w:tcPr>
            <w:tcW w:w="1403" w:type="dxa"/>
            <w:tcBorders>
              <w:top w:val="single" w:sz="4" w:space="0" w:color="auto"/>
              <w:left w:val="single" w:sz="4" w:space="0" w:color="auto"/>
              <w:bottom w:val="single" w:sz="4" w:space="0" w:color="auto"/>
              <w:right w:val="single" w:sz="4" w:space="0" w:color="auto"/>
            </w:tcBorders>
            <w:vAlign w:val="center"/>
          </w:tcPr>
          <w:p w14:paraId="502E3587" w14:textId="77777777" w:rsidR="004A7295" w:rsidRDefault="00000000">
            <w:pPr>
              <w:spacing w:line="360" w:lineRule="auto"/>
              <w:jc w:val="both"/>
              <w:rPr>
                <w:rFonts w:ascii="Arial" w:eastAsia="Arial Unicode MS" w:hAnsi="Arial" w:cs="Arial"/>
                <w:lang w:val="en-US"/>
              </w:rPr>
            </w:pPr>
            <w:r>
              <w:rPr>
                <w:rFonts w:ascii="Arial" w:eastAsia="Arial Unicode MS" w:hAnsi="Arial" w:cs="Arial"/>
                <w:lang w:val="en-US"/>
              </w:rPr>
              <w:t>Conceptual / Policy Review (Case Studies)</w:t>
            </w:r>
          </w:p>
        </w:tc>
        <w:tc>
          <w:tcPr>
            <w:tcW w:w="2299" w:type="dxa"/>
            <w:tcBorders>
              <w:top w:val="single" w:sz="4" w:space="0" w:color="auto"/>
              <w:left w:val="single" w:sz="4" w:space="0" w:color="auto"/>
              <w:bottom w:val="single" w:sz="4" w:space="0" w:color="auto"/>
              <w:right w:val="single" w:sz="4" w:space="0" w:color="auto"/>
            </w:tcBorders>
            <w:vAlign w:val="center"/>
          </w:tcPr>
          <w:p w14:paraId="502E3588" w14:textId="77777777" w:rsidR="004A7295" w:rsidRDefault="00000000">
            <w:pPr>
              <w:spacing w:line="360" w:lineRule="auto"/>
              <w:jc w:val="both"/>
              <w:rPr>
                <w:rFonts w:ascii="Arial" w:eastAsia="Arial Unicode MS" w:hAnsi="Arial" w:cs="Arial"/>
                <w:lang w:val="en-US"/>
              </w:rPr>
            </w:pPr>
            <w:r>
              <w:rPr>
                <w:rFonts w:ascii="Arial" w:eastAsia="Arial Unicode MS" w:hAnsi="Arial" w:cs="Arial"/>
                <w:lang w:val="en-US"/>
              </w:rPr>
              <w:t>Examined strategies for developing an integrated, multi-professional workforce across health and social care sectors</w:t>
            </w:r>
          </w:p>
        </w:tc>
        <w:tc>
          <w:tcPr>
            <w:tcW w:w="1425" w:type="dxa"/>
            <w:tcBorders>
              <w:top w:val="single" w:sz="4" w:space="0" w:color="auto"/>
              <w:left w:val="single" w:sz="4" w:space="0" w:color="auto"/>
              <w:bottom w:val="single" w:sz="4" w:space="0" w:color="auto"/>
              <w:right w:val="single" w:sz="4" w:space="0" w:color="auto"/>
            </w:tcBorders>
            <w:vAlign w:val="center"/>
          </w:tcPr>
          <w:p w14:paraId="502E3589" w14:textId="77777777" w:rsidR="004A7295" w:rsidRDefault="00000000">
            <w:pPr>
              <w:spacing w:line="360" w:lineRule="auto"/>
              <w:jc w:val="both"/>
              <w:rPr>
                <w:rFonts w:ascii="Arial" w:eastAsia="Arial Unicode MS" w:hAnsi="Arial" w:cs="Arial"/>
                <w:lang w:val="en-US"/>
              </w:rPr>
            </w:pPr>
            <w:r>
              <w:rPr>
                <w:rFonts w:ascii="Arial" w:eastAsia="Arial Unicode MS" w:hAnsi="Arial" w:cs="Arial"/>
                <w:lang w:val="en-US"/>
              </w:rPr>
              <w:t>London, UK (Journal of Integrated Care, Emerald)</w:t>
            </w:r>
          </w:p>
        </w:tc>
      </w:tr>
      <w:tr w:rsidR="004A7295" w14:paraId="502E3591" w14:textId="77777777">
        <w:trPr>
          <w:trHeight w:val="3359"/>
        </w:trPr>
        <w:tc>
          <w:tcPr>
            <w:tcW w:w="579" w:type="dxa"/>
            <w:tcBorders>
              <w:top w:val="single" w:sz="4" w:space="0" w:color="auto"/>
              <w:left w:val="single" w:sz="4" w:space="0" w:color="auto"/>
              <w:bottom w:val="single" w:sz="4" w:space="0" w:color="auto"/>
              <w:right w:val="single" w:sz="4" w:space="0" w:color="auto"/>
            </w:tcBorders>
            <w:vAlign w:val="center"/>
          </w:tcPr>
          <w:p w14:paraId="502E358B" w14:textId="77777777" w:rsidR="004A7295" w:rsidRDefault="00000000">
            <w:pPr>
              <w:spacing w:line="360" w:lineRule="auto"/>
              <w:jc w:val="both"/>
              <w:rPr>
                <w:rFonts w:ascii="Arial" w:eastAsia="Arial Unicode MS" w:hAnsi="Arial" w:cs="Arial"/>
                <w:lang w:val="en-US"/>
              </w:rPr>
            </w:pPr>
            <w:r>
              <w:rPr>
                <w:rFonts w:ascii="Arial" w:eastAsia="Arial Unicode MS" w:hAnsi="Arial" w:cs="Arial"/>
                <w:lang w:val="en-US"/>
              </w:rPr>
              <w:lastRenderedPageBreak/>
              <w:t>4</w:t>
            </w:r>
          </w:p>
        </w:tc>
        <w:tc>
          <w:tcPr>
            <w:tcW w:w="1426" w:type="dxa"/>
            <w:tcBorders>
              <w:top w:val="single" w:sz="4" w:space="0" w:color="auto"/>
              <w:left w:val="single" w:sz="4" w:space="0" w:color="auto"/>
              <w:bottom w:val="single" w:sz="4" w:space="0" w:color="auto"/>
              <w:right w:val="single" w:sz="4" w:space="0" w:color="auto"/>
            </w:tcBorders>
            <w:vAlign w:val="center"/>
          </w:tcPr>
          <w:p w14:paraId="502E358C" w14:textId="77777777" w:rsidR="004A7295" w:rsidRDefault="00000000">
            <w:pPr>
              <w:spacing w:line="360" w:lineRule="auto"/>
              <w:jc w:val="both"/>
              <w:rPr>
                <w:rFonts w:ascii="Arial" w:eastAsia="Arial Unicode MS" w:hAnsi="Arial" w:cs="Arial"/>
                <w:lang w:val="en-US"/>
              </w:rPr>
            </w:pPr>
            <w:r>
              <w:rPr>
                <w:rFonts w:ascii="Arial" w:eastAsia="Arial Unicode MS" w:hAnsi="Arial" w:cs="Arial"/>
                <w:lang w:val="en-US"/>
              </w:rPr>
              <w:t>Billings et al.  (2019)</w:t>
            </w:r>
          </w:p>
        </w:tc>
        <w:tc>
          <w:tcPr>
            <w:tcW w:w="2136" w:type="dxa"/>
            <w:tcBorders>
              <w:top w:val="single" w:sz="4" w:space="0" w:color="auto"/>
              <w:left w:val="single" w:sz="4" w:space="0" w:color="auto"/>
              <w:bottom w:val="single" w:sz="4" w:space="0" w:color="auto"/>
              <w:right w:val="single" w:sz="4" w:space="0" w:color="auto"/>
            </w:tcBorders>
            <w:vAlign w:val="center"/>
          </w:tcPr>
          <w:p w14:paraId="502E358D" w14:textId="77777777" w:rsidR="004A7295" w:rsidRDefault="00000000">
            <w:pPr>
              <w:spacing w:line="360" w:lineRule="auto"/>
              <w:jc w:val="both"/>
              <w:rPr>
                <w:rFonts w:ascii="Arial" w:eastAsia="Arial Unicode MS" w:hAnsi="Arial" w:cs="Arial"/>
                <w:lang w:val="en-US"/>
              </w:rPr>
            </w:pPr>
            <w:r>
              <w:rPr>
                <w:rFonts w:ascii="Arial" w:eastAsia="Arial Unicode MS" w:hAnsi="Arial" w:cs="Arial"/>
                <w:lang w:val="en-US"/>
              </w:rPr>
              <w:t xml:space="preserve">Supporting Integrated Care in Practice: Perceptions of a National Support </w:t>
            </w:r>
            <w:proofErr w:type="spellStart"/>
            <w:r>
              <w:rPr>
                <w:rFonts w:ascii="Arial" w:eastAsia="Arial Unicode MS" w:hAnsi="Arial" w:cs="Arial"/>
                <w:lang w:val="en-US"/>
              </w:rPr>
              <w:t>Programme</w:t>
            </w:r>
            <w:proofErr w:type="spellEnd"/>
            <w:r>
              <w:rPr>
                <w:rFonts w:ascii="Arial" w:eastAsia="Arial Unicode MS" w:hAnsi="Arial" w:cs="Arial"/>
                <w:lang w:val="en-US"/>
              </w:rPr>
              <w:t xml:space="preserve"> for New Care Models in England</w:t>
            </w:r>
          </w:p>
        </w:tc>
        <w:tc>
          <w:tcPr>
            <w:tcW w:w="1403" w:type="dxa"/>
            <w:tcBorders>
              <w:top w:val="single" w:sz="4" w:space="0" w:color="auto"/>
              <w:left w:val="single" w:sz="4" w:space="0" w:color="auto"/>
              <w:bottom w:val="single" w:sz="4" w:space="0" w:color="auto"/>
              <w:right w:val="single" w:sz="4" w:space="0" w:color="auto"/>
            </w:tcBorders>
            <w:vAlign w:val="center"/>
          </w:tcPr>
          <w:p w14:paraId="502E358E" w14:textId="77777777" w:rsidR="004A7295" w:rsidRDefault="00000000">
            <w:pPr>
              <w:spacing w:line="360" w:lineRule="auto"/>
              <w:jc w:val="both"/>
              <w:rPr>
                <w:rFonts w:ascii="Arial" w:eastAsia="Arial Unicode MS" w:hAnsi="Arial" w:cs="Arial"/>
                <w:lang w:val="en-US"/>
              </w:rPr>
            </w:pPr>
            <w:r>
              <w:rPr>
                <w:rFonts w:ascii="Arial" w:eastAsia="Arial Unicode MS" w:hAnsi="Arial" w:cs="Arial"/>
                <w:lang w:val="en-US"/>
              </w:rPr>
              <w:t>Qualitative (Semi-structured Interviews)</w:t>
            </w:r>
          </w:p>
        </w:tc>
        <w:tc>
          <w:tcPr>
            <w:tcW w:w="2299" w:type="dxa"/>
            <w:tcBorders>
              <w:top w:val="single" w:sz="4" w:space="0" w:color="auto"/>
              <w:left w:val="single" w:sz="4" w:space="0" w:color="auto"/>
              <w:bottom w:val="single" w:sz="4" w:space="0" w:color="auto"/>
              <w:right w:val="single" w:sz="4" w:space="0" w:color="auto"/>
            </w:tcBorders>
            <w:vAlign w:val="center"/>
          </w:tcPr>
          <w:p w14:paraId="502E358F" w14:textId="77777777" w:rsidR="004A7295" w:rsidRDefault="00000000">
            <w:pPr>
              <w:spacing w:line="360" w:lineRule="auto"/>
              <w:jc w:val="both"/>
              <w:rPr>
                <w:rFonts w:ascii="Arial" w:eastAsia="Arial Unicode MS" w:hAnsi="Arial" w:cs="Arial"/>
                <w:lang w:val="en-US"/>
              </w:rPr>
            </w:pPr>
            <w:r>
              <w:rPr>
                <w:rFonts w:ascii="Arial" w:eastAsia="Arial Unicode MS" w:hAnsi="Arial" w:cs="Arial"/>
                <w:lang w:val="en-US"/>
              </w:rPr>
              <w:t xml:space="preserve">Investigated facilitators and barriers in the NHS Vanguard </w:t>
            </w:r>
            <w:proofErr w:type="spellStart"/>
            <w:r>
              <w:rPr>
                <w:rFonts w:ascii="Arial" w:eastAsia="Arial Unicode MS" w:hAnsi="Arial" w:cs="Arial"/>
                <w:lang w:val="en-US"/>
              </w:rPr>
              <w:t>programme</w:t>
            </w:r>
            <w:proofErr w:type="spellEnd"/>
            <w:r>
              <w:rPr>
                <w:rFonts w:ascii="Arial" w:eastAsia="Arial Unicode MS" w:hAnsi="Arial" w:cs="Arial"/>
                <w:lang w:val="en-US"/>
              </w:rPr>
              <w:t xml:space="preserve"> to promote integrated care</w:t>
            </w:r>
          </w:p>
        </w:tc>
        <w:tc>
          <w:tcPr>
            <w:tcW w:w="1425" w:type="dxa"/>
            <w:tcBorders>
              <w:top w:val="single" w:sz="4" w:space="0" w:color="auto"/>
              <w:left w:val="single" w:sz="4" w:space="0" w:color="auto"/>
              <w:bottom w:val="single" w:sz="4" w:space="0" w:color="auto"/>
              <w:right w:val="single" w:sz="4" w:space="0" w:color="auto"/>
            </w:tcBorders>
            <w:vAlign w:val="center"/>
          </w:tcPr>
          <w:p w14:paraId="502E3590" w14:textId="77777777" w:rsidR="004A7295" w:rsidRDefault="00000000">
            <w:pPr>
              <w:spacing w:line="360" w:lineRule="auto"/>
              <w:jc w:val="both"/>
              <w:rPr>
                <w:rFonts w:ascii="Arial" w:eastAsia="Arial Unicode MS" w:hAnsi="Arial" w:cs="Arial"/>
                <w:lang w:val="en-US"/>
              </w:rPr>
            </w:pPr>
            <w:r>
              <w:rPr>
                <w:rFonts w:ascii="Arial" w:eastAsia="Arial Unicode MS" w:hAnsi="Arial" w:cs="Arial"/>
                <w:lang w:val="en-US"/>
              </w:rPr>
              <w:t>Manchester, UK (Journal of Integrated Care, Emerald)</w:t>
            </w:r>
          </w:p>
        </w:tc>
      </w:tr>
      <w:tr w:rsidR="004A7295" w14:paraId="502E3598" w14:textId="77777777">
        <w:tc>
          <w:tcPr>
            <w:tcW w:w="579" w:type="dxa"/>
            <w:tcBorders>
              <w:top w:val="single" w:sz="4" w:space="0" w:color="auto"/>
              <w:left w:val="single" w:sz="4" w:space="0" w:color="auto"/>
              <w:bottom w:val="single" w:sz="4" w:space="0" w:color="auto"/>
              <w:right w:val="single" w:sz="4" w:space="0" w:color="auto"/>
            </w:tcBorders>
            <w:vAlign w:val="center"/>
          </w:tcPr>
          <w:p w14:paraId="502E3592" w14:textId="77777777" w:rsidR="004A7295" w:rsidRDefault="00000000">
            <w:pPr>
              <w:spacing w:line="360" w:lineRule="auto"/>
              <w:jc w:val="both"/>
              <w:rPr>
                <w:rFonts w:ascii="Arial" w:eastAsia="Arial Unicode MS" w:hAnsi="Arial" w:cs="Arial"/>
                <w:lang w:val="en-US"/>
              </w:rPr>
            </w:pPr>
            <w:r>
              <w:rPr>
                <w:rFonts w:ascii="Arial" w:eastAsia="Arial Unicode MS" w:hAnsi="Arial" w:cs="Arial"/>
                <w:lang w:val="en-US"/>
              </w:rPr>
              <w:t>5</w:t>
            </w:r>
          </w:p>
        </w:tc>
        <w:tc>
          <w:tcPr>
            <w:tcW w:w="1426" w:type="dxa"/>
            <w:tcBorders>
              <w:top w:val="single" w:sz="4" w:space="0" w:color="auto"/>
              <w:left w:val="single" w:sz="4" w:space="0" w:color="auto"/>
              <w:bottom w:val="single" w:sz="4" w:space="0" w:color="auto"/>
              <w:right w:val="single" w:sz="4" w:space="0" w:color="auto"/>
            </w:tcBorders>
            <w:vAlign w:val="center"/>
          </w:tcPr>
          <w:p w14:paraId="502E3593" w14:textId="77777777" w:rsidR="004A7295" w:rsidRDefault="00000000">
            <w:pPr>
              <w:spacing w:line="360" w:lineRule="auto"/>
              <w:jc w:val="both"/>
              <w:rPr>
                <w:rFonts w:ascii="Arial" w:eastAsia="Arial Unicode MS" w:hAnsi="Arial" w:cs="Arial"/>
                <w:lang w:val="en-US"/>
              </w:rPr>
            </w:pPr>
            <w:r>
              <w:rPr>
                <w:rFonts w:ascii="Arial" w:eastAsia="Arial Unicode MS" w:hAnsi="Arial" w:cs="Arial"/>
                <w:lang w:val="en-US"/>
              </w:rPr>
              <w:t>Erens et al. (2020)</w:t>
            </w:r>
          </w:p>
        </w:tc>
        <w:tc>
          <w:tcPr>
            <w:tcW w:w="2136" w:type="dxa"/>
            <w:tcBorders>
              <w:top w:val="single" w:sz="4" w:space="0" w:color="auto"/>
              <w:left w:val="single" w:sz="4" w:space="0" w:color="auto"/>
              <w:bottom w:val="single" w:sz="4" w:space="0" w:color="auto"/>
              <w:right w:val="single" w:sz="4" w:space="0" w:color="auto"/>
            </w:tcBorders>
            <w:vAlign w:val="center"/>
          </w:tcPr>
          <w:p w14:paraId="502E3594" w14:textId="77777777" w:rsidR="004A7295" w:rsidRDefault="00000000">
            <w:pPr>
              <w:spacing w:line="360" w:lineRule="auto"/>
              <w:jc w:val="both"/>
              <w:rPr>
                <w:rFonts w:ascii="Arial" w:eastAsia="Arial Unicode MS" w:hAnsi="Arial" w:cs="Arial"/>
                <w:lang w:val="en-US"/>
              </w:rPr>
            </w:pPr>
            <w:r>
              <w:rPr>
                <w:rFonts w:ascii="Arial" w:eastAsia="Arial Unicode MS" w:hAnsi="Arial" w:cs="Arial"/>
                <w:lang w:val="en-US"/>
              </w:rPr>
              <w:t>Can Health and Social Care Integration Make Long-Term Progress? Findings from Key Informant Surveys of the Integration Pioneers in England</w:t>
            </w:r>
          </w:p>
        </w:tc>
        <w:tc>
          <w:tcPr>
            <w:tcW w:w="1403" w:type="dxa"/>
            <w:tcBorders>
              <w:top w:val="single" w:sz="4" w:space="0" w:color="auto"/>
              <w:left w:val="single" w:sz="4" w:space="0" w:color="auto"/>
              <w:bottom w:val="single" w:sz="4" w:space="0" w:color="auto"/>
              <w:right w:val="single" w:sz="4" w:space="0" w:color="auto"/>
            </w:tcBorders>
            <w:vAlign w:val="center"/>
          </w:tcPr>
          <w:p w14:paraId="502E3595" w14:textId="77777777" w:rsidR="004A7295" w:rsidRDefault="00000000">
            <w:pPr>
              <w:spacing w:line="360" w:lineRule="auto"/>
              <w:jc w:val="both"/>
              <w:rPr>
                <w:rFonts w:ascii="Arial" w:eastAsia="Arial Unicode MS" w:hAnsi="Arial" w:cs="Arial"/>
                <w:lang w:val="en-US"/>
              </w:rPr>
            </w:pPr>
            <w:r>
              <w:rPr>
                <w:rFonts w:ascii="Arial" w:eastAsia="Arial Unicode MS" w:hAnsi="Arial" w:cs="Arial"/>
                <w:lang w:val="en-US"/>
              </w:rPr>
              <w:t>Quantitative (Key Informant Survey, Longitudinal)</w:t>
            </w:r>
          </w:p>
        </w:tc>
        <w:tc>
          <w:tcPr>
            <w:tcW w:w="2299" w:type="dxa"/>
            <w:tcBorders>
              <w:top w:val="single" w:sz="4" w:space="0" w:color="auto"/>
              <w:left w:val="single" w:sz="4" w:space="0" w:color="auto"/>
              <w:bottom w:val="single" w:sz="4" w:space="0" w:color="auto"/>
              <w:right w:val="single" w:sz="4" w:space="0" w:color="auto"/>
            </w:tcBorders>
            <w:vAlign w:val="center"/>
          </w:tcPr>
          <w:p w14:paraId="502E3596" w14:textId="77777777" w:rsidR="004A7295" w:rsidRDefault="00000000">
            <w:pPr>
              <w:spacing w:line="360" w:lineRule="auto"/>
              <w:jc w:val="both"/>
              <w:rPr>
                <w:rFonts w:ascii="Arial" w:eastAsia="Arial Unicode MS" w:hAnsi="Arial" w:cs="Arial"/>
                <w:lang w:val="en-US"/>
              </w:rPr>
            </w:pPr>
            <w:r>
              <w:rPr>
                <w:rFonts w:ascii="Arial" w:eastAsia="Arial Unicode MS" w:hAnsi="Arial" w:cs="Arial"/>
                <w:lang w:val="en-US"/>
              </w:rPr>
              <w:t>Tracked progress and barriers in integration initiatives among England’s 25 pioneer sites (2016–2018)</w:t>
            </w:r>
          </w:p>
        </w:tc>
        <w:tc>
          <w:tcPr>
            <w:tcW w:w="1425" w:type="dxa"/>
            <w:tcBorders>
              <w:top w:val="single" w:sz="4" w:space="0" w:color="auto"/>
              <w:left w:val="single" w:sz="4" w:space="0" w:color="auto"/>
              <w:bottom w:val="single" w:sz="4" w:space="0" w:color="auto"/>
              <w:right w:val="single" w:sz="4" w:space="0" w:color="auto"/>
            </w:tcBorders>
            <w:vAlign w:val="center"/>
          </w:tcPr>
          <w:p w14:paraId="502E3597" w14:textId="77777777" w:rsidR="004A7295" w:rsidRDefault="00000000">
            <w:pPr>
              <w:spacing w:line="360" w:lineRule="auto"/>
              <w:jc w:val="both"/>
              <w:rPr>
                <w:rFonts w:ascii="Arial" w:eastAsia="Arial Unicode MS" w:hAnsi="Arial" w:cs="Arial"/>
                <w:lang w:val="en-US"/>
              </w:rPr>
            </w:pPr>
            <w:r>
              <w:rPr>
                <w:rFonts w:ascii="Arial" w:eastAsia="Arial Unicode MS" w:hAnsi="Arial" w:cs="Arial"/>
                <w:lang w:val="en-US"/>
              </w:rPr>
              <w:t>London, UK (Journal of Integrated Care, Emerald)</w:t>
            </w:r>
          </w:p>
        </w:tc>
      </w:tr>
      <w:tr w:rsidR="004A7295" w14:paraId="502E359F" w14:textId="77777777">
        <w:tc>
          <w:tcPr>
            <w:tcW w:w="579" w:type="dxa"/>
            <w:tcBorders>
              <w:top w:val="single" w:sz="4" w:space="0" w:color="auto"/>
              <w:left w:val="single" w:sz="4" w:space="0" w:color="auto"/>
              <w:bottom w:val="single" w:sz="4" w:space="0" w:color="auto"/>
              <w:right w:val="single" w:sz="4" w:space="0" w:color="auto"/>
            </w:tcBorders>
            <w:vAlign w:val="center"/>
          </w:tcPr>
          <w:p w14:paraId="502E3599" w14:textId="77777777" w:rsidR="004A7295" w:rsidRDefault="00000000">
            <w:pPr>
              <w:spacing w:line="360" w:lineRule="auto"/>
              <w:jc w:val="both"/>
              <w:rPr>
                <w:rFonts w:ascii="Arial" w:eastAsia="Arial Unicode MS" w:hAnsi="Arial" w:cs="Arial"/>
                <w:lang w:val="en-US"/>
              </w:rPr>
            </w:pPr>
            <w:r>
              <w:rPr>
                <w:rFonts w:ascii="Arial" w:eastAsia="Arial Unicode MS" w:hAnsi="Arial" w:cs="Arial"/>
                <w:lang w:val="en-US"/>
              </w:rPr>
              <w:t>6</w:t>
            </w:r>
          </w:p>
        </w:tc>
        <w:tc>
          <w:tcPr>
            <w:tcW w:w="1426" w:type="dxa"/>
            <w:tcBorders>
              <w:top w:val="single" w:sz="4" w:space="0" w:color="auto"/>
              <w:left w:val="single" w:sz="4" w:space="0" w:color="auto"/>
              <w:bottom w:val="single" w:sz="4" w:space="0" w:color="auto"/>
              <w:right w:val="single" w:sz="4" w:space="0" w:color="auto"/>
            </w:tcBorders>
            <w:vAlign w:val="center"/>
          </w:tcPr>
          <w:p w14:paraId="502E359A" w14:textId="77777777" w:rsidR="004A7295" w:rsidRDefault="00000000">
            <w:pPr>
              <w:spacing w:line="360" w:lineRule="auto"/>
              <w:jc w:val="both"/>
              <w:rPr>
                <w:rFonts w:ascii="Arial" w:eastAsia="Arial Unicode MS" w:hAnsi="Arial" w:cs="Arial"/>
                <w:lang w:val="en-US"/>
              </w:rPr>
            </w:pPr>
            <w:r>
              <w:rPr>
                <w:rFonts w:ascii="Arial" w:eastAsia="Arial Unicode MS" w:hAnsi="Arial" w:cs="Arial"/>
                <w:lang w:val="en-US"/>
              </w:rPr>
              <w:t>Akehurst et al.  (2022)</w:t>
            </w:r>
          </w:p>
        </w:tc>
        <w:tc>
          <w:tcPr>
            <w:tcW w:w="2136" w:type="dxa"/>
            <w:tcBorders>
              <w:top w:val="single" w:sz="4" w:space="0" w:color="auto"/>
              <w:left w:val="single" w:sz="4" w:space="0" w:color="auto"/>
              <w:bottom w:val="single" w:sz="4" w:space="0" w:color="auto"/>
              <w:right w:val="single" w:sz="4" w:space="0" w:color="auto"/>
            </w:tcBorders>
            <w:vAlign w:val="center"/>
          </w:tcPr>
          <w:p w14:paraId="502E359B" w14:textId="77777777" w:rsidR="004A7295" w:rsidRDefault="00000000">
            <w:pPr>
              <w:spacing w:line="360" w:lineRule="auto"/>
              <w:jc w:val="both"/>
              <w:rPr>
                <w:rFonts w:ascii="Arial" w:eastAsia="Arial Unicode MS" w:hAnsi="Arial" w:cs="Arial"/>
                <w:lang w:val="en-US"/>
              </w:rPr>
            </w:pPr>
            <w:r>
              <w:rPr>
                <w:rFonts w:ascii="Arial" w:eastAsia="Arial Unicode MS" w:hAnsi="Arial" w:cs="Arial"/>
                <w:lang w:val="en-US"/>
              </w:rPr>
              <w:t>Making a Difference: Workforce Skills and Capacity for Integrated Care</w:t>
            </w:r>
          </w:p>
        </w:tc>
        <w:tc>
          <w:tcPr>
            <w:tcW w:w="1403" w:type="dxa"/>
            <w:tcBorders>
              <w:top w:val="single" w:sz="4" w:space="0" w:color="auto"/>
              <w:left w:val="single" w:sz="4" w:space="0" w:color="auto"/>
              <w:bottom w:val="single" w:sz="4" w:space="0" w:color="auto"/>
              <w:right w:val="single" w:sz="4" w:space="0" w:color="auto"/>
            </w:tcBorders>
            <w:vAlign w:val="center"/>
          </w:tcPr>
          <w:p w14:paraId="502E359C" w14:textId="77777777" w:rsidR="004A7295" w:rsidRDefault="00000000">
            <w:pPr>
              <w:spacing w:line="360" w:lineRule="auto"/>
              <w:jc w:val="both"/>
              <w:rPr>
                <w:rFonts w:ascii="Arial" w:eastAsia="Arial Unicode MS" w:hAnsi="Arial" w:cs="Arial"/>
                <w:lang w:val="en-US"/>
              </w:rPr>
            </w:pPr>
            <w:r>
              <w:rPr>
                <w:rFonts w:ascii="Arial" w:eastAsia="Arial Unicode MS" w:hAnsi="Arial" w:cs="Arial"/>
                <w:lang w:val="en-US"/>
              </w:rPr>
              <w:t>Qualitative (Action Research: Interviews &amp; Focus Groups)</w:t>
            </w:r>
          </w:p>
        </w:tc>
        <w:tc>
          <w:tcPr>
            <w:tcW w:w="2299" w:type="dxa"/>
            <w:tcBorders>
              <w:top w:val="single" w:sz="4" w:space="0" w:color="auto"/>
              <w:left w:val="single" w:sz="4" w:space="0" w:color="auto"/>
              <w:bottom w:val="single" w:sz="4" w:space="0" w:color="auto"/>
              <w:right w:val="single" w:sz="4" w:space="0" w:color="auto"/>
            </w:tcBorders>
            <w:vAlign w:val="center"/>
          </w:tcPr>
          <w:p w14:paraId="502E359D" w14:textId="77777777" w:rsidR="004A7295" w:rsidRDefault="00000000">
            <w:pPr>
              <w:spacing w:line="360" w:lineRule="auto"/>
              <w:jc w:val="both"/>
              <w:rPr>
                <w:rFonts w:ascii="Arial" w:eastAsia="Arial Unicode MS" w:hAnsi="Arial" w:cs="Arial"/>
                <w:lang w:val="en-US"/>
              </w:rPr>
            </w:pPr>
            <w:r>
              <w:rPr>
                <w:rFonts w:ascii="Arial" w:eastAsia="Arial Unicode MS" w:hAnsi="Arial" w:cs="Arial"/>
                <w:lang w:val="en-US"/>
              </w:rPr>
              <w:t xml:space="preserve">Explored workforce skills, capacity and </w:t>
            </w:r>
            <w:proofErr w:type="spellStart"/>
            <w:r>
              <w:rPr>
                <w:rFonts w:ascii="Arial" w:eastAsia="Arial Unicode MS" w:hAnsi="Arial" w:cs="Arial"/>
                <w:lang w:val="en-US"/>
              </w:rPr>
              <w:t>organisational</w:t>
            </w:r>
            <w:proofErr w:type="spellEnd"/>
            <w:r>
              <w:rPr>
                <w:rFonts w:ascii="Arial" w:eastAsia="Arial Unicode MS" w:hAnsi="Arial" w:cs="Arial"/>
                <w:lang w:val="en-US"/>
              </w:rPr>
              <w:t xml:space="preserve"> development processes in integrated care teams</w:t>
            </w:r>
          </w:p>
        </w:tc>
        <w:tc>
          <w:tcPr>
            <w:tcW w:w="1425" w:type="dxa"/>
            <w:tcBorders>
              <w:top w:val="single" w:sz="4" w:space="0" w:color="auto"/>
              <w:left w:val="single" w:sz="4" w:space="0" w:color="auto"/>
              <w:bottom w:val="single" w:sz="4" w:space="0" w:color="auto"/>
              <w:right w:val="single" w:sz="4" w:space="0" w:color="auto"/>
            </w:tcBorders>
            <w:vAlign w:val="center"/>
          </w:tcPr>
          <w:p w14:paraId="502E359E" w14:textId="77777777" w:rsidR="004A7295" w:rsidRDefault="00000000">
            <w:pPr>
              <w:spacing w:line="360" w:lineRule="auto"/>
              <w:jc w:val="both"/>
              <w:rPr>
                <w:rFonts w:ascii="Arial" w:eastAsia="Arial Unicode MS" w:hAnsi="Arial" w:cs="Arial"/>
                <w:lang w:val="en-US"/>
              </w:rPr>
            </w:pPr>
            <w:r>
              <w:rPr>
                <w:rFonts w:ascii="Arial" w:eastAsia="Arial Unicode MS" w:hAnsi="Arial" w:cs="Arial"/>
                <w:lang w:val="en-US"/>
              </w:rPr>
              <w:t>Sunderland, UK (Journal of Integrated Care, Emerald)</w:t>
            </w:r>
          </w:p>
        </w:tc>
      </w:tr>
      <w:tr w:rsidR="004A7295" w14:paraId="502E35A6" w14:textId="77777777">
        <w:tc>
          <w:tcPr>
            <w:tcW w:w="579" w:type="dxa"/>
            <w:tcBorders>
              <w:top w:val="single" w:sz="4" w:space="0" w:color="auto"/>
              <w:left w:val="single" w:sz="4" w:space="0" w:color="auto"/>
              <w:bottom w:val="single" w:sz="4" w:space="0" w:color="auto"/>
              <w:right w:val="single" w:sz="4" w:space="0" w:color="auto"/>
            </w:tcBorders>
            <w:vAlign w:val="center"/>
          </w:tcPr>
          <w:p w14:paraId="502E35A0" w14:textId="77777777" w:rsidR="004A7295" w:rsidRDefault="00000000">
            <w:pPr>
              <w:spacing w:line="360" w:lineRule="auto"/>
              <w:jc w:val="both"/>
              <w:rPr>
                <w:rFonts w:ascii="Arial" w:eastAsia="Arial Unicode MS" w:hAnsi="Arial" w:cs="Arial"/>
                <w:lang w:val="en-US"/>
              </w:rPr>
            </w:pPr>
            <w:r>
              <w:rPr>
                <w:rFonts w:ascii="Arial" w:eastAsia="Arial Unicode MS" w:hAnsi="Arial" w:cs="Arial"/>
                <w:lang w:val="en-US"/>
              </w:rPr>
              <w:t>7</w:t>
            </w:r>
          </w:p>
        </w:tc>
        <w:tc>
          <w:tcPr>
            <w:tcW w:w="1426" w:type="dxa"/>
            <w:tcBorders>
              <w:top w:val="single" w:sz="4" w:space="0" w:color="auto"/>
              <w:left w:val="single" w:sz="4" w:space="0" w:color="auto"/>
              <w:bottom w:val="single" w:sz="4" w:space="0" w:color="auto"/>
              <w:right w:val="single" w:sz="4" w:space="0" w:color="auto"/>
            </w:tcBorders>
            <w:vAlign w:val="center"/>
          </w:tcPr>
          <w:p w14:paraId="502E35A1" w14:textId="77777777" w:rsidR="004A7295" w:rsidRDefault="00000000">
            <w:pPr>
              <w:spacing w:line="360" w:lineRule="auto"/>
              <w:jc w:val="both"/>
              <w:rPr>
                <w:rFonts w:ascii="Arial" w:eastAsia="Arial Unicode MS" w:hAnsi="Arial" w:cs="Arial"/>
                <w:lang w:val="en-US"/>
              </w:rPr>
            </w:pPr>
            <w:r>
              <w:rPr>
                <w:rFonts w:ascii="Arial" w:eastAsia="Arial Unicode MS" w:hAnsi="Arial" w:cs="Arial"/>
                <w:lang w:val="en-US"/>
              </w:rPr>
              <w:t>Goddard (2023)</w:t>
            </w:r>
          </w:p>
        </w:tc>
        <w:tc>
          <w:tcPr>
            <w:tcW w:w="2136" w:type="dxa"/>
            <w:tcBorders>
              <w:top w:val="single" w:sz="4" w:space="0" w:color="auto"/>
              <w:left w:val="single" w:sz="4" w:space="0" w:color="auto"/>
              <w:bottom w:val="single" w:sz="4" w:space="0" w:color="auto"/>
              <w:right w:val="single" w:sz="4" w:space="0" w:color="auto"/>
            </w:tcBorders>
            <w:vAlign w:val="center"/>
          </w:tcPr>
          <w:p w14:paraId="502E35A2" w14:textId="77777777" w:rsidR="004A7295" w:rsidRDefault="00000000">
            <w:pPr>
              <w:spacing w:line="360" w:lineRule="auto"/>
              <w:jc w:val="both"/>
              <w:rPr>
                <w:rFonts w:ascii="Arial" w:eastAsia="Arial Unicode MS" w:hAnsi="Arial" w:cs="Arial"/>
                <w:lang w:val="en-US"/>
              </w:rPr>
            </w:pPr>
            <w:r>
              <w:rPr>
                <w:rFonts w:ascii="Arial" w:eastAsia="Arial Unicode MS" w:hAnsi="Arial" w:cs="Arial"/>
                <w:lang w:val="en-US"/>
              </w:rPr>
              <w:t>Integrated Care Systems and Equity: Prospects and Plans</w:t>
            </w:r>
          </w:p>
        </w:tc>
        <w:tc>
          <w:tcPr>
            <w:tcW w:w="1403" w:type="dxa"/>
            <w:tcBorders>
              <w:top w:val="single" w:sz="4" w:space="0" w:color="auto"/>
              <w:left w:val="single" w:sz="4" w:space="0" w:color="auto"/>
              <w:bottom w:val="single" w:sz="4" w:space="0" w:color="auto"/>
              <w:right w:val="single" w:sz="4" w:space="0" w:color="auto"/>
            </w:tcBorders>
            <w:vAlign w:val="center"/>
          </w:tcPr>
          <w:p w14:paraId="502E35A3" w14:textId="77777777" w:rsidR="004A7295" w:rsidRDefault="00000000">
            <w:pPr>
              <w:spacing w:line="360" w:lineRule="auto"/>
              <w:jc w:val="both"/>
              <w:rPr>
                <w:rFonts w:ascii="Arial" w:eastAsia="Arial Unicode MS" w:hAnsi="Arial" w:cs="Arial"/>
                <w:lang w:val="en-US"/>
              </w:rPr>
            </w:pPr>
            <w:r>
              <w:rPr>
                <w:rFonts w:ascii="Arial" w:eastAsia="Arial Unicode MS" w:hAnsi="Arial" w:cs="Arial"/>
                <w:lang w:val="en-US"/>
              </w:rPr>
              <w:t>Document Analysis (Policy &amp; Strategic Plan Review)</w:t>
            </w:r>
          </w:p>
        </w:tc>
        <w:tc>
          <w:tcPr>
            <w:tcW w:w="2299" w:type="dxa"/>
            <w:tcBorders>
              <w:top w:val="single" w:sz="4" w:space="0" w:color="auto"/>
              <w:left w:val="single" w:sz="4" w:space="0" w:color="auto"/>
              <w:bottom w:val="single" w:sz="4" w:space="0" w:color="auto"/>
              <w:right w:val="single" w:sz="4" w:space="0" w:color="auto"/>
            </w:tcBorders>
            <w:vAlign w:val="center"/>
          </w:tcPr>
          <w:p w14:paraId="502E35A4" w14:textId="77777777" w:rsidR="004A7295" w:rsidRDefault="00000000">
            <w:pPr>
              <w:spacing w:line="360" w:lineRule="auto"/>
              <w:jc w:val="both"/>
              <w:rPr>
                <w:rFonts w:ascii="Arial" w:eastAsia="Arial Unicode MS" w:hAnsi="Arial" w:cs="Arial"/>
                <w:lang w:val="en-US"/>
              </w:rPr>
            </w:pPr>
            <w:proofErr w:type="spellStart"/>
            <w:r>
              <w:rPr>
                <w:rFonts w:ascii="Arial" w:eastAsia="Arial Unicode MS" w:hAnsi="Arial" w:cs="Arial"/>
                <w:lang w:val="en-US"/>
              </w:rPr>
              <w:t>Analysed</w:t>
            </w:r>
            <w:proofErr w:type="spellEnd"/>
            <w:r>
              <w:rPr>
                <w:rFonts w:ascii="Arial" w:eastAsia="Arial Unicode MS" w:hAnsi="Arial" w:cs="Arial"/>
                <w:lang w:val="en-US"/>
              </w:rPr>
              <w:t xml:space="preserve"> 23 Integrated Care System (ICS) plans focusing on equity and health inequalities</w:t>
            </w:r>
          </w:p>
        </w:tc>
        <w:tc>
          <w:tcPr>
            <w:tcW w:w="1425" w:type="dxa"/>
            <w:tcBorders>
              <w:top w:val="single" w:sz="4" w:space="0" w:color="auto"/>
              <w:left w:val="single" w:sz="4" w:space="0" w:color="auto"/>
              <w:bottom w:val="single" w:sz="4" w:space="0" w:color="auto"/>
              <w:right w:val="single" w:sz="4" w:space="0" w:color="auto"/>
            </w:tcBorders>
            <w:vAlign w:val="center"/>
          </w:tcPr>
          <w:p w14:paraId="502E35A5" w14:textId="77777777" w:rsidR="004A7295" w:rsidRDefault="00000000">
            <w:pPr>
              <w:spacing w:line="360" w:lineRule="auto"/>
              <w:jc w:val="both"/>
              <w:rPr>
                <w:rFonts w:ascii="Arial" w:eastAsia="Arial Unicode MS" w:hAnsi="Arial" w:cs="Arial"/>
                <w:lang w:val="en-US"/>
              </w:rPr>
            </w:pPr>
            <w:r>
              <w:rPr>
                <w:rFonts w:ascii="Arial" w:eastAsia="Arial Unicode MS" w:hAnsi="Arial" w:cs="Arial"/>
                <w:lang w:val="en-US"/>
              </w:rPr>
              <w:t>York, UK (University of York / Journal of Integrated Care)</w:t>
            </w:r>
          </w:p>
        </w:tc>
      </w:tr>
      <w:tr w:rsidR="004A7295" w14:paraId="502E35AD" w14:textId="77777777">
        <w:tc>
          <w:tcPr>
            <w:tcW w:w="579" w:type="dxa"/>
            <w:tcBorders>
              <w:top w:val="single" w:sz="4" w:space="0" w:color="auto"/>
              <w:left w:val="single" w:sz="4" w:space="0" w:color="auto"/>
              <w:bottom w:val="single" w:sz="4" w:space="0" w:color="auto"/>
              <w:right w:val="single" w:sz="4" w:space="0" w:color="auto"/>
            </w:tcBorders>
          </w:tcPr>
          <w:p w14:paraId="502E35A7" w14:textId="77777777" w:rsidR="004A7295" w:rsidRDefault="00000000">
            <w:pPr>
              <w:spacing w:line="360" w:lineRule="auto"/>
              <w:jc w:val="both"/>
              <w:rPr>
                <w:rFonts w:ascii="Arial" w:eastAsia="Arial Unicode MS" w:hAnsi="Arial" w:cs="Arial"/>
                <w:lang w:val="en-US"/>
              </w:rPr>
            </w:pPr>
            <w:r>
              <w:rPr>
                <w:rFonts w:ascii="Arial" w:eastAsia="Arial Unicode MS" w:hAnsi="Arial" w:cs="Arial"/>
                <w:lang w:val="en-US"/>
              </w:rPr>
              <w:t>8</w:t>
            </w:r>
          </w:p>
        </w:tc>
        <w:tc>
          <w:tcPr>
            <w:tcW w:w="1426" w:type="dxa"/>
            <w:tcBorders>
              <w:top w:val="single" w:sz="4" w:space="0" w:color="auto"/>
              <w:left w:val="single" w:sz="4" w:space="0" w:color="auto"/>
              <w:bottom w:val="single" w:sz="4" w:space="0" w:color="auto"/>
              <w:right w:val="single" w:sz="4" w:space="0" w:color="auto"/>
            </w:tcBorders>
          </w:tcPr>
          <w:p w14:paraId="502E35A8" w14:textId="77777777" w:rsidR="004A7295" w:rsidRDefault="00000000">
            <w:pPr>
              <w:spacing w:line="360" w:lineRule="auto"/>
              <w:jc w:val="both"/>
              <w:rPr>
                <w:rFonts w:ascii="Arial" w:eastAsia="Arial Unicode MS" w:hAnsi="Arial" w:cs="Arial"/>
                <w:lang w:val="en-US"/>
              </w:rPr>
            </w:pPr>
            <w:r>
              <w:rPr>
                <w:rFonts w:ascii="Arial" w:eastAsia="Arial Unicode MS" w:hAnsi="Arial" w:cs="Arial"/>
                <w:lang w:val="en-US"/>
              </w:rPr>
              <w:t>Robertshaw and Cross (2019)</w:t>
            </w:r>
          </w:p>
        </w:tc>
        <w:tc>
          <w:tcPr>
            <w:tcW w:w="2136" w:type="dxa"/>
            <w:tcBorders>
              <w:top w:val="single" w:sz="4" w:space="0" w:color="auto"/>
              <w:left w:val="single" w:sz="4" w:space="0" w:color="auto"/>
              <w:bottom w:val="single" w:sz="4" w:space="0" w:color="auto"/>
              <w:right w:val="single" w:sz="4" w:space="0" w:color="auto"/>
            </w:tcBorders>
          </w:tcPr>
          <w:p w14:paraId="502E35A9" w14:textId="77777777" w:rsidR="004A7295" w:rsidRDefault="00000000">
            <w:pPr>
              <w:spacing w:line="360" w:lineRule="auto"/>
              <w:jc w:val="both"/>
              <w:rPr>
                <w:rFonts w:ascii="Arial" w:eastAsia="Arial Unicode MS" w:hAnsi="Arial" w:cs="Arial"/>
                <w:lang w:val="en-US"/>
              </w:rPr>
            </w:pPr>
            <w:r>
              <w:rPr>
                <w:rFonts w:ascii="Arial" w:eastAsia="Arial Unicode MS" w:hAnsi="Arial" w:cs="Arial"/>
                <w:lang w:val="en-US"/>
              </w:rPr>
              <w:t>Roles and Responsibilities in Integrated Care for Dementia</w:t>
            </w:r>
          </w:p>
        </w:tc>
        <w:tc>
          <w:tcPr>
            <w:tcW w:w="1403" w:type="dxa"/>
            <w:tcBorders>
              <w:top w:val="single" w:sz="4" w:space="0" w:color="auto"/>
              <w:left w:val="single" w:sz="4" w:space="0" w:color="auto"/>
              <w:bottom w:val="single" w:sz="4" w:space="0" w:color="auto"/>
              <w:right w:val="single" w:sz="4" w:space="0" w:color="auto"/>
            </w:tcBorders>
          </w:tcPr>
          <w:p w14:paraId="502E35AA" w14:textId="77777777" w:rsidR="004A7295" w:rsidRDefault="00000000">
            <w:pPr>
              <w:spacing w:line="360" w:lineRule="auto"/>
              <w:jc w:val="both"/>
              <w:rPr>
                <w:rFonts w:ascii="Arial" w:eastAsia="Arial Unicode MS" w:hAnsi="Arial" w:cs="Arial"/>
                <w:lang w:val="en-US"/>
              </w:rPr>
            </w:pPr>
            <w:r>
              <w:rPr>
                <w:rFonts w:ascii="Arial" w:eastAsia="Arial Unicode MS" w:hAnsi="Arial" w:cs="Arial"/>
                <w:lang w:val="en-US"/>
              </w:rPr>
              <w:t xml:space="preserve">Qualitative (Framework Analysis of MOOC </w:t>
            </w:r>
            <w:r>
              <w:rPr>
                <w:rFonts w:ascii="Arial" w:eastAsia="Arial Unicode MS" w:hAnsi="Arial" w:cs="Arial"/>
                <w:lang w:val="en-US"/>
              </w:rPr>
              <w:lastRenderedPageBreak/>
              <w:t>Discussions)</w:t>
            </w:r>
          </w:p>
        </w:tc>
        <w:tc>
          <w:tcPr>
            <w:tcW w:w="2299" w:type="dxa"/>
            <w:tcBorders>
              <w:top w:val="single" w:sz="4" w:space="0" w:color="auto"/>
              <w:left w:val="single" w:sz="4" w:space="0" w:color="auto"/>
              <w:bottom w:val="single" w:sz="4" w:space="0" w:color="auto"/>
              <w:right w:val="single" w:sz="4" w:space="0" w:color="auto"/>
            </w:tcBorders>
          </w:tcPr>
          <w:p w14:paraId="502E35AB" w14:textId="77777777" w:rsidR="004A7295" w:rsidRDefault="00000000">
            <w:pPr>
              <w:spacing w:line="360" w:lineRule="auto"/>
              <w:jc w:val="both"/>
              <w:rPr>
                <w:rFonts w:ascii="Arial" w:eastAsia="Arial Unicode MS" w:hAnsi="Arial" w:cs="Arial"/>
                <w:lang w:val="en-US"/>
              </w:rPr>
            </w:pPr>
            <w:r>
              <w:rPr>
                <w:rFonts w:ascii="Arial" w:eastAsia="Arial Unicode MS" w:hAnsi="Arial" w:cs="Arial"/>
                <w:lang w:val="en-US"/>
              </w:rPr>
              <w:lastRenderedPageBreak/>
              <w:t xml:space="preserve">Explored perceptions of roles, responsibilities, and challenges in </w:t>
            </w:r>
            <w:r>
              <w:rPr>
                <w:rFonts w:ascii="Arial" w:eastAsia="Arial Unicode MS" w:hAnsi="Arial" w:cs="Arial"/>
                <w:lang w:val="en-US"/>
              </w:rPr>
              <w:lastRenderedPageBreak/>
              <w:t>delivering integrated dementia care</w:t>
            </w:r>
          </w:p>
        </w:tc>
        <w:tc>
          <w:tcPr>
            <w:tcW w:w="1425" w:type="dxa"/>
            <w:tcBorders>
              <w:top w:val="single" w:sz="4" w:space="0" w:color="auto"/>
              <w:left w:val="single" w:sz="4" w:space="0" w:color="auto"/>
              <w:bottom w:val="single" w:sz="4" w:space="0" w:color="auto"/>
              <w:right w:val="single" w:sz="4" w:space="0" w:color="auto"/>
            </w:tcBorders>
          </w:tcPr>
          <w:p w14:paraId="502E35AC" w14:textId="77777777" w:rsidR="004A7295" w:rsidRDefault="00000000">
            <w:pPr>
              <w:spacing w:line="360" w:lineRule="auto"/>
              <w:jc w:val="both"/>
              <w:rPr>
                <w:rFonts w:ascii="Arial" w:eastAsia="Arial Unicode MS" w:hAnsi="Arial" w:cs="Arial"/>
                <w:lang w:val="en-US"/>
              </w:rPr>
            </w:pPr>
            <w:r>
              <w:rPr>
                <w:rFonts w:ascii="Arial" w:eastAsia="Arial Unicode MS" w:hAnsi="Arial" w:cs="Arial"/>
                <w:lang w:val="en-US"/>
              </w:rPr>
              <w:lastRenderedPageBreak/>
              <w:t xml:space="preserve">Derby, UK (University of Derby / Journal of </w:t>
            </w:r>
            <w:r>
              <w:rPr>
                <w:rFonts w:ascii="Arial" w:eastAsia="Arial Unicode MS" w:hAnsi="Arial" w:cs="Arial"/>
                <w:lang w:val="en-US"/>
              </w:rPr>
              <w:lastRenderedPageBreak/>
              <w:t>Integrated Care)</w:t>
            </w:r>
          </w:p>
        </w:tc>
      </w:tr>
      <w:tr w:rsidR="004A7295" w14:paraId="502E35B4" w14:textId="77777777">
        <w:tc>
          <w:tcPr>
            <w:tcW w:w="579" w:type="dxa"/>
            <w:tcBorders>
              <w:top w:val="single" w:sz="4" w:space="0" w:color="auto"/>
              <w:left w:val="single" w:sz="4" w:space="0" w:color="auto"/>
              <w:bottom w:val="single" w:sz="4" w:space="0" w:color="auto"/>
              <w:right w:val="single" w:sz="4" w:space="0" w:color="auto"/>
            </w:tcBorders>
          </w:tcPr>
          <w:p w14:paraId="502E35AE" w14:textId="77777777" w:rsidR="004A7295" w:rsidRDefault="00000000">
            <w:pPr>
              <w:spacing w:line="360" w:lineRule="auto"/>
              <w:jc w:val="both"/>
              <w:rPr>
                <w:rFonts w:ascii="Arial" w:eastAsia="Arial Unicode MS" w:hAnsi="Arial" w:cs="Arial"/>
                <w:lang w:val="en-US"/>
              </w:rPr>
            </w:pPr>
            <w:r>
              <w:rPr>
                <w:rFonts w:ascii="Arial" w:eastAsia="Arial Unicode MS" w:hAnsi="Arial" w:cs="Arial"/>
                <w:lang w:val="en-US"/>
              </w:rPr>
              <w:t>9</w:t>
            </w:r>
          </w:p>
        </w:tc>
        <w:tc>
          <w:tcPr>
            <w:tcW w:w="1426" w:type="dxa"/>
            <w:tcBorders>
              <w:top w:val="single" w:sz="4" w:space="0" w:color="auto"/>
              <w:left w:val="single" w:sz="4" w:space="0" w:color="auto"/>
              <w:bottom w:val="single" w:sz="4" w:space="0" w:color="auto"/>
              <w:right w:val="single" w:sz="4" w:space="0" w:color="auto"/>
            </w:tcBorders>
          </w:tcPr>
          <w:p w14:paraId="502E35AF" w14:textId="77777777" w:rsidR="004A7295" w:rsidRDefault="00000000">
            <w:pPr>
              <w:spacing w:line="360" w:lineRule="auto"/>
              <w:jc w:val="both"/>
              <w:rPr>
                <w:rFonts w:ascii="Arial" w:eastAsia="Arial Unicode MS" w:hAnsi="Arial" w:cs="Arial"/>
                <w:lang w:val="en-US"/>
              </w:rPr>
            </w:pPr>
            <w:r>
              <w:rPr>
                <w:rFonts w:ascii="Arial" w:eastAsia="Arial Unicode MS" w:hAnsi="Arial" w:cs="Arial"/>
                <w:lang w:val="en-US"/>
              </w:rPr>
              <w:t>Knowles et al. (2015)</w:t>
            </w:r>
          </w:p>
        </w:tc>
        <w:tc>
          <w:tcPr>
            <w:tcW w:w="2136" w:type="dxa"/>
            <w:tcBorders>
              <w:top w:val="single" w:sz="4" w:space="0" w:color="auto"/>
              <w:left w:val="single" w:sz="4" w:space="0" w:color="auto"/>
              <w:bottom w:val="single" w:sz="4" w:space="0" w:color="auto"/>
              <w:right w:val="single" w:sz="4" w:space="0" w:color="auto"/>
            </w:tcBorders>
          </w:tcPr>
          <w:p w14:paraId="502E35B0" w14:textId="77777777" w:rsidR="004A7295" w:rsidRDefault="00000000">
            <w:pPr>
              <w:spacing w:line="360" w:lineRule="auto"/>
              <w:jc w:val="both"/>
              <w:rPr>
                <w:rFonts w:ascii="Arial" w:eastAsia="Arial Unicode MS" w:hAnsi="Arial" w:cs="Arial"/>
                <w:lang w:val="en-US"/>
              </w:rPr>
            </w:pPr>
            <w:r>
              <w:rPr>
                <w:rFonts w:ascii="Arial" w:eastAsia="Arial Unicode MS" w:hAnsi="Arial" w:cs="Arial"/>
                <w:lang w:val="en-US"/>
              </w:rPr>
              <w:t>Managing Depression in People with Multimorbidity: A Qualitative Evaluation of an Integrated Collaborative Care Model</w:t>
            </w:r>
          </w:p>
        </w:tc>
        <w:tc>
          <w:tcPr>
            <w:tcW w:w="1403" w:type="dxa"/>
            <w:tcBorders>
              <w:top w:val="single" w:sz="4" w:space="0" w:color="auto"/>
              <w:left w:val="single" w:sz="4" w:space="0" w:color="auto"/>
              <w:bottom w:val="single" w:sz="4" w:space="0" w:color="auto"/>
              <w:right w:val="single" w:sz="4" w:space="0" w:color="auto"/>
            </w:tcBorders>
          </w:tcPr>
          <w:p w14:paraId="502E35B1" w14:textId="77777777" w:rsidR="004A7295" w:rsidRDefault="00000000">
            <w:pPr>
              <w:spacing w:line="360" w:lineRule="auto"/>
              <w:jc w:val="both"/>
              <w:rPr>
                <w:rFonts w:ascii="Arial" w:eastAsia="Arial Unicode MS" w:hAnsi="Arial" w:cs="Arial"/>
                <w:lang w:val="en-US"/>
              </w:rPr>
            </w:pPr>
            <w:r>
              <w:rPr>
                <w:rFonts w:ascii="Arial" w:eastAsia="Arial Unicode MS" w:hAnsi="Arial" w:cs="Arial"/>
                <w:lang w:val="en-US"/>
              </w:rPr>
              <w:t>Qualitative (Nested Interview Study)</w:t>
            </w:r>
          </w:p>
        </w:tc>
        <w:tc>
          <w:tcPr>
            <w:tcW w:w="2299" w:type="dxa"/>
            <w:tcBorders>
              <w:top w:val="single" w:sz="4" w:space="0" w:color="auto"/>
              <w:left w:val="single" w:sz="4" w:space="0" w:color="auto"/>
              <w:bottom w:val="single" w:sz="4" w:space="0" w:color="auto"/>
              <w:right w:val="single" w:sz="4" w:space="0" w:color="auto"/>
            </w:tcBorders>
          </w:tcPr>
          <w:p w14:paraId="502E35B2" w14:textId="77777777" w:rsidR="004A7295" w:rsidRDefault="00000000">
            <w:pPr>
              <w:spacing w:line="360" w:lineRule="auto"/>
              <w:jc w:val="both"/>
              <w:rPr>
                <w:rFonts w:ascii="Arial" w:eastAsia="Arial Unicode MS" w:hAnsi="Arial" w:cs="Arial"/>
                <w:lang w:val="en-US"/>
              </w:rPr>
            </w:pPr>
            <w:r>
              <w:rPr>
                <w:rFonts w:ascii="Arial" w:eastAsia="Arial Unicode MS" w:hAnsi="Arial" w:cs="Arial"/>
                <w:lang w:val="en-US"/>
              </w:rPr>
              <w:t>Evaluated collaborative care for comorbid depression and chronic illness in UK primary care</w:t>
            </w:r>
          </w:p>
        </w:tc>
        <w:tc>
          <w:tcPr>
            <w:tcW w:w="1425" w:type="dxa"/>
            <w:tcBorders>
              <w:top w:val="single" w:sz="4" w:space="0" w:color="auto"/>
              <w:left w:val="single" w:sz="4" w:space="0" w:color="auto"/>
              <w:bottom w:val="single" w:sz="4" w:space="0" w:color="auto"/>
              <w:right w:val="single" w:sz="4" w:space="0" w:color="auto"/>
            </w:tcBorders>
          </w:tcPr>
          <w:p w14:paraId="502E35B3" w14:textId="77777777" w:rsidR="004A7295" w:rsidRDefault="00000000">
            <w:pPr>
              <w:spacing w:line="360" w:lineRule="auto"/>
              <w:jc w:val="both"/>
              <w:rPr>
                <w:rFonts w:ascii="Arial" w:eastAsia="Arial Unicode MS" w:hAnsi="Arial" w:cs="Arial"/>
                <w:lang w:val="en-US"/>
              </w:rPr>
            </w:pPr>
            <w:r>
              <w:rPr>
                <w:rFonts w:ascii="Arial" w:eastAsia="Arial Unicode MS" w:hAnsi="Arial" w:cs="Arial"/>
                <w:lang w:val="en-US"/>
              </w:rPr>
              <w:t>Manchester, UK (BMC Family Practice, Springer</w:t>
            </w:r>
          </w:p>
        </w:tc>
      </w:tr>
      <w:tr w:rsidR="004A7295" w14:paraId="502E35BB" w14:textId="77777777">
        <w:tc>
          <w:tcPr>
            <w:tcW w:w="579" w:type="dxa"/>
            <w:tcBorders>
              <w:top w:val="single" w:sz="4" w:space="0" w:color="auto"/>
              <w:left w:val="single" w:sz="4" w:space="0" w:color="auto"/>
              <w:bottom w:val="single" w:sz="4" w:space="0" w:color="auto"/>
              <w:right w:val="single" w:sz="4" w:space="0" w:color="auto"/>
            </w:tcBorders>
          </w:tcPr>
          <w:p w14:paraId="502E35B5" w14:textId="77777777" w:rsidR="004A7295" w:rsidRDefault="00000000">
            <w:pPr>
              <w:spacing w:line="360" w:lineRule="auto"/>
              <w:jc w:val="both"/>
              <w:rPr>
                <w:rFonts w:ascii="Arial" w:eastAsia="Arial Unicode MS" w:hAnsi="Arial" w:cs="Arial"/>
                <w:lang w:val="en-US"/>
              </w:rPr>
            </w:pPr>
            <w:r>
              <w:rPr>
                <w:rFonts w:ascii="Arial" w:eastAsia="Arial Unicode MS" w:hAnsi="Arial" w:cs="Arial"/>
                <w:lang w:val="en-US"/>
              </w:rPr>
              <w:t>10</w:t>
            </w:r>
          </w:p>
        </w:tc>
        <w:tc>
          <w:tcPr>
            <w:tcW w:w="1426" w:type="dxa"/>
            <w:tcBorders>
              <w:top w:val="single" w:sz="4" w:space="0" w:color="auto"/>
              <w:left w:val="single" w:sz="4" w:space="0" w:color="auto"/>
              <w:bottom w:val="single" w:sz="4" w:space="0" w:color="auto"/>
              <w:right w:val="single" w:sz="4" w:space="0" w:color="auto"/>
            </w:tcBorders>
          </w:tcPr>
          <w:p w14:paraId="502E35B6" w14:textId="77777777" w:rsidR="004A7295" w:rsidRDefault="00000000">
            <w:pPr>
              <w:spacing w:line="360" w:lineRule="auto"/>
              <w:jc w:val="both"/>
              <w:rPr>
                <w:rFonts w:ascii="Arial" w:eastAsia="Arial Unicode MS" w:hAnsi="Arial" w:cs="Arial"/>
                <w:lang w:val="en-US"/>
              </w:rPr>
            </w:pPr>
            <w:r>
              <w:rPr>
                <w:rFonts w:ascii="Arial" w:eastAsia="Arial Unicode MS" w:hAnsi="Arial" w:cs="Arial"/>
                <w:lang w:val="en-US"/>
              </w:rPr>
              <w:t>Khan et al. (2024)</w:t>
            </w:r>
          </w:p>
        </w:tc>
        <w:tc>
          <w:tcPr>
            <w:tcW w:w="2136" w:type="dxa"/>
            <w:tcBorders>
              <w:top w:val="single" w:sz="4" w:space="0" w:color="auto"/>
              <w:left w:val="single" w:sz="4" w:space="0" w:color="auto"/>
              <w:bottom w:val="single" w:sz="4" w:space="0" w:color="auto"/>
              <w:right w:val="single" w:sz="4" w:space="0" w:color="auto"/>
            </w:tcBorders>
          </w:tcPr>
          <w:p w14:paraId="502E35B7" w14:textId="77777777" w:rsidR="004A7295" w:rsidRDefault="00000000">
            <w:pPr>
              <w:spacing w:line="360" w:lineRule="auto"/>
              <w:jc w:val="both"/>
              <w:rPr>
                <w:rFonts w:ascii="Arial" w:eastAsia="Arial Unicode MS" w:hAnsi="Arial" w:cs="Arial"/>
                <w:lang w:val="en-US"/>
              </w:rPr>
            </w:pPr>
            <w:r>
              <w:rPr>
                <w:rFonts w:ascii="Arial" w:eastAsia="Arial Unicode MS" w:hAnsi="Arial" w:cs="Arial"/>
                <w:lang w:val="en-US"/>
              </w:rPr>
              <w:t xml:space="preserve">Factors that Affect the Implementation of an Integrated Care </w:t>
            </w:r>
            <w:proofErr w:type="spellStart"/>
            <w:r>
              <w:rPr>
                <w:rFonts w:ascii="Arial" w:eastAsia="Arial Unicode MS" w:hAnsi="Arial" w:cs="Arial"/>
                <w:lang w:val="en-US"/>
              </w:rPr>
              <w:t>Programme</w:t>
            </w:r>
            <w:proofErr w:type="spellEnd"/>
            <w:r>
              <w:rPr>
                <w:rFonts w:ascii="Arial" w:eastAsia="Arial Unicode MS" w:hAnsi="Arial" w:cs="Arial"/>
                <w:lang w:val="en-US"/>
              </w:rPr>
              <w:t xml:space="preserve"> for Older People with Different Frailty Levels</w:t>
            </w:r>
          </w:p>
        </w:tc>
        <w:tc>
          <w:tcPr>
            <w:tcW w:w="1403" w:type="dxa"/>
            <w:tcBorders>
              <w:top w:val="single" w:sz="4" w:space="0" w:color="auto"/>
              <w:left w:val="single" w:sz="4" w:space="0" w:color="auto"/>
              <w:bottom w:val="single" w:sz="4" w:space="0" w:color="auto"/>
              <w:right w:val="single" w:sz="4" w:space="0" w:color="auto"/>
            </w:tcBorders>
          </w:tcPr>
          <w:p w14:paraId="502E35B8" w14:textId="77777777" w:rsidR="004A7295" w:rsidRDefault="00000000">
            <w:pPr>
              <w:spacing w:line="360" w:lineRule="auto"/>
              <w:jc w:val="both"/>
              <w:rPr>
                <w:rFonts w:ascii="Arial" w:eastAsia="Arial Unicode MS" w:hAnsi="Arial" w:cs="Arial"/>
                <w:lang w:val="en-US"/>
              </w:rPr>
            </w:pPr>
            <w:r>
              <w:rPr>
                <w:rFonts w:ascii="Arial" w:eastAsia="Arial Unicode MS" w:hAnsi="Arial" w:cs="Arial"/>
                <w:lang w:val="en-US"/>
              </w:rPr>
              <w:t>Qualitative (Thematic Analysis of In-Depth Interviews)</w:t>
            </w:r>
          </w:p>
        </w:tc>
        <w:tc>
          <w:tcPr>
            <w:tcW w:w="2299" w:type="dxa"/>
            <w:tcBorders>
              <w:top w:val="single" w:sz="4" w:space="0" w:color="auto"/>
              <w:left w:val="single" w:sz="4" w:space="0" w:color="auto"/>
              <w:bottom w:val="single" w:sz="4" w:space="0" w:color="auto"/>
              <w:right w:val="single" w:sz="4" w:space="0" w:color="auto"/>
            </w:tcBorders>
          </w:tcPr>
          <w:p w14:paraId="502E35B9" w14:textId="77777777" w:rsidR="004A7295" w:rsidRDefault="00000000">
            <w:pPr>
              <w:spacing w:line="360" w:lineRule="auto"/>
              <w:jc w:val="both"/>
              <w:rPr>
                <w:rFonts w:ascii="Arial" w:eastAsia="Arial Unicode MS" w:hAnsi="Arial" w:cs="Arial"/>
                <w:lang w:val="en-US"/>
              </w:rPr>
            </w:pPr>
            <w:r>
              <w:rPr>
                <w:rFonts w:ascii="Arial" w:eastAsia="Arial Unicode MS" w:hAnsi="Arial" w:cs="Arial"/>
                <w:lang w:val="en-US"/>
              </w:rPr>
              <w:t>Investigated factors influencing implementation of frailty-based integrated care in Luton</w:t>
            </w:r>
          </w:p>
        </w:tc>
        <w:tc>
          <w:tcPr>
            <w:tcW w:w="1425" w:type="dxa"/>
            <w:tcBorders>
              <w:top w:val="single" w:sz="4" w:space="0" w:color="auto"/>
              <w:left w:val="single" w:sz="4" w:space="0" w:color="auto"/>
              <w:bottom w:val="single" w:sz="4" w:space="0" w:color="auto"/>
              <w:right w:val="single" w:sz="4" w:space="0" w:color="auto"/>
            </w:tcBorders>
          </w:tcPr>
          <w:p w14:paraId="502E35BA" w14:textId="77777777" w:rsidR="004A7295" w:rsidRDefault="00000000">
            <w:pPr>
              <w:spacing w:line="360" w:lineRule="auto"/>
              <w:jc w:val="both"/>
              <w:rPr>
                <w:rFonts w:ascii="Arial" w:eastAsia="Arial Unicode MS" w:hAnsi="Arial" w:cs="Arial"/>
                <w:lang w:val="en-US"/>
              </w:rPr>
            </w:pPr>
            <w:proofErr w:type="spellStart"/>
            <w:r>
              <w:rPr>
                <w:rFonts w:ascii="Arial" w:eastAsia="Arial Unicode MS" w:hAnsi="Arial" w:cs="Arial"/>
                <w:lang w:val="en-US"/>
              </w:rPr>
              <w:t>xford</w:t>
            </w:r>
            <w:proofErr w:type="spellEnd"/>
            <w:r>
              <w:rPr>
                <w:rFonts w:ascii="Arial" w:eastAsia="Arial Unicode MS" w:hAnsi="Arial" w:cs="Arial"/>
                <w:lang w:val="en-US"/>
              </w:rPr>
              <w:t>, UK (BMC Geriatrics, Springer Nature)</w:t>
            </w:r>
          </w:p>
        </w:tc>
      </w:tr>
    </w:tbl>
    <w:p w14:paraId="502E35BC" w14:textId="77777777" w:rsidR="004A7295" w:rsidRDefault="004A7295">
      <w:pPr>
        <w:spacing w:line="360" w:lineRule="auto"/>
        <w:jc w:val="both"/>
        <w:rPr>
          <w:rFonts w:ascii="Arial" w:eastAsia="Arial Unicode MS" w:hAnsi="Arial" w:cs="Arial"/>
          <w:b/>
          <w:bCs/>
          <w:lang w:val="en-US"/>
        </w:rPr>
      </w:pPr>
    </w:p>
    <w:p w14:paraId="502E35BD" w14:textId="77777777" w:rsidR="004A7295" w:rsidRDefault="00000000">
      <w:pPr>
        <w:spacing w:line="360" w:lineRule="auto"/>
        <w:jc w:val="both"/>
        <w:rPr>
          <w:rFonts w:ascii="Arial" w:eastAsia="Arial Unicode MS" w:hAnsi="Arial" w:cs="Arial"/>
          <w:lang w:val="en-US"/>
        </w:rPr>
      </w:pPr>
      <w:r>
        <w:rPr>
          <w:rFonts w:ascii="Arial" w:eastAsia="Arial Unicode MS" w:hAnsi="Arial" w:cs="Arial"/>
          <w:b/>
          <w:bCs/>
          <w:lang w:val="en-US"/>
        </w:rPr>
        <w:t>Source:</w:t>
      </w:r>
      <w:r>
        <w:rPr>
          <w:rFonts w:ascii="Arial" w:eastAsia="Arial Unicode MS" w:hAnsi="Arial" w:cs="Arial"/>
          <w:lang w:val="en-US"/>
        </w:rPr>
        <w:t xml:space="preserve"> Researcher's Computation </w:t>
      </w:r>
    </w:p>
    <w:p w14:paraId="502E35BE" w14:textId="77777777" w:rsidR="004A7295" w:rsidRDefault="00000000">
      <w:pPr>
        <w:spacing w:line="360" w:lineRule="auto"/>
        <w:jc w:val="both"/>
        <w:rPr>
          <w:rFonts w:ascii="Arial" w:eastAsia="Arial Unicode MS" w:hAnsi="Arial" w:cs="Arial"/>
          <w:lang w:val="en-US"/>
        </w:rPr>
      </w:pPr>
      <w:r>
        <w:rPr>
          <w:rFonts w:ascii="Arial" w:eastAsia="Arial Unicode MS" w:hAnsi="Arial" w:cs="Arial"/>
          <w:lang w:val="en-US"/>
        </w:rPr>
        <w:t xml:space="preserve"> </w:t>
      </w:r>
    </w:p>
    <w:p w14:paraId="502E35BF" w14:textId="77777777" w:rsidR="004A7295" w:rsidRDefault="004A7295">
      <w:pPr>
        <w:spacing w:line="360" w:lineRule="auto"/>
        <w:jc w:val="both"/>
        <w:rPr>
          <w:rFonts w:ascii="Arial" w:eastAsia="Arial Unicode MS" w:hAnsi="Arial" w:cs="Arial"/>
        </w:rPr>
      </w:pPr>
    </w:p>
    <w:p w14:paraId="502E35C0" w14:textId="77777777" w:rsidR="004A7295" w:rsidRDefault="004A7295">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jc w:val="both"/>
        <w:rPr>
          <w:rFonts w:ascii="Arial" w:hAnsi="Arial" w:cs="Arial"/>
        </w:rPr>
      </w:pPr>
    </w:p>
    <w:sectPr w:rsidR="004A7295">
      <w:headerReference w:type="default" r:id="rId47"/>
      <w:footerReference w:type="default" r:id="rId48"/>
      <w:footerReference w:type="first" r:id="rId4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EC3102" w14:textId="77777777" w:rsidR="00DA6CE3" w:rsidRDefault="00DA6CE3">
      <w:r>
        <w:separator/>
      </w:r>
    </w:p>
  </w:endnote>
  <w:endnote w:type="continuationSeparator" w:id="0">
    <w:p w14:paraId="24A5E4F0" w14:textId="77777777" w:rsidR="00DA6CE3" w:rsidRDefault="00DA6C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Unicode MS">
    <w:panose1 w:val="020B0604020202020204"/>
    <w:charset w:val="80"/>
    <w:family w:val="swiss"/>
    <w:pitch w:val="default"/>
    <w:sig w:usb0="00000000" w:usb1="00000000" w:usb2="0000003F" w:usb3="00000000" w:csb0="003F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19DF0D" w14:textId="77777777" w:rsidR="00EB54E5" w:rsidRDefault="00EB54E5">
    <w:pPr>
      <w:pStyle w:val="Footer"/>
    </w:pPr>
    <w:r>
      <w:rPr>
        <w:noProof/>
      </w:rPr>
      <mc:AlternateContent>
        <mc:Choice Requires="wps">
          <w:drawing>
            <wp:anchor distT="0" distB="0" distL="114300" distR="114300" simplePos="0" relativeHeight="251659264" behindDoc="0" locked="0" layoutInCell="1" allowOverlap="1" wp14:anchorId="7345356F" wp14:editId="411FD4FE">
              <wp:simplePos x="0" y="0"/>
              <wp:positionH relativeFrom="margin">
                <wp:align>center</wp:align>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39D06840" w14:textId="77777777" w:rsidR="00EB54E5" w:rsidRDefault="00EB54E5">
                          <w:pPr>
                            <w:pStyle w:val="Footer"/>
                          </w:pPr>
                          <w:r>
                            <w:fldChar w:fldCharType="begin"/>
                          </w:r>
                          <w:r>
                            <w:instrText xml:space="preserve"> PAGE  \* MERGEFORMAT </w:instrText>
                          </w:r>
                          <w:r>
                            <w:fldChar w:fldCharType="separate"/>
                          </w:r>
                          <w:r>
                            <w:t>i</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7345356F" id="_x0000_t202" coordsize="21600,21600" o:spt="202" path="m,l,21600r21600,l21600,xe">
              <v:stroke joinstyle="miter"/>
              <v:path gradientshapeok="t" o:connecttype="rect"/>
            </v:shapetype>
            <v:shape id="Text Box 1" o:spid="_x0000_s1026" type="#_x0000_t202" style="position:absolute;margin-left:0;margin-top:0;width:2in;height:2in;z-index:251659264;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" filled="f" stroked="f" strokeweight=".5pt">
              <v:textbox style="mso-fit-shape-to-text:t" inset="0,0,0,0">
                <w:txbxContent>
                  <w:p w14:paraId="39D06840" w14:textId="77777777" w:rsidR="00EB54E5" w:rsidRDefault="00EB54E5">
                    <w:pPr>
                      <w:pStyle w:val="Footer"/>
                    </w:pPr>
                    <w:r>
                      <w:fldChar w:fldCharType="begin"/>
                    </w:r>
                    <w:r>
                      <w:instrText xml:space="preserve"> PAGE  \* MERGEFORMAT </w:instrText>
                    </w:r>
                    <w:r>
                      <w:fldChar w:fldCharType="separate"/>
                    </w:r>
                    <w:r>
                      <w:t>i</w:t>
                    </w:r>
                    <w:r>
                      <w:fldChar w:fldCharType="end"/>
                    </w:r>
                  </w:p>
                </w:txbxContent>
              </v:textbox>
              <w10:wrap anchorx="margin"/>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91661103"/>
    </w:sdtPr>
    <w:sdtContent>
      <w:p w14:paraId="502E35C3" w14:textId="77777777" w:rsidR="004A7295" w:rsidRDefault="00000000">
        <w:pPr>
          <w:pStyle w:val="Footer"/>
          <w:jc w:val="center"/>
        </w:pPr>
        <w:r>
          <w:rPr>
            <w:rFonts w:ascii="Arial" w:hAnsi="Arial" w:cs="Arial"/>
          </w:rPr>
          <w:fldChar w:fldCharType="begin"/>
        </w:r>
        <w:r>
          <w:rPr>
            <w:rFonts w:ascii="Arial" w:hAnsi="Arial" w:cs="Arial"/>
          </w:rPr>
          <w:instrText xml:space="preserve"> PAGE   \* MERGEFORMAT </w:instrText>
        </w:r>
        <w:r>
          <w:rPr>
            <w:rFonts w:ascii="Arial" w:hAnsi="Arial" w:cs="Arial"/>
          </w:rPr>
          <w:fldChar w:fldCharType="separate"/>
        </w:r>
        <w:r>
          <w:rPr>
            <w:rFonts w:ascii="Arial" w:hAnsi="Arial" w:cs="Arial"/>
          </w:rPr>
          <w:t>2</w:t>
        </w:r>
        <w:r>
          <w:rPr>
            <w:rFonts w:ascii="Arial" w:hAnsi="Arial" w:cs="Arial"/>
          </w:rPr>
          <w:fldChar w:fldCharType="end"/>
        </w:r>
      </w:p>
    </w:sdtContent>
  </w:sdt>
  <w:p w14:paraId="502E35C4" w14:textId="77777777" w:rsidR="004A7295" w:rsidRDefault="004A729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47315759"/>
    </w:sdtPr>
    <w:sdtEndPr>
      <w:rPr>
        <w:color w:val="808080" w:themeColor="background1" w:themeShade="80"/>
        <w:spacing w:val="60"/>
      </w:rPr>
    </w:sdtEndPr>
    <w:sdtContent>
      <w:p w14:paraId="502E35C5" w14:textId="77777777" w:rsidR="004A7295" w:rsidRDefault="00000000">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rPr>
          <w:t>2</w:t>
        </w:r>
        <w:r>
          <w:rPr>
            <w:b/>
            <w:bCs/>
          </w:rPr>
          <w:fldChar w:fldCharType="end"/>
        </w:r>
        <w:r>
          <w:rPr>
            <w:b/>
            <w:bCs/>
          </w:rPr>
          <w:t xml:space="preserve"> | </w:t>
        </w:r>
        <w:r>
          <w:rPr>
            <w:color w:val="808080" w:themeColor="background1" w:themeShade="80"/>
            <w:spacing w:val="60"/>
          </w:rPr>
          <w:t>Page</w:t>
        </w:r>
      </w:p>
    </w:sdtContent>
  </w:sdt>
  <w:p w14:paraId="502E35C6" w14:textId="77777777" w:rsidR="004A7295" w:rsidRDefault="004A72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332165" w14:textId="77777777" w:rsidR="00DA6CE3" w:rsidRDefault="00DA6CE3">
      <w:r>
        <w:separator/>
      </w:r>
    </w:p>
  </w:footnote>
  <w:footnote w:type="continuationSeparator" w:id="0">
    <w:p w14:paraId="3D536BD8" w14:textId="77777777" w:rsidR="00DA6CE3" w:rsidRDefault="00DA6CE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2E35C1" w14:textId="77777777" w:rsidR="004A7295" w:rsidRDefault="004A7295">
    <w:pPr>
      <w:pStyle w:val="Header"/>
      <w:jc w:val="center"/>
    </w:pPr>
  </w:p>
  <w:p w14:paraId="502E35C2" w14:textId="77777777" w:rsidR="004A7295" w:rsidRDefault="004A729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93A8A4AB"/>
    <w:multiLevelType w:val="singleLevel"/>
    <w:tmpl w:val="93A8A4AB"/>
    <w:lvl w:ilvl="0">
      <w:start w:val="1"/>
      <w:numFmt w:val="bullet"/>
      <w:lvlText w:val=""/>
      <w:lvlJc w:val="left"/>
      <w:pPr>
        <w:tabs>
          <w:tab w:val="left" w:pos="420"/>
        </w:tabs>
        <w:ind w:left="420" w:hanging="420"/>
      </w:pPr>
      <w:rPr>
        <w:rFonts w:ascii="Wingdings" w:hAnsi="Wingdings" w:hint="default"/>
      </w:rPr>
    </w:lvl>
  </w:abstractNum>
  <w:abstractNum w:abstractNumId="1" w15:restartNumberingAfterBreak="0">
    <w:nsid w:val="94B926B8"/>
    <w:multiLevelType w:val="singleLevel"/>
    <w:tmpl w:val="94B926B8"/>
    <w:lvl w:ilvl="0">
      <w:start w:val="1"/>
      <w:numFmt w:val="decimal"/>
      <w:suff w:val="space"/>
      <w:lvlText w:val="(%1)"/>
      <w:lvlJc w:val="left"/>
    </w:lvl>
  </w:abstractNum>
  <w:abstractNum w:abstractNumId="2" w15:restartNumberingAfterBreak="0">
    <w:nsid w:val="B0B994B2"/>
    <w:multiLevelType w:val="singleLevel"/>
    <w:tmpl w:val="B0B994B2"/>
    <w:lvl w:ilvl="0">
      <w:start w:val="1"/>
      <w:numFmt w:val="decimal"/>
      <w:suff w:val="space"/>
      <w:lvlText w:val="(%1)"/>
      <w:lvlJc w:val="left"/>
    </w:lvl>
  </w:abstractNum>
  <w:abstractNum w:abstractNumId="3" w15:restartNumberingAfterBreak="0">
    <w:nsid w:val="11576754"/>
    <w:multiLevelType w:val="multilevel"/>
    <w:tmpl w:val="1157675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4" w15:restartNumberingAfterBreak="0">
    <w:nsid w:val="2451619F"/>
    <w:multiLevelType w:val="multilevel"/>
    <w:tmpl w:val="2451619F"/>
    <w:lvl w:ilvl="0">
      <w:start w:val="1"/>
      <w:numFmt w:val="bullet"/>
      <w:lvlText w:val=""/>
      <w:lvlJc w:val="left"/>
      <w:pPr>
        <w:ind w:left="1440" w:hanging="360"/>
      </w:pPr>
      <w:rPr>
        <w:rFonts w:ascii="Symbol" w:hAnsi="Symbol" w:hint="default"/>
      </w:rPr>
    </w:lvl>
    <w:lvl w:ilvl="1">
      <w:start w:val="1"/>
      <w:numFmt w:val="bullet"/>
      <w:lvlText w:val="o"/>
      <w:lvlJc w:val="left"/>
      <w:pPr>
        <w:ind w:left="2160" w:hanging="360"/>
      </w:pPr>
      <w:rPr>
        <w:rFonts w:ascii="Courier New" w:hAnsi="Courier New" w:cs="Courier New" w:hint="default"/>
      </w:rPr>
    </w:lvl>
    <w:lvl w:ilvl="2">
      <w:start w:val="1"/>
      <w:numFmt w:val="bullet"/>
      <w:lvlText w:val=""/>
      <w:lvlJc w:val="left"/>
      <w:pPr>
        <w:ind w:left="2880" w:hanging="360"/>
      </w:pPr>
      <w:rPr>
        <w:rFonts w:ascii="Wingdings" w:hAnsi="Wingdings" w:hint="default"/>
      </w:rPr>
    </w:lvl>
    <w:lvl w:ilvl="3">
      <w:start w:val="1"/>
      <w:numFmt w:val="bullet"/>
      <w:lvlText w:val=""/>
      <w:lvlJc w:val="left"/>
      <w:pPr>
        <w:ind w:left="3600" w:hanging="360"/>
      </w:pPr>
      <w:rPr>
        <w:rFonts w:ascii="Symbol" w:hAnsi="Symbol" w:hint="default"/>
      </w:rPr>
    </w:lvl>
    <w:lvl w:ilvl="4">
      <w:start w:val="1"/>
      <w:numFmt w:val="bullet"/>
      <w:lvlText w:val="o"/>
      <w:lvlJc w:val="left"/>
      <w:pPr>
        <w:ind w:left="4320" w:hanging="360"/>
      </w:pPr>
      <w:rPr>
        <w:rFonts w:ascii="Courier New" w:hAnsi="Courier New" w:cs="Courier New" w:hint="default"/>
      </w:rPr>
    </w:lvl>
    <w:lvl w:ilvl="5">
      <w:start w:val="1"/>
      <w:numFmt w:val="bullet"/>
      <w:lvlText w:val=""/>
      <w:lvlJc w:val="left"/>
      <w:pPr>
        <w:ind w:left="5040" w:hanging="360"/>
      </w:pPr>
      <w:rPr>
        <w:rFonts w:ascii="Wingdings" w:hAnsi="Wingdings" w:hint="default"/>
      </w:rPr>
    </w:lvl>
    <w:lvl w:ilvl="6">
      <w:start w:val="1"/>
      <w:numFmt w:val="bullet"/>
      <w:lvlText w:val=""/>
      <w:lvlJc w:val="left"/>
      <w:pPr>
        <w:ind w:left="5760" w:hanging="360"/>
      </w:pPr>
      <w:rPr>
        <w:rFonts w:ascii="Symbol" w:hAnsi="Symbol" w:hint="default"/>
      </w:rPr>
    </w:lvl>
    <w:lvl w:ilvl="7">
      <w:start w:val="1"/>
      <w:numFmt w:val="bullet"/>
      <w:lvlText w:val="o"/>
      <w:lvlJc w:val="left"/>
      <w:pPr>
        <w:ind w:left="6480" w:hanging="360"/>
      </w:pPr>
      <w:rPr>
        <w:rFonts w:ascii="Courier New" w:hAnsi="Courier New" w:cs="Courier New" w:hint="default"/>
      </w:rPr>
    </w:lvl>
    <w:lvl w:ilvl="8">
      <w:start w:val="1"/>
      <w:numFmt w:val="bullet"/>
      <w:lvlText w:val=""/>
      <w:lvlJc w:val="left"/>
      <w:pPr>
        <w:ind w:left="7200" w:hanging="360"/>
      </w:pPr>
      <w:rPr>
        <w:rFonts w:ascii="Wingdings" w:hAnsi="Wingdings" w:hint="default"/>
      </w:rPr>
    </w:lvl>
  </w:abstractNum>
  <w:abstractNum w:abstractNumId="5" w15:restartNumberingAfterBreak="0">
    <w:nsid w:val="2A86177F"/>
    <w:multiLevelType w:val="multilevel"/>
    <w:tmpl w:val="2A86177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6" w15:restartNumberingAfterBreak="0">
    <w:nsid w:val="4C7B56D2"/>
    <w:multiLevelType w:val="multilevel"/>
    <w:tmpl w:val="4C7B56D2"/>
    <w:lvl w:ilvl="0">
      <w:start w:val="4"/>
      <w:numFmt w:val="decimal"/>
      <w:lvlText w:val="%1"/>
      <w:lvlJc w:val="left"/>
      <w:pPr>
        <w:ind w:left="720" w:hanging="360"/>
      </w:pPr>
      <w:rPr>
        <w:rFonts w:hint="default"/>
        <w:lang w:val="en-US" w:eastAsia="en-US" w:bidi="ar-SA"/>
      </w:rPr>
    </w:lvl>
    <w:lvl w:ilvl="1">
      <w:start w:val="1"/>
      <w:numFmt w:val="decimal"/>
      <w:lvlText w:val="%1.%2"/>
      <w:lvlJc w:val="left"/>
      <w:pPr>
        <w:ind w:left="720" w:hanging="360"/>
      </w:pPr>
      <w:rPr>
        <w:rFonts w:ascii="Times New Roman" w:eastAsia="Times New Roman" w:hAnsi="Times New Roman" w:cs="Times New Roman" w:hint="default"/>
        <w:b w:val="0"/>
        <w:bCs w:val="0"/>
        <w:i w:val="0"/>
        <w:iCs w:val="0"/>
        <w:spacing w:val="0"/>
        <w:w w:val="100"/>
        <w:sz w:val="24"/>
        <w:szCs w:val="24"/>
        <w:lang w:val="en-US" w:eastAsia="en-US" w:bidi="ar-SA"/>
      </w:rPr>
    </w:lvl>
    <w:lvl w:ilvl="2">
      <w:numFmt w:val="bullet"/>
      <w:lvlText w:val="•"/>
      <w:lvlJc w:val="left"/>
      <w:pPr>
        <w:ind w:left="2592" w:hanging="360"/>
      </w:pPr>
      <w:rPr>
        <w:rFonts w:hint="default"/>
        <w:lang w:val="en-US" w:eastAsia="en-US" w:bidi="ar-SA"/>
      </w:rPr>
    </w:lvl>
    <w:lvl w:ilvl="3">
      <w:numFmt w:val="bullet"/>
      <w:lvlText w:val="•"/>
      <w:lvlJc w:val="left"/>
      <w:pPr>
        <w:ind w:left="3528" w:hanging="360"/>
      </w:pPr>
      <w:rPr>
        <w:rFonts w:hint="default"/>
        <w:lang w:val="en-US" w:eastAsia="en-US" w:bidi="ar-SA"/>
      </w:rPr>
    </w:lvl>
    <w:lvl w:ilvl="4">
      <w:numFmt w:val="bullet"/>
      <w:lvlText w:val="•"/>
      <w:lvlJc w:val="left"/>
      <w:pPr>
        <w:ind w:left="4464" w:hanging="360"/>
      </w:pPr>
      <w:rPr>
        <w:rFonts w:hint="default"/>
        <w:lang w:val="en-US" w:eastAsia="en-US" w:bidi="ar-SA"/>
      </w:rPr>
    </w:lvl>
    <w:lvl w:ilvl="5">
      <w:numFmt w:val="bullet"/>
      <w:lvlText w:val="•"/>
      <w:lvlJc w:val="left"/>
      <w:pPr>
        <w:ind w:left="5400" w:hanging="360"/>
      </w:pPr>
      <w:rPr>
        <w:rFonts w:hint="default"/>
        <w:lang w:val="en-US" w:eastAsia="en-US" w:bidi="ar-SA"/>
      </w:rPr>
    </w:lvl>
    <w:lvl w:ilvl="6">
      <w:numFmt w:val="bullet"/>
      <w:lvlText w:val="•"/>
      <w:lvlJc w:val="left"/>
      <w:pPr>
        <w:ind w:left="6336" w:hanging="360"/>
      </w:pPr>
      <w:rPr>
        <w:rFonts w:hint="default"/>
        <w:lang w:val="en-US" w:eastAsia="en-US" w:bidi="ar-SA"/>
      </w:rPr>
    </w:lvl>
    <w:lvl w:ilvl="7">
      <w:numFmt w:val="bullet"/>
      <w:lvlText w:val="•"/>
      <w:lvlJc w:val="left"/>
      <w:pPr>
        <w:ind w:left="7272" w:hanging="360"/>
      </w:pPr>
      <w:rPr>
        <w:rFonts w:hint="default"/>
        <w:lang w:val="en-US" w:eastAsia="en-US" w:bidi="ar-SA"/>
      </w:rPr>
    </w:lvl>
    <w:lvl w:ilvl="8">
      <w:numFmt w:val="bullet"/>
      <w:lvlText w:val="•"/>
      <w:lvlJc w:val="left"/>
      <w:pPr>
        <w:ind w:left="8208" w:hanging="360"/>
      </w:pPr>
      <w:rPr>
        <w:rFonts w:hint="default"/>
        <w:lang w:val="en-US" w:eastAsia="en-US" w:bidi="ar-SA"/>
      </w:rPr>
    </w:lvl>
  </w:abstractNum>
  <w:abstractNum w:abstractNumId="7" w15:restartNumberingAfterBreak="0">
    <w:nsid w:val="57F81281"/>
    <w:multiLevelType w:val="multilevel"/>
    <w:tmpl w:val="57F81281"/>
    <w:lvl w:ilvl="0">
      <w:start w:val="1"/>
      <w:numFmt w:val="decimal"/>
      <w:lvlText w:val="%1"/>
      <w:lvlJc w:val="left"/>
      <w:pPr>
        <w:ind w:left="720" w:hanging="360"/>
      </w:pPr>
      <w:rPr>
        <w:rFonts w:hint="default"/>
        <w:lang w:val="en-US" w:eastAsia="en-US" w:bidi="ar-SA"/>
      </w:rPr>
    </w:lvl>
    <w:lvl w:ilvl="1">
      <w:start w:val="1"/>
      <w:numFmt w:val="decimal"/>
      <w:lvlText w:val="%1.%2"/>
      <w:lvlJc w:val="left"/>
      <w:pPr>
        <w:ind w:left="720" w:hanging="360"/>
      </w:pPr>
      <w:rPr>
        <w:rFonts w:ascii="Times New Roman" w:eastAsia="Times New Roman" w:hAnsi="Times New Roman" w:cs="Times New Roman" w:hint="default"/>
        <w:b w:val="0"/>
        <w:bCs w:val="0"/>
        <w:i w:val="0"/>
        <w:iCs w:val="0"/>
        <w:spacing w:val="0"/>
        <w:w w:val="100"/>
        <w:sz w:val="24"/>
        <w:szCs w:val="24"/>
        <w:lang w:val="en-US" w:eastAsia="en-US" w:bidi="ar-SA"/>
      </w:rPr>
    </w:lvl>
    <w:lvl w:ilvl="2">
      <w:numFmt w:val="bullet"/>
      <w:lvlText w:val="•"/>
      <w:lvlJc w:val="left"/>
      <w:pPr>
        <w:ind w:left="2592" w:hanging="360"/>
      </w:pPr>
      <w:rPr>
        <w:rFonts w:hint="default"/>
        <w:lang w:val="en-US" w:eastAsia="en-US" w:bidi="ar-SA"/>
      </w:rPr>
    </w:lvl>
    <w:lvl w:ilvl="3">
      <w:numFmt w:val="bullet"/>
      <w:lvlText w:val="•"/>
      <w:lvlJc w:val="left"/>
      <w:pPr>
        <w:ind w:left="3528" w:hanging="360"/>
      </w:pPr>
      <w:rPr>
        <w:rFonts w:hint="default"/>
        <w:lang w:val="en-US" w:eastAsia="en-US" w:bidi="ar-SA"/>
      </w:rPr>
    </w:lvl>
    <w:lvl w:ilvl="4">
      <w:numFmt w:val="bullet"/>
      <w:lvlText w:val="•"/>
      <w:lvlJc w:val="left"/>
      <w:pPr>
        <w:ind w:left="4464" w:hanging="360"/>
      </w:pPr>
      <w:rPr>
        <w:rFonts w:hint="default"/>
        <w:lang w:val="en-US" w:eastAsia="en-US" w:bidi="ar-SA"/>
      </w:rPr>
    </w:lvl>
    <w:lvl w:ilvl="5">
      <w:numFmt w:val="bullet"/>
      <w:lvlText w:val="•"/>
      <w:lvlJc w:val="left"/>
      <w:pPr>
        <w:ind w:left="5400" w:hanging="360"/>
      </w:pPr>
      <w:rPr>
        <w:rFonts w:hint="default"/>
        <w:lang w:val="en-US" w:eastAsia="en-US" w:bidi="ar-SA"/>
      </w:rPr>
    </w:lvl>
    <w:lvl w:ilvl="6">
      <w:numFmt w:val="bullet"/>
      <w:lvlText w:val="•"/>
      <w:lvlJc w:val="left"/>
      <w:pPr>
        <w:ind w:left="6336" w:hanging="360"/>
      </w:pPr>
      <w:rPr>
        <w:rFonts w:hint="default"/>
        <w:lang w:val="en-US" w:eastAsia="en-US" w:bidi="ar-SA"/>
      </w:rPr>
    </w:lvl>
    <w:lvl w:ilvl="7">
      <w:numFmt w:val="bullet"/>
      <w:lvlText w:val="•"/>
      <w:lvlJc w:val="left"/>
      <w:pPr>
        <w:ind w:left="7272" w:hanging="360"/>
      </w:pPr>
      <w:rPr>
        <w:rFonts w:hint="default"/>
        <w:lang w:val="en-US" w:eastAsia="en-US" w:bidi="ar-SA"/>
      </w:rPr>
    </w:lvl>
    <w:lvl w:ilvl="8">
      <w:numFmt w:val="bullet"/>
      <w:lvlText w:val="•"/>
      <w:lvlJc w:val="left"/>
      <w:pPr>
        <w:ind w:left="8208" w:hanging="360"/>
      </w:pPr>
      <w:rPr>
        <w:rFonts w:hint="default"/>
        <w:lang w:val="en-US" w:eastAsia="en-US" w:bidi="ar-SA"/>
      </w:rPr>
    </w:lvl>
  </w:abstractNum>
  <w:abstractNum w:abstractNumId="8" w15:restartNumberingAfterBreak="0">
    <w:nsid w:val="61CC125E"/>
    <w:multiLevelType w:val="multilevel"/>
    <w:tmpl w:val="61CC125E"/>
    <w:lvl w:ilvl="0">
      <w:start w:val="1"/>
      <w:numFmt w:val="bullet"/>
      <w:lvlText w:val=""/>
      <w:lvlJc w:val="left"/>
      <w:pPr>
        <w:ind w:left="1440" w:hanging="360"/>
      </w:pPr>
      <w:rPr>
        <w:rFonts w:ascii="Symbol" w:hAnsi="Symbol" w:hint="default"/>
      </w:rPr>
    </w:lvl>
    <w:lvl w:ilvl="1">
      <w:start w:val="1"/>
      <w:numFmt w:val="bullet"/>
      <w:lvlText w:val="o"/>
      <w:lvlJc w:val="left"/>
      <w:pPr>
        <w:ind w:left="2160" w:hanging="360"/>
      </w:pPr>
      <w:rPr>
        <w:rFonts w:ascii="Courier New" w:hAnsi="Courier New" w:cs="Courier New" w:hint="default"/>
      </w:rPr>
    </w:lvl>
    <w:lvl w:ilvl="2">
      <w:start w:val="1"/>
      <w:numFmt w:val="bullet"/>
      <w:lvlText w:val=""/>
      <w:lvlJc w:val="left"/>
      <w:pPr>
        <w:ind w:left="2880" w:hanging="360"/>
      </w:pPr>
      <w:rPr>
        <w:rFonts w:ascii="Wingdings" w:hAnsi="Wingdings" w:hint="default"/>
      </w:rPr>
    </w:lvl>
    <w:lvl w:ilvl="3">
      <w:start w:val="1"/>
      <w:numFmt w:val="bullet"/>
      <w:lvlText w:val=""/>
      <w:lvlJc w:val="left"/>
      <w:pPr>
        <w:ind w:left="3600" w:hanging="360"/>
      </w:pPr>
      <w:rPr>
        <w:rFonts w:ascii="Symbol" w:hAnsi="Symbol" w:hint="default"/>
      </w:rPr>
    </w:lvl>
    <w:lvl w:ilvl="4">
      <w:start w:val="1"/>
      <w:numFmt w:val="bullet"/>
      <w:lvlText w:val="o"/>
      <w:lvlJc w:val="left"/>
      <w:pPr>
        <w:ind w:left="4320" w:hanging="360"/>
      </w:pPr>
      <w:rPr>
        <w:rFonts w:ascii="Courier New" w:hAnsi="Courier New" w:cs="Courier New" w:hint="default"/>
      </w:rPr>
    </w:lvl>
    <w:lvl w:ilvl="5">
      <w:start w:val="1"/>
      <w:numFmt w:val="bullet"/>
      <w:lvlText w:val=""/>
      <w:lvlJc w:val="left"/>
      <w:pPr>
        <w:ind w:left="5040" w:hanging="360"/>
      </w:pPr>
      <w:rPr>
        <w:rFonts w:ascii="Wingdings" w:hAnsi="Wingdings" w:hint="default"/>
      </w:rPr>
    </w:lvl>
    <w:lvl w:ilvl="6">
      <w:start w:val="1"/>
      <w:numFmt w:val="bullet"/>
      <w:lvlText w:val=""/>
      <w:lvlJc w:val="left"/>
      <w:pPr>
        <w:ind w:left="5760" w:hanging="360"/>
      </w:pPr>
      <w:rPr>
        <w:rFonts w:ascii="Symbol" w:hAnsi="Symbol" w:hint="default"/>
      </w:rPr>
    </w:lvl>
    <w:lvl w:ilvl="7">
      <w:start w:val="1"/>
      <w:numFmt w:val="bullet"/>
      <w:lvlText w:val="o"/>
      <w:lvlJc w:val="left"/>
      <w:pPr>
        <w:ind w:left="6480" w:hanging="360"/>
      </w:pPr>
      <w:rPr>
        <w:rFonts w:ascii="Courier New" w:hAnsi="Courier New" w:cs="Courier New" w:hint="default"/>
      </w:rPr>
    </w:lvl>
    <w:lvl w:ilvl="8">
      <w:start w:val="1"/>
      <w:numFmt w:val="bullet"/>
      <w:lvlText w:val=""/>
      <w:lvlJc w:val="left"/>
      <w:pPr>
        <w:ind w:left="7200" w:hanging="360"/>
      </w:pPr>
      <w:rPr>
        <w:rFonts w:ascii="Wingdings" w:hAnsi="Wingdings" w:hint="default"/>
      </w:rPr>
    </w:lvl>
  </w:abstractNum>
  <w:abstractNum w:abstractNumId="9" w15:restartNumberingAfterBreak="0">
    <w:nsid w:val="639E752C"/>
    <w:multiLevelType w:val="multilevel"/>
    <w:tmpl w:val="639E752C"/>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0" w15:restartNumberingAfterBreak="0">
    <w:nsid w:val="71797A22"/>
    <w:multiLevelType w:val="multilevel"/>
    <w:tmpl w:val="71797A22"/>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1" w15:restartNumberingAfterBreak="0">
    <w:nsid w:val="73443DC9"/>
    <w:multiLevelType w:val="multilevel"/>
    <w:tmpl w:val="73443DC9"/>
    <w:lvl w:ilvl="0">
      <w:start w:val="1"/>
      <w:numFmt w:val="bullet"/>
      <w:lvlText w:val=""/>
      <w:lvlJc w:val="left"/>
      <w:pPr>
        <w:ind w:left="720" w:hanging="360"/>
      </w:pPr>
      <w:rPr>
        <w:rFonts w:ascii="Wingdings" w:hAnsi="Wingdings"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576522814">
    <w:abstractNumId w:val="10"/>
  </w:num>
  <w:num w:numId="2" w16cid:durableId="1243643255">
    <w:abstractNumId w:val="5"/>
  </w:num>
  <w:num w:numId="3" w16cid:durableId="1328939328">
    <w:abstractNumId w:val="3"/>
  </w:num>
  <w:num w:numId="4" w16cid:durableId="2051025196">
    <w:abstractNumId w:val="11"/>
  </w:num>
  <w:num w:numId="5" w16cid:durableId="14424202">
    <w:abstractNumId w:val="9"/>
  </w:num>
  <w:num w:numId="6" w16cid:durableId="1970740910">
    <w:abstractNumId w:val="8"/>
  </w:num>
  <w:num w:numId="7" w16cid:durableId="1296180190">
    <w:abstractNumId w:val="4"/>
  </w:num>
  <w:num w:numId="8" w16cid:durableId="1904485820">
    <w:abstractNumId w:val="0"/>
  </w:num>
  <w:num w:numId="9" w16cid:durableId="844518851">
    <w:abstractNumId w:val="2"/>
  </w:num>
  <w:num w:numId="10" w16cid:durableId="1471943409">
    <w:abstractNumId w:val="1"/>
  </w:num>
  <w:num w:numId="11" w16cid:durableId="1469008742">
    <w:abstractNumId w:val="7"/>
  </w:num>
  <w:num w:numId="12" w16cid:durableId="137508251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hideGrammaticalErrors/>
  <w:proofState w:spelling="clean" w:grammar="clean"/>
  <w:defaultTabStop w:val="720"/>
  <w:drawingGridHorizontalSpacing w:val="110"/>
  <w:noPunctuationKerning/>
  <w:characterSpacingControl w:val="doNotCompress"/>
  <w:footnotePr>
    <w:footnote w:id="-1"/>
    <w:footnote w:id="0"/>
  </w:footnotePr>
  <w:endnotePr>
    <w:endnote w:id="-1"/>
    <w:endnote w:id="0"/>
  </w:endnotePr>
  <w:compat>
    <w:ulTrailSpace/>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3C3A"/>
    <w:rsid w:val="00012771"/>
    <w:rsid w:val="00034942"/>
    <w:rsid w:val="0005132A"/>
    <w:rsid w:val="00052FF7"/>
    <w:rsid w:val="00063DC2"/>
    <w:rsid w:val="000922D9"/>
    <w:rsid w:val="000B5F85"/>
    <w:rsid w:val="00114BFD"/>
    <w:rsid w:val="00124E4B"/>
    <w:rsid w:val="00141A69"/>
    <w:rsid w:val="0016354F"/>
    <w:rsid w:val="00175B5D"/>
    <w:rsid w:val="00176C9B"/>
    <w:rsid w:val="001B5CDA"/>
    <w:rsid w:val="001B6C95"/>
    <w:rsid w:val="001D2B20"/>
    <w:rsid w:val="001D3E15"/>
    <w:rsid w:val="001F1324"/>
    <w:rsid w:val="00204939"/>
    <w:rsid w:val="00213D3D"/>
    <w:rsid w:val="0025016E"/>
    <w:rsid w:val="00253874"/>
    <w:rsid w:val="002B4534"/>
    <w:rsid w:val="002C4DB6"/>
    <w:rsid w:val="00304A2B"/>
    <w:rsid w:val="00306F6F"/>
    <w:rsid w:val="00323841"/>
    <w:rsid w:val="00333B11"/>
    <w:rsid w:val="0036120D"/>
    <w:rsid w:val="00391736"/>
    <w:rsid w:val="00391E8B"/>
    <w:rsid w:val="003A2696"/>
    <w:rsid w:val="003F1094"/>
    <w:rsid w:val="003F2B6D"/>
    <w:rsid w:val="003F3EB9"/>
    <w:rsid w:val="003F607D"/>
    <w:rsid w:val="00402BA5"/>
    <w:rsid w:val="0040326A"/>
    <w:rsid w:val="00425D66"/>
    <w:rsid w:val="0044784A"/>
    <w:rsid w:val="00462D72"/>
    <w:rsid w:val="0046736D"/>
    <w:rsid w:val="0047238F"/>
    <w:rsid w:val="004801EE"/>
    <w:rsid w:val="004A6BE9"/>
    <w:rsid w:val="004A7295"/>
    <w:rsid w:val="004B7345"/>
    <w:rsid w:val="004B7E3E"/>
    <w:rsid w:val="005133CB"/>
    <w:rsid w:val="00533383"/>
    <w:rsid w:val="00535BBA"/>
    <w:rsid w:val="005527C3"/>
    <w:rsid w:val="00585286"/>
    <w:rsid w:val="00585777"/>
    <w:rsid w:val="0058641F"/>
    <w:rsid w:val="005C2C7A"/>
    <w:rsid w:val="005F7EB2"/>
    <w:rsid w:val="00620D31"/>
    <w:rsid w:val="00626352"/>
    <w:rsid w:val="00643C68"/>
    <w:rsid w:val="006B7C10"/>
    <w:rsid w:val="006C2B3D"/>
    <w:rsid w:val="00711D5A"/>
    <w:rsid w:val="0072180D"/>
    <w:rsid w:val="00766AA1"/>
    <w:rsid w:val="00766D97"/>
    <w:rsid w:val="007707C9"/>
    <w:rsid w:val="0077142F"/>
    <w:rsid w:val="007775D1"/>
    <w:rsid w:val="007C3236"/>
    <w:rsid w:val="007E3D62"/>
    <w:rsid w:val="007E5A0B"/>
    <w:rsid w:val="007F75FF"/>
    <w:rsid w:val="00802A09"/>
    <w:rsid w:val="00812591"/>
    <w:rsid w:val="0082258F"/>
    <w:rsid w:val="00842ABE"/>
    <w:rsid w:val="008825E0"/>
    <w:rsid w:val="008E0FEF"/>
    <w:rsid w:val="008E7DCC"/>
    <w:rsid w:val="00911CFE"/>
    <w:rsid w:val="00925D45"/>
    <w:rsid w:val="0092677F"/>
    <w:rsid w:val="009565F3"/>
    <w:rsid w:val="00957D07"/>
    <w:rsid w:val="009A62BC"/>
    <w:rsid w:val="009B3893"/>
    <w:rsid w:val="009D0027"/>
    <w:rsid w:val="00A315A4"/>
    <w:rsid w:val="00A32F3A"/>
    <w:rsid w:val="00A53266"/>
    <w:rsid w:val="00AC0B18"/>
    <w:rsid w:val="00AC2E8F"/>
    <w:rsid w:val="00AC45D3"/>
    <w:rsid w:val="00B217F9"/>
    <w:rsid w:val="00B613D7"/>
    <w:rsid w:val="00B71E90"/>
    <w:rsid w:val="00B759EB"/>
    <w:rsid w:val="00B80583"/>
    <w:rsid w:val="00B80C93"/>
    <w:rsid w:val="00B81DF0"/>
    <w:rsid w:val="00B90049"/>
    <w:rsid w:val="00BC1C53"/>
    <w:rsid w:val="00BC7921"/>
    <w:rsid w:val="00BF7275"/>
    <w:rsid w:val="00C13E20"/>
    <w:rsid w:val="00C17E2F"/>
    <w:rsid w:val="00C55299"/>
    <w:rsid w:val="00C764A3"/>
    <w:rsid w:val="00C93C3A"/>
    <w:rsid w:val="00CA7383"/>
    <w:rsid w:val="00CB5530"/>
    <w:rsid w:val="00D375F1"/>
    <w:rsid w:val="00D63D2C"/>
    <w:rsid w:val="00D65A4A"/>
    <w:rsid w:val="00D84DA8"/>
    <w:rsid w:val="00D948AC"/>
    <w:rsid w:val="00DA4322"/>
    <w:rsid w:val="00DA52F0"/>
    <w:rsid w:val="00DA6CE3"/>
    <w:rsid w:val="00DC1687"/>
    <w:rsid w:val="00DC17E7"/>
    <w:rsid w:val="00DE1289"/>
    <w:rsid w:val="00DE33AF"/>
    <w:rsid w:val="00E02F4B"/>
    <w:rsid w:val="00E073FE"/>
    <w:rsid w:val="00E819DF"/>
    <w:rsid w:val="00E870FC"/>
    <w:rsid w:val="00EA18B6"/>
    <w:rsid w:val="00EB0E93"/>
    <w:rsid w:val="00EB3F75"/>
    <w:rsid w:val="00EB54E5"/>
    <w:rsid w:val="00EC468D"/>
    <w:rsid w:val="00F358E0"/>
    <w:rsid w:val="00FB62BF"/>
    <w:rsid w:val="00FE1A4F"/>
    <w:rsid w:val="00FF0EEF"/>
    <w:rsid w:val="05EA5EAC"/>
    <w:rsid w:val="0CC414A6"/>
    <w:rsid w:val="1B832C15"/>
    <w:rsid w:val="4BF10587"/>
    <w:rsid w:val="4DBD69C9"/>
    <w:rsid w:val="5EBF61C6"/>
    <w:rsid w:val="68CD6C00"/>
    <w:rsid w:val="7D934FA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D70563E"/>
  <w15:docId w15:val="{DA9D1769-37EE-467C-82C0-3F0070691A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GB" w:eastAsia="en-GB" w:bidi="ar-SA"/>
      </w:rPr>
    </w:rPrDefault>
    <w:pPrDefault/>
  </w:docDefaults>
  <w:latentStyles w:defLockedState="0" w:defUIPriority="99" w:defSemiHidden="0" w:defUnhideWhenUsed="0" w:defQFormat="0" w:count="376">
    <w:lsdException w:name="Normal" w:uiPriority="1" w:qFormat="1"/>
    <w:lsdException w:name="heading 1" w:uiPriority="1" w:qFormat="1"/>
    <w:lsdException w:name="heading 2" w:uiPriority="1" w:qFormat="1"/>
    <w:lsdException w:name="heading 3" w:uiPriority="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uiPriority="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1"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pPr>
      <w:widowControl w:val="0"/>
      <w:autoSpaceDE w:val="0"/>
      <w:autoSpaceDN w:val="0"/>
    </w:pPr>
    <w:rPr>
      <w:rFonts w:ascii="Calibri Light" w:eastAsia="Calibri Light" w:hAnsi="Calibri Light" w:cs="Calibri Light"/>
      <w:sz w:val="22"/>
      <w:szCs w:val="22"/>
      <w:lang w:bidi="en-GB"/>
    </w:rPr>
  </w:style>
  <w:style w:type="paragraph" w:styleId="Heading1">
    <w:name w:val="heading 1"/>
    <w:link w:val="Heading1Char"/>
    <w:uiPriority w:val="1"/>
    <w:qFormat/>
    <w:pPr>
      <w:widowControl w:val="0"/>
      <w:autoSpaceDE w:val="0"/>
      <w:autoSpaceDN w:val="0"/>
      <w:ind w:left="220"/>
      <w:outlineLvl w:val="0"/>
    </w:pPr>
    <w:rPr>
      <w:rFonts w:ascii="Arial" w:eastAsia="Calibri Light" w:hAnsi="Arial" w:cs="Calibri Light"/>
      <w:b/>
      <w:sz w:val="32"/>
      <w:szCs w:val="32"/>
      <w:lang w:bidi="en-GB"/>
    </w:rPr>
  </w:style>
  <w:style w:type="paragraph" w:styleId="Heading2">
    <w:name w:val="heading 2"/>
    <w:basedOn w:val="Normal"/>
    <w:uiPriority w:val="1"/>
    <w:qFormat/>
    <w:pPr>
      <w:ind w:left="220"/>
      <w:outlineLvl w:val="1"/>
    </w:pPr>
    <w:rPr>
      <w:sz w:val="28"/>
      <w:szCs w:val="28"/>
    </w:rPr>
  </w:style>
  <w:style w:type="paragraph" w:styleId="Heading3">
    <w:name w:val="heading 3"/>
    <w:basedOn w:val="Normal"/>
    <w:uiPriority w:val="1"/>
    <w:qFormat/>
    <w:pPr>
      <w:spacing w:before="10"/>
      <w:ind w:left="40"/>
      <w:outlineLvl w:val="2"/>
    </w:pPr>
    <w:rPr>
      <w:sz w:val="24"/>
      <w:szCs w:val="24"/>
    </w:rPr>
  </w:style>
  <w:style w:type="paragraph" w:styleId="Heading4">
    <w:name w:val="heading 4"/>
    <w:basedOn w:val="Normal"/>
    <w:next w:val="Normal"/>
    <w:link w:val="Heading4Char"/>
    <w:uiPriority w:val="9"/>
    <w:semiHidden/>
    <w:unhideWhenUsed/>
    <w:qFormat/>
    <w:pPr>
      <w:keepNext/>
      <w:keepLines/>
      <w:spacing w:before="4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character" w:styleId="Emphasis">
    <w:name w:val="Emphasis"/>
    <w:basedOn w:val="DefaultParagraphFont"/>
    <w:uiPriority w:val="20"/>
    <w:qFormat/>
    <w:rPr>
      <w:i/>
      <w:iCs/>
    </w:rPr>
  </w:style>
  <w:style w:type="paragraph" w:styleId="Footer">
    <w:name w:val="footer"/>
    <w:basedOn w:val="Normal"/>
    <w:link w:val="FooterChar"/>
    <w:uiPriority w:val="99"/>
    <w:unhideWhenUsed/>
    <w:qFormat/>
    <w:pPr>
      <w:widowControl/>
      <w:tabs>
        <w:tab w:val="center" w:pos="4513"/>
        <w:tab w:val="right" w:pos="9026"/>
      </w:tabs>
      <w:autoSpaceDE/>
      <w:autoSpaceDN/>
    </w:pPr>
    <w:rPr>
      <w:rFonts w:asciiTheme="minorHAnsi" w:eastAsiaTheme="minorHAnsi" w:hAnsiTheme="minorHAnsi" w:cstheme="minorBidi"/>
      <w:lang w:eastAsia="en-US" w:bidi="ar-SA"/>
    </w:rPr>
  </w:style>
  <w:style w:type="paragraph" w:styleId="Header">
    <w:name w:val="header"/>
    <w:basedOn w:val="Normal"/>
    <w:link w:val="HeaderChar"/>
    <w:uiPriority w:val="99"/>
    <w:unhideWhenUsed/>
    <w:qFormat/>
    <w:pPr>
      <w:widowControl/>
      <w:tabs>
        <w:tab w:val="center" w:pos="4513"/>
        <w:tab w:val="right" w:pos="9026"/>
      </w:tabs>
      <w:autoSpaceDE/>
      <w:autoSpaceDN/>
    </w:pPr>
    <w:rPr>
      <w:rFonts w:asciiTheme="minorHAnsi" w:eastAsiaTheme="minorHAnsi" w:hAnsiTheme="minorHAnsi" w:cstheme="minorBidi"/>
      <w:lang w:eastAsia="en-US" w:bidi="ar-SA"/>
    </w:rPr>
  </w:style>
  <w:style w:type="character" w:styleId="Hyperlink">
    <w:name w:val="Hyperlink"/>
    <w:basedOn w:val="DefaultParagraphFont"/>
    <w:uiPriority w:val="99"/>
    <w:unhideWhenUsed/>
    <w:qFormat/>
    <w:rPr>
      <w:color w:val="0000FF" w:themeColor="hyperlink"/>
      <w:u w:val="single"/>
    </w:rPr>
  </w:style>
  <w:style w:type="paragraph" w:styleId="NormalWeb">
    <w:name w:val="Normal (Web)"/>
    <w:basedOn w:val="Normal"/>
    <w:uiPriority w:val="99"/>
    <w:unhideWhenUsed/>
    <w:qFormat/>
    <w:pPr>
      <w:widowControl/>
      <w:autoSpaceDE/>
      <w:autoSpaceDN/>
      <w:spacing w:before="100" w:beforeAutospacing="1" w:after="100" w:afterAutospacing="1"/>
    </w:pPr>
    <w:rPr>
      <w:rFonts w:ascii="Times New Roman" w:eastAsia="Times New Roman" w:hAnsi="Times New Roman" w:cs="Times New Roman"/>
      <w:sz w:val="24"/>
      <w:szCs w:val="24"/>
      <w:lang w:bidi="ar-SA"/>
    </w:rPr>
  </w:style>
  <w:style w:type="character" w:styleId="Strong">
    <w:name w:val="Strong"/>
    <w:basedOn w:val="DefaultParagraphFont"/>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pPr>
      <w:ind w:left="940" w:hanging="360"/>
    </w:pPr>
  </w:style>
  <w:style w:type="paragraph" w:customStyle="1" w:styleId="TableParagraph">
    <w:name w:val="Table Paragraph"/>
    <w:basedOn w:val="Normal"/>
    <w:uiPriority w:val="1"/>
    <w:qFormat/>
    <w:pPr>
      <w:ind w:left="107"/>
    </w:pPr>
  </w:style>
  <w:style w:type="character" w:customStyle="1" w:styleId="HeaderChar">
    <w:name w:val="Header Char"/>
    <w:basedOn w:val="DefaultParagraphFont"/>
    <w:link w:val="Header"/>
    <w:uiPriority w:val="99"/>
    <w:qFormat/>
    <w:rPr>
      <w:lang w:val="en-GB"/>
    </w:rPr>
  </w:style>
  <w:style w:type="character" w:customStyle="1" w:styleId="FooterChar">
    <w:name w:val="Footer Char"/>
    <w:basedOn w:val="DefaultParagraphFont"/>
    <w:link w:val="Footer"/>
    <w:uiPriority w:val="99"/>
    <w:qFormat/>
    <w:rPr>
      <w:lang w:val="en-GB"/>
    </w:rPr>
  </w:style>
  <w:style w:type="table" w:customStyle="1" w:styleId="TableGrid1">
    <w:name w:val="Table Grid1"/>
    <w:basedOn w:val="TableNormal"/>
    <w:uiPriority w:val="39"/>
    <w:qFormat/>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qFormat/>
    <w:rPr>
      <w:rFonts w:asciiTheme="majorHAnsi" w:eastAsiaTheme="majorEastAsia" w:hAnsiTheme="majorHAnsi" w:cstheme="majorBidi"/>
      <w:i/>
      <w:iCs/>
      <w:color w:val="365F91" w:themeColor="accent1" w:themeShade="BF"/>
      <w:lang w:val="en-GB" w:eastAsia="en-GB" w:bidi="en-GB"/>
    </w:rPr>
  </w:style>
  <w:style w:type="paragraph" w:styleId="TOC1">
    <w:name w:val="toc 1"/>
    <w:basedOn w:val="Normal"/>
    <w:uiPriority w:val="39"/>
    <w:qFormat/>
    <w:rsid w:val="00EB54E5"/>
    <w:pPr>
      <w:spacing w:before="169"/>
      <w:ind w:left="360"/>
    </w:pPr>
    <w:rPr>
      <w:sz w:val="24"/>
      <w:szCs w:val="24"/>
    </w:rPr>
  </w:style>
  <w:style w:type="character" w:customStyle="1" w:styleId="Heading1Char">
    <w:name w:val="Heading 1 Char"/>
    <w:link w:val="Heading1"/>
    <w:uiPriority w:val="1"/>
    <w:qFormat/>
    <w:rsid w:val="00EB54E5"/>
    <w:rPr>
      <w:rFonts w:ascii="Arial" w:eastAsia="Calibri Light" w:hAnsi="Arial" w:cs="Calibri Light"/>
      <w:b/>
      <w:sz w:val="32"/>
      <w:szCs w:val="32"/>
      <w:lang w:bidi="en-GB"/>
    </w:rPr>
  </w:style>
  <w:style w:type="character" w:customStyle="1" w:styleId="BodyTextChar">
    <w:name w:val="Body Text Char"/>
    <w:link w:val="BodyText"/>
    <w:uiPriority w:val="1"/>
    <w:qFormat/>
    <w:rsid w:val="00EB54E5"/>
    <w:rPr>
      <w:rFonts w:ascii="Calibri Light" w:eastAsia="Calibri Light" w:hAnsi="Calibri Light" w:cs="Calibri Light"/>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customXml" Target="ink/ink6.xml"/><Relationship Id="rId26" Type="http://schemas.openxmlformats.org/officeDocument/2006/relationships/customXml" Target="ink/ink10.xml"/><Relationship Id="rId39" Type="http://schemas.openxmlformats.org/officeDocument/2006/relationships/customXml" Target="ink/ink19.xml"/><Relationship Id="rId21" Type="http://schemas.openxmlformats.org/officeDocument/2006/relationships/image" Target="media/image8.png"/><Relationship Id="rId34" Type="http://schemas.openxmlformats.org/officeDocument/2006/relationships/customXml" Target="ink/ink16.xml"/><Relationship Id="rId42" Type="http://schemas.openxmlformats.org/officeDocument/2006/relationships/image" Target="media/image15.png"/><Relationship Id="rId47" Type="http://schemas.openxmlformats.org/officeDocument/2006/relationships/header" Target="header1.xml"/><Relationship Id="rId50" Type="http://schemas.openxmlformats.org/officeDocument/2006/relationships/fontTable" Target="fontTable.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customXml" Target="ink/ink5.xml"/><Relationship Id="rId29" Type="http://schemas.openxmlformats.org/officeDocument/2006/relationships/customXml" Target="ink/ink12.xml"/><Relationship Id="rId11" Type="http://schemas.openxmlformats.org/officeDocument/2006/relationships/image" Target="media/image3.png"/><Relationship Id="rId24" Type="http://schemas.openxmlformats.org/officeDocument/2006/relationships/customXml" Target="ink/ink9.xml"/><Relationship Id="rId32" Type="http://schemas.openxmlformats.org/officeDocument/2006/relationships/customXml" Target="ink/ink15.xml"/><Relationship Id="rId37" Type="http://schemas.openxmlformats.org/officeDocument/2006/relationships/customXml" Target="ink/ink18.xml"/><Relationship Id="rId40" Type="http://schemas.openxmlformats.org/officeDocument/2006/relationships/image" Target="media/image14.png"/><Relationship Id="rId45" Type="http://schemas.openxmlformats.org/officeDocument/2006/relationships/customXml" Target="ink/ink22.xml"/><Relationship Id="rId5"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image" Target="media/image9.png"/><Relationship Id="rId28" Type="http://schemas.openxmlformats.org/officeDocument/2006/relationships/image" Target="media/image60.png"/><Relationship Id="rId36" Type="http://schemas.openxmlformats.org/officeDocument/2006/relationships/customXml" Target="ink/ink17.xml"/><Relationship Id="rId49" Type="http://schemas.openxmlformats.org/officeDocument/2006/relationships/footer" Target="footer3.xml"/><Relationship Id="rId10" Type="http://schemas.openxmlformats.org/officeDocument/2006/relationships/customXml" Target="ink/ink2.xml"/><Relationship Id="rId19" Type="http://schemas.openxmlformats.org/officeDocument/2006/relationships/image" Target="media/image7.png"/><Relationship Id="rId31" Type="http://schemas.openxmlformats.org/officeDocument/2006/relationships/customXml" Target="ink/ink14.xml"/><Relationship Id="rId44" Type="http://schemas.openxmlformats.org/officeDocument/2006/relationships/image" Target="media/image16.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customXml" Target="ink/ink4.xml"/><Relationship Id="rId22" Type="http://schemas.openxmlformats.org/officeDocument/2006/relationships/customXml" Target="ink/ink8.xml"/><Relationship Id="rId27" Type="http://schemas.openxmlformats.org/officeDocument/2006/relationships/customXml" Target="ink/ink11.xml"/><Relationship Id="rId30" Type="http://schemas.openxmlformats.org/officeDocument/2006/relationships/customXml" Target="ink/ink13.xml"/><Relationship Id="rId35" Type="http://schemas.openxmlformats.org/officeDocument/2006/relationships/image" Target="media/image12.png"/><Relationship Id="rId43" Type="http://schemas.openxmlformats.org/officeDocument/2006/relationships/customXml" Target="ink/ink21.xml"/><Relationship Id="rId48" Type="http://schemas.openxmlformats.org/officeDocument/2006/relationships/footer" Target="footer2.xml"/><Relationship Id="rId8" Type="http://schemas.openxmlformats.org/officeDocument/2006/relationships/customXml" Target="ink/ink1.xml"/><Relationship Id="rId51"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customXml" Target="ink/ink3.xml"/><Relationship Id="rId17" Type="http://schemas.openxmlformats.org/officeDocument/2006/relationships/image" Target="media/image6.png"/><Relationship Id="rId25" Type="http://schemas.openxmlformats.org/officeDocument/2006/relationships/image" Target="media/image10.png"/><Relationship Id="rId33" Type="http://schemas.openxmlformats.org/officeDocument/2006/relationships/image" Target="media/image11.png"/><Relationship Id="rId38" Type="http://schemas.openxmlformats.org/officeDocument/2006/relationships/image" Target="media/image13.png"/><Relationship Id="rId46" Type="http://schemas.openxmlformats.org/officeDocument/2006/relationships/footer" Target="footer1.xml"/><Relationship Id="rId20" Type="http://schemas.openxmlformats.org/officeDocument/2006/relationships/customXml" Target="ink/ink7.xml"/><Relationship Id="rId41" Type="http://schemas.openxmlformats.org/officeDocument/2006/relationships/customXml" Target="ink/ink20.xml"/><Relationship Id="rId1" Type="http://schemas.openxmlformats.org/officeDocument/2006/relationships/numbering" Target="numbering.xml"/><Relationship Id="rId6" Type="http://schemas.openxmlformats.org/officeDocument/2006/relationships/endnotes" Target="endnotes.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09T22:34:34.098"/>
    </inkml:context>
    <inkml:brush xml:id="br0">
      <inkml:brushProperty name="width" value="0.025" units="cm"/>
      <inkml:brushProperty name="height" value="0.025" units="cm"/>
    </inkml:brush>
  </inkml:definitions>
  <inkml:trace contextRef="#ctx0" brushRef="#br0">1 889 24575,'9'-1'0,"1"1"0,-1-2 0,1 1 0,-1-1 0,0-1 0,1 0 0,-1 0 0,-1-1 0,1 0 0,0 0 0,10-8 0,-13 6 0,0-1 0,0 0 0,-1 0 0,0 0 0,0 0 0,-1-1 0,4-9 0,17-26 0,10-13 0,-35 56 0,0 0 0,0 0 0,0 0 0,0 0 0,0 0 0,0 0 0,0 0 0,0 0 0,0 0 0,0 1 0,0-1 0,0 0 0,0 0 0,0 0 0,0 0 0,0 0 0,0 0 0,0 0 0,0 0 0,0 0 0,0 0 0,0 0 0,0 1 0,0-1 0,0 0 0,0 0 0,0 0 0,0 0 0,0 0 0,0 0 0,1 0 0,-1 0 0,0 0 0,0 0 0,0 0 0,0 0 0,0 0 0,0 0 0,0 0 0,0 0 0,0 0 0,0 0 0,0 0 0,0 0 0,1 0 0,-1 0 0,0 0 0,0 0 0,0 0 0,0 0 0,0 0 0,0 0 0,0 0 0,0 0 0,0 0 0,0 0 0,0 0 0,1 0 0,-1 0 0,0 0 0,0 0 0,0 0 0,0 0 0,0 0 0,0 0 0,0-1 0,2 15 0,-1 14 0,-2-14 0,1 1 0,1-1 0,1 0 0,0 0 0,0 0 0,2 0 0,5 16 0,-7-25 0,0 0 0,0 0 0,1-1 0,0 1 0,0-1 0,0 1 0,0-1 0,1 0 0,-1 0 0,1-1 0,0 1 0,0-1 0,1 0 0,-1 0 0,0 0 0,1 0 0,0-1 0,0 0 0,0 0 0,0 0 0,0-1 0,9 2 0,37 3 0,1-3 0,-1-2 0,65-7 0,-102 5 0,1-1 0,0 0 0,-1-1 0,0-1 0,20-7 0,-30 10 0,-1-1 0,1 1 0,-1-1 0,0 0 0,0 0 0,1 0 0,-1 0 0,-1-1 0,1 1 0,0-1 0,-1 0 0,1 0 0,-1 0 0,0 0 0,0 0 0,0 0 0,0-1 0,-1 1 0,0 0 0,1-1 0,-1 0 0,0 1 0,0-1 0,-1 0 0,1 1 0,-1-5 0,0-14 0,0 0 0,-2 0 0,0 0 0,-6-22 0,5 35 0,0-1 0,0 1 0,-1 0 0,0 0 0,-1 1 0,0-1 0,0 1 0,0 0 0,-1 0 0,-1 1 0,-9-10 0,-21-19 0,-24-21 0,56 54 0,0 0 0,0 0 0,-1 1 0,1 0 0,-1 0 0,1 0 0,-1 0 0,0 1 0,1 0 0,-1 0 0,-11 1 0,8-1 0,0 2 0,-1-1 0,1 1 0,0 0 0,0 1 0,-17 6 0,20-5 0,-1 1 0,1-1 0,1 2 0,-1-1 0,0 1 0,1-1 0,0 2 0,0-1 0,0 0 0,1 1 0,0 0 0,0 0 0,-4 10 0,1-3 0,1 0 0,1 0 0,0 0 0,1 1 0,1 0 0,-2 14 0,4-21 0,0 1 0,0-1 0,1 1 0,0-1 0,3 15 0,-2-19 0,-1 0 0,1-1 0,1 1 0,-1 0 0,0 0 0,1 0 0,-1-1 0,1 1 0,0-1 0,0 1 0,0-1 0,0 0 0,0 0 0,1 0 0,-1 0 0,6 3 0,-1 0 0,0 0 0,0-1 0,1 0 0,0-1 0,0 1 0,0-2 0,0 1 0,0-1 0,1 0 0,-1-1 0,1 0 0,-1 0 0,1-1 0,-1 0 0,1 0 0,-1-1 0,1 0 0,-1-1 0,1 0 0,-1 0 0,13-6 0,62-32 0,-33 14 0,-44 23 0,0-1 0,0 1 0,-1-1 0,1 0 0,-1-1 0,0 1 0,0-1 0,0 0 0,-1-1 0,5-6 0,2-5 0,16-39 0,-18 37 0,0 1 0,14-21 0,4 2 0,-8 13 0,27-49 0,-42 66 0,0-1 0,-1 0 0,0 0 0,0 0 0,-1-1 0,0 1 0,0-1 0,-1 1 0,0-1 0,-1 1 0,0-10 0,-1 12 0,-1 0 0,0 1 0,0 0 0,0-1 0,0 1 0,-1 0 0,0 0 0,0 0 0,-1 0 0,1 1 0,-1-1 0,-6-5 0,-10-14 0,17 21 0,0-1 0,0 0 0,0 1 0,0 0 0,-1 0 0,0 0 0,1 0 0,-1 0 0,0 1 0,0-1 0,-1 1 0,1 0 0,-8-2 0,9 3 0,0 1 0,0 0 0,1-1 0,-1 1 0,0 0 0,1 0 0,-1 1 0,0-1 0,0 1 0,1-1 0,-1 1 0,1 0 0,-1 0 0,0 0 0,1 0 0,0 0 0,-1 1 0,1-1 0,0 1 0,0-1 0,-1 1 0,1 0 0,1 0 0,-4 3 0,2-1 0,0 0 0,0 0 0,0 0 0,1 1 0,0-1 0,-1 0 0,2 1 0,-1 0 0,0 0 0,1-1 0,0 1 0,0 0 0,1 0 0,-1 0 0,1 0 0,0 0 0,0 0 0,1 0 0,1 8 0,-1-9 0,0-1 0,0 1 0,1-1 0,-1 1 0,1-1 0,0 0 0,0 1 0,0-1 0,1 0 0,-1 0 0,1-1 0,-1 1 0,1 0 0,0-1 0,0 0 0,0 0 0,1 0 0,-1 0 0,0 0 0,1 0 0,-1-1 0,1 0 0,0 0 0,-1 0 0,1 0 0,5 0 0,42 7 0,272 49 0,-317-55 0,0-1 0,0 1 0,-1 0 0,1 1 0,-1 0 0,1-1 0,-1 2 0,0-1 0,0 1 0,0-1 0,0 1 0,-1 1 0,0-1 0,0 1 0,7 8 0,-7-5 0,-1 0 0,1-1 0,-1 1 0,0 1 0,-1-1 0,0 0 0,0 1 0,-1-1 0,0 0 0,0 15 0,-1-5 0,0 12 0,-4 50 0,2-72 0,1 1 0,-1-1 0,0 1 0,-1-1 0,0 1 0,-1-1 0,1 0 0,-1 0 0,-1-1 0,-6 9 0,6-9 0,1 0 0,-1-1 0,-1 0 0,1 0 0,-1-1 0,0 1 0,-1-1 0,1-1 0,-1 1 0,0-1 0,0 0 0,0-1 0,-1 0 0,1 0 0,-1 0 0,-9 1 0,7-1 0,-22 4 0,1 0 0,-1-2 0,-43 1 0,66-6 0,-1 0 0,1-1 0,-1 0 0,1-1 0,0 0 0,0 0 0,0-1 0,0 0 0,0 0 0,1-1 0,-1 0 0,1-1 0,0 0 0,0 0 0,1-1 0,-9-8 0,11 9 0,-12-11 0,0-1 0,1 0 0,1-1 0,-20-33 0,32 47 0,0-1 0,1 0 0,0 0 0,0 0 0,0 0 0,0 0 0,1 0 0,0-1 0,0 1 0,1 0 0,-1-1 0,1 1 0,0-1 0,0 1 0,1 0 0,0-1 0,0 1 0,0 0 0,0-1 0,1 1 0,0 0 0,0 0 0,0 0 0,1 1 0,0-1 0,4-5 0,-2 4 0,1 0 0,0 0 0,0 1 0,1 0 0,-1 0 0,1 0 0,0 1 0,13-6 0,6-1 0,32-10 0,-44 17 0,0 1 0,0 0 0,0 1 0,1 1 0,23 0 0,73 12 0,-2-1 0,-101-10 0,0 1 0,-1 0 0,1 0 0,0 1 0,0-1 0,-1 2 0,15 5 0,-19-6 0,1 0 0,0 0 0,-1 0 0,1 1 0,-1-1 0,0 1 0,0 0 0,0 0 0,0 0 0,0 1 0,-1-1 0,0 0 0,1 1 0,-1 0 0,0 0 0,2 6 0,7 27 0,-3-12 0,13 30 0,-18-49 0,1 0 0,0 0 0,0 0 0,1-1 0,0 1 0,0-1 0,0 0 0,9 6 0,3 1 0,30 16 0,-40-25 0,-1 0 0,0-1 0,1 0 0,-1 0 0,1-1 0,-1 0 0,12 1 0,50-3 0,-32-1 0,-29 2 0,0 0 0,0-1 0,-1 0 0,1 0 0,0-1 0,0 0 0,-1 0 0,1 0 0,-1-1 0,0 0 0,9-6 0,-12 7 0,0 0 0,-1 0 0,1 0 0,-1-1 0,1 1 0,-1-1 0,0 0 0,0 1 0,0-1 0,-1 0 0,1 0 0,-1 0 0,1-1 0,-1 1 0,0 0 0,0 0 0,-1-1 0,1 1 0,-1-1 0,0 1 0,1 0 0,-1-1 0,-1 1 0,1-1 0,-1-4 0,-1 0 0,0 1 0,-1-1 0,0 1 0,0 0 0,0-1 0,-1 2 0,0-1 0,-1 0 0,1 1 0,-11-11 0,-6-4 0,-36-29 0,28 27 0,26 20 0,0 0 0,0 1 0,0-1 0,0 1 0,-1 0 0,0 0 0,1 0 0,-1 1 0,0-1 0,1 1 0,-1 0 0,0 0 0,0 0 0,0 1 0,0-1 0,0 1 0,0 0 0,-8 1 0,9 0 0,-1 0 0,0 0 0,0 1 0,1 0 0,-1-1 0,1 1 0,0 1 0,-1-1 0,1 0 0,0 1 0,0 0 0,1-1 0,-1 1 0,0 0 0,1 0 0,0 1 0,0-1 0,0 0 0,-2 5 0,-4 9 0,0 0 0,2 0 0,0 1 0,1 0 0,0 0 0,-1 19 0,5-27 0,0-1 0,1 1 0,0-1 0,1 1 0,3 18 0,-2-23 0,-1 0 0,1 0 0,0 0 0,0 0 0,0-1 0,1 1 0,0-1 0,0 1 0,0-1 0,0 0 0,7 6 0,-6-7 0,0 0 0,1 0 0,-1 0 0,1 0 0,0-1 0,0 0 0,0 0 0,0 0 0,10 1 0,50 5 0,-53-7 0,7 1 0,0-1 0,0-1 0,0-1 0,0 0 0,31-8 0,-42 8 0,-1-2 0,0 1 0,0-1 0,0 0 0,0-1 0,0 0 0,-1 0 0,1 0 0,-1-1 0,0 0 0,-1 0 0,1 0 0,-1-1 0,0 0 0,0 0 0,-1 0 0,5-8 0,-3 1 0,-1 0 0,0-1 0,0 0 0,-2 1 0,0-2 0,0 1 0,-1 0 0,-1 0 0,0 0 0,-1-1 0,-1 1 0,0 0 0,-1-1 0,-1 1 0,-4-14 0,5 20 0,-1 1 0,-1-1 0,1 1 0,-7-10 0,5 10 0,0-1 0,1 0 0,-5-14 0,3-2 0,2-2 0,0 1 0,1-1 0,2 1 0,2-31 0,-3-39 0,-13-55 0,21 263 0,29 158 0,-12-115 0,-17-104 0,-2-14 0,13 56 0,-12-79 0,1-1 0,0 0 0,1-1 0,0 1 0,1-2 0,1 1 0,0-1 0,1 0 0,14 13 0,-21-22 0,1 0 0,0 0 0,0-1 0,0 0 0,0 0 0,0 0 0,0 0 0,0-1 0,1 1 0,-1-1 0,0 0 0,1-1 0,-1 1 0,1-1 0,0 1 0,-1-2 0,1 1 0,-1 0 0,1-1 0,-1 0 0,1 0 0,-1 0 0,0 0 0,0-1 0,1 0 0,-1 0 0,0 0 0,0 0 0,-1-1 0,1 1 0,0-1 0,-1 0 0,0 0 0,1 0 0,-1-1 0,3-4 0,8-17 0,26-55 0,-36 72 0,-1 0 0,0-1 0,-1 1 0,0-1 0,-1 1 0,1-1 0,-1-17 0,-1 23 0,-1 0 0,1-1 0,-1 1 0,0-1 0,0 1 0,0 0 0,-1 0 0,1 0 0,-1 0 0,0 0 0,1 0 0,-1 0 0,0 0 0,-1 1 0,1-1 0,-1 1 0,1 0 0,-5-4 0,6 5 0,-1 0 0,0 0 0,1 0 0,-1 0 0,0 1 0,0-1 0,0 0 0,1 1 0,-1-1 0,0 1 0,0 0 0,0 0 0,0 0 0,0 0 0,0 0 0,0 0 0,0 0 0,0 0 0,0 1 0,0-1 0,0 1 0,1-1 0,-1 1 0,0 0 0,0 0 0,1 0 0,-1 0 0,0 0 0,1 0 0,-1 0 0,1 1 0,-3 2 0,0 1 0,0 0 0,1 0 0,0 0 0,0 1 0,0-1 0,0 1 0,1 0 0,0 0 0,1 0 0,-1 0 0,1 0 0,0 0 0,0 10 0,0 10 0,6 48 0,-5-69 0,1-1 0,0 0 0,0 0 0,0 0 0,0 0 0,0-1 0,1 1 0,0 0 0,0-1 0,0 1 0,0-1 0,1 0 0,-1 1 0,1-1 0,0 0 0,0-1 0,0 1 0,0 0 0,0-1 0,0 0 0,1 0 0,-1 0 0,1 0 0,0 0 0,-1-1 0,1 0 0,0 1 0,0-2 0,0 1 0,0 0 0,6 0 0,-4-1 0,0 1 0,0-1 0,0 0 0,1 0 0,-1 0 0,0-1 0,0 0 0,0-1 0,0 1 0,0-1 0,0 0 0,-1-1 0,1 1 0,0-1 0,-1 0 0,0 0 0,0-1 0,0 0 0,6-5 0,-7 3 0,1 0 0,-1 0 0,-1 0 0,1-1 0,-1 0 0,0 1 0,0-1 0,-1 0 0,0 0 0,-1 0 0,1-1 0,-1 1 0,0 0 0,-1-1 0,-1-12 0,1 15 0,-1-1 0,0 1 0,0-1 0,0 1 0,-1 0 0,1-1 0,-1 1 0,-1 0 0,1 0 0,-1 0 0,0 1 0,0-1 0,0 1 0,-1-1 0,1 1 0,-1 0 0,0 0 0,0 1 0,-1-1 0,1 1 0,-7-4 0,10 7 0,1-1 0,-1 1 0,1 0 0,-1 0 0,0-1 0,1 1 0,-1 0 0,1 0 0,-1 0 0,1 0 0,-1 0 0,1-1 0,-1 1 0,0 0 0,1 0 0,-1 0 0,1 1 0,-1-1 0,0 0 0,1 0 0,-1 0 0,1 0 0,-1 0 0,1 1 0,-1-1 0,1 0 0,-1 1 0,0-1 0,0 1 0,0 0 0,1 0 0,-1 1 0,0-1 0,1 0 0,-1 0 0,1 0 0,-1 0 0,1 1 0,0-1 0,-1 0 0,1 2 0,-1 3 0,1 0 0,0-1 0,0 1 0,2 10 0,1 1 0,-2-7 0,1 0 0,1 0 0,5 15 0,-7-23 0,0 1 0,0-1 0,0 0 0,1 1 0,-1-1 0,1 0 0,0 0 0,-1 0 0,1 0 0,0-1 0,0 1 0,0 0 0,0-1 0,0 1 0,1-1 0,-1 0 0,0 0 0,1 0 0,2 1 0,6 1 0,0-1 0,0 0 0,0-1 0,0 0 0,1-1 0,-1 0 0,0-1 0,0 0 0,0 0 0,0-1 0,0-1 0,0 0 0,-1-1 0,1 0 0,-1 0 0,0-1 0,0 0 0,0-1 0,-1 0 0,0-1 0,0 0 0,-1 0 0,1-1 0,-2 0 0,1 0 0,-1-1 0,0 0 0,5-11 0,-8 14 0,-1 0 0,1 1 0,0-1 0,0 1 0,10-10 0,-13 14 0,0 1 0,0-1 0,0 0 0,-1 1 0,1-1 0,0 0 0,0 1 0,0-1 0,0 1 0,0-1 0,0 1 0,0 0 0,0 0 0,1-1 0,-1 1 0,0 0 0,0 0 0,0 0 0,0 0 0,0 0 0,0 0 0,0 0 0,0 0 0,1 1 0,-1-1 0,0 0 0,0 1 0,0-1 0,0 1 0,0-1 0,0 1 0,0-1 0,-1 1 0,1 0 0,0-1 0,0 1 0,0 0 0,-1 0 0,1 0 0,0-1 0,-1 1 0,1 0 0,0 2 0,14 25 0,-13-23 0,0 0 0,0 0 0,1-1 0,0 1 0,0 0 0,0-1 0,0 1 0,8 6 0,-9-10 0,1 0 0,0-1 0,0 1 0,0 0 0,0-1 0,0 0 0,0 1 0,0-1 0,0-1 0,0 1 0,0 0 0,-1-1 0,1 1 0,4-2 0,23-2 0,-24 5 0,-1 1 0,1-1 0,-1 1 0,0 0 0,0 0 0,0 1 0,0-1 0,0 1 0,-1 0 0,1 0 0,-1 1 0,0 0 0,0-1 0,0 1 0,4 6 0,-7-9 0,-1-1 0,0 1 0,1-1 0,-1 1 0,1-1 0,-1 0 0,1 1 0,-1-1 0,1 1 0,0-1 0,-1 0 0,1 0 0,-1 1 0,1-1 0,0 0 0,-1 0 0,1 0 0,-1 1 0,1-1 0,0 0 0,-1 0 0,1 0 0,0 0 0,-1 0 0,1 0 0,1-1 0,-1 1 0,0-1 0,0 0 0,0 0 0,0 1 0,0-1 0,0 0 0,0 0 0,-1 0 0,1 0 0,0 0 0,0 0 0,-1 0 0,2-2 0,2-7 0,0-1 0,4-19 0,-4 15 0,1-1 0,0 1 0,2-1 0,0 1 0,9-15 0,-13 25 0,0 0 0,1 1 0,-1-1 0,1 1 0,0-1 0,0 1 0,1 1 0,-1-1 0,1 0 0,0 1 0,-1 0 0,2 0 0,-1 0 0,0 1 0,7-2 0,-10 3 0,0 1 0,0-1 0,-1 1 0,1 0 0,0 0 0,0 0 0,0 0 0,0 0 0,0 1 0,0-1 0,-1 0 0,1 1 0,0-1 0,0 1 0,0 0 0,-1 0 0,1-1 0,2 3 0,-1-1 0,0 1 0,0 0 0,0-1 0,-1 1 0,1 0 0,-1 0 0,0 1 0,3 5 0,2 5 0,-1 2 0,0-1 0,5 23 0,-9-30 0,36 110 0,-14-47 0,-21-64 0,-1-1 0,1 0 0,1 0 0,-1 0 0,1 0 0,0 0 0,0-1 0,0 0 0,1 0 0,5 5 0,-9-9 0,1 0 0,-1 1 0,1-1 0,0 0 0,-1-1 0,1 1 0,0 0 0,-1 0 0,1-1 0,0 1 0,0-1 0,0 1 0,0-1 0,-1 0 0,1 0 0,3 0 0,-3 0 0,0-1 0,0 1 0,0-1 0,-1 0 0,1 0 0,0 0 0,-1 0 0,1 0 0,0 0 0,-1-1 0,0 1 0,1 0 0,-1-1 0,0 1 0,1-1 0,-1 1 0,0-1 0,0 0 0,1-2 0,4-9 0,-1 0 0,-1 0 0,0-1 0,4-26 0,-1 3 0,0 5 0,-1-1 0,-2 0 0,-2 0 0,-1 0 0,-1-1 0,-2 1 0,-1 0 0,-2 0 0,-1 1 0,-2-1 0,-1 1 0,-1 1 0,-2 0 0,-16-32 0,24 61 0,3 8 0,3 14 0,16 49 0,43 107 0,-36-110 0,8 20 0,-7-21 0,-3 0 0,17 80 0,-37-117 0,-2-20 0,-1-26 0,-10-128 0,-1-65 0,11 172 0,2 0 0,2 0 0,10-50 0,-11 73 0,1 1 0,0 0 0,1 0 0,1 0 0,0 1 0,1 0 0,17-24 0,-23 36 0,0 1 0,0-1 0,1 1 0,-1 0 0,1-1 0,-1 1 0,1 0 0,-1 0 0,1 0 0,1 0 0,-2 0 0,0 1 0,-1 0 0,1 0 0,-1 0 0,1 0 0,0 0 0,-1-1 0,1 1 0,0 0 0,-1 1 0,1-1 0,0 0 0,-1 0 0,1 0 0,-1 0 0,1 0 0,0 1 0,-1-1 0,1 0 0,0 1 0,0 0 0,0 0 0,0 1 0,0-1 0,0 1 0,0-1 0,0 0 0,0 1 0,-1-1 0,1 1 0,-1 0 0,1-1 0,-1 1 0,1-1 0,-1 1 0,0 0 0,0-1 0,0 1 0,0 0 0,0-1 0,-1 4 0,0 5 0,-1 0 0,-1 0 0,0 0 0,0 0 0,-1-1 0,0 1 0,0-1 0,-1 0 0,-9 12 0,5-9 0,0 0 0,-1-1 0,0 0 0,-1-1 0,-23 17 0,16-15 0,9-8 0,0 1 0,1 1 0,-13 10 0,20-15 0,0 0 0,0 0 0,0 0 0,0 0 0,0 0 0,0 0 0,1 0 0,-1 0 0,0 0 0,1 1 0,-1-1 0,0 0 0,1 0 0,-1 1 0,1-1 0,0 0 0,0 1 0,-1-1 0,1 0 0,0 1 0,0-1 0,0 1 0,0-1 0,0 0 0,1 1 0,-1-1 0,0 0 0,1 1 0,-1-1 0,1 0 0,-1 0 0,2 3 0,0-2 0,0 0 0,-1 0 0,1-1 0,1 1 0,-1 0 0,0-1 0,0 1 0,1-1 0,-1 0 0,1 0 0,4 2 0,35 9 0,-23-8 0,17 7 0,-17-4 0,0-2 0,0 0 0,1-1 0,32 2 0,-50-6 0,1 0 0,-1 0 0,1 0 0,-1 0 0,1 1 0,-1-1 0,1 1 0,-1 0 0,1 0 0,-1 0 0,1 0 0,-1 0 0,0 0 0,0 1 0,0-1 0,0 1 0,0-1 0,0 1 0,0 0 0,0 0 0,0-1 0,-1 2 0,1-1 0,1 2 0,-1-1 0,1 0 0,0-1 0,0 0 0,1 1 0,-1-1 0,0 0 0,1-1 0,-1 1 0,1-1 0,-1 1 0,1-1 0,0 0 0,0-1 0,-1 1 0,1-1 0,0 1 0,0-1 0,0 0 0,5-1 0,-2 0 0,0 1 0,0-1 0,0-1 0,0 0 0,0 0 0,0 0 0,-1 0 0,1-1 0,10-7 0,-5 1 0,0 0 0,0-2 0,-1 1 0,-1-1 0,0 0 0,0-1 0,-1-1 0,-1 1 0,12-24 0,-19 35 0,-1 0 0,1 0 0,-1 0 0,1 0 0,-1 0 0,0 0 0,0-1 0,0 1 0,1 0 0,-1 0 0,0 0 0,0 0 0,0 0 0,-1-1 0,1 1 0,0 0 0,0 0 0,-1 0 0,1 0 0,0 0 0,-1 0 0,0-2 0,-1 2 0,1-1 0,-1 1 0,1-1 0,-1 1 0,1 0 0,-1-1 0,0 1 0,0 0 0,1 0 0,-1 0 0,-3-1 0,-6-1 0,0 0 0,0 1 0,-19-2 0,27 4 0,-36-4 0,-1 2 0,-69 6 0,107-4 0,1 0 0,-1 1 0,0-1 0,1 1 0,-1 0 0,1-1 0,-1 1 0,1 0 0,-1 0 0,1 0 0,0 0 0,-1 0 0,1 0 0,0 0 0,0 1 0,0-1 0,0 0 0,0 1 0,0-1 0,0 1 0,0-1 0,0 1 0,1-1 0,-1 1 0,1-1 0,-1 1 0,1 0 0,-1 2 0,0 6 0,0 0 0,0 0 0,2 18 0,-1-16 0,0 10 0,1 0 0,1-1 0,1 0 0,1 1 0,11 34 0,-11-47 0,0 0 0,0 0 0,1 0 0,0 0 0,0-1 0,1 0 0,0 0 0,0 0 0,1-1 0,0 0 0,0 0 0,1-1 0,0 0 0,15 9 0,0-4 0,1 0 0,0-2 0,0 0 0,1-2 0,0 0 0,0-2 0,1-1 0,0-1 0,-1-1 0,1-2 0,0 0 0,0-2 0,0 0 0,-1-2 0,0-1 0,1-1 0,28-11 0,-49 15 0,0 0 0,0 0 0,0-1 0,-1 1 0,1-1 0,-1 0 0,1-1 0,-1 1 0,0-1 0,7-7 0,-10 8 0,1 0 0,-1 1 0,1-1 0,-1 0 0,0 0 0,0 1 0,0-1 0,-1 0 0,1 0 0,-1 0 0,1 0 0,-1 0 0,0 0 0,0 0 0,0 0 0,-1 0 0,1 0 0,-1 0 0,0 0 0,-1-5 0,-8-20-1365,6 16-5461</inkml:trace>
  <inkml:trace contextRef="#ctx0" brushRef="#br0" timeOffset="512.07">4323 731 24575,'0'0'-8191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09T22:34:23.042"/>
    </inkml:context>
    <inkml:brush xml:id="br0">
      <inkml:brushProperty name="width" value="0.025" units="cm"/>
      <inkml:brushProperty name="height" value="0.025" units="cm"/>
    </inkml:brush>
  </inkml:definitions>
  <inkml:trace contextRef="#ctx0" brushRef="#br0">1 1 24575,'1'76'0,"11"77"0,-9-124 0,-2-16 0,1 1 0,0-1 0,1 0 0,0 1 0,1-1 0,9 21 0,-8-22 0,-1 0 0,0 0 0,0 0 0,-1 1 0,-1-1 0,0 1 0,-1 0 0,0 0 0,-2 21 0,3 31 0,0-51-1365,2-3-5461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09T22:34:19.616"/>
    </inkml:context>
    <inkml:brush xml:id="br0">
      <inkml:brushProperty name="width" value="0.025" units="cm"/>
      <inkml:brushProperty name="height" value="0.025" units="cm"/>
    </inkml:brush>
  </inkml:definitions>
  <inkml:trace contextRef="#ctx0" brushRef="#br0">1 18 23769,'1040'-18'0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09T22:49:19.106"/>
    </inkml:context>
    <inkml:brush xml:id="br0">
      <inkml:brushProperty name="width" value="0.035" units="cm"/>
      <inkml:brushProperty name="height" value="0.035" units="cm"/>
    </inkml:brush>
  </inkml:definitions>
  <inkml:trace contextRef="#ctx0" brushRef="#br0">1 1 24575,'0'0'-8191</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15T14:20:08.961"/>
    </inkml:context>
    <inkml:brush xml:id="br0">
      <inkml:brushProperty name="width" value="0.035" units="cm"/>
      <inkml:brushProperty name="height" value="0.035" units="cm"/>
    </inkml:brush>
  </inkml:definitions>
  <inkml:trace contextRef="#ctx0" brushRef="#br0">126 391 24575,'0'-8'0,"0"1"0,1-1 0,0 1 0,1-1 0,-1 1 0,1-1 0,5-11 0,0 6 0,0-1 0,17-21 0,48-50 0,-70 81 0,1 0 0,-1 0 0,1 0 0,-1 0 0,0 0 0,-1 0 0,1-1 0,-1 1 0,0-1 0,0 1 0,0-1 0,-1 1 0,1-1 0,-1 0 0,0 1 0,-1-1 0,1 1 0,-1-1 0,0 0 0,0 1 0,0 0 0,-1-1 0,1 1 0,-1 0 0,0-1 0,-1 1 0,1 0 0,0 1 0,-1-1 0,0 0 0,0 1 0,0-1 0,-1 1 0,1 0 0,-1 0 0,1 1 0,-1-1 0,0 1 0,0-1 0,0 1 0,-1 0 0,1 1 0,0-1 0,-1 1 0,1 0 0,-6-1 0,-7 1 0,-31 1 0,43 0 0,0 1 0,0-1 0,0 1 0,0 1 0,1-1 0,-1 1 0,0 0 0,1 0 0,-1 0 0,-6 5 0,7-5 0,0 1 0,0 0 0,0 0 0,1 0 0,-1 0 0,1 1 0,0-1 0,0 1 0,0 0 0,0 0 0,1 0 0,0 0 0,0 1 0,0-1 0,0 0 0,0 1 0,1 0 0,0-1 0,0 1 0,0 0 0,1-1 0,0 1 0,0 0 0,0 5 0,2 239 0,-2-245 0,0 1 0,1 0 0,0 0 0,0-1 0,0 1 0,0 0 0,1-1 0,0 1 0,0-1 0,0 0 0,0 0 0,1 1 0,0-1 0,-1-1 0,1 1 0,1 0 0,-1-1 0,1 0 0,-1 1 0,1-2 0,4 4 0,0-1 0,-1-1 0,1 0 0,-1-1 0,1 0 0,0 0 0,0 0 0,1-1 0,-1-1 0,0 1 0,1-1 0,10 0 0,3 0 0,36 6 0,-34-3 0,31 0 0,-50-3 0,0-1 0,0 0 0,-1 0 0,1-1 0,0 0 0,-1 0 0,1 0 0,-1 0 0,5-2 0,-7 2 0,0-1 0,-1 1 0,1 0 0,-1-1 0,1 1 0,-1-1 0,0 1 0,1-1 0,-1 0 0,0 0 0,0 1 0,0-1 0,0 0 0,-1 0 0,1 0 0,0 0 0,-1 0 0,0 0 0,1 0 0,-1 0 0,0 0 0,0-4 0,-1-76 62,-1 44-1489,2 30-5399</inkml:trace>
  <inkml:trace contextRef="#ctx0" brushRef="#br0" timeOffset="1791.06">391 338 24575,'0'0'-8191</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15T14:19:58.443"/>
    </inkml:context>
    <inkml:brush xml:id="br0">
      <inkml:brushProperty name="width" value="0.035" units="cm"/>
      <inkml:brushProperty name="height" value="0.035" units="cm"/>
    </inkml:brush>
  </inkml:definitions>
  <inkml:trace contextRef="#ctx0" brushRef="#br0">411 755 24575,'0'-29'0,"0"0"0,-3-38 0,1 57 0,0 1 0,0-1 0,0 0 0,-1 1 0,-1 0 0,0 0 0,-8-16 0,6 14 0,0 0 0,1-1 0,0 1 0,1-1 0,0 0 0,-3-20 0,7 30 0,-1 0 0,1 0 0,-1 0 0,1 0 0,-1 0 0,0 0 0,0 1 0,1-1 0,-1 0 0,0 1 0,-1-1 0,1 0 0,0 1 0,0-1 0,-1 1 0,-1-2 0,2 3 0,0-1 0,0 0 0,-1 1 0,1-1 0,0 1 0,-1 0 0,1-1 0,0 1 0,-1 0 0,1 0 0,0 0 0,-1 0 0,1 0 0,0 0 0,-1 0 0,1 0 0,-3 1 0,0 1 0,1-1 0,-1 1 0,0 0 0,1 0 0,0 0 0,-1 0 0,1 0 0,0 1 0,0 0 0,0 0 0,1-1 0,-1 2 0,1-1 0,-3 4 0,-9 20 0,12-21 0,0-1 0,-1 0 0,0 0 0,0 0 0,0 0 0,-1 0 0,-5 6 0,-49 41 0,32-30 0,2 0 0,0 2 0,-22 30 0,42-48 0,1 0 0,-1 0 0,2 0 0,-1 1 0,1-1 0,0 1 0,0 0 0,1-1 0,0 1 0,-1 10 0,1 11 0,4 36 0,-1-15 0,-2-44 0,0 10 0,0 1 0,1-1 0,5 23 0,-5-34 0,0 1 0,0-1 0,1 0 0,0 0 0,0 1 0,0-1 0,0-1 0,1 1 0,-1 0 0,1 0 0,0-1 0,0 0 0,1 1 0,-1-1 0,1 0 0,4 3 0,3 0 0,0-1 0,0 0 0,1 0 0,0-1 0,0 0 0,0-1 0,0 0 0,21 1 0,9-2 0,52-4 0,-20 0 0,-60 2 0,-1 0 0,1 0 0,-1-1 0,25-4 0,-36 5 0,1-1 0,-1 1 0,1-1 0,-1 0 0,1 0 0,-1 0 0,0 0 0,1 0 0,-1-1 0,0 1 0,0-1 0,0 1 0,0-1 0,0 0 0,-1 0 0,1 0 0,0 0 0,-1 0 0,1 0 0,-1 0 0,0-1 0,0 1 0,0 0 0,0-1 0,0 1 0,0-4 0,1-14 0,0 0 0,-2-1 0,-3-24 0,1-9 0,1 43 0,0-1 0,0 1 0,-1-1 0,-1 1 0,0 0 0,0 0 0,-1 0 0,-1 0 0,0 0 0,0 1 0,-13-19 0,12 20 0,2 0 0,-1 0 0,-4-15 0,-9-17 0,16 37 0,-1 0 0,1 0 0,-1 0 0,-1 0 0,1 1 0,0-1 0,-1 1 0,0 0 0,0 0 0,0 0 0,0 0 0,0 1 0,-1 0 0,1-1 0,-1 2 0,1-1 0,-1 0 0,0 1 0,1 0 0,-1 0 0,0 1 0,0-1 0,0 1 0,0 0 0,0 0 0,0 1 0,0-1 0,1 1 0,-8 2 0,11-2 0,0-1 0,0 1 0,0-1 0,0 1 0,1-1 0,-1 1 0,0 0 0,0 0 0,0-1 0,1 1 0,-1 0 0,0 0 0,1 0 0,-1 0 0,1 0 0,-1 0 0,1 0 0,-1 0 0,1 0 0,0 0 0,-1 0 0,1 0 0,0 0 0,0 1 0,0-1 0,0 0 0,0 0 0,0 0 0,0 0 0,0 0 0,1 0 0,-1 0 0,0 0 0,0 0 0,1 0 0,-1 0 0,2 2 0,1 5 0,1 0 0,1 0 0,8 12 0,-7-10 0,1-1 0,0-1 0,0 1 0,0-2 0,13 11 0,14 14 0,-7-3 0,35 28 0,-23-23 0,-33-28 0,1 0 0,0 0 0,0-1 0,0 0 0,1-1 0,-1 1 0,1-2 0,0 1 0,0-1 0,1 0 0,-1 0 0,1-1 0,-1-1 0,1 1 0,0-1 0,0-1 0,-1 1 0,1-2 0,0 1 0,0-1 0,9-2 0,-15 1 0,0 1 0,0-1 0,0 0 0,0 1 0,0-2 0,0 1 0,0 0 0,0 0 0,-1-1 0,1 0 0,-1 1 0,0-1 0,0 0 0,0 0 0,2-3 0,4-10 0,11-28 0,-16 35 0,2-3 0,33-82 0,32-121 0,-62 180 0,-1 1 0,-1-1 0,1-68 0,-8 83 0,-1 0 0,-1 0 0,-1 0 0,0 0 0,-10-23 0,12 35 0,-2-4 0,1 0 0,-2 1 0,1-1 0,-2 1 0,-9-15 0,-38-47 0,53 73 0,0 0 0,0 0 0,0-1 0,0 1 0,0 0 0,0 0 0,0 0 0,-1 0 0,1 0 0,0 0 0,0 0 0,0 0 0,0 0 0,0 0 0,0 0 0,0 0 0,0 0 0,0 0 0,0 0 0,0 0 0,0 0 0,0 0 0,-1 0 0,1 0 0,0 0 0,0 0 0,0 0 0,0 0 0,0 0 0,0 0 0,0 0 0,0 0 0,0 0 0,0 0 0,0 0 0,-1 0 0,1 0 0,0 0 0,0 0 0,0 0 0,0 0 0,0 0 0,0 0 0,0 0 0,0 0 0,0 0 0,0 0 0,0 1 0,0-1 0,0 0 0,0 0 0,0 0 0,0 0 0,0 0 0,0 0 0,0 0 0,0 0 0,0 0 0,0 0 0,0 0 0,0 0 0,0 1 0,0-1 0,0 0 0,-2 10 0,1 12 0,3 520 0,-1-518 0,7 36 0,0 17 0,-7-68 0,0 0 0,0-1 0,1 1 0,0-1 0,1 1 0,0-1 0,4 10 0,34 54 0,-21-38 0,-15-27 0,0 1 0,1 0 0,0-1 0,0 0 0,1-1 0,-1 1 0,1-1 0,1 0 0,-1-1 0,1 0 0,0 0 0,13 5 0,-15-7 0,1 0 0,0-1 0,0 0 0,0 0 0,0-1 0,1 0 0,-1 0 0,0-1 0,0 0 0,1 0 0,-1 0 0,0-1 0,0 0 0,1-1 0,-1 0 0,10-4 0,-13 4 0,0-1 0,0 1 0,0-1 0,0 0 0,0-1 0,0 1 0,-1-1 0,0 0 0,0 1 0,0-1 0,0-1 0,0 1 0,-1 0 0,0-1 0,2-6 0,1-1 0,0-1 0,-2 0 0,0 0 0,3-20 0,-5 20 0,0 1 0,-1-1 0,0 1 0,-1-1 0,-1 0 0,0 1 0,-5-19 0,4 22 0,-1 0 0,0 0 0,0 0 0,0 1 0,-2 0 0,1 0 0,-1 0 0,0 1 0,0 0 0,-11-10 0,9 10 0,-1 0 0,1 0 0,-1 0 0,0 1 0,-11-5 0,18 10 0,0 0 0,0 0 0,0 1 0,-1-1 0,1 0 0,0 1 0,0-1 0,0 1 0,-1 0 0,1 0 0,0 0 0,0 0 0,0 0 0,-1 0 0,1 1 0,0-1 0,0 1 0,0 0 0,0-1 0,0 1 0,0 0 0,0 0 0,0 0 0,0 1 0,0-1 0,0 0 0,0 1 0,1-1 0,-1 1 0,1-1 0,-1 1 0,0 2 0,-2 1 0,1 1 0,0 0 0,0-1 0,0 1 0,1 0 0,0 1 0,0-1 0,1 0 0,-1 0 0,1 10 0,-1 8 0,4 36 0,-1-20 0,-1 13 0,1 44 0,5-77 0,-6-19 0,1-1 0,-1 1 0,0-1 0,1 0 0,-1 1 0,0-1 0,0 0 0,1 0 0,-1 1 0,1-1 0,-1 0 0,0 0 0,1 0 0,-1 1 0,1-1 0,-1 0 0,0 0 0,1 0 0,-1 0 0,1 0 0,-1 0 0,1 0 0,-1 0 0,1 0 0,1 0 0,0-1 0,-1 0 0,1 0 0,0 0 0,-1 0 0,1 0 0,-1 0 0,1 0 0,-1-1 0,0 1 0,1 0 0,-1-1 0,0 1 0,0-1 0,1-3 0,4-5 0,-2 0 0,1-1 0,-2 1 0,1-1 0,-1 0 0,-1 0 0,0-1 0,-1 1 0,0 0 0,-1-1 0,0-14 0,1-27 0,-1 52 0,0-1 0,0 1 0,0-1 0,0 1 0,1 0 0,-1-1 0,0 1 0,1 0 0,-1-1 0,1 1 0,0 0 0,-1-1 0,1 1 0,0 0 0,0 0 0,1-2 0,-1 3 0,-1-1 0,1 1 0,0 0 0,-1-1 0,1 1 0,0 0 0,0-1 0,-1 1 0,1 0 0,0 0 0,0 0 0,0 0 0,-1 0 0,1 0 0,0 0 0,0 0 0,0 0 0,-1 0 0,1 0 0,0 0 0,1 1 0,0 0 0,1 0 0,0 1 0,-1-1 0,1 1 0,-1 0 0,1 0 0,-1 0 0,0 0 0,0 0 0,1 0 0,-2 0 0,1 1 0,3 4 0,14 31 0,-12-24 0,0 0 0,0 0 0,1-1 0,1 1 0,0-2 0,1 1 0,1-1 0,14 13 0,-23-23 0,0-1 0,0 0 0,0 0 0,0 0 0,0 0 0,0 0 0,0 0 0,0 0 0,0 0 0,0-1 0,1 1 0,-1-1 0,0 0 0,0 0 0,1 0 0,-1 0 0,0 0 0,0 0 0,1 0 0,-1-1 0,0 1 0,0-1 0,0 0 0,1 1 0,-1-1 0,0 0 0,0 0 0,0 0 0,-1-1 0,1 1 0,0 0 0,0-1 0,-1 1 0,4-4 0,3-5 0,0 1 0,-1-1 0,0-1 0,11-22 0,4-18 0,31-99 0,-37 101 0,-11 30 0,0-1 0,-1 0 0,-1 0 0,1-27 0,-4 35 0,0 0 0,0 0 0,-1 0 0,-1 0 0,0 1 0,-1-1 0,0 0 0,-8-18 0,4 18 0,-2 1 0,1-1 0,-1 1 0,-1 1 0,0 0 0,0 0 0,-1 1 0,-16-10 0,24 16 0,-1 1 0,1 0 0,-1 0 0,0 0 0,1 1 0,-1-1 0,0 1 0,0 0 0,0 0 0,0 0 0,0 1 0,0-1 0,-1 1 0,1 0 0,0 0 0,0 1 0,0-1 0,0 1 0,0 0 0,0 0 0,0 0 0,0 1 0,0-1 0,-6 4 0,-7 5 0,1 0 0,1 2 0,-1-1 0,-14 17 0,-1-1 0,-24 10 0,42-30 0,2 1 0,-1-1 0,1 2 0,0 0 0,1 0 0,0 1 0,-9 11 0,17-18 0,0 0 0,1 0 0,-1 0 0,1 0 0,-1 0 0,1 1 0,0-1 0,1 0 0,-1 1 0,0-1 0,1 1 0,0-1 0,0 1 0,0-1 0,0 1 0,1-1 0,-1 1 0,1-1 0,0 1 0,0-1 0,2 7 0,0-6 0,-1 0 0,0 0 0,1 0 0,0 0 0,0 0 0,0 0 0,0-1 0,1 1 0,-1-1 0,1 0 0,0 0 0,0 0 0,0-1 0,0 0 0,8 4 0,304 142 0,-293-137 0,-10-5 0,0 0 0,0 1 0,0 1 0,-1 0 0,0 0 0,-1 1 0,13 13 0,-21-17 0,-1-1 0,1 1 0,-1-1 0,-1 1 0,1 0 0,-1 0 0,1 0 0,-1 0 0,-1 0 0,1 0 0,-1 0 0,0 9 0,0-7 0,0 1 0,-1 0 0,0-1 0,-1 1 0,0 0 0,0-1 0,-5 13 0,2-11 0,-1-1 0,0 0 0,0 0 0,-1-1 0,0 0 0,0 0 0,-1 0 0,0-1 0,0 0 0,-13 7 0,4-4 0,-1 0 0,0-1 0,0-1 0,-27 7 0,30-10 0,1-1 0,-1-1 0,0 0 0,0-1 0,0 0 0,0-1 0,0-1 0,0-1 0,0 0 0,0-1 0,1 0 0,-1-1 0,1-1 0,0 0 0,-22-12 0,19 7 0,1 0 0,-22-20 0,34 27 0,1 0 0,0 0 0,0 0 0,0 0 0,0-1 0,0 1 0,1-1 0,-1 0 0,1 0 0,0 0 0,1 0 0,-1 0 0,1 0 0,-1-1 0,1 1 0,0 0 0,0-6 0,1 8 0,0 1 0,1 0 0,-1-1 0,0 1 0,1 0 0,-1-1 0,1 1 0,-1 0 0,1 0 0,-1-1 0,1 1 0,0 0 0,0 0 0,0 0 0,0 0 0,0 0 0,0 0 0,0 0 0,0 0 0,0 0 0,0 0 0,0 1 0,0-1 0,3 0 0,35-11 0,-33 10 0,224-42 0,-164 32 0,-52 9 0,0 1 0,0 1 0,0 0 0,19 1 0,-26 1 0,1 0 0,-1 1 0,0 0 0,1 0 0,-1 0 0,0 1 0,0 0 0,-1 1 0,12 6 0,98 67 0,-111-74 0,1 0 0,-1 0 0,1-1 0,0 0 0,-1 0 0,1 0 0,0 0 0,1-1 0,-1 0 0,0 0 0,0-1 0,0 0 0,0 0 0,1 0 0,-1-1 0,12-2 0,-14 2 0,1 0 0,-1 0 0,1-1 0,-1 1 0,0-1 0,0 0 0,0 0 0,0-1 0,0 1 0,0-1 0,0 0 0,-1 0 0,1 0 0,-1 0 0,0-1 0,0 1 0,0-1 0,-1 0 0,1 0 0,-1 0 0,0 0 0,0 0 0,2-5 0,-2 0 0,-1-1 0,0 1 0,0-1 0,-1 1 0,0-1 0,-1 0 0,0 1 0,0-1 0,-1 1 0,0-1 0,-1 1 0,-5-15 0,3 14 0,0-1 0,0 1 0,-1 0 0,0 1 0,-1-1 0,0 1 0,-1 0 0,1 1 0,-2 0 0,-10-9 0,17 16 0,1 0 0,-1-1 0,0 1 0,0 0 0,1 0 0,-1 0 0,0 1 0,0-1 0,0 0 0,0 1 0,0-1 0,0 1 0,0-1 0,0 1 0,0 0 0,0 0 0,-4 1 0,4-1 0,1 1 0,-1-1 0,1 1 0,-1 0 0,1 0 0,-1 0 0,1 0 0,0 0 0,0 0 0,-1 0 0,1 1 0,0-1 0,0 0 0,0 1 0,0-1 0,0 1 0,0-1 0,1 1 0,-1-1 0,0 1 0,0 3 0,-4 12 0,1 0 0,0 1 0,2 0 0,-2 26 0,6 76 0,0-68 0,-2-42 0,0-4 0,0 1 0,0-1 0,1 1 0,0-1 0,2 7 0,-2-11 0,-1 0 0,1 0 0,0 0 0,0 0 0,0 0 0,1-1 0,-1 1 0,0 0 0,1-1 0,-1 1 0,1-1 0,-1 0 0,1 1 0,0-1 0,-1 0 0,1 0 0,0 0 0,0 0 0,4 1 0,165 50 0,-142-46 0,0 0 0,1-2 0,59 0 0,-86-4 0,0-1 0,0 1 0,1-1 0,-1 1 0,0-1 0,0 0 0,0 0 0,0 0 0,0 0 0,0-1 0,0 1 0,0-1 0,0 0 0,4-4 0,-6 5 0,0 0 0,0-1 0,0 1 0,0-1 0,0 1 0,0-1 0,0 1 0,-1-1 0,1 0 0,-1 1 0,1-1 0,-1 0 0,0 0 0,1 1 0,-1-1 0,0 0 0,0 0 0,0 1 0,0-1 0,-1 0 0,1 0 0,0 1 0,-1-1 0,1 0 0,-1 1 0,0-1 0,0 1 0,1-1 0,-3-1 0,-2-6 0,-1 0 0,0 0 0,-1 1 0,1 0 0,-2 1 0,-15-14 0,-58-34 0,47 32 0,-62-31 0,73 41 0,20 12 0,1 0 0,0 0 0,0 0 0,-1-1 0,1 1 0,0-1 0,0 0 0,0 0 0,1 0 0,-1 0 0,0 0 0,1 0 0,-3-4 0,3 4 0,1 1 0,0-1 0,0 0 0,-1 1 0,1-1 0,0 0 0,0 1 0,1-1 0,-1 1 0,0-1 0,0 0 0,1 1 0,-1-1 0,1 1 0,0-1 0,-1 1 0,1-1 0,0 1 0,0 0 0,0-1 0,0 1 0,0 0 0,1-2 0,13-18 0,-1 0 0,-1-2 0,14-34 0,-9 20 0,-3 0 0,-1-2 0,-2 1 0,-1-1 0,5-44 0,-14 55 0,2-16 0,-3 43 0,-1-1 0,0 1 0,1-1 0,-1 1 0,1 0 0,-1-1 0,1 1 0,0 0 0,-1-1 0,1 1 0,0 0 0,0 0 0,0-1 0,0 1 0,0 0 0,0 0 0,0 0 0,0 0 0,1 1 0,-1-1 0,3-1 0,-3 2 0,0 0 0,0-1 0,0 1 0,1 1 0,-1-1 0,0 0 0,0 0 0,0 0 0,0 1 0,1-1 0,-1 0 0,0 1 0,0-1 0,0 1 0,0-1 0,0 1 0,0 0 0,0-1 0,0 1 0,0 0 0,0 0 0,-1 0 0,1 0 0,0 0 0,0 0 0,-1 0 0,2 2 0,17 34 0,-16-32 0,57 148 0,42 171 0,-89-278 0,-2-12 0,-1-4 0,-1 0 0,-2 1 0,-1 0 0,-1 1 0,1 49 0,-6-79 0,0 0 0,0 0 0,0 0 0,0 0 0,0 0 0,0 0 0,0 0 0,1 0 0,-1-1 0,1 1 0,0 0 0,-1 0 0,1 0 0,0 0 0,0-1 0,0 1 0,3 3 0,-3-4 0,1 0 0,-1 0 0,1-1 0,0 1 0,0 0 0,-1 0 0,1-1 0,0 0 0,0 1 0,0-1 0,0 0 0,0 1 0,-1-1 0,1 0 0,0-1 0,0 1 0,0 0 0,0 0 0,2-2 0,3 1 0,1-2 0,-1 1 0,1-1 0,-1 0 0,0-1 0,0 0 0,-1 0 0,1 0 0,-1-1 0,0 0 0,0 0 0,0-1 0,-1 0 0,0 0 0,0 0 0,0 0 0,-1-1 0,0 1 0,4-11 0,-1 2 0,-1 0 0,0-1 0,-1 0 0,-1 0 0,0 0 0,-2 0 0,1 0 0,-1-23 0,-2 34 0,-1 0 0,1 0 0,-1 0 0,0 0 0,0 1 0,0-1 0,0 0 0,-1 1 0,0-1 0,0 1 0,0 0 0,-1-1 0,0 1 0,1 0 0,-5-4 0,5 6 0,-1 0 0,1-1 0,-1 1 0,1 1 0,-1-1 0,0 0 0,0 1 0,0-1 0,0 1 0,0 0 0,0 0 0,0 0 0,0 0 0,0 1 0,0-1 0,-1 1 0,1 0 0,0 0 0,0 0 0,-1 0 0,1 0 0,0 1 0,-6 1 0,5 0 0,1-1 0,-1 1 0,1 0 0,0 0 0,0 1 0,0-1 0,0 1 0,0-1 0,0 1 0,1 0 0,-1 0 0,1 0 0,0 0 0,0 1 0,0-1 0,0 1 0,1-1 0,-3 7 0,-1 4 0,1 0 0,0 1 0,-2 20 0,4-25 0,1-1 0,1 1 0,0-1 0,0 1 0,1-1 0,0 1 0,0-1 0,1 0 0,4 12 0,-4-16 0,-1-1 0,1 0 0,1 0 0,-1 0 0,1 0 0,-1 0 0,1-1 0,0 1 0,0-1 0,1 0 0,-1 0 0,1 0 0,-1 0 0,1-1 0,0 1 0,0-1 0,0 0 0,0 0 0,1 0 0,-1-1 0,6 2 0,-8-3 0,0 0 0,1 1 0,-1-1 0,0 0 0,0 0 0,0-1 0,0 1 0,1 0 0,-1-1 0,0 1 0,0-1 0,0 0 0,0 0 0,0 0 0,0 0 0,0 0 0,0 0 0,0 0 0,-1-1 0,1 1 0,0 0 0,-1-1 0,1 0 0,-1 1 0,0-1 0,1 0 0,-1 0 0,0 0 0,0 0 0,1-4 0,4-6 0,-1-1 0,0-1 0,4-22 0,-7 29 0,-2 5 0,1-2 0,0 0 0,0 0 0,0 0 0,1 0 0,-1 0 0,1 0 0,2-4 0,-3 7 0,0 1 0,-1-1 0,1 0 0,0 1 0,0-1 0,0 1 0,0-1 0,-1 1 0,1-1 0,0 1 0,0 0 0,0-1 0,0 1 0,0 0 0,0 0 0,0 0 0,0-1 0,0 1 0,0 0 0,0 0 0,0 1 0,0-1 0,0 0 0,0 0 0,0 0 0,0 1 0,0-1 0,0 0 0,0 1 0,0-1 0,0 1 0,-1-1 0,1 1 0,0 0 0,1 0 0,12 8 0,-2-1 0,0-1 0,0 0 0,23 8 0,-30-14 0,0 1 0,0-1 0,0-1 0,0 1 0,0-1 0,0 1 0,0-1 0,0-1 0,0 1 0,0-1 0,0 0 0,0 0 0,0 0 0,5-3 0,6-3 0,0-1 0,-1 0 0,0-1 0,0-1 0,-1 0 0,-1-1 0,1 0 0,-2-1 0,19-23 0,-15 15 0,-2 0 0,0-1 0,-1-1 0,-1 0 0,-1-1 0,9-27 0,-14 25 0,-6 21 0,1 1 0,0-1 0,-1 0 0,2 0 0,-1 1 0,0-1 0,1 1 0,-1-1 0,1 1 0,4-6 0,-6 9 0,0-1 0,1 1 0,-1 0 0,0 0 0,0-1 0,0 1 0,1 0 0,-1 0 0,0 0 0,0 0 0,1-1 0,-1 1 0,0 0 0,1 0 0,-1 0 0,0 0 0,1 0 0,-1 0 0,0 0 0,0 0 0,1 0 0,-1 0 0,0 0 0,1 0 0,-1 0 0,0 0 0,1 0 0,-1 0 0,0 0 0,1 0 0,-1 0 0,0 1 0,7 9 0,-2 19 0,-4-25 0,1 6 0,1-1 0,0 1 0,1-1 0,0 0 0,0 0 0,11 15 0,4 10 0,14 45 0,-32-79 0,-1 0 0,0 1 0,1-1 0,-1 0 0,0 0 0,0 0 0,1 0 0,-1 1 0,0-1 0,1 0 0,-1 0 0,0 0 0,1 0 0,-1 0 0,0 0 0,1 0 0,-1 0 0,0 0 0,1 0 0,-1 0 0,0 0 0,1 0 0,-1 0 0,0 0 0,1 0 0,-1 0 0,0 0 0,1-1 0,-1 1 0,0 0 0,1 0 0,-1 0 0,0 0 0,0-1 0,1 1 0,-1 0 0,0 0 0,0-1 0,0 1 0,1 0 0,-1-1 0,0 1 0,0 0 0,0 0 0,0-1 0,1 1 0,-1-1 0,15-19 0,-12 15 0,3-3 0,1 0 0,-1 0 0,2 0 0,-1 1 0,1 0 0,10-6 0,-14 11 0,-1 0 0,0 0 0,1 0 0,-1 1 0,1-1 0,0 1 0,-1 0 0,1 0 0,0 1 0,0-1 0,0 1 0,0-1 0,-1 1 0,1 0 0,0 1 0,0-1 0,0 1 0,0 0 0,-1 0 0,5 1 0,-5 0 0,1-1 0,-1 1 0,1 0 0,-1 1 0,0-1 0,0 1 0,0-1 0,0 1 0,0 0 0,-1 0 0,1 0 0,3 6 0,2 5 0,12 29 0,-15-31 0,0-1 0,1 1 0,8 11 0,-10-18 0,0 0 0,1 0 0,-1 0 0,1 0 0,0-1 0,1 0 0,-1 0 0,1-1 0,-1 1 0,1-1 0,0-1 0,0 1 0,1-1 0,-1 0 0,1 0 0,-1-1 0,1 0 0,-1 0 0,1 0 0,-1-1 0,1 0 0,0 0 0,-1-1 0,1 0 0,0 0 0,7-2 0,-11 1 0,0 1 0,0 0 0,0-1 0,0 0 0,0 0 0,0 0 0,-1 0 0,1 0 0,0-1 0,-1 1 0,0-1 0,0 1 0,0-1 0,0 0 0,0 0 0,0 0 0,-1 0 0,1 0 0,-1 0 0,0-1 0,0 1 0,0 0 0,0-5 0,2-8 0,-2 0 0,0 0 0,-3-30 0,1 19 0,2-40 0,0 38 0,-1-1 0,-2 1 0,-6-43 0,-5 29 0,9 32 0,1 1 0,0-1 0,1 0 0,-2-18 0,14 108 0,25 99 0,-18-99 0,78 297 0,-73-280 0,-22-95-3,0-1 0,0 0 0,0 1 0,0-1 0,0 1 0,0-1 0,1 0 0,-1 1 0,0-1 0,0 0 0,0 1 0,0-1 0,0 0 0,1 1 0,-1-1 0,0 0 0,0 0 0,0 1 0,1-1 0,-1 0 0,0 0-1,0 1 1,1-1 0,-1 0 0,0 0 0,1 0 0,-1 1 0,0-1 0,1 0 0,-1 0 0,0 0 0,1 0 0,-1 0 0,9-10 176,6-28-658,-12 30-465,3-7-5876</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15T14:19:39.272"/>
    </inkml:context>
    <inkml:brush xml:id="br0">
      <inkml:brushProperty name="width" value="0.035" units="cm"/>
      <inkml:brushProperty name="height" value="0.035" units="cm"/>
    </inkml:brush>
  </inkml:definitions>
  <inkml:trace contextRef="#ctx0" brushRef="#br0">1 0 21389,'0'636'0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15T14:19:35.905"/>
    </inkml:context>
    <inkml:brush xml:id="br0">
      <inkml:brushProperty name="width" value="0.035" units="cm"/>
      <inkml:brushProperty name="height" value="0.035" units="cm"/>
    </inkml:brush>
  </inkml:definitions>
  <inkml:trace contextRef="#ctx0" brushRef="#br0">1 1 24575,'0'0'-8191</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15T14:19:31.979"/>
    </inkml:context>
    <inkml:brush xml:id="br0">
      <inkml:brushProperty name="width" value="0.035" units="cm"/>
      <inkml:brushProperty name="height" value="0.035" units="cm"/>
    </inkml:brush>
  </inkml:definitions>
  <inkml:trace contextRef="#ctx0" brushRef="#br0">1 124 24575,'380'-72'0,"-222"43"0,-118 19 0,-30 7 0,-1 1 0,1-1 0,0 2 0,0-1 0,0 1 0,0 1 0,0 0 0,16 2 0,144 46 0,-154-45-1365,-3-2-5461</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09T22:49:07.348"/>
    </inkml:context>
    <inkml:brush xml:id="br0">
      <inkml:brushProperty name="width" value="0.035" units="cm"/>
      <inkml:brushProperty name="height" value="0.035" units="cm"/>
    </inkml:brush>
  </inkml:definitions>
  <inkml:trace contextRef="#ctx0" brushRef="#br0">1 1 24575</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09T22:48:08.738"/>
    </inkml:context>
    <inkml:brush xml:id="br0">
      <inkml:brushProperty name="width" value="0.025" units="cm"/>
      <inkml:brushProperty name="height" value="0.025" units="cm"/>
    </inkml:brush>
  </inkml:definitions>
  <inkml:trace contextRef="#ctx0" brushRef="#br0">1 1 24575,'0'0'-8191</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09T22:47:58.296"/>
    </inkml:context>
    <inkml:brush xml:id="br0">
      <inkml:brushProperty name="width" value="0.025" units="cm"/>
      <inkml:brushProperty name="height" value="0.025" units="cm"/>
    </inkml:brush>
  </inkml:definitions>
  <inkml:trace contextRef="#ctx0" brushRef="#br0">1 1 24575,'0'0'-8191</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09T22:43:54.504"/>
    </inkml:context>
    <inkml:brush xml:id="br0">
      <inkml:brushProperty name="width" value="0.025" units="cm"/>
      <inkml:brushProperty name="height" value="0.025" units="cm"/>
    </inkml:brush>
  </inkml:definitions>
  <inkml:trace contextRef="#ctx0" brushRef="#br0">1 1 24575,'0'0'-8191</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09T22:36:59.416"/>
    </inkml:context>
    <inkml:brush xml:id="br0">
      <inkml:brushProperty name="width" value="0.025" units="cm"/>
      <inkml:brushProperty name="height" value="0.025" units="cm"/>
    </inkml:brush>
  </inkml:definitions>
  <inkml:trace contextRef="#ctx0" brushRef="#br0">1747 969 24575,'0'0'-8191</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15T14:20:01.515"/>
    </inkml:context>
    <inkml:brush xml:id="br0">
      <inkml:brushProperty name="width" value="0.035" units="cm"/>
      <inkml:brushProperty name="height" value="0.035" units="cm"/>
    </inkml:brush>
  </inkml:definitions>
  <inkml:trace contextRef="#ctx0" brushRef="#br0">289 1 24575,'0'0'-8191</inkml:trace>
  <inkml:trace contextRef="#ctx0" brushRef="#br0" timeOffset="2982.79">288 3 24575,'-24'0'0,"-33"4"0,48-3 0,1 1 0,-1 0 0,1 0 0,-1 1 0,1 1 0,0-1 0,-9 6 0,17-9 0,-4 2 0,-1 1 0,1-1 0,-1 1 0,1 0 0,0 0 0,0 0 0,0 1 0,1-1 0,-1 1 0,1 0 0,0 0 0,0 0 0,0 0 0,1 1 0,-3 4 0,-45 92 0,41-85 0,7-14 0,1 1 0,-1 0 0,1 0 0,-1 0 0,1 0 0,-2 6 0,3-8 0,0 0 0,0-1 0,0 1 0,1 0 0,-1 0 0,0 0 0,0 0 0,0 0 0,1 0 0,-1 0 0,0 0 0,1-1 0,-1 1 0,1 0 0,-1 0 0,1 0 0,-1-1 0,1 1 0,0 0 0,-1-1 0,1 1 0,0 0 0,-1-1 0,1 1 0,0-1 0,0 1 0,0-1 0,1 1 0,37 17 0,48 16 0,-48-19 0,-22-11 0,-1 0 0,1-1 0,0 0 0,0-1 0,0-1 0,0-1 0,24-3 0,-12 2 0,32 2 0,-58-1-68,-1 0 0,1 1-1,-1-1 1,1 0 0,-1 1 0,1 0-1,-1-1 1,0 1 0,1 0 0,-1 0-1,0 1 1,0-1 0,0 0 0,1 1-1,-1-1 1,-1 1 0,1 0-1,0-1 1,2 4 0,1 5-6758</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15T14:21:49.008"/>
    </inkml:context>
    <inkml:brush xml:id="br0">
      <inkml:brushProperty name="width" value="0.035" units="cm"/>
      <inkml:brushProperty name="height" value="0.035" units="cm"/>
    </inkml:brush>
  </inkml:definitions>
  <inkml:trace contextRef="#ctx0" brushRef="#br0">1 113 24575,'21'0'0,"37"-9"0,53-15 0,48-15 0,-4-2-8191</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09T22:47:39.008"/>
    </inkml:context>
    <inkml:brush xml:id="br0">
      <inkml:brushProperty name="width" value="0.025" units="cm"/>
      <inkml:brushProperty name="height" value="0.025" units="cm"/>
    </inkml:brush>
  </inkml:definitions>
  <inkml:trace contextRef="#ctx0" brushRef="#br0">1 1 24575</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15T14:21:43.630"/>
    </inkml:context>
    <inkml:brush xml:id="br0">
      <inkml:brushProperty name="width" value="0.035" units="cm"/>
      <inkml:brushProperty name="height" value="0.035" units="cm"/>
    </inkml:brush>
  </inkml:definitions>
  <inkml:trace contextRef="#ctx0" brushRef="#br0">1 126 24575,'57'-3'0,"-1"-3"0,1-2 0,61-17 0,5-1 0,-18 14 0,-37 6 0,-3-3 0,190-20 0,-199 27-1365,-43 3-5461</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15T14:21:30.770"/>
    </inkml:context>
    <inkml:brush xml:id="br0">
      <inkml:brushProperty name="width" value="0.035" units="cm"/>
      <inkml:brushProperty name="height" value="0.035" units="cm"/>
    </inkml:brush>
  </inkml:definitions>
  <inkml:trace contextRef="#ctx0" brushRef="#br0">220 75 24575,'-13'12'0,"-1"0"0,-27 18 0,6-6 0,4-3 0,18-13 0,0 1 0,-13 11 0,24-18 0,-1 1 0,0-1 0,1 1 0,-1 0 0,1 0 0,0 0 0,0 0 0,0 0 0,1 0 0,-1 1 0,1-1 0,0 1 0,0-1 0,-1 4 0,-1 27 0,2 0 0,4 53 0,1-21 0,-4-60 0,0 0 0,0 1 0,1-1 0,0 0 0,0 1 0,3 9 0,-3-14 0,0-1 0,0 1 0,0-1 0,0 1 0,1-1 0,-1 1 0,0-1 0,0 0 0,1 0 0,-1 1 0,1-1 0,-1 0 0,1 0 0,0-1 0,-1 1 0,1 0 0,0 0 0,-1-1 0,1 1 0,0-1 0,0 0 0,0 1 0,-1-1 0,1 0 0,0 0 0,0 0 0,2 0 0,42-3 0,-34 2 0,0 0 0,0 1 0,0 0 0,0 0 0,-1 1 0,1 1 0,0 0 0,20 7 0,-19-5 0,0 0 0,0 0 0,0-2 0,0 0 0,18 1 0,-16-1 0,-10-2 0,0 2 0,0-1 0,0 1 0,-1-1 0,1 1 0,0 1 0,-1-1 0,1 1 0,-1-1 0,0 1 0,0 1 0,7 5 0,-7-5 0,0 0 0,0-1 0,1 1 0,-1-1 0,1 0 0,0-1 0,0 1 0,0-1 0,0 0 0,8 2 0,-6-3 0,0 0 0,0 0 0,0-1 0,11 0 0,-16 0 0,0 0 0,0-1 0,0 1 0,0 0 0,0-1 0,0 0 0,0 1 0,-1-1 0,1 0 0,0 0 0,0 0 0,-1 0 0,1-1 0,0 1 0,-1 0 0,0-1 0,1 1 0,-1-1 0,0 1 0,2-4 0,3-4 0,0-1 0,1 1 0,0 0 0,0 1 0,1 0 0,0 0 0,15-11 0,6-1 0,35-18 0,18-12 0,30-27 0,-106 72-14,0-2-1,0 1 1,-1-1-1,0 0 1,0 0 0,0 0-1,-1 0 1,0-1-1,3-9 1,4-7-1207,-3 9-5605</inkml:trace>
  <inkml:trace contextRef="#ctx0" brushRef="#br0" timeOffset="1874.9">678 340 24575,'3'0'0,"4"0"0,4 0 0,0 0-8191</inkml:trace>
  <inkml:trace contextRef="#ctx0" brushRef="#br0" timeOffset="5045.8">731 340 24575,'14'-16'0,"-11"12"0,0 0 0,0 1 0,1-1 0,-1 1 0,1 0 0,0 0 0,0 0 0,0 0 0,8-3 0,28-9 0,0 2 0,61-11 0,21-5 0,-107 24 0,-1 0 0,0-1 0,0 0 0,0-1 0,-1 0 0,0-1 0,-1-1 0,1 0 0,17-18 0,-23 21 0,-1-1 0,0 0 0,0 0 0,-1 0 0,9-15 0,-13 20 0,0 1 0,-1-1 0,1 1 0,-1-1 0,1 0 0,-1 1 0,0-1 0,1 0 0,-1 1 0,0-1 0,0 0 0,0 1 0,-1-1 0,1 0 0,0 1 0,-1-3 0,0 2 0,0 1 0,0-1 0,0 0 0,0 1 0,-1 0 0,1-1 0,0 1 0,-1-1 0,1 1 0,-1 0 0,0 0 0,1 0 0,-1 0 0,0 0 0,1 0 0,-1 1 0,-3-2 0,-2 0 0,0 0 0,-1 1 0,1-1 0,0 2 0,0-1 0,-1 1 0,1 0 0,-1 0 0,1 1 0,0 0 0,0 0 0,-1 1 0,1 0 0,0 0 0,-12 7 0,-7 4 0,1 1 0,-42 31 0,6-3 0,33-25 0,-57 36 0,75-45 0,1 0 0,0 0 0,0 1 0,0 0 0,1 1 0,-7 10 0,9-9 0,-1-3 0,2 2 0,-1-1 0,-7 18 0,12-23 0,0 1 0,0-1 0,0 0 0,1 1 0,-1-1 0,1 1 0,0-1 0,0 0 0,1 1 0,-1-1 0,1 1 0,2 6 0,-1-4 0,1 0 0,0 0 0,1 0 0,-1 0 0,1-1 0,1 1 0,-1-1 0,1 0 0,6 6 0,7 6 0,29 21 0,-28-24 0,-2-3 0,1-1 0,34 16 0,-52-27 0,16 8 0,-1-2 0,1 0 0,0-1 0,1-1 0,29 4 0,-5-4 0,49-3 0,-77-1 0,0 0 0,0-2 0,22-4 0,-32 6 0,-1-1 0,1 1 0,-1-1 0,1 0 0,-1 0 0,1 0 0,-1-1 0,0 1 0,0 0 0,1-1 0,-1 1 0,0-1 0,0 0 0,0 0 0,-1 0 0,1 0 0,0 0 0,-1 0 0,0 0 0,1-1 0,-1 1 0,0 0 0,0-1 0,0 1 0,1-4 0,-1-9-256,0 0 1,-1 0-1,-1-17 0,0 29-86,1-5-6484</inkml:trace>
  <inkml:trace contextRef="#ctx0" brushRef="#br0" timeOffset="5907.18">1331 498 24575,'0'0'-8191</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15T14:21:25.420"/>
    </inkml:context>
    <inkml:brush xml:id="br0">
      <inkml:brushProperty name="width" value="0.035" units="cm"/>
      <inkml:brushProperty name="height" value="0.035" units="cm"/>
    </inkml:brush>
  </inkml:definitions>
  <inkml:trace contextRef="#ctx0" brushRef="#br0">487 367 24575,'-11'1'0,"0"0"0,1 1 0,-1 0 0,1 1 0,-15 5 0,13-3 0,-1-1 0,-24 4 0,23-7 0,0 0 0,0 1 0,0 1 0,0 0 0,1 1 0,0 0 0,0 1 0,0 1 0,-21 12 0,9-3 0,0-2 0,-36 15 0,10-5 0,49-23 0,-18 10 0,13-6 0,11-4 0,19-7 0,0 0 0,0-2 0,-1 0 0,0-2 0,0 0 0,-1-1 0,-1-2 0,27-21 0,-47 34 0,1 0 0,0 0 0,0 0 0,-1 0 0,1 1 0,0-1 0,0 0 0,0 0 0,0 1 0,0-1 0,0 1 0,0-1 0,0 1 0,0-1 0,0 1 0,0 0 0,0 0 0,0-1 0,0 1 0,0 0 0,0 0 0,0 0 0,0 0 0,1 0 0,-1 0 0,0 1 0,0-1 0,0 0 0,0 0 0,0 1 0,0-1 0,0 1 0,0-1 0,0 1 0,0-1 0,0 1 0,0-1 0,-1 1 0,1 0 0,0 0 0,0 0 0,0-1 0,-1 1 0,1 0 0,-1 0 0,1 0 0,0 0 0,-1 0 0,0 0 0,1 0 0,-1 0 0,1 1 0,3 8 0,-1 0 0,0 0 0,-1 0 0,2 13 0,-1 6 0,-1 1 0,-3 45 0,-1-39 0,4 36 0,-1-64 0,1-1 0,0 1 0,4 12 0,4 12 0,10 73 0,-5 2 0,-4-1 0,-5 142 0,-5-235 0,0-28 0,2-6 0,31-102 0,-10 42 0,-20 58 0,-1-1 0,-1 1 0,-1 0 0,-3-45 0,0 6 0,2 51 0,1 0 0,0 0 0,1 0 0,1 0 0,-1 0 0,2 1 0,-1-1 0,8-14 0,-11 25 0,1 0 0,-1-1 0,0 1 0,0 0 0,0 0 0,0-1 0,0 1 0,0 0 0,0 0 0,1-1 0,-1 1 0,0 0 0,0 0 0,0-1 0,1 1 0,-1 0 0,0 0 0,0 0 0,0 0 0,1-1 0,-1 1 0,0 0 0,0 0 0,1 0 0,-1 0 0,0 0 0,1 0 0,-1 0 0,0 0 0,0 0 0,1 0 0,-1-1 0,0 2 0,1-1 0,-1 0 0,0 0 0,1 0 0,-1 0 0,0 0 0,0 0 0,1 0 0,-1 0 0,0 0 0,0 0 0,1 1 0,-1-1 0,0 0 0,0 0 0,1 0 0,-1 0 0,0 1 0,0-1 0,0 0 0,1 0 0,-1 1 0,12 16 0,-11-15 0,48 100 0,-35-69 0,2-1 0,31 48 0,-45-77 0,0-1 0,0 1 0,0-1 0,0 0 0,0 0 0,1 0 0,-1 0 0,1 0 0,0-1 0,-1 1 0,1-1 0,0 0 0,0 1 0,0-1 0,5 1 0,-2-2 0,0 1 0,0-1 0,-1 0 0,1 0 0,0 0 0,0-1 0,11-2 0,-1-2 0,0-1 0,0 0 0,0-1 0,25-17 0,-24 15 0,-1-1 0,-1-1 0,0 0 0,-1-1 0,0-1 0,0 0 0,13-18 0,-24 26 0,-1 0 0,0 0 0,0-1 0,0 1 0,-1-1 0,1 1 0,-2-1 0,1 1 0,0-1 0,-1 0 0,-1-9 0,1 7 0,-1 1 0,0-1 0,0 1 0,-1 0 0,0-1 0,0 1 0,-1 0 0,-5-10 0,1 7 0,0 1 0,-2-1 0,1 1 0,-1 1 0,0-1 0,-1 1 0,0 1 0,0 0 0,0 0 0,-1 1 0,0 1 0,-1 0 0,1 0 0,-1 1 0,0 0 0,-15-2 0,-14-3 0,12 2 0,0 1 0,0 1 0,-51-1 0,-3 5 0,-62 3 0,143-2 0,0 1 0,1-1 0,-1 0 0,0 1 0,1-1 0,-1 1 0,1 0 0,-1-1 0,1 1 0,-1 0 0,1 0 0,0 0 0,-1 0 0,1 0 0,0 0 0,0 0 0,0 0 0,0 1 0,-2 1 0,1 1 0,1-1 0,-1 0 0,1 1 0,0-1 0,0 0 0,0 1 0,0-1 0,0 8 0,1-3 0,0-1 0,0 1 0,0-1 0,1 1 0,1-1 0,-1 1 0,1-1 0,5 11 0,-5-14 0,0-1 0,1 0 0,0 1 0,-1-1 0,1 0 0,1 0 0,-1-1 0,0 1 0,1-1 0,6 4 0,43 19 0,-47-22 0,162 51 0,-158-51 0,3 0 0,0 0 0,0-1 0,0 0 0,0-1 0,0 0 0,0-1 0,0 0 0,0-1 0,0-1 0,0 0 0,0-1 0,0 0 0,13-6 0,10-5 0,-17 7 0,0 0 0,-1-2 0,0 0 0,0-1 0,30-22 0,-45 28 0,1 0 0,-1 0 0,1 0 0,-1-1 0,-1 0 0,1 0 0,0 0 0,-1 0 0,0 0 0,-1 0 0,3-10 0,0-8 0,3-34 0,-6 37 0,3-17 0,-2 1 0,-2-1 0,-1 1 0,-2-1 0,-1 1 0,-2 0 0,-14-48 0,6 38 0,4 12 0,-1 0 0,-2 0 0,-30-57 0,31 69 0,-14-19 0,26 41 0,0 0 0,0 1 0,0-1 0,0 0 0,0 0 0,0 0 0,0 1 0,0-1 0,0 0 0,0 0 0,-1 0 0,1 0 0,0 1 0,0-1 0,0 0 0,0 0 0,0 0 0,0 0 0,-1 1 0,1-1 0,0 0 0,0 0 0,0 0 0,0 0 0,-1 0 0,1 0 0,0 0 0,0 0 0,0 0 0,-1 1 0,1-1 0,0 0 0,0 0 0,0 0 0,-1 0 0,1 0 0,0 0 0,0 0 0,0 0 0,-1 0 0,1 0 0,0-1 0,0 1 0,0 0 0,0 0 0,-1 0 0,1 0 0,0 0 0,0 0 0,0 0 0,0 0 0,-1 0 0,1-1 0,0 1 0,0 0 0,0 0 0,0 0 0,0 0 0,-1-1 0,1 1 0,0 0 0,0 0 0,0 0 0,0 0 0,0-1 0,0 1 0,0 0 0,0 0 0,0 18 0,42 232 0,-21-140 0,4 42 0,24 119 0,-47-264 0,0-1 0,1 0 0,0 1 0,0-1 0,0 0 0,1 0 0,0-1 0,0 1 0,0-1 0,1 0 0,-1 0 0,1 0 0,8 4 0,15 19 0,-23-24 0,0 0 0,-1 0 0,1-1 0,0 0 0,1 0 0,-1 0 0,1-1 0,-1 1 0,1-1 0,0-1 0,-1 1 0,1-1 0,0 0 0,11 0 0,7 0 0,0-1 0,31-4 0,-44 1 0,-1 0 0,1 0 0,-1-1 0,1-1 0,-2 0 0,16-9 0,-21 11 0,1-1 0,-1 0 0,0 0 0,0-1 0,0 1 0,-1-1 0,1 0 0,-1 0 0,0 0 0,-1 0 0,1 0 0,2-8 0,1-4 0,-1 1 0,5-34 0,-7 33 0,-1 1 0,-1-1 0,0 0 0,-1 1 0,-1-1 0,0 0 0,-2 1 0,-4-18 0,5 30 0,0-1 0,-1 1 0,1 0 0,-1-1 0,0 1 0,-7-6 0,8 8 0,0 0 0,1 0 0,-1 0 0,0 1 0,0-1 0,0 1 0,-1-1 0,1 1 0,0 0 0,0 0 0,-1 0 0,1 0 0,-1 0 0,1 1 0,-3-1 0,4 1 0,-1 0 0,1 0 0,0 1 0,0-1 0,0 1 0,0-1 0,0 1 0,0 0 0,0-1 0,0 1 0,0 0 0,0 0 0,0-1 0,1 1 0,-1 0 0,0 0 0,0 0 0,1 0 0,-1 0 0,1 0 0,-1 0 0,0 2 0,-9 28 0,9-27 0,-37 157 0,26-105 0,10-51 0,1-1 0,1 0 0,-1 1 0,0-1 0,1 0 0,0 1 0,0-1 0,1 1 0,-1-1 0,2 6 0,-1-8 0,0-1 0,-1 0 0,1 1 0,0-1 0,0 0 0,1 1 0,-1-1 0,0 0 0,0 0 0,0 0 0,1 0 0,-1 0 0,1 0 0,-1 0 0,1-1 0,-1 1 0,1 0 0,-1-1 0,1 1 0,-1-1 0,1 0 0,0 0 0,-1 1 0,1-1 0,0 0 0,-1 0 0,1 0 0,0-1 0,-1 1 0,3-1 0,2 0 0,0 0 0,-1-1 0,1 0 0,0 0 0,-1-1 0,1 1 0,-1-1 0,0 0 0,0-1 0,0 1 0,0-1 0,5-5 0,-5 4 0,0 0 0,0 0 0,0-1 0,-1 1 0,0-1 0,0 0 0,0 0 0,-1-1 0,0 1 0,3-9 0,-4 4 0,-1 0 0,0-1 0,-1 1 0,0 0 0,-1-1 0,0 1 0,-1 0 0,-3-14 0,2 12 0,0 0 0,1-1 0,1 1 0,0-1 0,2-14 0,1 21 0,2 11 0,4 16 0,15 53 0,3-1 0,4-1 0,72 128 0,-100-196 0,0 0 0,0 0 0,0 1 0,1-1 0,-1-1 0,1 1 0,-1 0 0,1-1 0,0 1 0,0-1 0,0 0 0,0 0 0,0 0 0,1 0 0,-1-1 0,1 1 0,-1-1 0,1 0 0,-1 0 0,1 0 0,0 0 0,0-1 0,-1 0 0,1 1 0,0-1 0,0-1 0,-1 1 0,1 0 0,0-1 0,-1 0 0,1 0 0,0 0 0,-1 0 0,1-1 0,2-1 0,11-6 0,-1-1 0,0 0 0,-1-1 0,0-1 0,-1 0 0,0-1 0,-1 0 0,22-30 0,-27 31 0,0-1 0,-1 0 0,0 0 0,-1-1 0,-1 0 0,0 0 0,-1 0 0,0 0 0,-1-1 0,-1 0 0,1-26 0,-6-148 0,2 176 0,-1-1 0,-1 1 0,0 0 0,-1 0 0,-8-18 0,-2 1 0,-18-30 0,29 56 0,1 0 0,-1 0 0,0 0 0,-1 0 0,1 0 0,-1 1 0,0 0 0,0 0 0,0 0 0,0 0 0,0 0 0,0 1 0,-1 0 0,-6-2 0,9 3 0,0 0 0,-1 1 0,1-1 0,-1 1 0,1 0 0,0-1 0,-1 1 0,1 0 0,-1 1 0,1-1 0,-1 0 0,1 1 0,-1-1 0,1 1 0,0 0 0,0 0 0,-1 0 0,1 0 0,0 0 0,0 0 0,0 1 0,0-1 0,0 1 0,0-1 0,0 1 0,1 0 0,-1 0 0,0 0 0,1 0 0,-2 3 0,-11 17 0,-20 45 0,31-59 0,0 0 0,0 0 0,1 0 0,0 0 0,0 0 0,1 0 0,0 0 0,1 1 0,0-1 0,1 10 0,-1-16 0,1 1 0,0 0 0,0 0 0,1-1 0,-1 1 0,0 0 0,1-1 0,0 1 0,0-1 0,0 0 0,0 0 0,0 0 0,0 0 0,0 0 0,0 0 0,1 0 0,-1-1 0,1 1 0,0-1 0,3 2 0,9 3 0,0-1 0,26 7 0,-22-8 0,145 33 0,-94-23 0,-59-12 0,0 0 0,0 2 0,11 4 0,-20-7 0,1 0 0,0 0 0,-1 1 0,1-1 0,-1 1 0,1 0 0,-1 0 0,0 0 0,1 0 0,-1 0 0,0 1 0,0-1 0,-1 0 0,1 1 0,-1 0 0,3 3 0,13 37 0,-9-25 0,-1 1 0,0 0 0,4 25 0,-10-38 0,0 0 0,0 0 0,-1 1 0,0-1 0,0 0 0,-1 0 0,0 1 0,0-1 0,0 0 0,-1 0 0,0 0 0,0 0 0,0 0 0,-6 9 0,-4 3 0,-1 0 0,-1 0 0,0-1 0,-2-1 0,1-1 0,-31 23 0,14-15 0,-2-1 0,-64 31 0,88-48 0,0-1 0,-1 0 0,1 0 0,-1-1 0,-12 2 0,16-5 0,1 1 0,-1-1 0,0 0 0,1-1 0,-1 1 0,1-2 0,-1 1 0,1 0 0,-12-6 0,-8-3 0,1-2 0,0-1 0,0-1 0,-40-31 0,62 42 0,-5-2 0,0-2 0,0 1 0,1-1 0,0 0 0,0 0 0,-7-11 0,13 16 0,-1 0 0,1-1 0,0 1 0,0 0 0,1-1 0,-1 1 0,0-1 0,1 1 0,0-1 0,-1 1 0,1-1 0,0 0 0,0 1 0,0-1 0,1 1 0,-1-1 0,1 1 0,-1-1 0,1 1 0,0-1 0,0 1 0,0 0 0,0-1 0,0 1 0,1 0 0,-1 0 0,1 0 0,0 0 0,3-3 0,6-6 0,1 1 0,0 0 0,1 2 0,0-1 0,0 1 0,1 1 0,0 0 0,16-4 0,1-3 0,-20 10 0,0 0 0,1 1 0,-1 0 0,1 1 0,0 0 0,-1 1 0,1 0 0,0 1 0,15 1 0,17 4 0,49 12 0,-46-8 0,348 78 0,-392-86 0,0 0 0,1 0 0,-1-1 0,1 1 0,-1-1 0,0 0 0,1 0 0,-1 0 0,1-1 0,-1 1 0,1-1 0,-1 1 0,0-1 0,0 0 0,1-1 0,-1 1 0,0 0 0,0-1 0,0 0 0,0 0 0,0 0 0,-1 0 0,1 0 0,0 0 0,-1-1 0,0 1 0,0-1 0,1 0 0,-2 0 0,1 1 0,0-1 0,0-1 0,1-4 0,10-19 0,-7 14 0,0 1 0,16-22 0,-20 31 0,0 0 0,-1 0 0,1 0 0,0 0 0,-1 0 0,0 0 0,0 0 0,0 0 0,0-1 0,0 1 0,-1 0 0,1-1 0,-1 1 0,0 0 0,0-1 0,0 1 0,0-1 0,-2-5 0,1 7 0,1 0 0,-1 0 0,0-1 0,0 1 0,0 0 0,-1 0 0,1 0 0,0 0 0,-1 0 0,0 0 0,1 1 0,-1-1 0,0 0 0,0 1 0,0 0 0,0-1 0,0 1 0,0 0 0,0 0 0,0 0 0,0 0 0,-1 0 0,1 0 0,0 1 0,-1-1 0,-2 1 0,1-1 0,-1 0 0,1 1 0,0 0 0,0 0 0,0 0 0,0 1 0,0-1 0,0 1 0,0 0 0,0 0 0,0 0 0,1 1 0,-1-1 0,-5 4 0,6-3 0,1 0 0,0 0 0,-1 0 0,1 1 0,0-1 0,1 1 0,-1-1 0,0 1 0,1 0 0,-1 0 0,1-1 0,0 1 0,0 0 0,0 0 0,0 0 0,1 0 0,-1 1 0,1-1 0,0 4 0,0-4 0,-1 10 0,0 0 0,1 0 0,1 0 0,3 21 0,-4-31 0,1-1 0,0 1 0,0 0 0,0 0 0,0-1 0,0 1 0,0-1 0,1 1 0,-1-1 0,1 0 0,0 1 0,-1-1 0,1 0 0,0 0 0,0 0 0,1 0 0,-1-1 0,0 1 0,1 0 0,-1-1 0,1 0 0,-1 1 0,1-1 0,0 0 0,-1-1 0,1 1 0,3 0 0,18 2 0,1-2 0,-1 0 0,43-6 0,-65 5 0,0 0 0,1-1 0,-1 0 0,1 0 0,-1 1 0,0-1 0,0-1 0,1 1 0,-1 0 0,0 0 0,0-1 0,0 1 0,0-1 0,-1 0 0,1 0 0,0 0 0,-1 1 0,1-1 0,-1-1 0,0 1 0,1 0 0,-1 0 0,0 0 0,0-1 0,-1 1 0,1 0 0,0-1 0,0-2 0,1-8 0,0 0 0,-1-1 0,-1-25 0,0 27 0,0 3 0,-1 0 0,1 0 0,-1 1 0,-1-1 0,0 0 0,0 0 0,-1 1 0,0-1 0,0 1 0,-1 0 0,-6-10 0,6 13 0,0-1 0,0 1 0,-1 1 0,1-1 0,-1 1 0,0 0 0,-1 0 0,1 0 0,0 1 0,-1-1 0,0 1 0,0 1 0,0-1 0,0 1 0,0 0 0,-9-1 0,-1 1 0,0 0 0,0 2 0,-27 1 0,6 0 0,92 1 0,1-3 0,-1-3 0,63-11 0,-86 9 0,-1-2 0,0-1 0,0-1 0,-1-2 0,0-1 0,51-31 0,-72 38 0,0 0 0,0 0 0,-1-1 0,0 0 0,0-1 0,-1 0 0,0 0 0,0 0 0,-1-1 0,0 0 0,0 0 0,-1-1 0,0 0 0,-1 0 0,0 0 0,-1 0 0,0-1 0,0 1 0,-1-1 0,-1 1 0,0-1 0,0 0 0,-1 0 0,0 0 0,-1 1 0,0-1 0,-4-12 0,4 18 0,-1 0 0,0 1 0,0-1 0,0 0 0,-1 1 0,1-1 0,-1 1 0,0 0 0,0 0 0,-1 0 0,1 0 0,-1 0 0,0 1 0,0 0 0,-6-4 0,10 7 0,-1 0 0,0 0 0,1 0 0,-1 1 0,0-1 0,0 0 0,1 0 0,-1 0 0,0 1 0,1-1 0,-1 1 0,1-1 0,-1 0 0,0 1 0,1-1 0,-1 1 0,1-1 0,-1 1 0,1-1 0,-1 1 0,1 0 0,0-1 0,-1 1 0,1-1 0,0 1 0,-1 0 0,1 0 0,0-1 0,0 1 0,0 0 0,0-1 0,0 1 0,-1 0 0,1-1 0,1 2 0,-6 32 0,5-31 0,-20 692 0,20-690 0,0 0 0,1 0 0,-1-1 0,1 1 0,0 0 0,0 0 0,1-1 0,0 1 0,0-1 0,0 1 0,0-1 0,0 0 0,1 0 0,0 0 0,0 0 0,0 0 0,0-1 0,1 1 0,-1-1 0,1 0 0,0 0 0,0 0 0,0-1 0,0 1 0,0-1 0,6 2 0,-4-1 0,1-1 0,-1-1 0,0 1 0,1-1 0,-1 0 0,1 0 0,-1-1 0,1 0 0,-1 0 0,1-1 0,-1 0 0,0 0 0,1 0 0,-1-1 0,0 1 0,0-2 0,0 1 0,0-1 0,7-4 0,-6 3 0,1-1 0,-1 0 0,-1-1 0,1 1 0,-1-2 0,0 1 0,10-14 0,-14 18 0,0-1 0,0 0 0,-1 0 0,1-1 0,-1 1 0,0 0 0,0 0 0,0-1 0,-1 1 0,1-1 0,-1 1 0,0 0 0,0-1 0,0 1 0,0-1 0,0 1 0,-1 0 0,1-1 0,-1 1 0,0-1 0,0 1 0,-3-6 0,-4-5 0,-1 1 0,0 0 0,-1 0 0,0 1 0,-1 1 0,-1-1 0,1 2 0,-2 0 0,1 0 0,-2 1 0,-14-8 0,24 15 0,-1 0 0,0 0 0,1 0 0,-1 1 0,0-1 0,0 1 0,0 0 0,0 1 0,0-1 0,0 1 0,-7 1 0,9-1 0,1 1 0,-1-1 0,1 1 0,-1 0 0,0 0 0,1 0 0,-1 0 0,1 0 0,0 1 0,-1-1 0,1 1 0,0 0 0,0-1 0,0 1 0,0 0 0,0 0 0,1 0 0,-1 0 0,1 1 0,-1-1 0,1 0 0,-2 4 0,-4 11 0,0 0 0,-6 26 0,11-36 0,1-1 0,0 1 0,0-1 0,0 1 0,1 0 0,0-1 0,1 1 0,-1 0 0,1-1 0,2 9 0,-2-13 0,0 0 0,0 1 0,0-1 0,0 0 0,0 0 0,0 0 0,0 0 0,1-1 0,-1 1 0,1 0 0,-1-1 0,1 1 0,0 0 0,0-1 0,-1 0 0,1 1 0,0-1 0,4 1 0,-2 0 0,0-1 0,-1 0 0,1-1 0,0 1 0,0-1 0,0 1 0,0-1 0,0-1 0,0 1 0,4-1 0,2-1 0,0-1 0,-1 1 0,1-2 0,-1 1 0,0-1 0,0-1 0,15-9 0,-15 6 0,0 0 0,-1 0 0,-1-1 0,1 0 0,-1 0 0,-1 0 0,11-21 0,12-16 0,-28 44 0,0 1 0,0-1 0,0 1 0,0-1 0,0 1 0,0 0 0,1-1 0,-1 1 0,0 0 0,1 0 0,-1 0 0,1 0 0,-1 0 0,1 1 0,-1-1 0,1 0 0,0 1 0,-1-1 0,1 1 0,0-1 0,-1 1 0,1 0 0,0 0 0,0 0 0,-1 0 0,1 0 0,0 0 0,0 0 0,-1 1 0,1-1 0,0 0 0,-1 1 0,1 0 0,0-1 0,-1 1 0,1 0 0,-1 0 0,1 0 0,2 2 0,5 5 0,0 0 0,-1 1 0,1 0 0,12 19 0,-3-5 0,-14-19 0,0 0 0,0 1 0,1-1 0,0-1 0,0 1 0,0-1 0,0 0 0,0 0 0,1 0 0,6 2 0,-9-5 0,-1 1 0,1 0 0,0-1 0,-1 1 0,1-1 0,0 0 0,0 0 0,-1 0 0,1 0 0,0 0 0,-1-1 0,1 1 0,0-1 0,-1 0 0,1 0 0,-1 0 0,1 0 0,-1 0 0,1 0 0,-1-1 0,0 1 0,0-1 0,1 0 0,1-2 0,4-6 0,0 1 0,0-1 0,8-16 0,9-13 0,-24 38 0,0-1 0,1 1 0,-1-1 0,0 1 0,1-1 0,-1 1 0,1 0 0,-1-1 0,1 1 0,0 0 0,0 0 0,-1 1 0,1-1 0,0 0 0,0 0 0,0 1 0,0-1 0,0 1 0,0 0 0,3-1 0,-3 2 0,-1-1 0,1 0 0,0 1 0,-1-1 0,1 1 0,-1 0 0,1-1 0,-1 1 0,1 0 0,-1 0 0,1 0 0,-1 0 0,0 0 0,1 0 0,-1 1 0,0-1 0,0 0 0,0 1 0,0-1 0,0 1 0,0-1 0,-1 1 0,1-1 0,0 2 0,0-1 0,0 0 0,0 0 0,0-1 0,0 1 0,0-1 0,0 1 0,1-1 0,-1 1 0,1-1 0,-1 0 0,1 0 0,-1 0 0,1 1 0,0-2 0,-1 1 0,1 0 0,0 0 0,0 0 0,-1-1 0,1 1 0,0-1 0,0 0 0,0 1 0,0-1 0,0 0 0,0 0 0,0 0 0,0 0 0,0-1 0,0 1 0,0 0 0,2-2 0,8-1 0,0-1 0,1 0 0,20-11 0,-18 8 0,2-1 0,82-33 0,-88 38 0,0-1 0,1 2 0,0 0 0,-1 0 0,1 1 0,23 0 0,-33 2 0,1-1 0,-1 1 0,1-1 0,-1 1 0,1 0 0,-1 0 0,0 0 0,1 0 0,-1 0 0,0 0 0,0 1 0,0-1 0,0 1 0,0-1 0,0 1 0,3 3 0,0 3 0,0-1 0,0 1 0,5 12 0,-7-14 0,1 1 0,-1-1 0,1 0 0,0 1 0,9 8 0,-12-14 0,1 1 0,0-1 0,0 0 0,0 1 0,0-1 0,0 0 0,0 0 0,1 0 0,-1 0 0,0-1 0,0 1 0,1 0 0,-1-1 0,0 0 0,1 0 0,-1 1 0,0-1 0,1-1 0,-1 1 0,1 0 0,3-2 0,-2 1 0,0-1 0,0 0 0,0 0 0,0 0 0,-1 0 0,1-1 0,-1 1 0,1-1 0,-1 0 0,0 0 0,0 0 0,0-1 0,-1 1 0,1-1 0,-1 1 0,4-8 0,2-6 0,0 1 0,7-29 0,-7 19 0,-3-1 0,0 0 0,-1-1 0,-2 1 0,-1-1 0,-1 1 0,-1-1 0,-2 1 0,-9-45 0,10 64 0,0 0 0,-1 0 0,0 1 0,0-1 0,0 1 0,-9-13 0,12 20 0,0 0 0,0 0 0,0-1 0,0 1 0,0 0 0,0 0 0,0 0 0,0 0 0,-1 0 0,1 0 0,0 0 0,0-1 0,0 1 0,0 0 0,0 0 0,0 0 0,0 0 0,0 0 0,-1 0 0,1 0 0,0 0 0,0 0 0,0 0 0,0 0 0,0 0 0,0 0 0,-1 0 0,1 0 0,0 0 0,0 0 0,0 0 0,0 0 0,0 0 0,0 0 0,-1 0 0,1 0 0,0 0 0,0 0 0,0 0 0,0 0 0,0 0 0,0 0 0,0 0 0,-1 0 0,1 0 0,0 0 0,0 1 0,0-1 0,0 0 0,0 0 0,0 0 0,0 0 0,0 0 0,0 0 0,0 0 0,-1 1 0,1-1 0,0 0 0,-3 13 0,2 18 0,9 40 0,22 94 0,30 70 0,-31-127 0,30 100 0,-54-195 97,-5-13-134,1 0-1,-1 0 1,0-1-1,0 1 1,1 0-1,-1 0 1,0 0-1,0 0 1,0-1-1,1 1 1,-1 0-1,0 0 1,0-1-1,0 1 1,0 0-1,0 0 1,0-1-1,1 1 1,-1 0-1,0 0 1,0-1-1,0 1 1,0 0-1,0 0 1,0-1-1,0 1 1,0 0-1,0 0 1,0-1-1,0 1 1,0 0-1,0-1 1,-1 1-1,1 0 1,0 0-1,0-1 1,0 1-1,0 0 1,-1-15-6789</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15T14:21:12.347"/>
    </inkml:context>
    <inkml:brush xml:id="br0">
      <inkml:brushProperty name="width" value="0.035" units="cm"/>
      <inkml:brushProperty name="height" value="0.035" units="cm"/>
    </inkml:brush>
  </inkml:definitions>
  <inkml:trace contextRef="#ctx0" brushRef="#br0">1 72 24119,'740'-72'0</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15T14:21:08.756"/>
    </inkml:context>
    <inkml:brush xml:id="br0">
      <inkml:brushProperty name="width" value="0.035" units="cm"/>
      <inkml:brushProperty name="height" value="0.035" units="cm"/>
    </inkml:brush>
  </inkml:definitions>
  <inkml:trace contextRef="#ctx0" brushRef="#br0">1 1 24575,'0'0'-8191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94</TotalTime>
  <Pages>50</Pages>
  <Words>15076</Words>
  <Characters>85935</Characters>
  <Application>Microsoft Office Word</Application>
  <DocSecurity>0</DocSecurity>
  <Lines>716</Lines>
  <Paragraphs>201</Paragraphs>
  <ScaleCrop>false</ScaleCrop>
  <HeadingPairs>
    <vt:vector size="2" baseType="variant">
      <vt:variant>
        <vt:lpstr>Title</vt:lpstr>
      </vt:variant>
      <vt:variant>
        <vt:i4>1</vt:i4>
      </vt:variant>
    </vt:vector>
  </HeadingPairs>
  <TitlesOfParts>
    <vt:vector size="1" baseType="lpstr">
      <vt:lpstr>Swansea Institute of Higher Education</vt:lpstr>
    </vt:vector>
  </TitlesOfParts>
  <Company>University of Wales Trinity Saint David</Company>
  <LinksUpToDate>false</LinksUpToDate>
  <CharactersWithSpaces>100810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Swansea Institute of Higher Education</dc:title>
  <dc:creator>bus-sh</dc:creator>
  <cp:lastModifiedBy>Titi Solanke</cp:lastModifiedBy>
  <cp:revision>6</cp:revision>
  <dcterms:created xsi:type="dcterms:W3CDTF">2025-12-09T22:25:00Z</dcterms:created>
  <dcterms:modified xsi:type="dcterms:W3CDTF">2025-12-15T15:16:00Z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2019-10-08T00:00:00Z</vt:filetime>
  </property>
  <property fmtid="{D5CDD505-2E9C-101B-9397-08002B2CF9AE}" pid="3" name="Creator">
    <vt:lpwstr>Microsoft® Word 2016</vt:lpwstr>
  </property>
  <property fmtid="{D5CDD505-2E9C-101B-9397-08002B2CF9AE}" pid="4" name="LastSaved">
    <vt:filetime>2019-10-15T00:00:00Z</vt:filetime>
  </property>
  <property fmtid="{D5CDD505-2E9C-101B-9397-08002B2CF9AE}" pid="5" name="GrammarlyDocumentId">
    <vt:lpwstr>6d5f88d6-27c9-446b-ba29-cdef9940f389</vt:lpwstr>
  </property>
  <property fmtid="{D5CDD505-2E9C-101B-9397-08002B2CF9AE}" pid="6" name="KSOProductBuildVer">
    <vt:lpwstr>1033-12.2.0.23155</vt:lpwstr>
  </property>
  <property fmtid="{D5CDD505-2E9C-101B-9397-08002B2CF9AE}" pid="7" name="ICV">
    <vt:lpwstr>48DB045DDB1D46B69B49FEF5D0D2C1DC_12</vt:lpwstr>
  </property>
</Properties>
</file>