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4041986"/>
        <w:docPartObj>
          <w:docPartGallery w:val="Cover Pages"/>
          <w:docPartUnique/>
        </w:docPartObj>
      </w:sdtPr>
      <w:sdtEndPr>
        <w:rPr>
          <w:rFonts w:ascii="Arial" w:hAnsi="Arial" w:cs="Arial"/>
          <w:sz w:val="24"/>
          <w:szCs w:val="24"/>
        </w:rPr>
      </w:sdtEndPr>
      <w:sdtContent>
        <w:p w14:paraId="390F0F30" w14:textId="4C91E708" w:rsidR="00692501" w:rsidRDefault="00692501" w:rsidP="00692501">
          <w:pPr>
            <w:jc w:val="center"/>
          </w:pPr>
          <w:r>
            <w:rPr>
              <w:noProof/>
            </w:rPr>
            <w:drawing>
              <wp:inline distT="0" distB="0" distL="0" distR="0" wp14:anchorId="12E522FA" wp14:editId="7B7B92FB">
                <wp:extent cx="2208530" cy="704850"/>
                <wp:effectExtent l="0" t="0" r="0" b="0"/>
                <wp:docPr id="7" name="Picture 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cNvPicPr>
                          <a:picLocks noChangeAspect="1" noChangeArrowheads="1"/>
                        </pic:cNvPicPr>
                      </pic:nvPicPr>
                      <pic:blipFill rotWithShape="1">
                        <a:blip r:embed="rId8">
                          <a:extLst>
                            <a:ext uri="{28A0092B-C50C-407E-A947-70E740481C1C}">
                              <a14:useLocalDpi xmlns:a14="http://schemas.microsoft.com/office/drawing/2010/main" val="0"/>
                            </a:ext>
                          </a:extLst>
                        </a:blip>
                        <a:srcRect r="37333"/>
                        <a:stretch/>
                      </pic:blipFill>
                      <pic:spPr bwMode="auto">
                        <a:xfrm>
                          <a:off x="0" y="0"/>
                          <a:ext cx="2208530" cy="704850"/>
                        </a:xfrm>
                        <a:prstGeom prst="rect">
                          <a:avLst/>
                        </a:prstGeom>
                        <a:noFill/>
                        <a:ln>
                          <a:noFill/>
                        </a:ln>
                        <a:extLst>
                          <a:ext uri="{53640926-AAD7-44D8-BBD7-CCE9431645EC}">
                            <a14:shadowObscured xmlns:a14="http://schemas.microsoft.com/office/drawing/2010/main"/>
                          </a:ext>
                        </a:extLst>
                      </pic:spPr>
                    </pic:pic>
                  </a:graphicData>
                </a:graphic>
              </wp:inline>
            </w:drawing>
          </w:r>
        </w:p>
        <w:p w14:paraId="14590144" w14:textId="35923BA3" w:rsidR="00692501" w:rsidRDefault="00692501" w:rsidP="00692501">
          <w:pPr>
            <w:jc w:val="center"/>
          </w:pPr>
        </w:p>
        <w:p w14:paraId="46069CF4" w14:textId="06C01416" w:rsidR="00692501" w:rsidRDefault="00692501" w:rsidP="00692501">
          <w:pPr>
            <w:jc w:val="center"/>
          </w:pPr>
        </w:p>
        <w:p w14:paraId="11CF427F" w14:textId="5736C5F2" w:rsidR="00692501" w:rsidRDefault="00692501" w:rsidP="00692501">
          <w:pPr>
            <w:jc w:val="center"/>
          </w:pPr>
        </w:p>
        <w:p w14:paraId="6B54BD83" w14:textId="362B0530" w:rsidR="00692501" w:rsidRDefault="00692501" w:rsidP="00692501">
          <w:pPr>
            <w:jc w:val="center"/>
          </w:pPr>
        </w:p>
        <w:p w14:paraId="2B72C6D9" w14:textId="6D434673" w:rsidR="00692501" w:rsidRDefault="00692501" w:rsidP="00692501">
          <w:pPr>
            <w:jc w:val="center"/>
          </w:pPr>
        </w:p>
        <w:p w14:paraId="48F29EE4" w14:textId="77777777" w:rsidR="00692501" w:rsidRDefault="00692501" w:rsidP="00692501">
          <w:pPr>
            <w:jc w:val="center"/>
          </w:pPr>
        </w:p>
        <w:p w14:paraId="2384BBF2" w14:textId="77777777" w:rsidR="00692501" w:rsidRDefault="00692501" w:rsidP="00692501">
          <w:pPr>
            <w:jc w:val="center"/>
          </w:pPr>
        </w:p>
        <w:tbl>
          <w:tblPr>
            <w:tblpPr w:leftFromText="187" w:rightFromText="187" w:horzAnchor="margin" w:tblpXSpec="center" w:tblpYSpec="bottom"/>
            <w:tblW w:w="3857" w:type="pct"/>
            <w:tblLook w:val="04A0" w:firstRow="1" w:lastRow="0" w:firstColumn="1" w:lastColumn="0" w:noHBand="0" w:noVBand="1"/>
          </w:tblPr>
          <w:tblGrid>
            <w:gridCol w:w="6963"/>
          </w:tblGrid>
          <w:tr w:rsidR="00692501" w14:paraId="3C46C808" w14:textId="77777777" w:rsidTr="00692501">
            <w:tc>
              <w:tcPr>
                <w:tcW w:w="6963" w:type="dxa"/>
                <w:tcMar>
                  <w:top w:w="216" w:type="dxa"/>
                  <w:left w:w="115" w:type="dxa"/>
                  <w:bottom w:w="216" w:type="dxa"/>
                  <w:right w:w="115" w:type="dxa"/>
                </w:tcMar>
              </w:tcPr>
              <w:p w14:paraId="6BF1F4BC" w14:textId="1FADBC34" w:rsidR="00692501" w:rsidRPr="00692501" w:rsidRDefault="00692501">
                <w:pPr>
                  <w:pStyle w:val="NoSpacing"/>
                  <w:rPr>
                    <w:color w:val="4472C4" w:themeColor="accent1"/>
                    <w:sz w:val="28"/>
                    <w:szCs w:val="28"/>
                  </w:rPr>
                </w:pPr>
              </w:p>
            </w:tc>
          </w:tr>
        </w:tbl>
        <w:p w14:paraId="7CC7E4CE" w14:textId="0CB9B69F" w:rsidR="00692501" w:rsidRPr="00692501" w:rsidRDefault="00692501" w:rsidP="00692501">
          <w:pPr>
            <w:spacing w:after="160" w:line="259" w:lineRule="auto"/>
            <w:jc w:val="center"/>
            <w:rPr>
              <w:rFonts w:ascii="Arial" w:hAnsi="Arial" w:cs="Arial"/>
              <w:sz w:val="36"/>
              <w:szCs w:val="36"/>
            </w:rPr>
          </w:pPr>
          <w:r w:rsidRPr="00692501">
            <w:rPr>
              <w:rFonts w:ascii="Arial" w:hAnsi="Arial" w:cs="Arial"/>
              <w:sz w:val="36"/>
              <w:szCs w:val="36"/>
            </w:rPr>
            <w:t xml:space="preserve">Income </w:t>
          </w:r>
          <w:r w:rsidR="00CA3811">
            <w:rPr>
              <w:rFonts w:ascii="Arial" w:hAnsi="Arial" w:cs="Arial"/>
              <w:sz w:val="36"/>
              <w:szCs w:val="36"/>
            </w:rPr>
            <w:t>G</w:t>
          </w:r>
          <w:r w:rsidRPr="00692501">
            <w:rPr>
              <w:rFonts w:ascii="Arial" w:hAnsi="Arial" w:cs="Arial"/>
              <w:sz w:val="36"/>
              <w:szCs w:val="36"/>
            </w:rPr>
            <w:t xml:space="preserve">eneration in Libraries, Museums and Archives: </w:t>
          </w:r>
          <w:r w:rsidR="00CA3811">
            <w:rPr>
              <w:rFonts w:ascii="Arial" w:hAnsi="Arial" w:cs="Arial"/>
              <w:sz w:val="36"/>
              <w:szCs w:val="36"/>
            </w:rPr>
            <w:t>D</w:t>
          </w:r>
          <w:r w:rsidRPr="00692501">
            <w:rPr>
              <w:rFonts w:ascii="Arial" w:hAnsi="Arial" w:cs="Arial"/>
              <w:sz w:val="36"/>
              <w:szCs w:val="36"/>
            </w:rPr>
            <w:t xml:space="preserve">eveloping a </w:t>
          </w:r>
          <w:r w:rsidR="00CA3811">
            <w:rPr>
              <w:rFonts w:ascii="Arial" w:hAnsi="Arial" w:cs="Arial"/>
              <w:sz w:val="36"/>
              <w:szCs w:val="36"/>
            </w:rPr>
            <w:t>S</w:t>
          </w:r>
          <w:r w:rsidRPr="00692501">
            <w:rPr>
              <w:rFonts w:ascii="Arial" w:hAnsi="Arial" w:cs="Arial"/>
              <w:sz w:val="36"/>
              <w:szCs w:val="36"/>
            </w:rPr>
            <w:t>trategy for StoriPowys</w:t>
          </w:r>
        </w:p>
        <w:p w14:paraId="1BA1B956" w14:textId="77777777" w:rsidR="00692501" w:rsidRPr="00692501" w:rsidRDefault="00692501" w:rsidP="00692501">
          <w:pPr>
            <w:spacing w:after="160" w:line="259" w:lineRule="auto"/>
            <w:rPr>
              <w:rFonts w:ascii="Arial" w:hAnsi="Arial" w:cs="Arial"/>
              <w:sz w:val="24"/>
              <w:szCs w:val="24"/>
            </w:rPr>
          </w:pPr>
        </w:p>
        <w:p w14:paraId="264FCD85" w14:textId="77777777" w:rsidR="00692501" w:rsidRPr="00692501" w:rsidRDefault="00692501" w:rsidP="00692501">
          <w:pPr>
            <w:spacing w:after="160" w:line="259" w:lineRule="auto"/>
            <w:rPr>
              <w:rFonts w:ascii="Arial" w:hAnsi="Arial" w:cs="Arial"/>
              <w:sz w:val="24"/>
              <w:szCs w:val="24"/>
            </w:rPr>
          </w:pPr>
        </w:p>
        <w:p w14:paraId="5E8C2069" w14:textId="77777777" w:rsidR="00692501" w:rsidRPr="00692501" w:rsidRDefault="00692501" w:rsidP="00692501">
          <w:pPr>
            <w:spacing w:after="160" w:line="259" w:lineRule="auto"/>
            <w:jc w:val="center"/>
            <w:rPr>
              <w:rFonts w:ascii="Arial" w:hAnsi="Arial" w:cs="Arial"/>
              <w:sz w:val="28"/>
              <w:szCs w:val="28"/>
            </w:rPr>
          </w:pPr>
          <w:r w:rsidRPr="00692501">
            <w:rPr>
              <w:rFonts w:ascii="Arial" w:hAnsi="Arial" w:cs="Arial"/>
              <w:sz w:val="28"/>
              <w:szCs w:val="28"/>
            </w:rPr>
            <w:t>Dissertation</w:t>
          </w:r>
        </w:p>
        <w:p w14:paraId="2E295A44" w14:textId="40C445B8" w:rsidR="00692501" w:rsidRDefault="00692501" w:rsidP="00692501">
          <w:pPr>
            <w:spacing w:after="160" w:line="259" w:lineRule="auto"/>
            <w:jc w:val="center"/>
            <w:rPr>
              <w:rFonts w:ascii="Arial" w:hAnsi="Arial" w:cs="Arial"/>
              <w:sz w:val="24"/>
              <w:szCs w:val="24"/>
            </w:rPr>
          </w:pPr>
          <w:r w:rsidRPr="00692501">
            <w:rPr>
              <w:rFonts w:ascii="Arial" w:hAnsi="Arial" w:cs="Arial"/>
              <w:sz w:val="28"/>
              <w:szCs w:val="28"/>
            </w:rPr>
            <w:t>Nichola Farr: 1906931</w:t>
          </w:r>
        </w:p>
      </w:sdtContent>
    </w:sdt>
    <w:p w14:paraId="7EA91EC9" w14:textId="77777777" w:rsidR="00B16863" w:rsidRDefault="00B16863"/>
    <w:p w14:paraId="483105D3" w14:textId="06CDE051" w:rsidR="00B16863" w:rsidRDefault="00B16863" w:rsidP="003B1301">
      <w:pPr>
        <w:jc w:val="center"/>
      </w:pPr>
    </w:p>
    <w:p w14:paraId="3016E37F" w14:textId="73DC9CCB" w:rsidR="00B16863" w:rsidRDefault="00B16863"/>
    <w:p w14:paraId="7178161C" w14:textId="26F52A3B" w:rsidR="00AA20AF" w:rsidRDefault="00AA20AF"/>
    <w:p w14:paraId="2661EF3A" w14:textId="16235D17" w:rsidR="00AA20AF" w:rsidRDefault="00AA20AF"/>
    <w:p w14:paraId="65B6E6BD" w14:textId="77777777" w:rsidR="00AA20AF" w:rsidRDefault="00AA20AF"/>
    <w:p w14:paraId="6EA4E5DA" w14:textId="34BEC105" w:rsidR="003B1301" w:rsidRDefault="003B1301"/>
    <w:p w14:paraId="14FFA6EC" w14:textId="77777777" w:rsidR="00AA20AF" w:rsidRDefault="00AA20AF"/>
    <w:p w14:paraId="11EB7C17" w14:textId="120445FD" w:rsidR="003B1301" w:rsidRDefault="003B1301"/>
    <w:p w14:paraId="54458C3A" w14:textId="0B216F4E" w:rsidR="00A47F5B" w:rsidRDefault="00A47F5B" w:rsidP="003B1301">
      <w:pPr>
        <w:jc w:val="center"/>
        <w:rPr>
          <w:rFonts w:ascii="Arial" w:hAnsi="Arial" w:cs="Arial"/>
          <w:color w:val="000000" w:themeColor="text1"/>
          <w:sz w:val="28"/>
          <w:szCs w:val="28"/>
        </w:rPr>
      </w:pPr>
    </w:p>
    <w:p w14:paraId="1CB7BBD6" w14:textId="4FADB292" w:rsidR="00A47F5B" w:rsidRDefault="00A47F5B" w:rsidP="003B1301">
      <w:pPr>
        <w:jc w:val="center"/>
        <w:rPr>
          <w:rFonts w:ascii="Arial" w:hAnsi="Arial" w:cs="Arial"/>
          <w:color w:val="000000" w:themeColor="text1"/>
          <w:sz w:val="28"/>
          <w:szCs w:val="28"/>
        </w:rPr>
      </w:pPr>
    </w:p>
    <w:p w14:paraId="55A85CDC" w14:textId="36FF4B40" w:rsidR="00A47F5B" w:rsidRDefault="00A47F5B" w:rsidP="003B1301">
      <w:pPr>
        <w:jc w:val="center"/>
        <w:rPr>
          <w:rFonts w:ascii="Arial" w:hAnsi="Arial" w:cs="Arial"/>
          <w:color w:val="000000" w:themeColor="text1"/>
          <w:sz w:val="28"/>
          <w:szCs w:val="28"/>
        </w:rPr>
      </w:pPr>
    </w:p>
    <w:p w14:paraId="7B216CA4" w14:textId="11898A1D" w:rsidR="00A47F5B" w:rsidRPr="0050764E" w:rsidRDefault="00A758B8" w:rsidP="00063AFA">
      <w:pPr>
        <w:pStyle w:val="Heading1"/>
        <w:rPr>
          <w:rFonts w:ascii="Arial" w:hAnsi="Arial" w:cs="Arial"/>
          <w:color w:val="000000" w:themeColor="text1"/>
          <w:sz w:val="24"/>
          <w:szCs w:val="24"/>
        </w:rPr>
      </w:pPr>
      <w:bookmarkStart w:id="0" w:name="_Toc123562285"/>
      <w:r w:rsidRPr="0050764E">
        <w:rPr>
          <w:rFonts w:ascii="Arial" w:hAnsi="Arial" w:cs="Arial"/>
          <w:color w:val="000000" w:themeColor="text1"/>
          <w:sz w:val="24"/>
          <w:szCs w:val="24"/>
        </w:rPr>
        <w:lastRenderedPageBreak/>
        <w:t>Notice of Candidature</w:t>
      </w:r>
      <w:bookmarkEnd w:id="0"/>
    </w:p>
    <w:p w14:paraId="6B0DE740" w14:textId="77777777" w:rsidR="00BB4C90" w:rsidRPr="000F1F81" w:rsidRDefault="00BB4C90" w:rsidP="00BB4C90">
      <w:pPr>
        <w:spacing w:after="0" w:line="240" w:lineRule="auto"/>
        <w:rPr>
          <w:rFonts w:ascii="Arial" w:hAnsi="Arial" w:cs="Arial"/>
          <w:sz w:val="24"/>
          <w:szCs w:val="24"/>
        </w:rPr>
      </w:pPr>
    </w:p>
    <w:p w14:paraId="0F6D7FAF" w14:textId="77777777" w:rsidR="00BB4C90" w:rsidRPr="000F1F81" w:rsidRDefault="00BB4C90" w:rsidP="00BB4C90">
      <w:pPr>
        <w:autoSpaceDE w:val="0"/>
        <w:autoSpaceDN w:val="0"/>
        <w:adjustRightInd w:val="0"/>
        <w:spacing w:after="0" w:line="240" w:lineRule="auto"/>
        <w:rPr>
          <w:rFonts w:ascii="Arial" w:hAnsi="Arial" w:cs="Arial"/>
          <w:sz w:val="24"/>
          <w:szCs w:val="24"/>
        </w:rPr>
      </w:pPr>
    </w:p>
    <w:tbl>
      <w:tblPr>
        <w:tblW w:w="0" w:type="auto"/>
        <w:jc w:val="center"/>
        <w:tblLayout w:type="fixed"/>
        <w:tblCellMar>
          <w:left w:w="120" w:type="dxa"/>
          <w:right w:w="120" w:type="dxa"/>
        </w:tblCellMar>
        <w:tblLook w:val="0000" w:firstRow="0" w:lastRow="0" w:firstColumn="0" w:lastColumn="0" w:noHBand="0" w:noVBand="0"/>
      </w:tblPr>
      <w:tblGrid>
        <w:gridCol w:w="9812"/>
      </w:tblGrid>
      <w:tr w:rsidR="00BB4C90" w:rsidRPr="000F1F81" w14:paraId="166F2FE4" w14:textId="77777777" w:rsidTr="00692501">
        <w:trPr>
          <w:cantSplit/>
          <w:trHeight w:val="1134"/>
          <w:jc w:val="center"/>
        </w:trPr>
        <w:tc>
          <w:tcPr>
            <w:tcW w:w="9812" w:type="dxa"/>
            <w:tcBorders>
              <w:top w:val="double" w:sz="6" w:space="0" w:color="auto"/>
              <w:left w:val="double" w:sz="6" w:space="0" w:color="auto"/>
              <w:bottom w:val="double" w:sz="6" w:space="0" w:color="auto"/>
              <w:right w:val="double" w:sz="6" w:space="0" w:color="auto"/>
            </w:tcBorders>
          </w:tcPr>
          <w:p w14:paraId="76C812BF" w14:textId="77777777" w:rsidR="00BB4C90" w:rsidRPr="000F1F81" w:rsidRDefault="00BB4C90" w:rsidP="00DC521F">
            <w:pPr>
              <w:tabs>
                <w:tab w:val="left" w:pos="-720"/>
              </w:tabs>
              <w:suppressAutoHyphens/>
              <w:spacing w:after="0" w:line="240" w:lineRule="auto"/>
              <w:rPr>
                <w:rFonts w:ascii="Arial" w:hAnsi="Arial" w:cs="Arial"/>
                <w:b/>
                <w:spacing w:val="-2"/>
                <w:sz w:val="24"/>
                <w:szCs w:val="24"/>
              </w:rPr>
            </w:pPr>
          </w:p>
          <w:p w14:paraId="74840FBC" w14:textId="77777777" w:rsidR="00BB4C90" w:rsidRPr="000F1F81" w:rsidRDefault="00BB4C90" w:rsidP="00DC521F">
            <w:pPr>
              <w:tabs>
                <w:tab w:val="center" w:pos="4786"/>
              </w:tabs>
              <w:suppressAutoHyphens/>
              <w:spacing w:after="0" w:line="240" w:lineRule="auto"/>
              <w:jc w:val="center"/>
              <w:rPr>
                <w:rFonts w:ascii="Arial" w:hAnsi="Arial" w:cs="Arial"/>
                <w:b/>
                <w:spacing w:val="-2"/>
                <w:sz w:val="24"/>
                <w:szCs w:val="24"/>
              </w:rPr>
            </w:pPr>
            <w:r w:rsidRPr="000F1F81">
              <w:rPr>
                <w:rFonts w:ascii="Arial" w:hAnsi="Arial" w:cs="Arial"/>
                <w:b/>
                <w:spacing w:val="-2"/>
                <w:sz w:val="24"/>
                <w:szCs w:val="24"/>
              </w:rPr>
              <w:t xml:space="preserve">EXAMINATION OF TAUGHT MASTER'S DEGREE DISSERTATION: </w:t>
            </w:r>
            <w:r w:rsidRPr="000F1F81">
              <w:rPr>
                <w:rFonts w:ascii="Arial" w:hAnsi="Arial" w:cs="Arial"/>
                <w:b/>
                <w:spacing w:val="-2"/>
                <w:sz w:val="24"/>
                <w:szCs w:val="24"/>
              </w:rPr>
              <w:br w:type="textWrapping" w:clear="all"/>
            </w:r>
          </w:p>
          <w:p w14:paraId="095CA44C" w14:textId="77777777" w:rsidR="00BB4C90" w:rsidRPr="000F1F81" w:rsidRDefault="00BB4C90" w:rsidP="00DC521F">
            <w:pPr>
              <w:spacing w:after="0" w:line="240" w:lineRule="auto"/>
              <w:jc w:val="center"/>
              <w:rPr>
                <w:rFonts w:ascii="Arial" w:hAnsi="Arial" w:cs="Arial"/>
                <w:sz w:val="24"/>
                <w:szCs w:val="24"/>
              </w:rPr>
            </w:pPr>
            <w:r w:rsidRPr="000F1F81">
              <w:rPr>
                <w:rFonts w:ascii="Arial" w:hAnsi="Arial" w:cs="Arial"/>
                <w:b/>
                <w:spacing w:val="-2"/>
                <w:sz w:val="24"/>
                <w:szCs w:val="24"/>
              </w:rPr>
              <w:t>NOTICE OF CANDIDATURE FORM</w:t>
            </w:r>
          </w:p>
          <w:p w14:paraId="4217BAF8" w14:textId="77777777" w:rsidR="00BB4C90" w:rsidRPr="000F1F81" w:rsidRDefault="00BB4C90" w:rsidP="00DC521F">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Cs w:val="24"/>
              </w:rPr>
            </w:pPr>
            <w:r w:rsidRPr="000F1F81">
              <w:rPr>
                <w:rFonts w:ascii="Arial" w:hAnsi="Arial" w:cs="Arial"/>
                <w:vanish/>
                <w:spacing w:val="-2"/>
                <w:szCs w:val="24"/>
              </w:rPr>
              <w:fldChar w:fldCharType="begin"/>
            </w:r>
            <w:r w:rsidRPr="000F1F81">
              <w:rPr>
                <w:rFonts w:ascii="Arial" w:hAnsi="Arial" w:cs="Arial"/>
                <w:vanish/>
                <w:spacing w:val="-2"/>
                <w:szCs w:val="24"/>
              </w:rPr>
              <w:instrText>seq Text_Box  \* Arabic</w:instrText>
            </w:r>
            <w:r w:rsidRPr="000F1F81">
              <w:rPr>
                <w:rFonts w:ascii="Arial" w:hAnsi="Arial" w:cs="Arial"/>
                <w:vanish/>
                <w:spacing w:val="-2"/>
                <w:szCs w:val="24"/>
              </w:rPr>
              <w:fldChar w:fldCharType="separate"/>
            </w:r>
            <w:r w:rsidRPr="000F1F81">
              <w:rPr>
                <w:rFonts w:ascii="Arial" w:hAnsi="Arial" w:cs="Arial"/>
                <w:noProof/>
                <w:vanish/>
                <w:spacing w:val="-2"/>
                <w:szCs w:val="24"/>
              </w:rPr>
              <w:t>1</w:t>
            </w:r>
            <w:r w:rsidRPr="000F1F81">
              <w:rPr>
                <w:rFonts w:ascii="Arial" w:hAnsi="Arial" w:cs="Arial"/>
                <w:vanish/>
                <w:spacing w:val="-2"/>
                <w:szCs w:val="24"/>
              </w:rPr>
              <w:fldChar w:fldCharType="end"/>
            </w:r>
          </w:p>
          <w:p w14:paraId="236CA140"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1972CFF8" w14:textId="77777777" w:rsidR="00BB4C90" w:rsidRPr="000F1F81" w:rsidRDefault="00BB4C90" w:rsidP="00DC521F">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Please complete this form when your dissertation is ready to be submitted for examination.  </w:t>
            </w:r>
          </w:p>
          <w:p w14:paraId="64A12E04" w14:textId="77777777" w:rsidR="00BB4C90" w:rsidRPr="000F1F81" w:rsidRDefault="00BB4C90" w:rsidP="00DC521F">
            <w:pPr>
              <w:tabs>
                <w:tab w:val="center" w:pos="4786"/>
              </w:tabs>
              <w:suppressAutoHyphens/>
              <w:spacing w:after="0" w:line="240" w:lineRule="auto"/>
              <w:rPr>
                <w:rFonts w:ascii="Arial" w:hAnsi="Arial" w:cs="Arial"/>
                <w:spacing w:val="-2"/>
                <w:sz w:val="24"/>
                <w:szCs w:val="24"/>
              </w:rPr>
            </w:pPr>
          </w:p>
        </w:tc>
      </w:tr>
      <w:tr w:rsidR="00BB4C90" w:rsidRPr="000F1F81" w14:paraId="0FDDF03A" w14:textId="77777777" w:rsidTr="00692501">
        <w:trPr>
          <w:jc w:val="center"/>
        </w:trPr>
        <w:tc>
          <w:tcPr>
            <w:tcW w:w="9812" w:type="dxa"/>
            <w:tcBorders>
              <w:top w:val="double" w:sz="6" w:space="0" w:color="auto"/>
              <w:left w:val="double" w:sz="6" w:space="0" w:color="auto"/>
              <w:bottom w:val="double" w:sz="6" w:space="0" w:color="auto"/>
              <w:right w:val="double" w:sz="6" w:space="0" w:color="auto"/>
            </w:tcBorders>
          </w:tcPr>
          <w:p w14:paraId="428CE88A"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p w14:paraId="32C1BE24"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Surname/Family Name: Farr</w:t>
            </w:r>
            <w:r w:rsidRPr="000F1F81">
              <w:rPr>
                <w:rFonts w:ascii="Arial" w:hAnsi="Arial" w:cs="Arial"/>
                <w:spacing w:val="-2"/>
                <w:sz w:val="24"/>
                <w:szCs w:val="24"/>
              </w:rPr>
              <w:tab/>
              <w:t xml:space="preserve"> Date of Birth: 24.04.76</w:t>
            </w:r>
            <w:r w:rsidRPr="000F1F81">
              <w:rPr>
                <w:rFonts w:ascii="Arial" w:hAnsi="Arial" w:cs="Arial"/>
                <w:spacing w:val="-2"/>
                <w:sz w:val="24"/>
                <w:szCs w:val="24"/>
              </w:rPr>
              <w:tab/>
              <w:t xml:space="preserve"> </w:t>
            </w:r>
          </w:p>
          <w:p w14:paraId="4DA833E8"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Forenames (in full): Nichola</w:t>
            </w:r>
            <w:r w:rsidRPr="000F1F81">
              <w:rPr>
                <w:rFonts w:ascii="Arial" w:hAnsi="Arial" w:cs="Arial"/>
                <w:spacing w:val="-2"/>
                <w:sz w:val="24"/>
                <w:szCs w:val="24"/>
              </w:rPr>
              <w:tab/>
              <w:t>Title: Miss</w:t>
            </w:r>
            <w:r w:rsidRPr="000F1F81">
              <w:rPr>
                <w:rFonts w:ascii="Arial" w:hAnsi="Arial" w:cs="Arial"/>
                <w:spacing w:val="-2"/>
                <w:sz w:val="24"/>
                <w:szCs w:val="24"/>
              </w:rPr>
              <w:tab/>
              <w:t xml:space="preserve">      </w:t>
            </w:r>
          </w:p>
          <w:p w14:paraId="48DC3A66"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Institution Number (if known) </w:t>
            </w:r>
            <w:r w:rsidRPr="000F1F81">
              <w:rPr>
                <w:rFonts w:ascii="Arial" w:hAnsi="Arial" w:cs="Arial"/>
                <w:spacing w:val="-2"/>
                <w:sz w:val="24"/>
                <w:szCs w:val="24"/>
              </w:rPr>
              <w:tab/>
            </w:r>
          </w:p>
          <w:p w14:paraId="43B943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Title of Degree (eg MA, MSc, MBA etc): MBA........................................................................................</w:t>
            </w:r>
          </w:p>
          <w:p w14:paraId="35540E2A" w14:textId="77777777" w:rsidR="00BB4C90" w:rsidRPr="000F1F81" w:rsidRDefault="00BB4C90" w:rsidP="00DC521F">
            <w:pPr>
              <w:tabs>
                <w:tab w:val="right" w:leader="dot" w:pos="10528"/>
              </w:tabs>
              <w:suppressAutoHyphens/>
              <w:spacing w:after="0" w:line="240" w:lineRule="auto"/>
              <w:rPr>
                <w:rFonts w:ascii="Arial" w:hAnsi="Arial" w:cs="Arial"/>
                <w:spacing w:val="-2"/>
                <w:sz w:val="24"/>
                <w:szCs w:val="24"/>
              </w:rPr>
            </w:pPr>
            <w:r w:rsidRPr="000F1F81">
              <w:rPr>
                <w:rFonts w:ascii="Arial" w:hAnsi="Arial" w:cs="Arial"/>
                <w:spacing w:val="-2"/>
                <w:sz w:val="24"/>
                <w:szCs w:val="24"/>
              </w:rPr>
              <w:t>Title of Taught Master's degree scheme followed (eg Equine Studies): Master of Business Administration (online)</w:t>
            </w:r>
            <w:r w:rsidRPr="000F1F81">
              <w:rPr>
                <w:rFonts w:ascii="Arial" w:hAnsi="Arial" w:cs="Arial"/>
                <w:spacing w:val="-2"/>
                <w:sz w:val="24"/>
                <w:szCs w:val="24"/>
              </w:rPr>
              <w:tab/>
            </w:r>
          </w:p>
          <w:p w14:paraId="74B026CA"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Department/School in which study pursued: Institute of Management and Health/Carmarthen Business School</w:t>
            </w:r>
            <w:r w:rsidRPr="000F1F81">
              <w:rPr>
                <w:rFonts w:ascii="Arial" w:hAnsi="Arial" w:cs="Arial"/>
                <w:spacing w:val="-2"/>
                <w:sz w:val="24"/>
                <w:szCs w:val="24"/>
              </w:rPr>
              <w:tab/>
            </w:r>
          </w:p>
          <w:p w14:paraId="24CD02CE"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Name of your Supervisor: Anthony Burns</w:t>
            </w:r>
            <w:r w:rsidRPr="000F1F81">
              <w:rPr>
                <w:rFonts w:ascii="Arial" w:hAnsi="Arial" w:cs="Arial"/>
                <w:spacing w:val="-2"/>
                <w:sz w:val="24"/>
                <w:szCs w:val="24"/>
              </w:rPr>
              <w:tab/>
            </w:r>
          </w:p>
          <w:p w14:paraId="67F150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Full Title of dissertation submitted: Income generation in Libraries, Museums and Archives: developing a strategy for StoriPowys</w:t>
            </w:r>
            <w:r w:rsidRPr="000F1F81">
              <w:rPr>
                <w:rFonts w:ascii="Arial" w:hAnsi="Arial" w:cs="Arial"/>
                <w:spacing w:val="-2"/>
                <w:sz w:val="24"/>
                <w:szCs w:val="24"/>
              </w:rPr>
              <w:tab/>
            </w:r>
          </w:p>
          <w:p w14:paraId="2F9EE403"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7D9E09FF"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32F283B5"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Please indicate that the following will all be submitted along with this form:</w:t>
            </w:r>
          </w:p>
          <w:p w14:paraId="1CB38B33"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2EEFF234" w14:textId="77777777" w:rsidR="00BB4C90" w:rsidRPr="000F1F81" w:rsidRDefault="00BB4C90" w:rsidP="00DC521F">
            <w:pPr>
              <w:tabs>
                <w:tab w:val="left" w:pos="-720"/>
                <w:tab w:val="left" w:pos="330"/>
              </w:tabs>
              <w:suppressAutoHyphens/>
              <w:spacing w:after="0" w:line="240" w:lineRule="auto"/>
              <w:rPr>
                <w:rFonts w:ascii="Arial" w:hAnsi="Arial" w:cs="Arial"/>
                <w:spacing w:val="-2"/>
                <w:sz w:val="24"/>
                <w:szCs w:val="24"/>
              </w:rPr>
            </w:pPr>
            <w:r w:rsidRPr="000F1F81">
              <w:rPr>
                <w:rFonts w:ascii="Arial" w:hAnsi="Arial" w:cs="Arial"/>
                <w:spacing w:val="-2"/>
                <w:sz w:val="24"/>
                <w:szCs w:val="24"/>
              </w:rPr>
              <w:t>two permanently bound copies of your dissertation plus 1 electronic copy submitted via Turnitin;</w:t>
            </w:r>
          </w:p>
          <w:p w14:paraId="462B8417"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C6B67B" wp14:editId="70537ECC">
                      <wp:simplePos x="0" y="0"/>
                      <wp:positionH relativeFrom="column">
                        <wp:posOffset>42545</wp:posOffset>
                      </wp:positionH>
                      <wp:positionV relativeFrom="paragraph">
                        <wp:posOffset>-109855</wp:posOffset>
                      </wp:positionV>
                      <wp:extent cx="152400" cy="113665"/>
                      <wp:effectExtent l="0" t="0" r="1905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058C1BA9" w14:textId="77777777" w:rsidR="00BB4C90" w:rsidRDefault="00BB4C90" w:rsidP="00BB4C9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C6B67B" id="_x0000_t202" coordsize="21600,21600" o:spt="202" path="m,l,21600r21600,l21600,xe">
                      <v:stroke joinstyle="miter"/>
                      <v:path gradientshapeok="t" o:connecttype="rect"/>
                    </v:shapetype>
                    <v:shape id="Text Box 2" o:spid="_x0000_s1026"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">
                      <v:textbox>
                        <w:txbxContent>
                          <w:p w14:paraId="058C1BA9" w14:textId="77777777" w:rsidR="00BB4C90" w:rsidRDefault="00BB4C90" w:rsidP="00BB4C90">
                            <w:pPr>
                              <w:tabs>
                                <w:tab w:val="left" w:pos="-720"/>
                                <w:tab w:val="left" w:pos="330"/>
                              </w:tabs>
                              <w:suppressAutoHyphens/>
                              <w:rPr>
                                <w:spacing w:val="-2"/>
                                <w:sz w:val="40"/>
                              </w:rPr>
                            </w:pPr>
                          </w:p>
                        </w:txbxContent>
                      </v:textbox>
                      <w10:wrap type="square"/>
                    </v:shape>
                  </w:pict>
                </mc:Fallback>
              </mc:AlternateContent>
            </w:r>
          </w:p>
          <w:p w14:paraId="0E773FF9"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ab/>
              <w:t xml:space="preserve"> </w:t>
            </w:r>
          </w:p>
        </w:tc>
      </w:tr>
      <w:tr w:rsidR="00BB4C90" w:rsidRPr="000F1F81" w14:paraId="7FF99BF7" w14:textId="77777777" w:rsidTr="00692501">
        <w:trPr>
          <w:jc w:val="center"/>
        </w:trPr>
        <w:tc>
          <w:tcPr>
            <w:tcW w:w="9812" w:type="dxa"/>
            <w:tcBorders>
              <w:top w:val="double" w:sz="6" w:space="0" w:color="auto"/>
              <w:left w:val="double" w:sz="6" w:space="0" w:color="auto"/>
              <w:bottom w:val="single" w:sz="4" w:space="0" w:color="auto"/>
              <w:right w:val="double" w:sz="6" w:space="0" w:color="auto"/>
            </w:tcBorders>
          </w:tcPr>
          <w:p w14:paraId="5055A075"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tc>
      </w:tr>
    </w:tbl>
    <w:p w14:paraId="25E14F6A" w14:textId="77777777" w:rsidR="00BB4C90" w:rsidRPr="000F1F81" w:rsidRDefault="00BB4C90" w:rsidP="00BB4C90">
      <w:pPr>
        <w:tabs>
          <w:tab w:val="left" w:pos="7020"/>
          <w:tab w:val="right" w:pos="9900"/>
        </w:tabs>
        <w:suppressAutoHyphens/>
        <w:spacing w:after="0" w:line="240" w:lineRule="auto"/>
        <w:ind w:right="926"/>
        <w:jc w:val="right"/>
        <w:rPr>
          <w:rFonts w:ascii="Arial" w:hAnsi="Arial" w:cs="Arial"/>
          <w:b/>
          <w:spacing w:val="-2"/>
          <w:sz w:val="24"/>
          <w:szCs w:val="24"/>
        </w:rPr>
      </w:pPr>
      <w:r w:rsidRPr="000F1F81">
        <w:rPr>
          <w:rFonts w:ascii="Arial" w:hAnsi="Arial" w:cs="Arial"/>
          <w:b/>
          <w:spacing w:val="-2"/>
          <w:sz w:val="24"/>
          <w:szCs w:val="24"/>
        </w:rPr>
        <w:t xml:space="preserve">                          </w:t>
      </w:r>
    </w:p>
    <w:p w14:paraId="4FB05293" w14:textId="77777777" w:rsidR="00BB4C90" w:rsidRPr="000F1F81" w:rsidRDefault="00BB4C90" w:rsidP="00BB4C90">
      <w:pPr>
        <w:spacing w:after="0" w:line="240" w:lineRule="auto"/>
        <w:rPr>
          <w:rFonts w:ascii="Arial" w:hAnsi="Arial" w:cs="Arial"/>
          <w:b/>
          <w:sz w:val="24"/>
          <w:szCs w:val="24"/>
        </w:rPr>
      </w:pPr>
    </w:p>
    <w:p w14:paraId="3A5CACAA" w14:textId="77777777" w:rsidR="00BB4C90" w:rsidRPr="000F1F81" w:rsidRDefault="00BB4C90" w:rsidP="00BB4C90">
      <w:pPr>
        <w:spacing w:after="0" w:line="240" w:lineRule="auto"/>
        <w:rPr>
          <w:rFonts w:ascii="Arial" w:hAnsi="Arial" w:cs="Arial"/>
          <w:b/>
          <w:sz w:val="24"/>
          <w:szCs w:val="24"/>
        </w:rPr>
      </w:pPr>
      <w:r w:rsidRPr="000F1F81">
        <w:rPr>
          <w:rFonts w:ascii="Arial" w:hAnsi="Arial" w:cs="Arial"/>
          <w:b/>
          <w:sz w:val="24"/>
          <w:szCs w:val="24"/>
        </w:rPr>
        <w:t>SUBMISISION OF DISSERTATIONS</w:t>
      </w:r>
    </w:p>
    <w:p w14:paraId="1058D8BE" w14:textId="77777777" w:rsidR="00BB4C90" w:rsidRPr="000F1F81" w:rsidRDefault="00BB4C90" w:rsidP="00BB4C90">
      <w:pPr>
        <w:spacing w:after="0" w:line="240" w:lineRule="auto"/>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798"/>
        <w:gridCol w:w="8208"/>
      </w:tblGrid>
      <w:tr w:rsidR="00BB4C90" w:rsidRPr="000F1F81" w14:paraId="63920A53" w14:textId="77777777" w:rsidTr="00DC521F">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B7FA27A" w14:textId="77777777" w:rsidR="00BB4C90" w:rsidRPr="000F1F81" w:rsidRDefault="00BB4C90" w:rsidP="00DC521F">
            <w:pPr>
              <w:spacing w:after="0" w:line="240" w:lineRule="auto"/>
              <w:rPr>
                <w:rFonts w:ascii="Arial" w:hAnsi="Arial" w:cs="Arial"/>
                <w:sz w:val="24"/>
                <w:szCs w:val="24"/>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2A88F7AA"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b/>
                <w:bCs/>
                <w:sz w:val="24"/>
                <w:szCs w:val="24"/>
                <w:u w:val="single"/>
              </w:rPr>
              <w:t>Final Dissertation submission</w:t>
            </w:r>
          </w:p>
        </w:tc>
      </w:tr>
      <w:tr w:rsidR="00BB4C90" w:rsidRPr="000F1F81" w14:paraId="04D15764" w14:textId="77777777" w:rsidTr="00DC521F">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4A2FC9F" w14:textId="77777777" w:rsidR="00BB4C90" w:rsidRPr="000F1F81" w:rsidRDefault="00BB4C90" w:rsidP="00DC521F">
            <w:pPr>
              <w:spacing w:after="0" w:line="240" w:lineRule="auto"/>
              <w:rPr>
                <w:rFonts w:ascii="Arial" w:hAnsi="Arial" w:cs="Arial"/>
                <w:sz w:val="24"/>
                <w:szCs w:val="24"/>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2BC2643D"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xml:space="preserve">Dissertations to be submitted via Turnitin, together with   </w:t>
            </w:r>
          </w:p>
          <w:p w14:paraId="5B8C3108"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2 paper copies (Heat bound).</w:t>
            </w:r>
          </w:p>
          <w:p w14:paraId="2C41D494"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Paper copies to be forwarded to :</w:t>
            </w:r>
          </w:p>
          <w:p w14:paraId="7484EEFB"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w:t>
            </w:r>
          </w:p>
          <w:p w14:paraId="2AD0FC62"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Faculty Office</w:t>
            </w:r>
          </w:p>
          <w:p w14:paraId="2E6F1657"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Swansea Business Campus</w:t>
            </w:r>
          </w:p>
          <w:p w14:paraId="76B8E02B"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Faculty of Business and Management</w:t>
            </w:r>
          </w:p>
          <w:p w14:paraId="2D7CC649"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University of Wales Trinity St David</w:t>
            </w:r>
          </w:p>
          <w:p w14:paraId="26CFB151"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Powell Street</w:t>
            </w:r>
          </w:p>
          <w:p w14:paraId="08D23F41"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lastRenderedPageBreak/>
              <w:t>SA1 1NE.</w:t>
            </w:r>
          </w:p>
        </w:tc>
      </w:tr>
    </w:tbl>
    <w:p w14:paraId="6E124256" w14:textId="77777777" w:rsidR="00BB4C90" w:rsidRPr="000F1F81" w:rsidRDefault="00BB4C90" w:rsidP="00BB4C90">
      <w:pPr>
        <w:spacing w:after="0" w:line="240" w:lineRule="auto"/>
        <w:rPr>
          <w:rFonts w:ascii="Arial" w:hAnsi="Arial" w:cs="Arial"/>
          <w:sz w:val="24"/>
          <w:szCs w:val="24"/>
        </w:rPr>
      </w:pPr>
    </w:p>
    <w:p w14:paraId="4D87C11F" w14:textId="77777777" w:rsidR="00BB4C90" w:rsidRPr="000F1F81" w:rsidRDefault="00BB4C90" w:rsidP="00BB4C90">
      <w:pPr>
        <w:pStyle w:val="NormalWeb"/>
        <w:spacing w:before="0" w:beforeAutospacing="0" w:after="0" w:afterAutospacing="0"/>
        <w:ind w:left="720"/>
        <w:rPr>
          <w:rFonts w:ascii="Arial" w:hAnsi="Arial" w:cs="Arial"/>
        </w:rPr>
      </w:pPr>
    </w:p>
    <w:p w14:paraId="6C08A10B" w14:textId="77777777" w:rsidR="00BB4C90" w:rsidRPr="000F1F81" w:rsidRDefault="00BB4C90" w:rsidP="00BB4C90">
      <w:pPr>
        <w:pStyle w:val="NormalWeb"/>
        <w:spacing w:before="0" w:beforeAutospacing="0" w:after="0" w:afterAutospacing="0"/>
        <w:rPr>
          <w:rFonts w:ascii="Arial" w:hAnsi="Arial" w:cs="Arial"/>
        </w:rPr>
      </w:pPr>
    </w:p>
    <w:p w14:paraId="22171A95" w14:textId="77777777" w:rsidR="00BB4C90" w:rsidRPr="000F1F81" w:rsidRDefault="00BB4C90" w:rsidP="00BB4C90">
      <w:pPr>
        <w:pStyle w:val="NormalWeb"/>
        <w:spacing w:before="0" w:beforeAutospacing="0" w:after="0" w:afterAutospacing="0"/>
        <w:rPr>
          <w:rFonts w:ascii="Arial" w:hAnsi="Arial" w:cs="Arial"/>
        </w:rPr>
      </w:pPr>
    </w:p>
    <w:p w14:paraId="6B639C12" w14:textId="77777777" w:rsidR="00BB4C90" w:rsidRPr="000F1F81" w:rsidRDefault="00BB4C90" w:rsidP="00BB4C90">
      <w:pPr>
        <w:pStyle w:val="NormalWeb"/>
        <w:numPr>
          <w:ilvl w:val="0"/>
          <w:numId w:val="1"/>
        </w:numPr>
        <w:spacing w:before="0" w:beforeAutospacing="0" w:after="0" w:afterAutospacing="0"/>
        <w:rPr>
          <w:rFonts w:ascii="Arial" w:hAnsi="Arial" w:cs="Arial"/>
        </w:rPr>
      </w:pPr>
      <w:r w:rsidRPr="000F1F81">
        <w:rPr>
          <w:rFonts w:ascii="Arial" w:hAnsi="Arial" w:cs="Arial"/>
        </w:rPr>
        <w:t>Graduation is mid- July. Registry will send you an invitation letter to book tickets and your gown. Please send this back immediately. Do not wait till the Exam Board has sent you the result or you will miss the deadline for attendance. Last minute booking will not happen. You do not have to attend the ceremony to graduate but it is always nice to see you there. We always take a class photograph. See past years on the Facebook page</w:t>
      </w:r>
    </w:p>
    <w:p w14:paraId="6767457D" w14:textId="77777777" w:rsidR="00BB4C90" w:rsidRPr="000F1F81" w:rsidRDefault="00000000" w:rsidP="00BB4C90">
      <w:pPr>
        <w:pStyle w:val="NormalWeb"/>
        <w:spacing w:before="0" w:beforeAutospacing="0" w:after="0" w:afterAutospacing="0"/>
        <w:ind w:left="720"/>
        <w:rPr>
          <w:rFonts w:ascii="Arial" w:hAnsi="Arial" w:cs="Arial"/>
        </w:rPr>
      </w:pPr>
      <w:hyperlink r:id="rId9" w:history="1">
        <w:r w:rsidR="00BB4C90" w:rsidRPr="000F1F81">
          <w:rPr>
            <w:rStyle w:val="Hyperlink"/>
            <w:rFonts w:ascii="Arial" w:hAnsi="Arial" w:cs="Arial"/>
          </w:rPr>
          <w:t>https://www.facebook.com/pages/MBA-Alumni-at-UWTSD-formerly-Swansea-Metropolitan-University/277397355630914</w:t>
        </w:r>
      </w:hyperlink>
    </w:p>
    <w:p w14:paraId="7FE1BC6D" w14:textId="77777777" w:rsidR="00BB4C90" w:rsidRPr="000F1F81" w:rsidRDefault="00BB4C90" w:rsidP="00BB4C90">
      <w:pPr>
        <w:pStyle w:val="NormalWeb"/>
        <w:spacing w:before="0" w:beforeAutospacing="0" w:after="0" w:afterAutospacing="0"/>
        <w:rPr>
          <w:rFonts w:ascii="Arial" w:hAnsi="Arial" w:cs="Arial"/>
        </w:rPr>
      </w:pPr>
    </w:p>
    <w:p w14:paraId="120690A5" w14:textId="77777777" w:rsidR="00BB4C90" w:rsidRPr="000F1F81" w:rsidRDefault="00BB4C90" w:rsidP="00BB4C90">
      <w:pPr>
        <w:spacing w:after="0" w:line="240" w:lineRule="auto"/>
        <w:rPr>
          <w:rFonts w:ascii="Arial" w:hAnsi="Arial" w:cs="Arial"/>
          <w:sz w:val="24"/>
          <w:szCs w:val="24"/>
        </w:rPr>
      </w:pPr>
    </w:p>
    <w:p w14:paraId="20E7C4EA"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tab/>
      </w:r>
    </w:p>
    <w:p w14:paraId="7679F69B"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t xml:space="preserve">Declaration/Statements page </w:t>
      </w:r>
      <w:r w:rsidRPr="000F1F81">
        <w:rPr>
          <w:rFonts w:ascii="Arial" w:hAnsi="Arial" w:cs="Arial"/>
          <w:spacing w:val="-2"/>
          <w:sz w:val="24"/>
          <w:szCs w:val="24"/>
        </w:rPr>
        <w:tab/>
      </w:r>
    </w:p>
    <w:p w14:paraId="3FF6A1F4" w14:textId="77777777" w:rsidR="00BB4C90" w:rsidRPr="000F1F81" w:rsidRDefault="00BB4C90" w:rsidP="00BB4C90">
      <w:pPr>
        <w:spacing w:after="0" w:line="240" w:lineRule="auto"/>
        <w:ind w:left="720" w:hanging="630"/>
        <w:jc w:val="both"/>
        <w:rPr>
          <w:rFonts w:ascii="Arial" w:hAnsi="Arial" w:cs="Arial"/>
          <w:spacing w:val="-2"/>
          <w:sz w:val="24"/>
          <w:szCs w:val="24"/>
        </w:rPr>
      </w:pPr>
    </w:p>
    <w:p w14:paraId="73AFDB0A" w14:textId="77777777" w:rsidR="00BB4C90" w:rsidRPr="000F1F81" w:rsidRDefault="00BB4C90" w:rsidP="00BB4C90">
      <w:pPr>
        <w:spacing w:after="0" w:line="240" w:lineRule="auto"/>
        <w:ind w:left="720"/>
        <w:jc w:val="both"/>
        <w:rPr>
          <w:rFonts w:ascii="Arial" w:hAnsi="Arial" w:cs="Arial"/>
          <w:spacing w:val="-2"/>
          <w:sz w:val="24"/>
          <w:szCs w:val="24"/>
        </w:rPr>
      </w:pPr>
    </w:p>
    <w:p w14:paraId="3C7300D3"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DECLARATION</w:t>
      </w:r>
    </w:p>
    <w:p w14:paraId="22F3719A" w14:textId="77777777" w:rsidR="00BB4C90" w:rsidRPr="000F1F81" w:rsidRDefault="00BB4C90" w:rsidP="00BB4C90">
      <w:pPr>
        <w:spacing w:after="0" w:line="240" w:lineRule="auto"/>
        <w:ind w:left="720" w:hanging="630"/>
        <w:jc w:val="both"/>
        <w:rPr>
          <w:rFonts w:ascii="Arial" w:hAnsi="Arial" w:cs="Arial"/>
          <w:spacing w:val="-2"/>
          <w:sz w:val="24"/>
          <w:szCs w:val="24"/>
        </w:rPr>
      </w:pPr>
      <w:r w:rsidRPr="000F1F81">
        <w:rPr>
          <w:rFonts w:ascii="Arial" w:hAnsi="Arial" w:cs="Arial"/>
          <w:spacing w:val="-2"/>
          <w:sz w:val="24"/>
          <w:szCs w:val="24"/>
        </w:rPr>
        <w:tab/>
      </w:r>
    </w:p>
    <w:p w14:paraId="7059D75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This work has not previously been accepted in substance for any degree and is not being concurrently submitted in candidature for any degree.</w:t>
      </w:r>
      <w:r w:rsidRPr="000F1F81">
        <w:rPr>
          <w:rFonts w:ascii="Arial" w:hAnsi="Arial" w:cs="Arial"/>
          <w:spacing w:val="-2"/>
          <w:sz w:val="24"/>
          <w:szCs w:val="24"/>
        </w:rPr>
        <w:tab/>
      </w:r>
    </w:p>
    <w:p w14:paraId="41A71FDD" w14:textId="77777777" w:rsidR="00BB4C90" w:rsidRPr="000F1F81" w:rsidRDefault="00BB4C90" w:rsidP="00BB4C90">
      <w:pPr>
        <w:spacing w:after="0" w:line="240" w:lineRule="auto"/>
        <w:ind w:left="720"/>
        <w:jc w:val="both"/>
        <w:rPr>
          <w:rFonts w:ascii="Arial" w:hAnsi="Arial" w:cs="Arial"/>
          <w:spacing w:val="-2"/>
          <w:sz w:val="24"/>
          <w:szCs w:val="24"/>
        </w:rPr>
      </w:pPr>
    </w:p>
    <w:p w14:paraId="437E337B" w14:textId="77777777" w:rsidR="00BB4C90" w:rsidRPr="000F1F81" w:rsidRDefault="00BB4C90" w:rsidP="00BB4C90">
      <w:pPr>
        <w:spacing w:after="0" w:line="240" w:lineRule="auto"/>
        <w:ind w:left="720"/>
        <w:jc w:val="both"/>
        <w:rPr>
          <w:rFonts w:ascii="Arial" w:hAnsi="Arial" w:cs="Arial"/>
          <w:spacing w:val="-2"/>
          <w:sz w:val="24"/>
          <w:szCs w:val="24"/>
        </w:rPr>
      </w:pPr>
    </w:p>
    <w:p w14:paraId="5B89D97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sz w:val="24"/>
          <w:szCs w:val="24"/>
        </w:rPr>
        <w:t xml:space="preserve"> </w:t>
      </w:r>
      <w:r w:rsidRPr="000F1F81">
        <w:rPr>
          <w:rFonts w:ascii="Arial" w:hAnsi="Arial" w:cs="Arial"/>
          <w:noProof/>
          <w:sz w:val="24"/>
          <w:szCs w:val="24"/>
        </w:rPr>
        <w:drawing>
          <wp:inline distT="0" distB="0" distL="0" distR="0" wp14:anchorId="4E344A73" wp14:editId="4718FECF">
            <wp:extent cx="520937" cy="278130"/>
            <wp:effectExtent l="0" t="0" r="0" b="762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5430" cy="291207"/>
                    </a:xfrm>
                    <a:prstGeom prst="rect">
                      <a:avLst/>
                    </a:prstGeom>
                    <a:noFill/>
                    <a:ln>
                      <a:noFill/>
                    </a:ln>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52696826" w14:textId="77777777" w:rsidR="00BB4C90" w:rsidRPr="000F1F81" w:rsidRDefault="00BB4C90" w:rsidP="00BB4C90">
      <w:pPr>
        <w:spacing w:after="0" w:line="240" w:lineRule="auto"/>
        <w:ind w:left="720"/>
        <w:jc w:val="both"/>
        <w:rPr>
          <w:rFonts w:ascii="Arial" w:hAnsi="Arial" w:cs="Arial"/>
          <w:spacing w:val="-2"/>
          <w:sz w:val="24"/>
          <w:szCs w:val="24"/>
        </w:rPr>
      </w:pPr>
    </w:p>
    <w:p w14:paraId="30CD6E8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5416A42F" w14:textId="77777777" w:rsidR="00BB4C90" w:rsidRPr="000F1F81" w:rsidRDefault="00BB4C90" w:rsidP="00BB4C90">
      <w:pPr>
        <w:spacing w:after="0" w:line="240" w:lineRule="auto"/>
        <w:ind w:left="720"/>
        <w:jc w:val="both"/>
        <w:rPr>
          <w:rFonts w:ascii="Arial" w:hAnsi="Arial" w:cs="Arial"/>
          <w:spacing w:val="-2"/>
          <w:sz w:val="24"/>
          <w:szCs w:val="24"/>
        </w:rPr>
      </w:pPr>
    </w:p>
    <w:p w14:paraId="03A5892D" w14:textId="77777777" w:rsidR="00BB4C90" w:rsidRPr="000F1F81" w:rsidRDefault="00BB4C90" w:rsidP="00BB4C90">
      <w:pPr>
        <w:spacing w:after="0" w:line="240" w:lineRule="auto"/>
        <w:ind w:left="720"/>
        <w:jc w:val="both"/>
        <w:rPr>
          <w:rFonts w:ascii="Arial" w:hAnsi="Arial" w:cs="Arial"/>
          <w:spacing w:val="-2"/>
          <w:sz w:val="24"/>
          <w:szCs w:val="24"/>
        </w:rPr>
      </w:pPr>
    </w:p>
    <w:p w14:paraId="008C3E9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1</w:t>
      </w:r>
      <w:r w:rsidRPr="000F1F81">
        <w:rPr>
          <w:rFonts w:ascii="Arial" w:hAnsi="Arial" w:cs="Arial"/>
          <w:spacing w:val="-2"/>
          <w:sz w:val="24"/>
          <w:szCs w:val="24"/>
        </w:rPr>
        <w:tab/>
      </w:r>
    </w:p>
    <w:p w14:paraId="1F4B00E0" w14:textId="77777777" w:rsidR="00BB4C90" w:rsidRPr="000F1F81" w:rsidRDefault="00BB4C90" w:rsidP="00BB4C90">
      <w:pPr>
        <w:spacing w:after="0" w:line="240" w:lineRule="auto"/>
        <w:ind w:left="720"/>
        <w:jc w:val="both"/>
        <w:rPr>
          <w:rFonts w:ascii="Arial" w:hAnsi="Arial" w:cs="Arial"/>
          <w:spacing w:val="-2"/>
          <w:sz w:val="24"/>
          <w:szCs w:val="24"/>
        </w:rPr>
      </w:pPr>
    </w:p>
    <w:p w14:paraId="1B6D642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This work is the result of my own investigations, except where otherwise stated. </w:t>
      </w:r>
    </w:p>
    <w:p w14:paraId="4EA8C64F" w14:textId="77777777" w:rsidR="00BB4C90" w:rsidRPr="000F1F81" w:rsidRDefault="00BB4C90" w:rsidP="00BB4C90">
      <w:pPr>
        <w:spacing w:after="0" w:line="240" w:lineRule="auto"/>
        <w:ind w:left="720"/>
        <w:jc w:val="both"/>
        <w:rPr>
          <w:rFonts w:ascii="Arial" w:hAnsi="Arial" w:cs="Arial"/>
          <w:spacing w:val="-2"/>
          <w:sz w:val="24"/>
          <w:szCs w:val="24"/>
        </w:rPr>
      </w:pPr>
    </w:p>
    <w:p w14:paraId="3BCCB07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Other sources are acknowledged by footnotes giving explicit references.  A bibliography is appended.</w:t>
      </w:r>
    </w:p>
    <w:p w14:paraId="369B56DF" w14:textId="77777777" w:rsidR="00BB4C90" w:rsidRPr="000F1F81" w:rsidRDefault="00BB4C90" w:rsidP="00BB4C90">
      <w:pPr>
        <w:spacing w:after="0" w:line="240" w:lineRule="auto"/>
        <w:ind w:left="720"/>
        <w:jc w:val="both"/>
        <w:rPr>
          <w:rFonts w:ascii="Arial" w:hAnsi="Arial" w:cs="Arial"/>
          <w:spacing w:val="-2"/>
          <w:sz w:val="24"/>
          <w:szCs w:val="24"/>
        </w:rPr>
      </w:pPr>
    </w:p>
    <w:p w14:paraId="006069F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noProof/>
          <w:spacing w:val="-2"/>
          <w:sz w:val="24"/>
          <w:szCs w:val="24"/>
        </w:rPr>
        <w:drawing>
          <wp:anchor distT="0" distB="0" distL="114300" distR="114300" simplePos="0" relativeHeight="251661312" behindDoc="0" locked="0" layoutInCell="1" allowOverlap="1" wp14:anchorId="24F42DA8" wp14:editId="4688536F">
            <wp:simplePos x="0" y="0"/>
            <wp:positionH relativeFrom="column">
              <wp:posOffset>1095375</wp:posOffset>
            </wp:positionH>
            <wp:positionV relativeFrom="paragraph">
              <wp:posOffset>-1905</wp:posOffset>
            </wp:positionV>
            <wp:extent cx="518160" cy="280670"/>
            <wp:effectExtent l="0" t="0" r="0" b="5080"/>
            <wp:wrapThrough wrapText="bothSides">
              <wp:wrapPolygon edited="0">
                <wp:start x="0" y="0"/>
                <wp:lineTo x="0" y="20525"/>
                <wp:lineTo x="20647" y="20525"/>
                <wp:lineTo x="2064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0DCE61C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....................................................................(candidate)</w:t>
      </w:r>
      <w:r w:rsidRPr="000F1F81">
        <w:rPr>
          <w:rFonts w:ascii="Arial" w:hAnsi="Arial" w:cs="Arial"/>
          <w:spacing w:val="-2"/>
          <w:sz w:val="24"/>
          <w:szCs w:val="24"/>
        </w:rPr>
        <w:tab/>
      </w:r>
    </w:p>
    <w:p w14:paraId="418AE857" w14:textId="77777777" w:rsidR="00BB4C90" w:rsidRPr="000F1F81" w:rsidRDefault="00BB4C90" w:rsidP="00BB4C90">
      <w:pPr>
        <w:spacing w:after="0" w:line="240" w:lineRule="auto"/>
        <w:ind w:left="720"/>
        <w:jc w:val="both"/>
        <w:rPr>
          <w:rFonts w:ascii="Arial" w:hAnsi="Arial" w:cs="Arial"/>
          <w:spacing w:val="-2"/>
          <w:sz w:val="24"/>
          <w:szCs w:val="24"/>
        </w:rPr>
      </w:pPr>
    </w:p>
    <w:p w14:paraId="090024E9"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6594B963" w14:textId="77777777" w:rsidR="00BB4C90" w:rsidRPr="000F1F81" w:rsidRDefault="00BB4C90" w:rsidP="00BB4C90">
      <w:pPr>
        <w:spacing w:after="0" w:line="240" w:lineRule="auto"/>
        <w:ind w:left="720"/>
        <w:jc w:val="both"/>
        <w:rPr>
          <w:rFonts w:ascii="Arial" w:hAnsi="Arial" w:cs="Arial"/>
          <w:spacing w:val="-2"/>
          <w:sz w:val="24"/>
          <w:szCs w:val="24"/>
        </w:rPr>
      </w:pPr>
    </w:p>
    <w:p w14:paraId="1598F464" w14:textId="77777777" w:rsidR="00BB4C90" w:rsidRPr="000F1F81" w:rsidRDefault="00BB4C90" w:rsidP="00BB4C90">
      <w:pPr>
        <w:spacing w:after="0" w:line="240" w:lineRule="auto"/>
        <w:ind w:left="720"/>
        <w:jc w:val="both"/>
        <w:rPr>
          <w:rFonts w:ascii="Arial" w:hAnsi="Arial" w:cs="Arial"/>
          <w:spacing w:val="-2"/>
          <w:sz w:val="24"/>
          <w:szCs w:val="24"/>
        </w:rPr>
      </w:pPr>
    </w:p>
    <w:p w14:paraId="27E4699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2</w:t>
      </w:r>
      <w:r w:rsidRPr="000F1F81">
        <w:rPr>
          <w:rFonts w:ascii="Arial" w:hAnsi="Arial" w:cs="Arial"/>
          <w:spacing w:val="-2"/>
          <w:sz w:val="24"/>
          <w:szCs w:val="24"/>
        </w:rPr>
        <w:tab/>
      </w:r>
    </w:p>
    <w:p w14:paraId="00B451E1" w14:textId="77777777" w:rsidR="00BB4C90" w:rsidRPr="000F1F81" w:rsidRDefault="00BB4C90" w:rsidP="00BB4C90">
      <w:pPr>
        <w:spacing w:after="0" w:line="240" w:lineRule="auto"/>
        <w:ind w:left="720"/>
        <w:jc w:val="both"/>
        <w:rPr>
          <w:rFonts w:ascii="Arial" w:hAnsi="Arial" w:cs="Arial"/>
          <w:spacing w:val="-2"/>
          <w:sz w:val="24"/>
          <w:szCs w:val="24"/>
        </w:rPr>
      </w:pPr>
    </w:p>
    <w:p w14:paraId="20B5CDC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0F1F81">
        <w:rPr>
          <w:rFonts w:ascii="Arial" w:hAnsi="Arial" w:cs="Arial"/>
          <w:spacing w:val="-2"/>
          <w:sz w:val="24"/>
          <w:szCs w:val="24"/>
        </w:rPr>
        <w:tab/>
      </w:r>
    </w:p>
    <w:p w14:paraId="79A4F9A0" w14:textId="77777777" w:rsidR="00BB4C90" w:rsidRPr="000F1F81" w:rsidRDefault="00BB4C90" w:rsidP="00BB4C90">
      <w:pPr>
        <w:spacing w:after="0" w:line="240" w:lineRule="auto"/>
        <w:ind w:left="720"/>
        <w:jc w:val="both"/>
        <w:rPr>
          <w:rFonts w:ascii="Arial" w:hAnsi="Arial" w:cs="Arial"/>
          <w:spacing w:val="-2"/>
          <w:sz w:val="24"/>
          <w:szCs w:val="24"/>
        </w:rPr>
      </w:pPr>
    </w:p>
    <w:p w14:paraId="490977C2" w14:textId="77777777" w:rsidR="00BB4C90" w:rsidRPr="000F1F81" w:rsidRDefault="00BB4C90" w:rsidP="00BB4C90">
      <w:pPr>
        <w:spacing w:after="0" w:line="240" w:lineRule="auto"/>
        <w:ind w:left="720"/>
        <w:jc w:val="both"/>
        <w:rPr>
          <w:rFonts w:ascii="Arial" w:hAnsi="Arial" w:cs="Arial"/>
          <w:spacing w:val="-2"/>
          <w:sz w:val="24"/>
          <w:szCs w:val="24"/>
        </w:rPr>
      </w:pPr>
    </w:p>
    <w:p w14:paraId="0B441CAE"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76F59526" wp14:editId="4667CC1D">
            <wp:extent cx="518160" cy="2806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4F0CF276" w14:textId="77777777" w:rsidR="00BB4C90" w:rsidRPr="000F1F81" w:rsidRDefault="00BB4C90" w:rsidP="00BB4C90">
      <w:pPr>
        <w:spacing w:after="0" w:line="240" w:lineRule="auto"/>
        <w:ind w:left="720"/>
        <w:jc w:val="both"/>
        <w:rPr>
          <w:rFonts w:ascii="Arial" w:hAnsi="Arial" w:cs="Arial"/>
          <w:spacing w:val="-2"/>
          <w:sz w:val="24"/>
          <w:szCs w:val="24"/>
        </w:rPr>
      </w:pPr>
    </w:p>
    <w:p w14:paraId="3EBE7BF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p>
    <w:p w14:paraId="2CA7CB64" w14:textId="77777777" w:rsidR="00BB4C90" w:rsidRPr="000F1F81" w:rsidRDefault="00BB4C90" w:rsidP="00BB4C90">
      <w:pPr>
        <w:spacing w:after="0" w:line="240" w:lineRule="auto"/>
        <w:ind w:left="720"/>
        <w:jc w:val="both"/>
        <w:rPr>
          <w:rFonts w:ascii="Arial" w:hAnsi="Arial" w:cs="Arial"/>
          <w:spacing w:val="-2"/>
          <w:sz w:val="24"/>
          <w:szCs w:val="24"/>
        </w:rPr>
      </w:pPr>
    </w:p>
    <w:p w14:paraId="3C32886E" w14:textId="77777777" w:rsidR="00BB4C90" w:rsidRPr="000F1F81" w:rsidRDefault="00BB4C90" w:rsidP="00BB4C90">
      <w:pPr>
        <w:spacing w:after="0" w:line="240" w:lineRule="auto"/>
        <w:ind w:left="720"/>
        <w:jc w:val="both"/>
        <w:rPr>
          <w:rFonts w:ascii="Arial" w:hAnsi="Arial" w:cs="Arial"/>
          <w:spacing w:val="-2"/>
          <w:sz w:val="24"/>
          <w:szCs w:val="24"/>
        </w:rPr>
      </w:pPr>
    </w:p>
    <w:p w14:paraId="79A8BA46" w14:textId="77777777" w:rsidR="00BB4C90" w:rsidRPr="000F1F81" w:rsidRDefault="00BB4C90" w:rsidP="00BB4C90">
      <w:pPr>
        <w:spacing w:after="0" w:line="240" w:lineRule="auto"/>
        <w:ind w:left="720" w:hanging="720"/>
        <w:jc w:val="both"/>
        <w:rPr>
          <w:rFonts w:ascii="Arial" w:hAnsi="Arial" w:cs="Arial"/>
          <w:spacing w:val="-2"/>
          <w:sz w:val="24"/>
          <w:szCs w:val="24"/>
        </w:rPr>
      </w:pPr>
      <w:r w:rsidRPr="000F1F81">
        <w:rPr>
          <w:rFonts w:ascii="Arial" w:hAnsi="Arial" w:cs="Arial"/>
          <w:b/>
          <w:spacing w:val="-2"/>
          <w:sz w:val="24"/>
          <w:szCs w:val="24"/>
        </w:rPr>
        <w:t>NB:</w:t>
      </w:r>
      <w:r w:rsidRPr="000F1F81">
        <w:rPr>
          <w:rFonts w:ascii="Arial" w:hAnsi="Arial" w:cs="Arial"/>
          <w:i/>
          <w:spacing w:val="-2"/>
          <w:sz w:val="24"/>
          <w:szCs w:val="24"/>
        </w:rPr>
        <w:tab/>
        <w:t>Candidates on whose behalf a bar on access has been approved by the University (see Note 1), should use the following version of Statement 2:</w:t>
      </w:r>
      <w:r w:rsidRPr="000F1F81">
        <w:rPr>
          <w:rFonts w:ascii="Arial" w:hAnsi="Arial" w:cs="Arial"/>
          <w:spacing w:val="-2"/>
          <w:sz w:val="24"/>
          <w:szCs w:val="24"/>
        </w:rPr>
        <w:tab/>
      </w:r>
    </w:p>
    <w:p w14:paraId="58FF1939" w14:textId="77777777" w:rsidR="00BB4C90" w:rsidRPr="000F1F81" w:rsidRDefault="00BB4C90" w:rsidP="00BB4C90">
      <w:pPr>
        <w:spacing w:after="0" w:line="240" w:lineRule="auto"/>
        <w:ind w:left="720"/>
        <w:jc w:val="both"/>
        <w:rPr>
          <w:rFonts w:ascii="Arial" w:hAnsi="Arial" w:cs="Arial"/>
          <w:spacing w:val="-2"/>
          <w:sz w:val="24"/>
          <w:szCs w:val="24"/>
        </w:rPr>
      </w:pPr>
    </w:p>
    <w:p w14:paraId="4D777B0B" w14:textId="77777777" w:rsidR="00BB4C90" w:rsidRPr="000F1F81" w:rsidRDefault="00BB4C90" w:rsidP="00BB4C90">
      <w:pPr>
        <w:spacing w:after="0" w:line="240" w:lineRule="auto"/>
        <w:ind w:left="720"/>
        <w:jc w:val="both"/>
        <w:rPr>
          <w:rFonts w:ascii="Arial" w:hAnsi="Arial" w:cs="Arial"/>
          <w:b/>
          <w:spacing w:val="-2"/>
          <w:sz w:val="24"/>
          <w:szCs w:val="24"/>
        </w:rPr>
      </w:pPr>
      <w:r w:rsidRPr="000F1F81">
        <w:rPr>
          <w:rFonts w:ascii="Arial" w:hAnsi="Arial" w:cs="Arial"/>
          <w:spacing w:val="-2"/>
          <w:sz w:val="24"/>
          <w:szCs w:val="24"/>
        </w:rPr>
        <w:t xml:space="preserve">I hereby give consent for my work, if accepted, to be available for photocopying and for inter-library loans </w:t>
      </w:r>
      <w:r w:rsidRPr="000F1F81">
        <w:rPr>
          <w:rFonts w:ascii="Arial" w:hAnsi="Arial" w:cs="Arial"/>
          <w:b/>
          <w:spacing w:val="-2"/>
          <w:sz w:val="24"/>
          <w:szCs w:val="24"/>
        </w:rPr>
        <w:t>after expiry of a bar on access approved by the University.</w:t>
      </w:r>
    </w:p>
    <w:p w14:paraId="7BB83EF1" w14:textId="77777777" w:rsidR="00BB4C90" w:rsidRPr="000F1F81" w:rsidRDefault="00BB4C90" w:rsidP="00BB4C90">
      <w:pPr>
        <w:spacing w:after="0" w:line="240" w:lineRule="auto"/>
        <w:ind w:left="1440"/>
        <w:jc w:val="both"/>
        <w:rPr>
          <w:rFonts w:ascii="Arial" w:hAnsi="Arial" w:cs="Arial"/>
          <w:b/>
          <w:spacing w:val="-2"/>
          <w:sz w:val="24"/>
          <w:szCs w:val="24"/>
        </w:rPr>
      </w:pPr>
    </w:p>
    <w:p w14:paraId="66539D9B" w14:textId="77777777" w:rsidR="00BB4C90" w:rsidRPr="000F1F81" w:rsidRDefault="00BB4C90" w:rsidP="00BB4C90">
      <w:pPr>
        <w:spacing w:after="0" w:line="240" w:lineRule="auto"/>
        <w:ind w:left="1440"/>
        <w:jc w:val="both"/>
        <w:rPr>
          <w:rFonts w:ascii="Arial" w:hAnsi="Arial" w:cs="Arial"/>
          <w:b/>
          <w:spacing w:val="-2"/>
          <w:sz w:val="24"/>
          <w:szCs w:val="24"/>
        </w:rPr>
      </w:pPr>
      <w:r w:rsidRPr="000F1F81">
        <w:rPr>
          <w:rFonts w:ascii="Arial" w:hAnsi="Arial" w:cs="Arial"/>
          <w:noProof/>
          <w:spacing w:val="-2"/>
          <w:sz w:val="24"/>
          <w:szCs w:val="24"/>
        </w:rPr>
        <w:drawing>
          <wp:anchor distT="0" distB="0" distL="114300" distR="114300" simplePos="0" relativeHeight="251660288" behindDoc="1" locked="0" layoutInCell="1" allowOverlap="1" wp14:anchorId="170E5160" wp14:editId="1B548560">
            <wp:simplePos x="0" y="0"/>
            <wp:positionH relativeFrom="column">
              <wp:posOffset>914400</wp:posOffset>
            </wp:positionH>
            <wp:positionV relativeFrom="paragraph">
              <wp:posOffset>3810</wp:posOffset>
            </wp:positionV>
            <wp:extent cx="518160" cy="28067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30D23F7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 (candidate)</w:t>
      </w:r>
    </w:p>
    <w:p w14:paraId="0CD99140"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11A5EFA3"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ab/>
        <w:t>Date .....18/12/22...................................................................</w:t>
      </w:r>
    </w:p>
    <w:p w14:paraId="25E6FA36"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2919B3B9"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spacing w:val="-2"/>
          <w:sz w:val="24"/>
          <w:szCs w:val="24"/>
        </w:rPr>
        <w:tab/>
        <w:t>Candidate's signature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148D81E1" wp14:editId="13BC4B97">
            <wp:extent cx="518160" cy="2806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xml:space="preserve">................................................................... </w:t>
      </w:r>
    </w:p>
    <w:p w14:paraId="5A108C55"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Date ...18/12/22......................................</w:t>
      </w:r>
    </w:p>
    <w:p w14:paraId="47E487B3" w14:textId="77777777" w:rsidR="00BB4C90" w:rsidRPr="00E913B3" w:rsidRDefault="00BB4C90" w:rsidP="00BB4C90">
      <w:pPr>
        <w:tabs>
          <w:tab w:val="left" w:pos="-720"/>
        </w:tabs>
        <w:suppressAutoHyphens/>
        <w:spacing w:after="0" w:line="240" w:lineRule="auto"/>
        <w:jc w:val="both"/>
        <w:rPr>
          <w:rFonts w:ascii="Arial" w:hAnsi="Arial" w:cs="Arial"/>
          <w:spacing w:val="-2"/>
        </w:rPr>
      </w:pPr>
    </w:p>
    <w:p w14:paraId="2536AA4E" w14:textId="77777777" w:rsidR="00BB4C90" w:rsidRDefault="00BB4C90" w:rsidP="00BB4C90"/>
    <w:p w14:paraId="3D3048BB" w14:textId="77777777" w:rsidR="00BB4C90" w:rsidRDefault="00BB4C90" w:rsidP="00BB4C90"/>
    <w:p w14:paraId="0062F1F9" w14:textId="77777777" w:rsidR="00BB4C90" w:rsidRDefault="00BB4C90" w:rsidP="00BB4C90"/>
    <w:p w14:paraId="6EE98E3C" w14:textId="77777777" w:rsidR="00BB4C90" w:rsidRDefault="00BB4C90" w:rsidP="00BB4C90"/>
    <w:p w14:paraId="11027728" w14:textId="77777777" w:rsidR="00BB4C90" w:rsidRDefault="00BB4C90" w:rsidP="00BB4C90"/>
    <w:p w14:paraId="26A1F5DA" w14:textId="77777777" w:rsidR="00BB4C90" w:rsidRDefault="00BB4C90" w:rsidP="00BB4C90"/>
    <w:p w14:paraId="2E616824" w14:textId="77777777" w:rsidR="00BB4C90" w:rsidRDefault="00BB4C90" w:rsidP="00BB4C90"/>
    <w:p w14:paraId="69E4EC8A" w14:textId="77777777" w:rsidR="00BB4C90" w:rsidRDefault="00BB4C90" w:rsidP="00BB4C90"/>
    <w:p w14:paraId="0E536492" w14:textId="77777777" w:rsidR="00BB4C90" w:rsidRDefault="00BB4C90" w:rsidP="00BB4C90"/>
    <w:p w14:paraId="5344E238" w14:textId="77777777" w:rsidR="00063AFA" w:rsidRDefault="00063AFA" w:rsidP="00692501">
      <w:pPr>
        <w:spacing w:line="480" w:lineRule="auto"/>
        <w:rPr>
          <w:rFonts w:ascii="Arial" w:hAnsi="Arial" w:cs="Arial"/>
          <w:sz w:val="24"/>
          <w:szCs w:val="24"/>
        </w:rPr>
      </w:pPr>
    </w:p>
    <w:p w14:paraId="71ACE33A" w14:textId="77777777" w:rsidR="00063AFA" w:rsidRDefault="00063AFA" w:rsidP="00692501">
      <w:pPr>
        <w:spacing w:line="480" w:lineRule="auto"/>
        <w:rPr>
          <w:rFonts w:ascii="Arial" w:hAnsi="Arial" w:cs="Arial"/>
          <w:sz w:val="24"/>
          <w:szCs w:val="24"/>
        </w:rPr>
      </w:pPr>
    </w:p>
    <w:p w14:paraId="6BB095E1" w14:textId="77777777" w:rsidR="00063AFA" w:rsidRDefault="00063AFA" w:rsidP="00692501">
      <w:pPr>
        <w:spacing w:line="480" w:lineRule="auto"/>
        <w:rPr>
          <w:rFonts w:ascii="Arial" w:hAnsi="Arial" w:cs="Arial"/>
          <w:sz w:val="24"/>
          <w:szCs w:val="24"/>
        </w:rPr>
      </w:pPr>
    </w:p>
    <w:p w14:paraId="018640E4" w14:textId="77777777" w:rsidR="00063AFA" w:rsidRDefault="00063AFA" w:rsidP="00692501">
      <w:pPr>
        <w:spacing w:line="480" w:lineRule="auto"/>
        <w:rPr>
          <w:rFonts w:ascii="Arial" w:hAnsi="Arial" w:cs="Arial"/>
          <w:sz w:val="24"/>
          <w:szCs w:val="24"/>
        </w:rPr>
      </w:pPr>
    </w:p>
    <w:p w14:paraId="779D546C" w14:textId="167413D1" w:rsidR="00A47F5B" w:rsidRDefault="00891679" w:rsidP="00063AFA">
      <w:pPr>
        <w:pStyle w:val="Heading1"/>
        <w:rPr>
          <w:rFonts w:ascii="Arial" w:hAnsi="Arial" w:cs="Arial"/>
          <w:sz w:val="24"/>
          <w:szCs w:val="24"/>
        </w:rPr>
      </w:pPr>
      <w:bookmarkStart w:id="1" w:name="_Toc123562286"/>
      <w:r>
        <w:rPr>
          <w:rFonts w:ascii="Arial" w:hAnsi="Arial" w:cs="Arial"/>
          <w:sz w:val="24"/>
          <w:szCs w:val="24"/>
        </w:rPr>
        <w:lastRenderedPageBreak/>
        <w:t>Abstract</w:t>
      </w:r>
      <w:bookmarkEnd w:id="1"/>
    </w:p>
    <w:p w14:paraId="07DAD243" w14:textId="77777777" w:rsidR="00692501" w:rsidRDefault="00692501" w:rsidP="00692501">
      <w:pPr>
        <w:spacing w:line="480" w:lineRule="auto"/>
        <w:rPr>
          <w:rFonts w:ascii="Arial" w:hAnsi="Arial" w:cs="Arial"/>
          <w:sz w:val="24"/>
          <w:szCs w:val="24"/>
        </w:rPr>
      </w:pPr>
    </w:p>
    <w:p w14:paraId="47C1445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 xml:space="preserve">This study concerns the investigation into income generation activity in public libraries, museums, and archives worldwide. Findings from the research will be used to inform an income generation strategy for StoriPowys, Powys County Council’s cultural services. </w:t>
      </w:r>
    </w:p>
    <w:p w14:paraId="5C6732E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A review of academic and professional literature identified successful income generation activities in cultural services worldwide, and explored themes of strategy, sustainability, and the impact of technology. Qualitative research, in the form of semi-structured interviews, was undertaken with a sample of ten participants, purposively selected from supporters of Powys’ libraries and museums. Findings from an inductive, thematic analysis of interview transcripts were used to determine the appetite for, and feasibility of, implementing these fundraising initiatives in Powys.</w:t>
      </w:r>
    </w:p>
    <w:p w14:paraId="7E182FA3"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Data analysis generated themes around the protection of core services, ownership, and engagement. Findings indicate that whilst participants were largely supportive of fundraising initiatives, delivery of core services and the service ethos should not be compromised in the process. A desire for public value creation and social return on investment were highlighted as drivers for donor investment, and an emphasis on benefits for communities and localities, cocreation, and collaboration. Additional findings concerned the broad audience base for StoriPowys, and the need to cater to the library customer as well as the museum visitor. A distinction too between the digital- and non-digital audience, as separate markets to target. The importance of communication was apparent, as were themes of transparency and accountability for funds.</w:t>
      </w:r>
    </w:p>
    <w:p w14:paraId="00AB71B0" w14:textId="00E8861E" w:rsidR="00544AB0" w:rsidRDefault="001C691C" w:rsidP="001C691C">
      <w:pPr>
        <w:spacing w:line="480" w:lineRule="auto"/>
        <w:rPr>
          <w:rFonts w:ascii="Arial" w:hAnsi="Arial" w:cs="Arial"/>
          <w:sz w:val="24"/>
          <w:szCs w:val="24"/>
        </w:rPr>
      </w:pPr>
      <w:r w:rsidRPr="001C691C">
        <w:rPr>
          <w:rFonts w:ascii="Arial" w:hAnsi="Arial" w:cs="Arial"/>
          <w:sz w:val="24"/>
          <w:szCs w:val="24"/>
        </w:rPr>
        <w:lastRenderedPageBreak/>
        <w:t xml:space="preserve">Based on the findings, recommendations for the development of income generation strategy have been made, in which 4 key objectives have been identified. These include an investigation into options to ringfence earned income; development of a communications and marketing plan; development of a digital strategy; and a workforce development strategy.  </w:t>
      </w:r>
    </w:p>
    <w:p w14:paraId="2CDE978B" w14:textId="72688C68" w:rsidR="00544AB0" w:rsidRDefault="00544AB0" w:rsidP="00891679">
      <w:pPr>
        <w:spacing w:line="480" w:lineRule="auto"/>
        <w:rPr>
          <w:rFonts w:ascii="Arial" w:hAnsi="Arial" w:cs="Arial"/>
          <w:sz w:val="24"/>
          <w:szCs w:val="24"/>
        </w:rPr>
      </w:pPr>
    </w:p>
    <w:p w14:paraId="2FDF549D" w14:textId="25BDD4FE" w:rsidR="00544AB0" w:rsidRDefault="00544AB0" w:rsidP="00891679">
      <w:pPr>
        <w:spacing w:line="480" w:lineRule="auto"/>
        <w:rPr>
          <w:rFonts w:ascii="Arial" w:hAnsi="Arial" w:cs="Arial"/>
          <w:sz w:val="24"/>
          <w:szCs w:val="24"/>
        </w:rPr>
      </w:pPr>
    </w:p>
    <w:p w14:paraId="7EA0D276" w14:textId="7AB6EFED" w:rsidR="00544AB0" w:rsidRDefault="00544AB0" w:rsidP="00891679">
      <w:pPr>
        <w:spacing w:line="480" w:lineRule="auto"/>
        <w:rPr>
          <w:rFonts w:ascii="Arial" w:hAnsi="Arial" w:cs="Arial"/>
          <w:sz w:val="24"/>
          <w:szCs w:val="24"/>
        </w:rPr>
      </w:pPr>
    </w:p>
    <w:p w14:paraId="571F4910" w14:textId="6642CF4A" w:rsidR="00544AB0" w:rsidRDefault="00544AB0" w:rsidP="00891679">
      <w:pPr>
        <w:spacing w:line="480" w:lineRule="auto"/>
        <w:rPr>
          <w:rFonts w:ascii="Arial" w:hAnsi="Arial" w:cs="Arial"/>
          <w:sz w:val="24"/>
          <w:szCs w:val="24"/>
        </w:rPr>
      </w:pPr>
    </w:p>
    <w:p w14:paraId="2C1739FA" w14:textId="1217FB79" w:rsidR="00544AB0" w:rsidRDefault="00544AB0" w:rsidP="00891679">
      <w:pPr>
        <w:spacing w:line="480" w:lineRule="auto"/>
        <w:rPr>
          <w:rFonts w:ascii="Arial" w:hAnsi="Arial" w:cs="Arial"/>
          <w:sz w:val="24"/>
          <w:szCs w:val="24"/>
        </w:rPr>
      </w:pPr>
    </w:p>
    <w:p w14:paraId="3D1707A8" w14:textId="378D8270" w:rsidR="00544AB0" w:rsidRDefault="00544AB0" w:rsidP="00891679">
      <w:pPr>
        <w:spacing w:line="480" w:lineRule="auto"/>
        <w:rPr>
          <w:rFonts w:ascii="Arial" w:hAnsi="Arial" w:cs="Arial"/>
          <w:sz w:val="24"/>
          <w:szCs w:val="24"/>
        </w:rPr>
      </w:pPr>
    </w:p>
    <w:p w14:paraId="4AD1C453" w14:textId="6C65827C" w:rsidR="00544AB0" w:rsidRDefault="00544AB0" w:rsidP="00891679">
      <w:pPr>
        <w:spacing w:line="480" w:lineRule="auto"/>
        <w:rPr>
          <w:rFonts w:ascii="Arial" w:hAnsi="Arial" w:cs="Arial"/>
          <w:sz w:val="24"/>
          <w:szCs w:val="24"/>
        </w:rPr>
      </w:pPr>
    </w:p>
    <w:p w14:paraId="0D4BC330" w14:textId="2E8BD0E5" w:rsidR="00544AB0" w:rsidRDefault="00544AB0" w:rsidP="00891679">
      <w:pPr>
        <w:spacing w:line="480" w:lineRule="auto"/>
        <w:rPr>
          <w:rFonts w:ascii="Arial" w:hAnsi="Arial" w:cs="Arial"/>
          <w:sz w:val="24"/>
          <w:szCs w:val="24"/>
        </w:rPr>
      </w:pPr>
    </w:p>
    <w:p w14:paraId="44D9AD78" w14:textId="6DE0AAFC" w:rsidR="00544AB0" w:rsidRDefault="00544AB0" w:rsidP="00891679">
      <w:pPr>
        <w:spacing w:line="480" w:lineRule="auto"/>
        <w:rPr>
          <w:rFonts w:ascii="Arial" w:hAnsi="Arial" w:cs="Arial"/>
          <w:sz w:val="24"/>
          <w:szCs w:val="24"/>
        </w:rPr>
      </w:pPr>
    </w:p>
    <w:p w14:paraId="5F0C6FF2" w14:textId="7B2F6E0D" w:rsidR="00544AB0" w:rsidRDefault="00544AB0" w:rsidP="00891679">
      <w:pPr>
        <w:spacing w:line="480" w:lineRule="auto"/>
        <w:rPr>
          <w:rFonts w:ascii="Arial" w:hAnsi="Arial" w:cs="Arial"/>
          <w:sz w:val="24"/>
          <w:szCs w:val="24"/>
        </w:rPr>
      </w:pPr>
    </w:p>
    <w:p w14:paraId="659DF270" w14:textId="776AAD7E" w:rsidR="00544AB0" w:rsidRDefault="00544AB0" w:rsidP="00891679">
      <w:pPr>
        <w:spacing w:line="480" w:lineRule="auto"/>
        <w:rPr>
          <w:rFonts w:ascii="Arial" w:hAnsi="Arial" w:cs="Arial"/>
          <w:sz w:val="24"/>
          <w:szCs w:val="24"/>
        </w:rPr>
      </w:pPr>
    </w:p>
    <w:p w14:paraId="528EAFD0" w14:textId="46FB8DE9" w:rsidR="00544AB0" w:rsidRDefault="00544AB0" w:rsidP="00891679">
      <w:pPr>
        <w:spacing w:line="480" w:lineRule="auto"/>
        <w:rPr>
          <w:rFonts w:ascii="Arial" w:hAnsi="Arial" w:cs="Arial"/>
          <w:sz w:val="24"/>
          <w:szCs w:val="24"/>
        </w:rPr>
      </w:pPr>
    </w:p>
    <w:p w14:paraId="3B800B32" w14:textId="3A3A580E" w:rsidR="00544AB0" w:rsidRDefault="00544AB0" w:rsidP="00891679">
      <w:pPr>
        <w:spacing w:line="480" w:lineRule="auto"/>
        <w:rPr>
          <w:rFonts w:ascii="Arial" w:hAnsi="Arial" w:cs="Arial"/>
          <w:sz w:val="24"/>
          <w:szCs w:val="24"/>
        </w:rPr>
      </w:pPr>
    </w:p>
    <w:p w14:paraId="6B50D139" w14:textId="16776422" w:rsidR="00544AB0" w:rsidRDefault="00544AB0" w:rsidP="00891679">
      <w:pPr>
        <w:spacing w:line="480" w:lineRule="auto"/>
        <w:rPr>
          <w:rFonts w:ascii="Arial" w:hAnsi="Arial" w:cs="Arial"/>
          <w:sz w:val="24"/>
          <w:szCs w:val="24"/>
        </w:rPr>
      </w:pPr>
    </w:p>
    <w:p w14:paraId="7D491988" w14:textId="7865648C" w:rsidR="00544AB0" w:rsidRDefault="00544AB0" w:rsidP="00891679">
      <w:pPr>
        <w:spacing w:line="480" w:lineRule="auto"/>
        <w:rPr>
          <w:rFonts w:ascii="Arial" w:hAnsi="Arial" w:cs="Arial"/>
          <w:sz w:val="24"/>
          <w:szCs w:val="24"/>
        </w:rPr>
      </w:pPr>
    </w:p>
    <w:p w14:paraId="64CF4FA9" w14:textId="002FE987" w:rsidR="00544AB0" w:rsidRDefault="00544AB0" w:rsidP="00891679">
      <w:pPr>
        <w:spacing w:line="480" w:lineRule="auto"/>
        <w:rPr>
          <w:rFonts w:ascii="Arial" w:hAnsi="Arial" w:cs="Arial"/>
          <w:sz w:val="24"/>
          <w:szCs w:val="24"/>
        </w:rPr>
      </w:pPr>
    </w:p>
    <w:p w14:paraId="491E9F6F" w14:textId="36D7326E" w:rsidR="00544AB0" w:rsidRDefault="00544AB0" w:rsidP="00891679">
      <w:pPr>
        <w:spacing w:line="480" w:lineRule="auto"/>
        <w:rPr>
          <w:rFonts w:ascii="Arial" w:hAnsi="Arial" w:cs="Arial"/>
          <w:sz w:val="24"/>
          <w:szCs w:val="24"/>
        </w:rPr>
      </w:pPr>
    </w:p>
    <w:sdt>
      <w:sdtPr>
        <w:rPr>
          <w:rFonts w:ascii="Calibri" w:eastAsia="Calibri" w:hAnsi="Calibri" w:cs="Times New Roman"/>
          <w:color w:val="auto"/>
          <w:sz w:val="22"/>
          <w:szCs w:val="22"/>
          <w:lang w:val="en-GB"/>
        </w:rPr>
        <w:id w:val="904347982"/>
        <w:docPartObj>
          <w:docPartGallery w:val="Table of Contents"/>
          <w:docPartUnique/>
        </w:docPartObj>
      </w:sdtPr>
      <w:sdtEndPr>
        <w:rPr>
          <w:b/>
          <w:bCs/>
          <w:noProof/>
        </w:rPr>
      </w:sdtEndPr>
      <w:sdtContent>
        <w:p w14:paraId="5AFCDB9F" w14:textId="4DD26185" w:rsidR="0050764E" w:rsidRDefault="0050764E">
          <w:pPr>
            <w:pStyle w:val="TOCHeading"/>
          </w:pPr>
          <w:r>
            <w:t>Contents</w:t>
          </w:r>
        </w:p>
        <w:p w14:paraId="13A5C72A" w14:textId="22C91F31" w:rsidR="00D81AED" w:rsidRDefault="0050764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3562285" w:history="1">
            <w:r w:rsidR="00D81AED" w:rsidRPr="00F54C9B">
              <w:rPr>
                <w:rStyle w:val="Hyperlink"/>
                <w:rFonts w:ascii="Arial" w:hAnsi="Arial" w:cs="Arial"/>
                <w:noProof/>
              </w:rPr>
              <w:t>Notice of Candidature</w:t>
            </w:r>
            <w:r w:rsidR="00D81AED">
              <w:rPr>
                <w:noProof/>
                <w:webHidden/>
              </w:rPr>
              <w:tab/>
            </w:r>
            <w:r w:rsidR="00D81AED">
              <w:rPr>
                <w:noProof/>
                <w:webHidden/>
              </w:rPr>
              <w:fldChar w:fldCharType="begin"/>
            </w:r>
            <w:r w:rsidR="00D81AED">
              <w:rPr>
                <w:noProof/>
                <w:webHidden/>
              </w:rPr>
              <w:instrText xml:space="preserve"> PAGEREF _Toc123562285 \h </w:instrText>
            </w:r>
            <w:r w:rsidR="00D81AED">
              <w:rPr>
                <w:noProof/>
                <w:webHidden/>
              </w:rPr>
            </w:r>
            <w:r w:rsidR="00D81AED">
              <w:rPr>
                <w:noProof/>
                <w:webHidden/>
              </w:rPr>
              <w:fldChar w:fldCharType="separate"/>
            </w:r>
            <w:r w:rsidR="00D81AED">
              <w:rPr>
                <w:noProof/>
                <w:webHidden/>
              </w:rPr>
              <w:t>1</w:t>
            </w:r>
            <w:r w:rsidR="00D81AED">
              <w:rPr>
                <w:noProof/>
                <w:webHidden/>
              </w:rPr>
              <w:fldChar w:fldCharType="end"/>
            </w:r>
          </w:hyperlink>
        </w:p>
        <w:p w14:paraId="59D644DD" w14:textId="1460C3AA" w:rsidR="00D81AED" w:rsidRDefault="00D81AED">
          <w:pPr>
            <w:pStyle w:val="TOC1"/>
            <w:tabs>
              <w:tab w:val="right" w:leader="dot" w:pos="9016"/>
            </w:tabs>
            <w:rPr>
              <w:rFonts w:asciiTheme="minorHAnsi" w:eastAsiaTheme="minorEastAsia" w:hAnsiTheme="minorHAnsi" w:cstheme="minorBidi"/>
              <w:noProof/>
              <w:lang w:eastAsia="en-GB"/>
            </w:rPr>
          </w:pPr>
          <w:hyperlink w:anchor="_Toc123562286" w:history="1">
            <w:r w:rsidRPr="00F54C9B">
              <w:rPr>
                <w:rStyle w:val="Hyperlink"/>
                <w:rFonts w:ascii="Arial" w:hAnsi="Arial" w:cs="Arial"/>
                <w:noProof/>
              </w:rPr>
              <w:t>Abstract</w:t>
            </w:r>
            <w:r>
              <w:rPr>
                <w:noProof/>
                <w:webHidden/>
              </w:rPr>
              <w:tab/>
            </w:r>
            <w:r>
              <w:rPr>
                <w:noProof/>
                <w:webHidden/>
              </w:rPr>
              <w:fldChar w:fldCharType="begin"/>
            </w:r>
            <w:r>
              <w:rPr>
                <w:noProof/>
                <w:webHidden/>
              </w:rPr>
              <w:instrText xml:space="preserve"> PAGEREF _Toc123562286 \h </w:instrText>
            </w:r>
            <w:r>
              <w:rPr>
                <w:noProof/>
                <w:webHidden/>
              </w:rPr>
            </w:r>
            <w:r>
              <w:rPr>
                <w:noProof/>
                <w:webHidden/>
              </w:rPr>
              <w:fldChar w:fldCharType="separate"/>
            </w:r>
            <w:r>
              <w:rPr>
                <w:noProof/>
                <w:webHidden/>
              </w:rPr>
              <w:t>3</w:t>
            </w:r>
            <w:r>
              <w:rPr>
                <w:noProof/>
                <w:webHidden/>
              </w:rPr>
              <w:fldChar w:fldCharType="end"/>
            </w:r>
          </w:hyperlink>
        </w:p>
        <w:p w14:paraId="0C1CAB61" w14:textId="3FBC2D1A" w:rsidR="00D81AED" w:rsidRDefault="00D81AED">
          <w:pPr>
            <w:pStyle w:val="TOC1"/>
            <w:tabs>
              <w:tab w:val="right" w:leader="dot" w:pos="9016"/>
            </w:tabs>
            <w:rPr>
              <w:rFonts w:asciiTheme="minorHAnsi" w:eastAsiaTheme="minorEastAsia" w:hAnsiTheme="minorHAnsi" w:cstheme="minorBidi"/>
              <w:noProof/>
              <w:lang w:eastAsia="en-GB"/>
            </w:rPr>
          </w:pPr>
          <w:hyperlink w:anchor="_Toc123562287" w:history="1">
            <w:r w:rsidRPr="00F54C9B">
              <w:rPr>
                <w:rStyle w:val="Hyperlink"/>
                <w:rFonts w:ascii="Arial" w:hAnsi="Arial" w:cs="Arial"/>
                <w:noProof/>
              </w:rPr>
              <w:t>List of Appendices</w:t>
            </w:r>
            <w:r>
              <w:rPr>
                <w:noProof/>
                <w:webHidden/>
              </w:rPr>
              <w:tab/>
            </w:r>
            <w:r>
              <w:rPr>
                <w:noProof/>
                <w:webHidden/>
              </w:rPr>
              <w:fldChar w:fldCharType="begin"/>
            </w:r>
            <w:r>
              <w:rPr>
                <w:noProof/>
                <w:webHidden/>
              </w:rPr>
              <w:instrText xml:space="preserve"> PAGEREF _Toc123562287 \h </w:instrText>
            </w:r>
            <w:r>
              <w:rPr>
                <w:noProof/>
                <w:webHidden/>
              </w:rPr>
            </w:r>
            <w:r>
              <w:rPr>
                <w:noProof/>
                <w:webHidden/>
              </w:rPr>
              <w:fldChar w:fldCharType="separate"/>
            </w:r>
            <w:r>
              <w:rPr>
                <w:noProof/>
                <w:webHidden/>
              </w:rPr>
              <w:t>8</w:t>
            </w:r>
            <w:r>
              <w:rPr>
                <w:noProof/>
                <w:webHidden/>
              </w:rPr>
              <w:fldChar w:fldCharType="end"/>
            </w:r>
          </w:hyperlink>
        </w:p>
        <w:p w14:paraId="42E75A97" w14:textId="72E2DBAE" w:rsidR="00D81AED" w:rsidRDefault="00D81AED">
          <w:pPr>
            <w:pStyle w:val="TOC1"/>
            <w:tabs>
              <w:tab w:val="right" w:leader="dot" w:pos="9016"/>
            </w:tabs>
            <w:rPr>
              <w:rFonts w:asciiTheme="minorHAnsi" w:eastAsiaTheme="minorEastAsia" w:hAnsiTheme="minorHAnsi" w:cstheme="minorBidi"/>
              <w:noProof/>
              <w:lang w:eastAsia="en-GB"/>
            </w:rPr>
          </w:pPr>
          <w:hyperlink w:anchor="_Toc123562288" w:history="1">
            <w:r w:rsidRPr="00F54C9B">
              <w:rPr>
                <w:rStyle w:val="Hyperlink"/>
                <w:rFonts w:ascii="Arial" w:hAnsi="Arial" w:cs="Arial"/>
                <w:noProof/>
              </w:rPr>
              <w:t>List of Figures and Tables</w:t>
            </w:r>
            <w:r>
              <w:rPr>
                <w:noProof/>
                <w:webHidden/>
              </w:rPr>
              <w:tab/>
            </w:r>
            <w:r>
              <w:rPr>
                <w:noProof/>
                <w:webHidden/>
              </w:rPr>
              <w:fldChar w:fldCharType="begin"/>
            </w:r>
            <w:r>
              <w:rPr>
                <w:noProof/>
                <w:webHidden/>
              </w:rPr>
              <w:instrText xml:space="preserve"> PAGEREF _Toc123562288 \h </w:instrText>
            </w:r>
            <w:r>
              <w:rPr>
                <w:noProof/>
                <w:webHidden/>
              </w:rPr>
            </w:r>
            <w:r>
              <w:rPr>
                <w:noProof/>
                <w:webHidden/>
              </w:rPr>
              <w:fldChar w:fldCharType="separate"/>
            </w:r>
            <w:r>
              <w:rPr>
                <w:noProof/>
                <w:webHidden/>
              </w:rPr>
              <w:t>8</w:t>
            </w:r>
            <w:r>
              <w:rPr>
                <w:noProof/>
                <w:webHidden/>
              </w:rPr>
              <w:fldChar w:fldCharType="end"/>
            </w:r>
          </w:hyperlink>
        </w:p>
        <w:p w14:paraId="408B2F18" w14:textId="58B3CB4E" w:rsidR="00D81AED" w:rsidRDefault="00D81AED">
          <w:pPr>
            <w:pStyle w:val="TOC1"/>
            <w:tabs>
              <w:tab w:val="right" w:leader="dot" w:pos="9016"/>
            </w:tabs>
            <w:rPr>
              <w:rFonts w:asciiTheme="minorHAnsi" w:eastAsiaTheme="minorEastAsia" w:hAnsiTheme="minorHAnsi" w:cstheme="minorBidi"/>
              <w:noProof/>
              <w:lang w:eastAsia="en-GB"/>
            </w:rPr>
          </w:pPr>
          <w:hyperlink w:anchor="_Toc123562289" w:history="1">
            <w:r w:rsidRPr="00F54C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_Toc123562289 \h </w:instrText>
            </w:r>
            <w:r>
              <w:rPr>
                <w:noProof/>
                <w:webHidden/>
              </w:rPr>
            </w:r>
            <w:r>
              <w:rPr>
                <w:noProof/>
                <w:webHidden/>
              </w:rPr>
              <w:fldChar w:fldCharType="separate"/>
            </w:r>
            <w:r>
              <w:rPr>
                <w:noProof/>
                <w:webHidden/>
              </w:rPr>
              <w:t>9</w:t>
            </w:r>
            <w:r>
              <w:rPr>
                <w:noProof/>
                <w:webHidden/>
              </w:rPr>
              <w:fldChar w:fldCharType="end"/>
            </w:r>
          </w:hyperlink>
        </w:p>
        <w:p w14:paraId="369A7633" w14:textId="72B1A9E5" w:rsidR="00D81AED" w:rsidRDefault="00D81AED">
          <w:pPr>
            <w:pStyle w:val="TOC2"/>
            <w:tabs>
              <w:tab w:val="right" w:leader="dot" w:pos="9016"/>
            </w:tabs>
            <w:rPr>
              <w:rFonts w:asciiTheme="minorHAnsi" w:eastAsiaTheme="minorEastAsia" w:hAnsiTheme="minorHAnsi" w:cstheme="minorBidi"/>
              <w:noProof/>
              <w:lang w:eastAsia="en-GB"/>
            </w:rPr>
          </w:pPr>
          <w:hyperlink w:anchor="_Toc123562290" w:history="1">
            <w:r w:rsidRPr="00F54C9B">
              <w:rPr>
                <w:rStyle w:val="Hyperlink"/>
                <w:rFonts w:ascii="Arial" w:hAnsi="Arial" w:cs="Arial"/>
                <w:noProof/>
              </w:rPr>
              <w:t>Background</w:t>
            </w:r>
            <w:r>
              <w:rPr>
                <w:noProof/>
                <w:webHidden/>
              </w:rPr>
              <w:tab/>
            </w:r>
            <w:r>
              <w:rPr>
                <w:noProof/>
                <w:webHidden/>
              </w:rPr>
              <w:fldChar w:fldCharType="begin"/>
            </w:r>
            <w:r>
              <w:rPr>
                <w:noProof/>
                <w:webHidden/>
              </w:rPr>
              <w:instrText xml:space="preserve"> PAGEREF _Toc123562290 \h </w:instrText>
            </w:r>
            <w:r>
              <w:rPr>
                <w:noProof/>
                <w:webHidden/>
              </w:rPr>
            </w:r>
            <w:r>
              <w:rPr>
                <w:noProof/>
                <w:webHidden/>
              </w:rPr>
              <w:fldChar w:fldCharType="separate"/>
            </w:r>
            <w:r>
              <w:rPr>
                <w:noProof/>
                <w:webHidden/>
              </w:rPr>
              <w:t>9</w:t>
            </w:r>
            <w:r>
              <w:rPr>
                <w:noProof/>
                <w:webHidden/>
              </w:rPr>
              <w:fldChar w:fldCharType="end"/>
            </w:r>
          </w:hyperlink>
        </w:p>
        <w:p w14:paraId="5EB54B22" w14:textId="7246E650" w:rsidR="00D81AED" w:rsidRDefault="00D81AED">
          <w:pPr>
            <w:pStyle w:val="TOC2"/>
            <w:tabs>
              <w:tab w:val="right" w:leader="dot" w:pos="9016"/>
            </w:tabs>
            <w:rPr>
              <w:rFonts w:asciiTheme="minorHAnsi" w:eastAsiaTheme="minorEastAsia" w:hAnsiTheme="minorHAnsi" w:cstheme="minorBidi"/>
              <w:noProof/>
              <w:lang w:eastAsia="en-GB"/>
            </w:rPr>
          </w:pPr>
          <w:hyperlink w:anchor="_Toc123562291" w:history="1">
            <w:r w:rsidRPr="00F54C9B">
              <w:rPr>
                <w:rStyle w:val="Hyperlink"/>
                <w:rFonts w:ascii="Arial" w:hAnsi="Arial" w:cs="Arial"/>
                <w:noProof/>
              </w:rPr>
              <w:t>Research Aim and Objectives</w:t>
            </w:r>
            <w:r>
              <w:rPr>
                <w:noProof/>
                <w:webHidden/>
              </w:rPr>
              <w:tab/>
            </w:r>
            <w:r>
              <w:rPr>
                <w:noProof/>
                <w:webHidden/>
              </w:rPr>
              <w:fldChar w:fldCharType="begin"/>
            </w:r>
            <w:r>
              <w:rPr>
                <w:noProof/>
                <w:webHidden/>
              </w:rPr>
              <w:instrText xml:space="preserve"> PAGEREF _Toc123562291 \h </w:instrText>
            </w:r>
            <w:r>
              <w:rPr>
                <w:noProof/>
                <w:webHidden/>
              </w:rPr>
            </w:r>
            <w:r>
              <w:rPr>
                <w:noProof/>
                <w:webHidden/>
              </w:rPr>
              <w:fldChar w:fldCharType="separate"/>
            </w:r>
            <w:r>
              <w:rPr>
                <w:noProof/>
                <w:webHidden/>
              </w:rPr>
              <w:t>11</w:t>
            </w:r>
            <w:r>
              <w:rPr>
                <w:noProof/>
                <w:webHidden/>
              </w:rPr>
              <w:fldChar w:fldCharType="end"/>
            </w:r>
          </w:hyperlink>
        </w:p>
        <w:p w14:paraId="6C103190" w14:textId="3DA4F482" w:rsidR="00D81AED" w:rsidRDefault="00D81AED">
          <w:pPr>
            <w:pStyle w:val="TOC2"/>
            <w:tabs>
              <w:tab w:val="right" w:leader="dot" w:pos="9016"/>
            </w:tabs>
            <w:rPr>
              <w:rFonts w:asciiTheme="minorHAnsi" w:eastAsiaTheme="minorEastAsia" w:hAnsiTheme="minorHAnsi" w:cstheme="minorBidi"/>
              <w:noProof/>
              <w:lang w:eastAsia="en-GB"/>
            </w:rPr>
          </w:pPr>
          <w:hyperlink w:anchor="_Toc123562292" w:history="1">
            <w:r w:rsidRPr="00F54C9B">
              <w:rPr>
                <w:rStyle w:val="Hyperlink"/>
                <w:rFonts w:ascii="Arial" w:eastAsiaTheme="minorHAnsi" w:hAnsi="Arial" w:cs="Arial"/>
                <w:noProof/>
              </w:rPr>
              <w:t>Research Questions</w:t>
            </w:r>
            <w:r>
              <w:rPr>
                <w:noProof/>
                <w:webHidden/>
              </w:rPr>
              <w:tab/>
            </w:r>
            <w:r>
              <w:rPr>
                <w:noProof/>
                <w:webHidden/>
              </w:rPr>
              <w:fldChar w:fldCharType="begin"/>
            </w:r>
            <w:r>
              <w:rPr>
                <w:noProof/>
                <w:webHidden/>
              </w:rPr>
              <w:instrText xml:space="preserve"> PAGEREF _Toc123562292 \h </w:instrText>
            </w:r>
            <w:r>
              <w:rPr>
                <w:noProof/>
                <w:webHidden/>
              </w:rPr>
            </w:r>
            <w:r>
              <w:rPr>
                <w:noProof/>
                <w:webHidden/>
              </w:rPr>
              <w:fldChar w:fldCharType="separate"/>
            </w:r>
            <w:r>
              <w:rPr>
                <w:noProof/>
                <w:webHidden/>
              </w:rPr>
              <w:t>12</w:t>
            </w:r>
            <w:r>
              <w:rPr>
                <w:noProof/>
                <w:webHidden/>
              </w:rPr>
              <w:fldChar w:fldCharType="end"/>
            </w:r>
          </w:hyperlink>
        </w:p>
        <w:p w14:paraId="444A55D3" w14:textId="14967C0F" w:rsidR="00D81AED" w:rsidRDefault="00D81AED">
          <w:pPr>
            <w:pStyle w:val="TOC2"/>
            <w:tabs>
              <w:tab w:val="right" w:leader="dot" w:pos="9016"/>
            </w:tabs>
            <w:rPr>
              <w:rFonts w:asciiTheme="minorHAnsi" w:eastAsiaTheme="minorEastAsia" w:hAnsiTheme="minorHAnsi" w:cstheme="minorBidi"/>
              <w:noProof/>
              <w:lang w:eastAsia="en-GB"/>
            </w:rPr>
          </w:pPr>
          <w:hyperlink w:anchor="_Toc123562293" w:history="1">
            <w:r w:rsidRPr="00F54C9B">
              <w:rPr>
                <w:rStyle w:val="Hyperlink"/>
                <w:rFonts w:ascii="Arial" w:hAnsi="Arial" w:cs="Arial"/>
                <w:noProof/>
              </w:rPr>
              <w:t>Rationale</w:t>
            </w:r>
            <w:r>
              <w:rPr>
                <w:noProof/>
                <w:webHidden/>
              </w:rPr>
              <w:tab/>
            </w:r>
            <w:r>
              <w:rPr>
                <w:noProof/>
                <w:webHidden/>
              </w:rPr>
              <w:fldChar w:fldCharType="begin"/>
            </w:r>
            <w:r>
              <w:rPr>
                <w:noProof/>
                <w:webHidden/>
              </w:rPr>
              <w:instrText xml:space="preserve"> PAGEREF _Toc123562293 \h </w:instrText>
            </w:r>
            <w:r>
              <w:rPr>
                <w:noProof/>
                <w:webHidden/>
              </w:rPr>
            </w:r>
            <w:r>
              <w:rPr>
                <w:noProof/>
                <w:webHidden/>
              </w:rPr>
              <w:fldChar w:fldCharType="separate"/>
            </w:r>
            <w:r>
              <w:rPr>
                <w:noProof/>
                <w:webHidden/>
              </w:rPr>
              <w:t>12</w:t>
            </w:r>
            <w:r>
              <w:rPr>
                <w:noProof/>
                <w:webHidden/>
              </w:rPr>
              <w:fldChar w:fldCharType="end"/>
            </w:r>
          </w:hyperlink>
        </w:p>
        <w:p w14:paraId="72CB6ADF" w14:textId="71DE762D" w:rsidR="00D81AED" w:rsidRDefault="00D81AED">
          <w:pPr>
            <w:pStyle w:val="TOC2"/>
            <w:tabs>
              <w:tab w:val="right" w:leader="dot" w:pos="9016"/>
            </w:tabs>
            <w:rPr>
              <w:rFonts w:asciiTheme="minorHAnsi" w:eastAsiaTheme="minorEastAsia" w:hAnsiTheme="minorHAnsi" w:cstheme="minorBidi"/>
              <w:noProof/>
              <w:lang w:eastAsia="en-GB"/>
            </w:rPr>
          </w:pPr>
          <w:hyperlink w:anchor="_Toc123562294" w:history="1">
            <w:r w:rsidRPr="00F54C9B">
              <w:rPr>
                <w:rStyle w:val="Hyperlink"/>
                <w:rFonts w:ascii="Arial" w:hAnsi="Arial" w:cs="Arial"/>
                <w:noProof/>
              </w:rPr>
              <w:t>Research Structure</w:t>
            </w:r>
            <w:r>
              <w:rPr>
                <w:noProof/>
                <w:webHidden/>
              </w:rPr>
              <w:tab/>
            </w:r>
            <w:r>
              <w:rPr>
                <w:noProof/>
                <w:webHidden/>
              </w:rPr>
              <w:fldChar w:fldCharType="begin"/>
            </w:r>
            <w:r>
              <w:rPr>
                <w:noProof/>
                <w:webHidden/>
              </w:rPr>
              <w:instrText xml:space="preserve"> PAGEREF _Toc123562294 \h </w:instrText>
            </w:r>
            <w:r>
              <w:rPr>
                <w:noProof/>
                <w:webHidden/>
              </w:rPr>
            </w:r>
            <w:r>
              <w:rPr>
                <w:noProof/>
                <w:webHidden/>
              </w:rPr>
              <w:fldChar w:fldCharType="separate"/>
            </w:r>
            <w:r>
              <w:rPr>
                <w:noProof/>
                <w:webHidden/>
              </w:rPr>
              <w:t>14</w:t>
            </w:r>
            <w:r>
              <w:rPr>
                <w:noProof/>
                <w:webHidden/>
              </w:rPr>
              <w:fldChar w:fldCharType="end"/>
            </w:r>
          </w:hyperlink>
        </w:p>
        <w:p w14:paraId="00CFEA72" w14:textId="6BA73D56" w:rsidR="00D81AED" w:rsidRDefault="00D81AED">
          <w:pPr>
            <w:pStyle w:val="TOC1"/>
            <w:tabs>
              <w:tab w:val="right" w:leader="dot" w:pos="9016"/>
            </w:tabs>
            <w:rPr>
              <w:rFonts w:asciiTheme="minorHAnsi" w:eastAsiaTheme="minorEastAsia" w:hAnsiTheme="minorHAnsi" w:cstheme="minorBidi"/>
              <w:noProof/>
              <w:lang w:eastAsia="en-GB"/>
            </w:rPr>
          </w:pPr>
          <w:hyperlink w:anchor="_Toc123562295" w:history="1">
            <w:r w:rsidRPr="00F54C9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_Toc123562295 \h </w:instrText>
            </w:r>
            <w:r>
              <w:rPr>
                <w:noProof/>
                <w:webHidden/>
              </w:rPr>
            </w:r>
            <w:r>
              <w:rPr>
                <w:noProof/>
                <w:webHidden/>
              </w:rPr>
              <w:fldChar w:fldCharType="separate"/>
            </w:r>
            <w:r>
              <w:rPr>
                <w:noProof/>
                <w:webHidden/>
              </w:rPr>
              <w:t>15</w:t>
            </w:r>
            <w:r>
              <w:rPr>
                <w:noProof/>
                <w:webHidden/>
              </w:rPr>
              <w:fldChar w:fldCharType="end"/>
            </w:r>
          </w:hyperlink>
        </w:p>
        <w:p w14:paraId="4361CD96" w14:textId="0461D6F9" w:rsidR="00D81AED" w:rsidRDefault="00D81AED">
          <w:pPr>
            <w:pStyle w:val="TOC2"/>
            <w:tabs>
              <w:tab w:val="right" w:leader="dot" w:pos="9016"/>
            </w:tabs>
            <w:rPr>
              <w:rFonts w:asciiTheme="minorHAnsi" w:eastAsiaTheme="minorEastAsia" w:hAnsiTheme="minorHAnsi" w:cstheme="minorBidi"/>
              <w:noProof/>
              <w:lang w:eastAsia="en-GB"/>
            </w:rPr>
          </w:pPr>
          <w:hyperlink w:anchor="_Toc123562296" w:history="1">
            <w:r w:rsidRPr="00F54C9B">
              <w:rPr>
                <w:rStyle w:val="Hyperlink"/>
                <w:rFonts w:ascii="Arial" w:eastAsiaTheme="minorHAnsi" w:hAnsi="Arial" w:cs="Arial"/>
                <w:noProof/>
              </w:rPr>
              <w:t>Introduction</w:t>
            </w:r>
            <w:r>
              <w:rPr>
                <w:noProof/>
                <w:webHidden/>
              </w:rPr>
              <w:tab/>
            </w:r>
            <w:r>
              <w:rPr>
                <w:noProof/>
                <w:webHidden/>
              </w:rPr>
              <w:fldChar w:fldCharType="begin"/>
            </w:r>
            <w:r>
              <w:rPr>
                <w:noProof/>
                <w:webHidden/>
              </w:rPr>
              <w:instrText xml:space="preserve"> PAGEREF _Toc123562296 \h </w:instrText>
            </w:r>
            <w:r>
              <w:rPr>
                <w:noProof/>
                <w:webHidden/>
              </w:rPr>
            </w:r>
            <w:r>
              <w:rPr>
                <w:noProof/>
                <w:webHidden/>
              </w:rPr>
              <w:fldChar w:fldCharType="separate"/>
            </w:r>
            <w:r>
              <w:rPr>
                <w:noProof/>
                <w:webHidden/>
              </w:rPr>
              <w:t>15</w:t>
            </w:r>
            <w:r>
              <w:rPr>
                <w:noProof/>
                <w:webHidden/>
              </w:rPr>
              <w:fldChar w:fldCharType="end"/>
            </w:r>
          </w:hyperlink>
        </w:p>
        <w:p w14:paraId="1A18D9D9" w14:textId="555FCDCF" w:rsidR="00D81AED" w:rsidRDefault="00D81AED">
          <w:pPr>
            <w:pStyle w:val="TOC2"/>
            <w:tabs>
              <w:tab w:val="right" w:leader="dot" w:pos="9016"/>
            </w:tabs>
            <w:rPr>
              <w:rFonts w:asciiTheme="minorHAnsi" w:eastAsiaTheme="minorEastAsia" w:hAnsiTheme="minorHAnsi" w:cstheme="minorBidi"/>
              <w:noProof/>
              <w:lang w:eastAsia="en-GB"/>
            </w:rPr>
          </w:pPr>
          <w:hyperlink w:anchor="_Toc123562297" w:history="1">
            <w:r w:rsidRPr="00F54C9B">
              <w:rPr>
                <w:rStyle w:val="Hyperlink"/>
                <w:rFonts w:ascii="Arial" w:eastAsiaTheme="minorHAnsi" w:hAnsi="Arial" w:cs="Arial"/>
                <w:noProof/>
              </w:rPr>
              <w:t>Grassroots and ad hoc Activity</w:t>
            </w:r>
            <w:r>
              <w:rPr>
                <w:noProof/>
                <w:webHidden/>
              </w:rPr>
              <w:tab/>
            </w:r>
            <w:r>
              <w:rPr>
                <w:noProof/>
                <w:webHidden/>
              </w:rPr>
              <w:fldChar w:fldCharType="begin"/>
            </w:r>
            <w:r>
              <w:rPr>
                <w:noProof/>
                <w:webHidden/>
              </w:rPr>
              <w:instrText xml:space="preserve"> PAGEREF _Toc123562297 \h </w:instrText>
            </w:r>
            <w:r>
              <w:rPr>
                <w:noProof/>
                <w:webHidden/>
              </w:rPr>
            </w:r>
            <w:r>
              <w:rPr>
                <w:noProof/>
                <w:webHidden/>
              </w:rPr>
              <w:fldChar w:fldCharType="separate"/>
            </w:r>
            <w:r>
              <w:rPr>
                <w:noProof/>
                <w:webHidden/>
              </w:rPr>
              <w:t>16</w:t>
            </w:r>
            <w:r>
              <w:rPr>
                <w:noProof/>
                <w:webHidden/>
              </w:rPr>
              <w:fldChar w:fldCharType="end"/>
            </w:r>
          </w:hyperlink>
        </w:p>
        <w:p w14:paraId="466A1D6B" w14:textId="7192A018" w:rsidR="00D81AED" w:rsidRDefault="00D81AED">
          <w:pPr>
            <w:pStyle w:val="TOC2"/>
            <w:tabs>
              <w:tab w:val="right" w:leader="dot" w:pos="9016"/>
            </w:tabs>
            <w:rPr>
              <w:rFonts w:asciiTheme="minorHAnsi" w:eastAsiaTheme="minorEastAsia" w:hAnsiTheme="minorHAnsi" w:cstheme="minorBidi"/>
              <w:noProof/>
              <w:lang w:eastAsia="en-GB"/>
            </w:rPr>
          </w:pPr>
          <w:hyperlink w:anchor="_Toc123562298" w:history="1">
            <w:r w:rsidRPr="00F54C9B">
              <w:rPr>
                <w:rStyle w:val="Hyperlink"/>
                <w:rFonts w:ascii="Arial" w:eastAsiaTheme="minorHAnsi" w:hAnsi="Arial" w:cs="Arial"/>
                <w:noProof/>
              </w:rPr>
              <w:t>Membership Models</w:t>
            </w:r>
            <w:r>
              <w:rPr>
                <w:noProof/>
                <w:webHidden/>
              </w:rPr>
              <w:tab/>
            </w:r>
            <w:r>
              <w:rPr>
                <w:noProof/>
                <w:webHidden/>
              </w:rPr>
              <w:fldChar w:fldCharType="begin"/>
            </w:r>
            <w:r>
              <w:rPr>
                <w:noProof/>
                <w:webHidden/>
              </w:rPr>
              <w:instrText xml:space="preserve"> PAGEREF _Toc123562298 \h </w:instrText>
            </w:r>
            <w:r>
              <w:rPr>
                <w:noProof/>
                <w:webHidden/>
              </w:rPr>
            </w:r>
            <w:r>
              <w:rPr>
                <w:noProof/>
                <w:webHidden/>
              </w:rPr>
              <w:fldChar w:fldCharType="separate"/>
            </w:r>
            <w:r>
              <w:rPr>
                <w:noProof/>
                <w:webHidden/>
              </w:rPr>
              <w:t>17</w:t>
            </w:r>
            <w:r>
              <w:rPr>
                <w:noProof/>
                <w:webHidden/>
              </w:rPr>
              <w:fldChar w:fldCharType="end"/>
            </w:r>
          </w:hyperlink>
        </w:p>
        <w:p w14:paraId="6FF76590" w14:textId="4B503BCA" w:rsidR="00D81AED" w:rsidRDefault="00D81AED">
          <w:pPr>
            <w:pStyle w:val="TOC2"/>
            <w:tabs>
              <w:tab w:val="right" w:leader="dot" w:pos="9016"/>
            </w:tabs>
            <w:rPr>
              <w:rFonts w:asciiTheme="minorHAnsi" w:eastAsiaTheme="minorEastAsia" w:hAnsiTheme="minorHAnsi" w:cstheme="minorBidi"/>
              <w:noProof/>
              <w:lang w:eastAsia="en-GB"/>
            </w:rPr>
          </w:pPr>
          <w:hyperlink w:anchor="_Toc123562299" w:history="1">
            <w:r w:rsidRPr="00F54C9B">
              <w:rPr>
                <w:rStyle w:val="Hyperlink"/>
                <w:rFonts w:ascii="Arial" w:eastAsiaTheme="minorHAnsi" w:hAnsi="Arial" w:cs="Arial"/>
                <w:noProof/>
              </w:rPr>
              <w:t>Commercialism</w:t>
            </w:r>
            <w:r>
              <w:rPr>
                <w:noProof/>
                <w:webHidden/>
              </w:rPr>
              <w:tab/>
            </w:r>
            <w:r>
              <w:rPr>
                <w:noProof/>
                <w:webHidden/>
              </w:rPr>
              <w:fldChar w:fldCharType="begin"/>
            </w:r>
            <w:r>
              <w:rPr>
                <w:noProof/>
                <w:webHidden/>
              </w:rPr>
              <w:instrText xml:space="preserve"> PAGEREF _Toc123562299 \h </w:instrText>
            </w:r>
            <w:r>
              <w:rPr>
                <w:noProof/>
                <w:webHidden/>
              </w:rPr>
            </w:r>
            <w:r>
              <w:rPr>
                <w:noProof/>
                <w:webHidden/>
              </w:rPr>
              <w:fldChar w:fldCharType="separate"/>
            </w:r>
            <w:r>
              <w:rPr>
                <w:noProof/>
                <w:webHidden/>
              </w:rPr>
              <w:t>18</w:t>
            </w:r>
            <w:r>
              <w:rPr>
                <w:noProof/>
                <w:webHidden/>
              </w:rPr>
              <w:fldChar w:fldCharType="end"/>
            </w:r>
          </w:hyperlink>
        </w:p>
        <w:p w14:paraId="01004166" w14:textId="51FD205B" w:rsidR="00D81AED" w:rsidRDefault="00D81AED">
          <w:pPr>
            <w:pStyle w:val="TOC2"/>
            <w:tabs>
              <w:tab w:val="right" w:leader="dot" w:pos="9016"/>
            </w:tabs>
            <w:rPr>
              <w:rFonts w:asciiTheme="minorHAnsi" w:eastAsiaTheme="minorEastAsia" w:hAnsiTheme="minorHAnsi" w:cstheme="minorBidi"/>
              <w:noProof/>
              <w:lang w:eastAsia="en-GB"/>
            </w:rPr>
          </w:pPr>
          <w:hyperlink w:anchor="_Toc123562300" w:history="1">
            <w:r w:rsidRPr="00F54C9B">
              <w:rPr>
                <w:rStyle w:val="Hyperlink"/>
                <w:rFonts w:ascii="Arial" w:eastAsiaTheme="minorHAnsi" w:hAnsi="Arial" w:cs="Arial"/>
                <w:noProof/>
              </w:rPr>
              <w:t>Corporate Support</w:t>
            </w:r>
            <w:r>
              <w:rPr>
                <w:noProof/>
                <w:webHidden/>
              </w:rPr>
              <w:tab/>
            </w:r>
            <w:r>
              <w:rPr>
                <w:noProof/>
                <w:webHidden/>
              </w:rPr>
              <w:fldChar w:fldCharType="begin"/>
            </w:r>
            <w:r>
              <w:rPr>
                <w:noProof/>
                <w:webHidden/>
              </w:rPr>
              <w:instrText xml:space="preserve"> PAGEREF _Toc123562300 \h </w:instrText>
            </w:r>
            <w:r>
              <w:rPr>
                <w:noProof/>
                <w:webHidden/>
              </w:rPr>
            </w:r>
            <w:r>
              <w:rPr>
                <w:noProof/>
                <w:webHidden/>
              </w:rPr>
              <w:fldChar w:fldCharType="separate"/>
            </w:r>
            <w:r>
              <w:rPr>
                <w:noProof/>
                <w:webHidden/>
              </w:rPr>
              <w:t>22</w:t>
            </w:r>
            <w:r>
              <w:rPr>
                <w:noProof/>
                <w:webHidden/>
              </w:rPr>
              <w:fldChar w:fldCharType="end"/>
            </w:r>
          </w:hyperlink>
        </w:p>
        <w:p w14:paraId="01D991BE" w14:textId="5B678114" w:rsidR="00D81AED" w:rsidRDefault="00D81AED">
          <w:pPr>
            <w:pStyle w:val="TOC2"/>
            <w:tabs>
              <w:tab w:val="right" w:leader="dot" w:pos="9016"/>
            </w:tabs>
            <w:rPr>
              <w:rFonts w:asciiTheme="minorHAnsi" w:eastAsiaTheme="minorEastAsia" w:hAnsiTheme="minorHAnsi" w:cstheme="minorBidi"/>
              <w:noProof/>
              <w:lang w:eastAsia="en-GB"/>
            </w:rPr>
          </w:pPr>
          <w:hyperlink w:anchor="_Toc123562301" w:history="1">
            <w:r w:rsidRPr="00F54C9B">
              <w:rPr>
                <w:rStyle w:val="Hyperlink"/>
                <w:rFonts w:ascii="Arial" w:eastAsiaTheme="minorHAnsi" w:hAnsi="Arial" w:cs="Arial"/>
                <w:noProof/>
              </w:rPr>
              <w:t>Development Trusts and Friends Groups</w:t>
            </w:r>
            <w:r>
              <w:rPr>
                <w:noProof/>
                <w:webHidden/>
              </w:rPr>
              <w:tab/>
            </w:r>
            <w:r>
              <w:rPr>
                <w:noProof/>
                <w:webHidden/>
              </w:rPr>
              <w:fldChar w:fldCharType="begin"/>
            </w:r>
            <w:r>
              <w:rPr>
                <w:noProof/>
                <w:webHidden/>
              </w:rPr>
              <w:instrText xml:space="preserve"> PAGEREF _Toc123562301 \h </w:instrText>
            </w:r>
            <w:r>
              <w:rPr>
                <w:noProof/>
                <w:webHidden/>
              </w:rPr>
            </w:r>
            <w:r>
              <w:rPr>
                <w:noProof/>
                <w:webHidden/>
              </w:rPr>
              <w:fldChar w:fldCharType="separate"/>
            </w:r>
            <w:r>
              <w:rPr>
                <w:noProof/>
                <w:webHidden/>
              </w:rPr>
              <w:t>23</w:t>
            </w:r>
            <w:r>
              <w:rPr>
                <w:noProof/>
                <w:webHidden/>
              </w:rPr>
              <w:fldChar w:fldCharType="end"/>
            </w:r>
          </w:hyperlink>
        </w:p>
        <w:p w14:paraId="12B8D588" w14:textId="01D55DE5" w:rsidR="00D81AED" w:rsidRDefault="00D81AED">
          <w:pPr>
            <w:pStyle w:val="TOC2"/>
            <w:tabs>
              <w:tab w:val="right" w:leader="dot" w:pos="9016"/>
            </w:tabs>
            <w:rPr>
              <w:rFonts w:asciiTheme="minorHAnsi" w:eastAsiaTheme="minorEastAsia" w:hAnsiTheme="minorHAnsi" w:cstheme="minorBidi"/>
              <w:noProof/>
              <w:lang w:eastAsia="en-GB"/>
            </w:rPr>
          </w:pPr>
          <w:hyperlink w:anchor="_Toc123562302" w:history="1">
            <w:r w:rsidRPr="00F54C9B">
              <w:rPr>
                <w:rStyle w:val="Hyperlink"/>
                <w:rFonts w:ascii="Arial" w:eastAsiaTheme="minorHAnsi" w:hAnsi="Arial" w:cs="Arial"/>
                <w:noProof/>
              </w:rPr>
              <w:t>Digital Developments</w:t>
            </w:r>
            <w:r>
              <w:rPr>
                <w:noProof/>
                <w:webHidden/>
              </w:rPr>
              <w:tab/>
            </w:r>
            <w:r>
              <w:rPr>
                <w:noProof/>
                <w:webHidden/>
              </w:rPr>
              <w:fldChar w:fldCharType="begin"/>
            </w:r>
            <w:r>
              <w:rPr>
                <w:noProof/>
                <w:webHidden/>
              </w:rPr>
              <w:instrText xml:space="preserve"> PAGEREF _Toc123562302 \h </w:instrText>
            </w:r>
            <w:r>
              <w:rPr>
                <w:noProof/>
                <w:webHidden/>
              </w:rPr>
            </w:r>
            <w:r>
              <w:rPr>
                <w:noProof/>
                <w:webHidden/>
              </w:rPr>
              <w:fldChar w:fldCharType="separate"/>
            </w:r>
            <w:r>
              <w:rPr>
                <w:noProof/>
                <w:webHidden/>
              </w:rPr>
              <w:t>26</w:t>
            </w:r>
            <w:r>
              <w:rPr>
                <w:noProof/>
                <w:webHidden/>
              </w:rPr>
              <w:fldChar w:fldCharType="end"/>
            </w:r>
          </w:hyperlink>
        </w:p>
        <w:p w14:paraId="57E48786" w14:textId="29912E77" w:rsidR="00D81AED" w:rsidRDefault="00D81AED">
          <w:pPr>
            <w:pStyle w:val="TOC2"/>
            <w:tabs>
              <w:tab w:val="right" w:leader="dot" w:pos="9016"/>
            </w:tabs>
            <w:rPr>
              <w:rFonts w:asciiTheme="minorHAnsi" w:eastAsiaTheme="minorEastAsia" w:hAnsiTheme="minorHAnsi" w:cstheme="minorBidi"/>
              <w:noProof/>
              <w:lang w:eastAsia="en-GB"/>
            </w:rPr>
          </w:pPr>
          <w:hyperlink w:anchor="_Toc123562303" w:history="1">
            <w:r w:rsidRPr="00F54C9B">
              <w:rPr>
                <w:rStyle w:val="Hyperlink"/>
                <w:rFonts w:ascii="Arial" w:eastAsiaTheme="minorHAnsi" w:hAnsi="Arial" w:cs="Arial"/>
                <w:noProof/>
              </w:rPr>
              <w:t>Crowdfunding</w:t>
            </w:r>
            <w:r>
              <w:rPr>
                <w:noProof/>
                <w:webHidden/>
              </w:rPr>
              <w:tab/>
            </w:r>
            <w:r>
              <w:rPr>
                <w:noProof/>
                <w:webHidden/>
              </w:rPr>
              <w:fldChar w:fldCharType="begin"/>
            </w:r>
            <w:r>
              <w:rPr>
                <w:noProof/>
                <w:webHidden/>
              </w:rPr>
              <w:instrText xml:space="preserve"> PAGEREF _Toc123562303 \h </w:instrText>
            </w:r>
            <w:r>
              <w:rPr>
                <w:noProof/>
                <w:webHidden/>
              </w:rPr>
            </w:r>
            <w:r>
              <w:rPr>
                <w:noProof/>
                <w:webHidden/>
              </w:rPr>
              <w:fldChar w:fldCharType="separate"/>
            </w:r>
            <w:r>
              <w:rPr>
                <w:noProof/>
                <w:webHidden/>
              </w:rPr>
              <w:t>28</w:t>
            </w:r>
            <w:r>
              <w:rPr>
                <w:noProof/>
                <w:webHidden/>
              </w:rPr>
              <w:fldChar w:fldCharType="end"/>
            </w:r>
          </w:hyperlink>
        </w:p>
        <w:p w14:paraId="75300B50" w14:textId="6920E1D1" w:rsidR="00D81AED" w:rsidRDefault="00D81AED">
          <w:pPr>
            <w:pStyle w:val="TOC2"/>
            <w:tabs>
              <w:tab w:val="right" w:leader="dot" w:pos="9016"/>
            </w:tabs>
            <w:rPr>
              <w:rFonts w:asciiTheme="minorHAnsi" w:eastAsiaTheme="minorEastAsia" w:hAnsiTheme="minorHAnsi" w:cstheme="minorBidi"/>
              <w:noProof/>
              <w:lang w:eastAsia="en-GB"/>
            </w:rPr>
          </w:pPr>
          <w:hyperlink w:anchor="_Toc123562304" w:history="1">
            <w:r w:rsidRPr="00F54C9B">
              <w:rPr>
                <w:rStyle w:val="Hyperlink"/>
                <w:rFonts w:ascii="Arial" w:eastAsiaTheme="minorHAnsi" w:hAnsi="Arial" w:cs="Arial"/>
                <w:noProof/>
              </w:rPr>
              <w:t>Strategy</w:t>
            </w:r>
            <w:r>
              <w:rPr>
                <w:noProof/>
                <w:webHidden/>
              </w:rPr>
              <w:tab/>
            </w:r>
            <w:r>
              <w:rPr>
                <w:noProof/>
                <w:webHidden/>
              </w:rPr>
              <w:fldChar w:fldCharType="begin"/>
            </w:r>
            <w:r>
              <w:rPr>
                <w:noProof/>
                <w:webHidden/>
              </w:rPr>
              <w:instrText xml:space="preserve"> PAGEREF _Toc123562304 \h </w:instrText>
            </w:r>
            <w:r>
              <w:rPr>
                <w:noProof/>
                <w:webHidden/>
              </w:rPr>
            </w:r>
            <w:r>
              <w:rPr>
                <w:noProof/>
                <w:webHidden/>
              </w:rPr>
              <w:fldChar w:fldCharType="separate"/>
            </w:r>
            <w:r>
              <w:rPr>
                <w:noProof/>
                <w:webHidden/>
              </w:rPr>
              <w:t>30</w:t>
            </w:r>
            <w:r>
              <w:rPr>
                <w:noProof/>
                <w:webHidden/>
              </w:rPr>
              <w:fldChar w:fldCharType="end"/>
            </w:r>
          </w:hyperlink>
        </w:p>
        <w:p w14:paraId="4F2EE64F" w14:textId="7CBF3CDE" w:rsidR="00D81AED" w:rsidRDefault="00D81AED">
          <w:pPr>
            <w:pStyle w:val="TOC2"/>
            <w:tabs>
              <w:tab w:val="right" w:leader="dot" w:pos="9016"/>
            </w:tabs>
            <w:rPr>
              <w:rFonts w:asciiTheme="minorHAnsi" w:eastAsiaTheme="minorEastAsia" w:hAnsiTheme="minorHAnsi" w:cstheme="minorBidi"/>
              <w:noProof/>
              <w:lang w:eastAsia="en-GB"/>
            </w:rPr>
          </w:pPr>
          <w:hyperlink w:anchor="_Toc123562305" w:history="1">
            <w:r w:rsidRPr="00F54C9B">
              <w:rPr>
                <w:rStyle w:val="Hyperlink"/>
                <w:rFonts w:ascii="Arial" w:eastAsiaTheme="minorHAnsi" w:hAnsi="Arial" w:cs="Arial"/>
                <w:noProof/>
              </w:rPr>
              <w:t>Sustainability</w:t>
            </w:r>
            <w:r>
              <w:rPr>
                <w:noProof/>
                <w:webHidden/>
              </w:rPr>
              <w:tab/>
            </w:r>
            <w:r>
              <w:rPr>
                <w:noProof/>
                <w:webHidden/>
              </w:rPr>
              <w:fldChar w:fldCharType="begin"/>
            </w:r>
            <w:r>
              <w:rPr>
                <w:noProof/>
                <w:webHidden/>
              </w:rPr>
              <w:instrText xml:space="preserve"> PAGEREF _Toc123562305 \h </w:instrText>
            </w:r>
            <w:r>
              <w:rPr>
                <w:noProof/>
                <w:webHidden/>
              </w:rPr>
            </w:r>
            <w:r>
              <w:rPr>
                <w:noProof/>
                <w:webHidden/>
              </w:rPr>
              <w:fldChar w:fldCharType="separate"/>
            </w:r>
            <w:r>
              <w:rPr>
                <w:noProof/>
                <w:webHidden/>
              </w:rPr>
              <w:t>32</w:t>
            </w:r>
            <w:r>
              <w:rPr>
                <w:noProof/>
                <w:webHidden/>
              </w:rPr>
              <w:fldChar w:fldCharType="end"/>
            </w:r>
          </w:hyperlink>
        </w:p>
        <w:p w14:paraId="5546546B" w14:textId="047D2733" w:rsidR="00D81AED" w:rsidRDefault="00D81AED">
          <w:pPr>
            <w:pStyle w:val="TOC2"/>
            <w:tabs>
              <w:tab w:val="right" w:leader="dot" w:pos="9016"/>
            </w:tabs>
            <w:rPr>
              <w:rFonts w:asciiTheme="minorHAnsi" w:eastAsiaTheme="minorEastAsia" w:hAnsiTheme="minorHAnsi" w:cstheme="minorBidi"/>
              <w:noProof/>
              <w:lang w:eastAsia="en-GB"/>
            </w:rPr>
          </w:pPr>
          <w:hyperlink w:anchor="_Toc123562306" w:history="1">
            <w:r w:rsidRPr="00F54C9B">
              <w:rPr>
                <w:rStyle w:val="Hyperlink"/>
                <w:rFonts w:ascii="Arial" w:eastAsiaTheme="minorHAnsi" w:hAnsi="Arial" w:cs="Arial"/>
                <w:noProof/>
              </w:rPr>
              <w:t>Conclusion</w:t>
            </w:r>
            <w:r>
              <w:rPr>
                <w:noProof/>
                <w:webHidden/>
              </w:rPr>
              <w:tab/>
            </w:r>
            <w:r>
              <w:rPr>
                <w:noProof/>
                <w:webHidden/>
              </w:rPr>
              <w:fldChar w:fldCharType="begin"/>
            </w:r>
            <w:r>
              <w:rPr>
                <w:noProof/>
                <w:webHidden/>
              </w:rPr>
              <w:instrText xml:space="preserve"> PAGEREF _Toc123562306 \h </w:instrText>
            </w:r>
            <w:r>
              <w:rPr>
                <w:noProof/>
                <w:webHidden/>
              </w:rPr>
            </w:r>
            <w:r>
              <w:rPr>
                <w:noProof/>
                <w:webHidden/>
              </w:rPr>
              <w:fldChar w:fldCharType="separate"/>
            </w:r>
            <w:r>
              <w:rPr>
                <w:noProof/>
                <w:webHidden/>
              </w:rPr>
              <w:t>34</w:t>
            </w:r>
            <w:r>
              <w:rPr>
                <w:noProof/>
                <w:webHidden/>
              </w:rPr>
              <w:fldChar w:fldCharType="end"/>
            </w:r>
          </w:hyperlink>
        </w:p>
        <w:p w14:paraId="0621600C" w14:textId="10497BC2" w:rsidR="00D81AED" w:rsidRDefault="00D81AED">
          <w:pPr>
            <w:pStyle w:val="TOC1"/>
            <w:tabs>
              <w:tab w:val="right" w:leader="dot" w:pos="9016"/>
            </w:tabs>
            <w:rPr>
              <w:rFonts w:asciiTheme="minorHAnsi" w:eastAsiaTheme="minorEastAsia" w:hAnsiTheme="minorHAnsi" w:cstheme="minorBidi"/>
              <w:noProof/>
              <w:lang w:eastAsia="en-GB"/>
            </w:rPr>
          </w:pPr>
          <w:hyperlink w:anchor="_Toc123562307" w:history="1">
            <w:r w:rsidRPr="00F54C9B">
              <w:rPr>
                <w:rStyle w:val="Hyperlink"/>
                <w:rFonts w:ascii="Arial" w:eastAsiaTheme="minorHAnsi" w:hAnsi="Arial" w:cs="Arial"/>
                <w:noProof/>
              </w:rPr>
              <w:t>Research Methodology</w:t>
            </w:r>
            <w:r>
              <w:rPr>
                <w:noProof/>
                <w:webHidden/>
              </w:rPr>
              <w:tab/>
            </w:r>
            <w:r>
              <w:rPr>
                <w:noProof/>
                <w:webHidden/>
              </w:rPr>
              <w:fldChar w:fldCharType="begin"/>
            </w:r>
            <w:r>
              <w:rPr>
                <w:noProof/>
                <w:webHidden/>
              </w:rPr>
              <w:instrText xml:space="preserve"> PAGEREF _Toc123562307 \h </w:instrText>
            </w:r>
            <w:r>
              <w:rPr>
                <w:noProof/>
                <w:webHidden/>
              </w:rPr>
            </w:r>
            <w:r>
              <w:rPr>
                <w:noProof/>
                <w:webHidden/>
              </w:rPr>
              <w:fldChar w:fldCharType="separate"/>
            </w:r>
            <w:r>
              <w:rPr>
                <w:noProof/>
                <w:webHidden/>
              </w:rPr>
              <w:t>35</w:t>
            </w:r>
            <w:r>
              <w:rPr>
                <w:noProof/>
                <w:webHidden/>
              </w:rPr>
              <w:fldChar w:fldCharType="end"/>
            </w:r>
          </w:hyperlink>
        </w:p>
        <w:p w14:paraId="496E514C" w14:textId="08417FEC" w:rsidR="00D81AED" w:rsidRDefault="00D81AED">
          <w:pPr>
            <w:pStyle w:val="TOC2"/>
            <w:tabs>
              <w:tab w:val="right" w:leader="dot" w:pos="9016"/>
            </w:tabs>
            <w:rPr>
              <w:rFonts w:asciiTheme="minorHAnsi" w:eastAsiaTheme="minorEastAsia" w:hAnsiTheme="minorHAnsi" w:cstheme="minorBidi"/>
              <w:noProof/>
              <w:lang w:eastAsia="en-GB"/>
            </w:rPr>
          </w:pPr>
          <w:hyperlink w:anchor="_Toc123562308" w:history="1">
            <w:r w:rsidRPr="00F54C9B">
              <w:rPr>
                <w:rStyle w:val="Hyperlink"/>
                <w:rFonts w:ascii="Arial" w:eastAsiaTheme="minorHAnsi" w:hAnsi="Arial" w:cs="Arial"/>
                <w:noProof/>
              </w:rPr>
              <w:t>Research Philosophy</w:t>
            </w:r>
            <w:r>
              <w:rPr>
                <w:noProof/>
                <w:webHidden/>
              </w:rPr>
              <w:tab/>
            </w:r>
            <w:r>
              <w:rPr>
                <w:noProof/>
                <w:webHidden/>
              </w:rPr>
              <w:fldChar w:fldCharType="begin"/>
            </w:r>
            <w:r>
              <w:rPr>
                <w:noProof/>
                <w:webHidden/>
              </w:rPr>
              <w:instrText xml:space="preserve"> PAGEREF _Toc123562308 \h </w:instrText>
            </w:r>
            <w:r>
              <w:rPr>
                <w:noProof/>
                <w:webHidden/>
              </w:rPr>
            </w:r>
            <w:r>
              <w:rPr>
                <w:noProof/>
                <w:webHidden/>
              </w:rPr>
              <w:fldChar w:fldCharType="separate"/>
            </w:r>
            <w:r>
              <w:rPr>
                <w:noProof/>
                <w:webHidden/>
              </w:rPr>
              <w:t>37</w:t>
            </w:r>
            <w:r>
              <w:rPr>
                <w:noProof/>
                <w:webHidden/>
              </w:rPr>
              <w:fldChar w:fldCharType="end"/>
            </w:r>
          </w:hyperlink>
        </w:p>
        <w:p w14:paraId="2831BF81" w14:textId="2591C657" w:rsidR="00D81AED" w:rsidRDefault="00D81AED">
          <w:pPr>
            <w:pStyle w:val="TOC2"/>
            <w:tabs>
              <w:tab w:val="right" w:leader="dot" w:pos="9016"/>
            </w:tabs>
            <w:rPr>
              <w:rFonts w:asciiTheme="minorHAnsi" w:eastAsiaTheme="minorEastAsia" w:hAnsiTheme="minorHAnsi" w:cstheme="minorBidi"/>
              <w:noProof/>
              <w:lang w:eastAsia="en-GB"/>
            </w:rPr>
          </w:pPr>
          <w:hyperlink w:anchor="_Toc123562309" w:history="1">
            <w:r w:rsidRPr="00F54C9B">
              <w:rPr>
                <w:rStyle w:val="Hyperlink"/>
                <w:rFonts w:ascii="Arial" w:eastAsiaTheme="minorHAnsi" w:hAnsi="Arial" w:cs="Arial"/>
                <w:noProof/>
              </w:rPr>
              <w:t>Research Approach</w:t>
            </w:r>
            <w:r>
              <w:rPr>
                <w:noProof/>
                <w:webHidden/>
              </w:rPr>
              <w:tab/>
            </w:r>
            <w:r>
              <w:rPr>
                <w:noProof/>
                <w:webHidden/>
              </w:rPr>
              <w:fldChar w:fldCharType="begin"/>
            </w:r>
            <w:r>
              <w:rPr>
                <w:noProof/>
                <w:webHidden/>
              </w:rPr>
              <w:instrText xml:space="preserve"> PAGEREF _Toc123562309 \h </w:instrText>
            </w:r>
            <w:r>
              <w:rPr>
                <w:noProof/>
                <w:webHidden/>
              </w:rPr>
            </w:r>
            <w:r>
              <w:rPr>
                <w:noProof/>
                <w:webHidden/>
              </w:rPr>
              <w:fldChar w:fldCharType="separate"/>
            </w:r>
            <w:r>
              <w:rPr>
                <w:noProof/>
                <w:webHidden/>
              </w:rPr>
              <w:t>39</w:t>
            </w:r>
            <w:r>
              <w:rPr>
                <w:noProof/>
                <w:webHidden/>
              </w:rPr>
              <w:fldChar w:fldCharType="end"/>
            </w:r>
          </w:hyperlink>
        </w:p>
        <w:p w14:paraId="178C8B1D" w14:textId="06BB15A5" w:rsidR="00D81AED" w:rsidRDefault="00D81AED">
          <w:pPr>
            <w:pStyle w:val="TOC2"/>
            <w:tabs>
              <w:tab w:val="right" w:leader="dot" w:pos="9016"/>
            </w:tabs>
            <w:rPr>
              <w:rFonts w:asciiTheme="minorHAnsi" w:eastAsiaTheme="minorEastAsia" w:hAnsiTheme="minorHAnsi" w:cstheme="minorBidi"/>
              <w:noProof/>
              <w:lang w:eastAsia="en-GB"/>
            </w:rPr>
          </w:pPr>
          <w:hyperlink w:anchor="_Toc123562310" w:history="1">
            <w:r w:rsidRPr="00F54C9B">
              <w:rPr>
                <w:rStyle w:val="Hyperlink"/>
                <w:rFonts w:ascii="Arial" w:eastAsiaTheme="minorHAnsi" w:hAnsi="Arial" w:cs="Arial"/>
                <w:noProof/>
              </w:rPr>
              <w:t>Research Strategy</w:t>
            </w:r>
            <w:r>
              <w:rPr>
                <w:noProof/>
                <w:webHidden/>
              </w:rPr>
              <w:tab/>
            </w:r>
            <w:r>
              <w:rPr>
                <w:noProof/>
                <w:webHidden/>
              </w:rPr>
              <w:fldChar w:fldCharType="begin"/>
            </w:r>
            <w:r>
              <w:rPr>
                <w:noProof/>
                <w:webHidden/>
              </w:rPr>
              <w:instrText xml:space="preserve"> PAGEREF _Toc123562310 \h </w:instrText>
            </w:r>
            <w:r>
              <w:rPr>
                <w:noProof/>
                <w:webHidden/>
              </w:rPr>
            </w:r>
            <w:r>
              <w:rPr>
                <w:noProof/>
                <w:webHidden/>
              </w:rPr>
              <w:fldChar w:fldCharType="separate"/>
            </w:r>
            <w:r>
              <w:rPr>
                <w:noProof/>
                <w:webHidden/>
              </w:rPr>
              <w:t>39</w:t>
            </w:r>
            <w:r>
              <w:rPr>
                <w:noProof/>
                <w:webHidden/>
              </w:rPr>
              <w:fldChar w:fldCharType="end"/>
            </w:r>
          </w:hyperlink>
        </w:p>
        <w:p w14:paraId="05C18372" w14:textId="403DEE2B" w:rsidR="00D81AED" w:rsidRDefault="00D81AED">
          <w:pPr>
            <w:pStyle w:val="TOC2"/>
            <w:tabs>
              <w:tab w:val="right" w:leader="dot" w:pos="9016"/>
            </w:tabs>
            <w:rPr>
              <w:rFonts w:asciiTheme="minorHAnsi" w:eastAsiaTheme="minorEastAsia" w:hAnsiTheme="minorHAnsi" w:cstheme="minorBidi"/>
              <w:noProof/>
              <w:lang w:eastAsia="en-GB"/>
            </w:rPr>
          </w:pPr>
          <w:hyperlink w:anchor="_Toc123562311" w:history="1">
            <w:r w:rsidRPr="00F54C9B">
              <w:rPr>
                <w:rStyle w:val="Hyperlink"/>
                <w:rFonts w:ascii="Arial" w:eastAsiaTheme="minorHAnsi" w:hAnsi="Arial" w:cs="Arial"/>
                <w:noProof/>
              </w:rPr>
              <w:t>Methodological Choice</w:t>
            </w:r>
            <w:r>
              <w:rPr>
                <w:noProof/>
                <w:webHidden/>
              </w:rPr>
              <w:tab/>
            </w:r>
            <w:r>
              <w:rPr>
                <w:noProof/>
                <w:webHidden/>
              </w:rPr>
              <w:fldChar w:fldCharType="begin"/>
            </w:r>
            <w:r>
              <w:rPr>
                <w:noProof/>
                <w:webHidden/>
              </w:rPr>
              <w:instrText xml:space="preserve"> PAGEREF _Toc123562311 \h </w:instrText>
            </w:r>
            <w:r>
              <w:rPr>
                <w:noProof/>
                <w:webHidden/>
              </w:rPr>
            </w:r>
            <w:r>
              <w:rPr>
                <w:noProof/>
                <w:webHidden/>
              </w:rPr>
              <w:fldChar w:fldCharType="separate"/>
            </w:r>
            <w:r>
              <w:rPr>
                <w:noProof/>
                <w:webHidden/>
              </w:rPr>
              <w:t>40</w:t>
            </w:r>
            <w:r>
              <w:rPr>
                <w:noProof/>
                <w:webHidden/>
              </w:rPr>
              <w:fldChar w:fldCharType="end"/>
            </w:r>
          </w:hyperlink>
        </w:p>
        <w:p w14:paraId="6BDC70D2" w14:textId="3500C4E2" w:rsidR="00D81AED" w:rsidRDefault="00D81AED">
          <w:pPr>
            <w:pStyle w:val="TOC2"/>
            <w:tabs>
              <w:tab w:val="right" w:leader="dot" w:pos="9016"/>
            </w:tabs>
            <w:rPr>
              <w:rFonts w:asciiTheme="minorHAnsi" w:eastAsiaTheme="minorEastAsia" w:hAnsiTheme="minorHAnsi" w:cstheme="minorBidi"/>
              <w:noProof/>
              <w:lang w:eastAsia="en-GB"/>
            </w:rPr>
          </w:pPr>
          <w:hyperlink w:anchor="_Toc123562312" w:history="1">
            <w:r w:rsidRPr="00F54C9B">
              <w:rPr>
                <w:rStyle w:val="Hyperlink"/>
                <w:rFonts w:ascii="Arial" w:eastAsiaTheme="minorHAnsi" w:hAnsi="Arial" w:cs="Arial"/>
                <w:noProof/>
              </w:rPr>
              <w:t>Time Horizon</w:t>
            </w:r>
            <w:r>
              <w:rPr>
                <w:noProof/>
                <w:webHidden/>
              </w:rPr>
              <w:tab/>
            </w:r>
            <w:r>
              <w:rPr>
                <w:noProof/>
                <w:webHidden/>
              </w:rPr>
              <w:fldChar w:fldCharType="begin"/>
            </w:r>
            <w:r>
              <w:rPr>
                <w:noProof/>
                <w:webHidden/>
              </w:rPr>
              <w:instrText xml:space="preserve"> PAGEREF _Toc123562312 \h </w:instrText>
            </w:r>
            <w:r>
              <w:rPr>
                <w:noProof/>
                <w:webHidden/>
              </w:rPr>
            </w:r>
            <w:r>
              <w:rPr>
                <w:noProof/>
                <w:webHidden/>
              </w:rPr>
              <w:fldChar w:fldCharType="separate"/>
            </w:r>
            <w:r>
              <w:rPr>
                <w:noProof/>
                <w:webHidden/>
              </w:rPr>
              <w:t>41</w:t>
            </w:r>
            <w:r>
              <w:rPr>
                <w:noProof/>
                <w:webHidden/>
              </w:rPr>
              <w:fldChar w:fldCharType="end"/>
            </w:r>
          </w:hyperlink>
        </w:p>
        <w:p w14:paraId="02E12247" w14:textId="5541A2FE" w:rsidR="00D81AED" w:rsidRDefault="00D81AED">
          <w:pPr>
            <w:pStyle w:val="TOC2"/>
            <w:tabs>
              <w:tab w:val="right" w:leader="dot" w:pos="9016"/>
            </w:tabs>
            <w:rPr>
              <w:rFonts w:asciiTheme="minorHAnsi" w:eastAsiaTheme="minorEastAsia" w:hAnsiTheme="minorHAnsi" w:cstheme="minorBidi"/>
              <w:noProof/>
              <w:lang w:eastAsia="en-GB"/>
            </w:rPr>
          </w:pPr>
          <w:hyperlink w:anchor="_Toc123562313" w:history="1">
            <w:r w:rsidRPr="00F54C9B">
              <w:rPr>
                <w:rStyle w:val="Hyperlink"/>
                <w:rFonts w:ascii="Arial" w:eastAsiaTheme="minorHAnsi" w:hAnsi="Arial" w:cs="Arial"/>
                <w:noProof/>
              </w:rPr>
              <w:t>Techniques &amp; Procedures</w:t>
            </w:r>
            <w:r>
              <w:rPr>
                <w:noProof/>
                <w:webHidden/>
              </w:rPr>
              <w:tab/>
            </w:r>
            <w:r>
              <w:rPr>
                <w:noProof/>
                <w:webHidden/>
              </w:rPr>
              <w:fldChar w:fldCharType="begin"/>
            </w:r>
            <w:r>
              <w:rPr>
                <w:noProof/>
                <w:webHidden/>
              </w:rPr>
              <w:instrText xml:space="preserve"> PAGEREF _Toc123562313 \h </w:instrText>
            </w:r>
            <w:r>
              <w:rPr>
                <w:noProof/>
                <w:webHidden/>
              </w:rPr>
            </w:r>
            <w:r>
              <w:rPr>
                <w:noProof/>
                <w:webHidden/>
              </w:rPr>
              <w:fldChar w:fldCharType="separate"/>
            </w:r>
            <w:r>
              <w:rPr>
                <w:noProof/>
                <w:webHidden/>
              </w:rPr>
              <w:t>41</w:t>
            </w:r>
            <w:r>
              <w:rPr>
                <w:noProof/>
                <w:webHidden/>
              </w:rPr>
              <w:fldChar w:fldCharType="end"/>
            </w:r>
          </w:hyperlink>
        </w:p>
        <w:p w14:paraId="11ECA62F" w14:textId="14761703" w:rsidR="00D81AED" w:rsidRDefault="00D81AED">
          <w:pPr>
            <w:pStyle w:val="TOC2"/>
            <w:tabs>
              <w:tab w:val="right" w:leader="dot" w:pos="9016"/>
            </w:tabs>
            <w:rPr>
              <w:rFonts w:asciiTheme="minorHAnsi" w:eastAsiaTheme="minorEastAsia" w:hAnsiTheme="minorHAnsi" w:cstheme="minorBidi"/>
              <w:noProof/>
              <w:lang w:eastAsia="en-GB"/>
            </w:rPr>
          </w:pPr>
          <w:hyperlink w:anchor="_Toc123562314" w:history="1">
            <w:r w:rsidRPr="00F54C9B">
              <w:rPr>
                <w:rStyle w:val="Hyperlink"/>
                <w:rFonts w:ascii="Arial" w:eastAsiaTheme="minorHAnsi" w:hAnsi="Arial" w:cs="Arial"/>
                <w:noProof/>
              </w:rPr>
              <w:t>Sample</w:t>
            </w:r>
            <w:r>
              <w:rPr>
                <w:noProof/>
                <w:webHidden/>
              </w:rPr>
              <w:tab/>
            </w:r>
            <w:r>
              <w:rPr>
                <w:noProof/>
                <w:webHidden/>
              </w:rPr>
              <w:fldChar w:fldCharType="begin"/>
            </w:r>
            <w:r>
              <w:rPr>
                <w:noProof/>
                <w:webHidden/>
              </w:rPr>
              <w:instrText xml:space="preserve"> PAGEREF _Toc123562314 \h </w:instrText>
            </w:r>
            <w:r>
              <w:rPr>
                <w:noProof/>
                <w:webHidden/>
              </w:rPr>
            </w:r>
            <w:r>
              <w:rPr>
                <w:noProof/>
                <w:webHidden/>
              </w:rPr>
              <w:fldChar w:fldCharType="separate"/>
            </w:r>
            <w:r>
              <w:rPr>
                <w:noProof/>
                <w:webHidden/>
              </w:rPr>
              <w:t>43</w:t>
            </w:r>
            <w:r>
              <w:rPr>
                <w:noProof/>
                <w:webHidden/>
              </w:rPr>
              <w:fldChar w:fldCharType="end"/>
            </w:r>
          </w:hyperlink>
        </w:p>
        <w:p w14:paraId="3EB008E2" w14:textId="2E4A2F7A" w:rsidR="00D81AED" w:rsidRDefault="00D81AED">
          <w:pPr>
            <w:pStyle w:val="TOC2"/>
            <w:tabs>
              <w:tab w:val="right" w:leader="dot" w:pos="9016"/>
            </w:tabs>
            <w:rPr>
              <w:rFonts w:asciiTheme="minorHAnsi" w:eastAsiaTheme="minorEastAsia" w:hAnsiTheme="minorHAnsi" w:cstheme="minorBidi"/>
              <w:noProof/>
              <w:lang w:eastAsia="en-GB"/>
            </w:rPr>
          </w:pPr>
          <w:hyperlink w:anchor="_Toc123562315" w:history="1">
            <w:r w:rsidRPr="00F54C9B">
              <w:rPr>
                <w:rStyle w:val="Hyperlink"/>
                <w:rFonts w:ascii="Arial" w:eastAsiaTheme="minorHAnsi" w:hAnsi="Arial" w:cs="Arial"/>
                <w:noProof/>
              </w:rPr>
              <w:t>Ethical and Logistical Considerations</w:t>
            </w:r>
            <w:r>
              <w:rPr>
                <w:noProof/>
                <w:webHidden/>
              </w:rPr>
              <w:tab/>
            </w:r>
            <w:r>
              <w:rPr>
                <w:noProof/>
                <w:webHidden/>
              </w:rPr>
              <w:fldChar w:fldCharType="begin"/>
            </w:r>
            <w:r>
              <w:rPr>
                <w:noProof/>
                <w:webHidden/>
              </w:rPr>
              <w:instrText xml:space="preserve"> PAGEREF _Toc123562315 \h </w:instrText>
            </w:r>
            <w:r>
              <w:rPr>
                <w:noProof/>
                <w:webHidden/>
              </w:rPr>
            </w:r>
            <w:r>
              <w:rPr>
                <w:noProof/>
                <w:webHidden/>
              </w:rPr>
              <w:fldChar w:fldCharType="separate"/>
            </w:r>
            <w:r>
              <w:rPr>
                <w:noProof/>
                <w:webHidden/>
              </w:rPr>
              <w:t>44</w:t>
            </w:r>
            <w:r>
              <w:rPr>
                <w:noProof/>
                <w:webHidden/>
              </w:rPr>
              <w:fldChar w:fldCharType="end"/>
            </w:r>
          </w:hyperlink>
        </w:p>
        <w:p w14:paraId="02518C3D" w14:textId="10CDEFD5" w:rsidR="00D81AED" w:rsidRDefault="00D81AED">
          <w:pPr>
            <w:pStyle w:val="TOC2"/>
            <w:tabs>
              <w:tab w:val="right" w:leader="dot" w:pos="9016"/>
            </w:tabs>
            <w:rPr>
              <w:rFonts w:asciiTheme="minorHAnsi" w:eastAsiaTheme="minorEastAsia" w:hAnsiTheme="minorHAnsi" w:cstheme="minorBidi"/>
              <w:noProof/>
              <w:lang w:eastAsia="en-GB"/>
            </w:rPr>
          </w:pPr>
          <w:hyperlink w:anchor="_Toc123562316" w:history="1">
            <w:r w:rsidRPr="00F54C9B">
              <w:rPr>
                <w:rStyle w:val="Hyperlink"/>
                <w:rFonts w:ascii="Arial" w:eastAsiaTheme="minorHAnsi" w:hAnsi="Arial" w:cs="Arial"/>
                <w:noProof/>
              </w:rPr>
              <w:t>Limitations of the study</w:t>
            </w:r>
            <w:r>
              <w:rPr>
                <w:noProof/>
                <w:webHidden/>
              </w:rPr>
              <w:tab/>
            </w:r>
            <w:r>
              <w:rPr>
                <w:noProof/>
                <w:webHidden/>
              </w:rPr>
              <w:fldChar w:fldCharType="begin"/>
            </w:r>
            <w:r>
              <w:rPr>
                <w:noProof/>
                <w:webHidden/>
              </w:rPr>
              <w:instrText xml:space="preserve"> PAGEREF _Toc123562316 \h </w:instrText>
            </w:r>
            <w:r>
              <w:rPr>
                <w:noProof/>
                <w:webHidden/>
              </w:rPr>
            </w:r>
            <w:r>
              <w:rPr>
                <w:noProof/>
                <w:webHidden/>
              </w:rPr>
              <w:fldChar w:fldCharType="separate"/>
            </w:r>
            <w:r>
              <w:rPr>
                <w:noProof/>
                <w:webHidden/>
              </w:rPr>
              <w:t>46</w:t>
            </w:r>
            <w:r>
              <w:rPr>
                <w:noProof/>
                <w:webHidden/>
              </w:rPr>
              <w:fldChar w:fldCharType="end"/>
            </w:r>
          </w:hyperlink>
        </w:p>
        <w:p w14:paraId="0D7DB43D" w14:textId="6E4BFF1D" w:rsidR="00D81AED" w:rsidRDefault="00D81AED">
          <w:pPr>
            <w:pStyle w:val="TOC1"/>
            <w:tabs>
              <w:tab w:val="right" w:leader="dot" w:pos="9016"/>
            </w:tabs>
            <w:rPr>
              <w:rFonts w:asciiTheme="minorHAnsi" w:eastAsiaTheme="minorEastAsia" w:hAnsiTheme="minorHAnsi" w:cstheme="minorBidi"/>
              <w:noProof/>
              <w:lang w:eastAsia="en-GB"/>
            </w:rPr>
          </w:pPr>
          <w:hyperlink w:anchor="_Toc123562317" w:history="1">
            <w:r w:rsidRPr="00F54C9B">
              <w:rPr>
                <w:rStyle w:val="Hyperlink"/>
                <w:rFonts w:ascii="Arial" w:eastAsiaTheme="minorHAnsi" w:hAnsi="Arial" w:cs="Arial"/>
                <w:noProof/>
              </w:rPr>
              <w:t>Findings and Analysis</w:t>
            </w:r>
            <w:r>
              <w:rPr>
                <w:noProof/>
                <w:webHidden/>
              </w:rPr>
              <w:tab/>
            </w:r>
            <w:r>
              <w:rPr>
                <w:noProof/>
                <w:webHidden/>
              </w:rPr>
              <w:fldChar w:fldCharType="begin"/>
            </w:r>
            <w:r>
              <w:rPr>
                <w:noProof/>
                <w:webHidden/>
              </w:rPr>
              <w:instrText xml:space="preserve"> PAGEREF _Toc123562317 \h </w:instrText>
            </w:r>
            <w:r>
              <w:rPr>
                <w:noProof/>
                <w:webHidden/>
              </w:rPr>
            </w:r>
            <w:r>
              <w:rPr>
                <w:noProof/>
                <w:webHidden/>
              </w:rPr>
              <w:fldChar w:fldCharType="separate"/>
            </w:r>
            <w:r>
              <w:rPr>
                <w:noProof/>
                <w:webHidden/>
              </w:rPr>
              <w:t>47</w:t>
            </w:r>
            <w:r>
              <w:rPr>
                <w:noProof/>
                <w:webHidden/>
              </w:rPr>
              <w:fldChar w:fldCharType="end"/>
            </w:r>
          </w:hyperlink>
        </w:p>
        <w:p w14:paraId="2A7844DB" w14:textId="5BF81FA3" w:rsidR="00D81AED" w:rsidRDefault="00D81AED">
          <w:pPr>
            <w:pStyle w:val="TOC2"/>
            <w:tabs>
              <w:tab w:val="right" w:leader="dot" w:pos="9016"/>
            </w:tabs>
            <w:rPr>
              <w:rFonts w:asciiTheme="minorHAnsi" w:eastAsiaTheme="minorEastAsia" w:hAnsiTheme="minorHAnsi" w:cstheme="minorBidi"/>
              <w:noProof/>
              <w:lang w:eastAsia="en-GB"/>
            </w:rPr>
          </w:pPr>
          <w:hyperlink w:anchor="_Toc123562318" w:history="1">
            <w:r w:rsidRPr="00F54C9B">
              <w:rPr>
                <w:rStyle w:val="Hyperlink"/>
                <w:rFonts w:ascii="Arial" w:eastAsiaTheme="minorHAnsi" w:hAnsi="Arial" w:cs="Arial"/>
                <w:noProof/>
              </w:rPr>
              <w:t>Research setting</w:t>
            </w:r>
            <w:r>
              <w:rPr>
                <w:noProof/>
                <w:webHidden/>
              </w:rPr>
              <w:tab/>
            </w:r>
            <w:r>
              <w:rPr>
                <w:noProof/>
                <w:webHidden/>
              </w:rPr>
              <w:fldChar w:fldCharType="begin"/>
            </w:r>
            <w:r>
              <w:rPr>
                <w:noProof/>
                <w:webHidden/>
              </w:rPr>
              <w:instrText xml:space="preserve"> PAGEREF _Toc123562318 \h </w:instrText>
            </w:r>
            <w:r>
              <w:rPr>
                <w:noProof/>
                <w:webHidden/>
              </w:rPr>
            </w:r>
            <w:r>
              <w:rPr>
                <w:noProof/>
                <w:webHidden/>
              </w:rPr>
              <w:fldChar w:fldCharType="separate"/>
            </w:r>
            <w:r>
              <w:rPr>
                <w:noProof/>
                <w:webHidden/>
              </w:rPr>
              <w:t>47</w:t>
            </w:r>
            <w:r>
              <w:rPr>
                <w:noProof/>
                <w:webHidden/>
              </w:rPr>
              <w:fldChar w:fldCharType="end"/>
            </w:r>
          </w:hyperlink>
        </w:p>
        <w:p w14:paraId="62F654FB" w14:textId="33DDF8BE" w:rsidR="00D81AED" w:rsidRDefault="00D81AED">
          <w:pPr>
            <w:pStyle w:val="TOC2"/>
            <w:tabs>
              <w:tab w:val="right" w:leader="dot" w:pos="9016"/>
            </w:tabs>
            <w:rPr>
              <w:rFonts w:asciiTheme="minorHAnsi" w:eastAsiaTheme="minorEastAsia" w:hAnsiTheme="minorHAnsi" w:cstheme="minorBidi"/>
              <w:noProof/>
              <w:lang w:eastAsia="en-GB"/>
            </w:rPr>
          </w:pPr>
          <w:hyperlink w:anchor="_Toc123562319" w:history="1">
            <w:r w:rsidRPr="00F54C9B">
              <w:rPr>
                <w:rStyle w:val="Hyperlink"/>
                <w:rFonts w:ascii="Arial" w:eastAsiaTheme="minorHAnsi" w:hAnsi="Arial" w:cs="Arial"/>
                <w:noProof/>
              </w:rPr>
              <w:t>Data collection</w:t>
            </w:r>
            <w:r>
              <w:rPr>
                <w:noProof/>
                <w:webHidden/>
              </w:rPr>
              <w:tab/>
            </w:r>
            <w:r>
              <w:rPr>
                <w:noProof/>
                <w:webHidden/>
              </w:rPr>
              <w:fldChar w:fldCharType="begin"/>
            </w:r>
            <w:r>
              <w:rPr>
                <w:noProof/>
                <w:webHidden/>
              </w:rPr>
              <w:instrText xml:space="preserve"> PAGEREF _Toc123562319 \h </w:instrText>
            </w:r>
            <w:r>
              <w:rPr>
                <w:noProof/>
                <w:webHidden/>
              </w:rPr>
            </w:r>
            <w:r>
              <w:rPr>
                <w:noProof/>
                <w:webHidden/>
              </w:rPr>
              <w:fldChar w:fldCharType="separate"/>
            </w:r>
            <w:r>
              <w:rPr>
                <w:noProof/>
                <w:webHidden/>
              </w:rPr>
              <w:t>48</w:t>
            </w:r>
            <w:r>
              <w:rPr>
                <w:noProof/>
                <w:webHidden/>
              </w:rPr>
              <w:fldChar w:fldCharType="end"/>
            </w:r>
          </w:hyperlink>
        </w:p>
        <w:p w14:paraId="1F270FB5" w14:textId="24C9F4B7" w:rsidR="00D81AED" w:rsidRDefault="00D81AED">
          <w:pPr>
            <w:pStyle w:val="TOC2"/>
            <w:tabs>
              <w:tab w:val="right" w:leader="dot" w:pos="9016"/>
            </w:tabs>
            <w:rPr>
              <w:rFonts w:asciiTheme="minorHAnsi" w:eastAsiaTheme="minorEastAsia" w:hAnsiTheme="minorHAnsi" w:cstheme="minorBidi"/>
              <w:noProof/>
              <w:lang w:eastAsia="en-GB"/>
            </w:rPr>
          </w:pPr>
          <w:hyperlink w:anchor="_Toc123562320" w:history="1">
            <w:r w:rsidRPr="00F54C9B">
              <w:rPr>
                <w:rStyle w:val="Hyperlink"/>
                <w:rFonts w:ascii="Arial" w:eastAsiaTheme="minorHAnsi" w:hAnsi="Arial" w:cs="Arial"/>
                <w:noProof/>
              </w:rPr>
              <w:t>Data Analysis</w:t>
            </w:r>
            <w:r>
              <w:rPr>
                <w:noProof/>
                <w:webHidden/>
              </w:rPr>
              <w:tab/>
            </w:r>
            <w:r>
              <w:rPr>
                <w:noProof/>
                <w:webHidden/>
              </w:rPr>
              <w:fldChar w:fldCharType="begin"/>
            </w:r>
            <w:r>
              <w:rPr>
                <w:noProof/>
                <w:webHidden/>
              </w:rPr>
              <w:instrText xml:space="preserve"> PAGEREF _Toc123562320 \h </w:instrText>
            </w:r>
            <w:r>
              <w:rPr>
                <w:noProof/>
                <w:webHidden/>
              </w:rPr>
            </w:r>
            <w:r>
              <w:rPr>
                <w:noProof/>
                <w:webHidden/>
              </w:rPr>
              <w:fldChar w:fldCharType="separate"/>
            </w:r>
            <w:r>
              <w:rPr>
                <w:noProof/>
                <w:webHidden/>
              </w:rPr>
              <w:t>48</w:t>
            </w:r>
            <w:r>
              <w:rPr>
                <w:noProof/>
                <w:webHidden/>
              </w:rPr>
              <w:fldChar w:fldCharType="end"/>
            </w:r>
          </w:hyperlink>
        </w:p>
        <w:p w14:paraId="38924329" w14:textId="66F638D8" w:rsidR="00D81AED" w:rsidRDefault="00D81AED">
          <w:pPr>
            <w:pStyle w:val="TOC2"/>
            <w:tabs>
              <w:tab w:val="right" w:leader="dot" w:pos="9016"/>
            </w:tabs>
            <w:rPr>
              <w:rFonts w:asciiTheme="minorHAnsi" w:eastAsiaTheme="minorEastAsia" w:hAnsiTheme="minorHAnsi" w:cstheme="minorBidi"/>
              <w:noProof/>
              <w:lang w:eastAsia="en-GB"/>
            </w:rPr>
          </w:pPr>
          <w:hyperlink w:anchor="_Toc123562321" w:history="1">
            <w:r w:rsidRPr="00F54C9B">
              <w:rPr>
                <w:rStyle w:val="Hyperlink"/>
                <w:rFonts w:ascii="Arial" w:eastAsiaTheme="minorHAnsi" w:hAnsi="Arial" w:cs="Arial"/>
                <w:noProof/>
              </w:rPr>
              <w:t>Theme 1: Service delivery and principles</w:t>
            </w:r>
            <w:r>
              <w:rPr>
                <w:noProof/>
                <w:webHidden/>
              </w:rPr>
              <w:tab/>
            </w:r>
            <w:r>
              <w:rPr>
                <w:noProof/>
                <w:webHidden/>
              </w:rPr>
              <w:fldChar w:fldCharType="begin"/>
            </w:r>
            <w:r>
              <w:rPr>
                <w:noProof/>
                <w:webHidden/>
              </w:rPr>
              <w:instrText xml:space="preserve"> PAGEREF _Toc123562321 \h </w:instrText>
            </w:r>
            <w:r>
              <w:rPr>
                <w:noProof/>
                <w:webHidden/>
              </w:rPr>
            </w:r>
            <w:r>
              <w:rPr>
                <w:noProof/>
                <w:webHidden/>
              </w:rPr>
              <w:fldChar w:fldCharType="separate"/>
            </w:r>
            <w:r>
              <w:rPr>
                <w:noProof/>
                <w:webHidden/>
              </w:rPr>
              <w:t>49</w:t>
            </w:r>
            <w:r>
              <w:rPr>
                <w:noProof/>
                <w:webHidden/>
              </w:rPr>
              <w:fldChar w:fldCharType="end"/>
            </w:r>
          </w:hyperlink>
        </w:p>
        <w:p w14:paraId="5E273C68" w14:textId="18ECD0BB" w:rsidR="00D81AED" w:rsidRDefault="00D81AED">
          <w:pPr>
            <w:pStyle w:val="TOC3"/>
            <w:tabs>
              <w:tab w:val="right" w:leader="dot" w:pos="9016"/>
            </w:tabs>
            <w:rPr>
              <w:rFonts w:asciiTheme="minorHAnsi" w:eastAsiaTheme="minorEastAsia" w:hAnsiTheme="minorHAnsi" w:cstheme="minorBidi"/>
              <w:noProof/>
              <w:lang w:eastAsia="en-GB"/>
            </w:rPr>
          </w:pPr>
          <w:hyperlink w:anchor="_Toc123562322" w:history="1">
            <w:r w:rsidRPr="00F54C9B">
              <w:rPr>
                <w:rStyle w:val="Hyperlink"/>
                <w:rFonts w:ascii="Arial" w:eastAsiaTheme="minorHAnsi" w:hAnsi="Arial" w:cs="Arial"/>
                <w:noProof/>
              </w:rPr>
              <w:t>Impact on service provision</w:t>
            </w:r>
            <w:r>
              <w:rPr>
                <w:noProof/>
                <w:webHidden/>
              </w:rPr>
              <w:tab/>
            </w:r>
            <w:r>
              <w:rPr>
                <w:noProof/>
                <w:webHidden/>
              </w:rPr>
              <w:fldChar w:fldCharType="begin"/>
            </w:r>
            <w:r>
              <w:rPr>
                <w:noProof/>
                <w:webHidden/>
              </w:rPr>
              <w:instrText xml:space="preserve"> PAGEREF _Toc123562322 \h </w:instrText>
            </w:r>
            <w:r>
              <w:rPr>
                <w:noProof/>
                <w:webHidden/>
              </w:rPr>
            </w:r>
            <w:r>
              <w:rPr>
                <w:noProof/>
                <w:webHidden/>
              </w:rPr>
              <w:fldChar w:fldCharType="separate"/>
            </w:r>
            <w:r>
              <w:rPr>
                <w:noProof/>
                <w:webHidden/>
              </w:rPr>
              <w:t>49</w:t>
            </w:r>
            <w:r>
              <w:rPr>
                <w:noProof/>
                <w:webHidden/>
              </w:rPr>
              <w:fldChar w:fldCharType="end"/>
            </w:r>
          </w:hyperlink>
        </w:p>
        <w:p w14:paraId="22454AAF" w14:textId="6BA16E54" w:rsidR="00D81AED" w:rsidRDefault="00D81AED">
          <w:pPr>
            <w:pStyle w:val="TOC3"/>
            <w:tabs>
              <w:tab w:val="right" w:leader="dot" w:pos="9016"/>
            </w:tabs>
            <w:rPr>
              <w:rFonts w:asciiTheme="minorHAnsi" w:eastAsiaTheme="minorEastAsia" w:hAnsiTheme="minorHAnsi" w:cstheme="minorBidi"/>
              <w:noProof/>
              <w:lang w:eastAsia="en-GB"/>
            </w:rPr>
          </w:pPr>
          <w:hyperlink w:anchor="_Toc123562323" w:history="1">
            <w:r w:rsidRPr="00F54C9B">
              <w:rPr>
                <w:rStyle w:val="Hyperlink"/>
                <w:rFonts w:ascii="Arial" w:eastAsiaTheme="minorHAnsi" w:hAnsi="Arial" w:cs="Arial"/>
                <w:noProof/>
              </w:rPr>
              <w:t>Values</w:t>
            </w:r>
            <w:r>
              <w:rPr>
                <w:noProof/>
                <w:webHidden/>
              </w:rPr>
              <w:tab/>
            </w:r>
            <w:r>
              <w:rPr>
                <w:noProof/>
                <w:webHidden/>
              </w:rPr>
              <w:fldChar w:fldCharType="begin"/>
            </w:r>
            <w:r>
              <w:rPr>
                <w:noProof/>
                <w:webHidden/>
              </w:rPr>
              <w:instrText xml:space="preserve"> PAGEREF _Toc123562323 \h </w:instrText>
            </w:r>
            <w:r>
              <w:rPr>
                <w:noProof/>
                <w:webHidden/>
              </w:rPr>
            </w:r>
            <w:r>
              <w:rPr>
                <w:noProof/>
                <w:webHidden/>
              </w:rPr>
              <w:fldChar w:fldCharType="separate"/>
            </w:r>
            <w:r>
              <w:rPr>
                <w:noProof/>
                <w:webHidden/>
              </w:rPr>
              <w:t>51</w:t>
            </w:r>
            <w:r>
              <w:rPr>
                <w:noProof/>
                <w:webHidden/>
              </w:rPr>
              <w:fldChar w:fldCharType="end"/>
            </w:r>
          </w:hyperlink>
        </w:p>
        <w:p w14:paraId="574EDA70" w14:textId="0C52413E" w:rsidR="00D81AED" w:rsidRDefault="00D81AED">
          <w:pPr>
            <w:pStyle w:val="TOC3"/>
            <w:tabs>
              <w:tab w:val="right" w:leader="dot" w:pos="9016"/>
            </w:tabs>
            <w:rPr>
              <w:rFonts w:asciiTheme="minorHAnsi" w:eastAsiaTheme="minorEastAsia" w:hAnsiTheme="minorHAnsi" w:cstheme="minorBidi"/>
              <w:noProof/>
              <w:lang w:eastAsia="en-GB"/>
            </w:rPr>
          </w:pPr>
          <w:hyperlink w:anchor="_Toc123562324" w:history="1">
            <w:r w:rsidRPr="00F54C9B">
              <w:rPr>
                <w:rStyle w:val="Hyperlink"/>
                <w:rFonts w:ascii="Arial" w:eastAsiaTheme="minorHAnsi" w:hAnsi="Arial" w:cs="Arial"/>
                <w:noProof/>
              </w:rPr>
              <w:t>Accountability</w:t>
            </w:r>
            <w:r>
              <w:rPr>
                <w:noProof/>
                <w:webHidden/>
              </w:rPr>
              <w:tab/>
            </w:r>
            <w:r>
              <w:rPr>
                <w:noProof/>
                <w:webHidden/>
              </w:rPr>
              <w:fldChar w:fldCharType="begin"/>
            </w:r>
            <w:r>
              <w:rPr>
                <w:noProof/>
                <w:webHidden/>
              </w:rPr>
              <w:instrText xml:space="preserve"> PAGEREF _Toc123562324 \h </w:instrText>
            </w:r>
            <w:r>
              <w:rPr>
                <w:noProof/>
                <w:webHidden/>
              </w:rPr>
            </w:r>
            <w:r>
              <w:rPr>
                <w:noProof/>
                <w:webHidden/>
              </w:rPr>
              <w:fldChar w:fldCharType="separate"/>
            </w:r>
            <w:r>
              <w:rPr>
                <w:noProof/>
                <w:webHidden/>
              </w:rPr>
              <w:t>53</w:t>
            </w:r>
            <w:r>
              <w:rPr>
                <w:noProof/>
                <w:webHidden/>
              </w:rPr>
              <w:fldChar w:fldCharType="end"/>
            </w:r>
          </w:hyperlink>
        </w:p>
        <w:p w14:paraId="071EE3BE" w14:textId="2658AF1F" w:rsidR="00D81AED" w:rsidRDefault="00D81AED">
          <w:pPr>
            <w:pStyle w:val="TOC2"/>
            <w:tabs>
              <w:tab w:val="right" w:leader="dot" w:pos="9016"/>
            </w:tabs>
            <w:rPr>
              <w:rFonts w:asciiTheme="minorHAnsi" w:eastAsiaTheme="minorEastAsia" w:hAnsiTheme="minorHAnsi" w:cstheme="minorBidi"/>
              <w:noProof/>
              <w:lang w:eastAsia="en-GB"/>
            </w:rPr>
          </w:pPr>
          <w:hyperlink w:anchor="_Toc123562325" w:history="1">
            <w:r w:rsidRPr="00F54C9B">
              <w:rPr>
                <w:rStyle w:val="Hyperlink"/>
                <w:rFonts w:ascii="Arial" w:eastAsiaTheme="minorHAnsi" w:hAnsi="Arial" w:cs="Arial"/>
                <w:noProof/>
              </w:rPr>
              <w:t>Theme 2: Ownership</w:t>
            </w:r>
            <w:r>
              <w:rPr>
                <w:noProof/>
                <w:webHidden/>
              </w:rPr>
              <w:tab/>
            </w:r>
            <w:r>
              <w:rPr>
                <w:noProof/>
                <w:webHidden/>
              </w:rPr>
              <w:fldChar w:fldCharType="begin"/>
            </w:r>
            <w:r>
              <w:rPr>
                <w:noProof/>
                <w:webHidden/>
              </w:rPr>
              <w:instrText xml:space="preserve"> PAGEREF _Toc123562325 \h </w:instrText>
            </w:r>
            <w:r>
              <w:rPr>
                <w:noProof/>
                <w:webHidden/>
              </w:rPr>
            </w:r>
            <w:r>
              <w:rPr>
                <w:noProof/>
                <w:webHidden/>
              </w:rPr>
              <w:fldChar w:fldCharType="separate"/>
            </w:r>
            <w:r>
              <w:rPr>
                <w:noProof/>
                <w:webHidden/>
              </w:rPr>
              <w:t>55</w:t>
            </w:r>
            <w:r>
              <w:rPr>
                <w:noProof/>
                <w:webHidden/>
              </w:rPr>
              <w:fldChar w:fldCharType="end"/>
            </w:r>
          </w:hyperlink>
        </w:p>
        <w:p w14:paraId="47139676" w14:textId="6A586E58" w:rsidR="00D81AED" w:rsidRDefault="00D81AED">
          <w:pPr>
            <w:pStyle w:val="TOC3"/>
            <w:tabs>
              <w:tab w:val="right" w:leader="dot" w:pos="9016"/>
            </w:tabs>
            <w:rPr>
              <w:rFonts w:asciiTheme="minorHAnsi" w:eastAsiaTheme="minorEastAsia" w:hAnsiTheme="minorHAnsi" w:cstheme="minorBidi"/>
              <w:noProof/>
              <w:lang w:eastAsia="en-GB"/>
            </w:rPr>
          </w:pPr>
          <w:hyperlink w:anchor="_Toc123562326" w:history="1">
            <w:r w:rsidRPr="00F54C9B">
              <w:rPr>
                <w:rStyle w:val="Hyperlink"/>
                <w:rFonts w:ascii="Arial" w:eastAsiaTheme="minorHAnsi" w:hAnsi="Arial" w:cs="Arial"/>
                <w:noProof/>
              </w:rPr>
              <w:t>Tailoring the offer</w:t>
            </w:r>
            <w:r>
              <w:rPr>
                <w:noProof/>
                <w:webHidden/>
              </w:rPr>
              <w:tab/>
            </w:r>
            <w:r>
              <w:rPr>
                <w:noProof/>
                <w:webHidden/>
              </w:rPr>
              <w:fldChar w:fldCharType="begin"/>
            </w:r>
            <w:r>
              <w:rPr>
                <w:noProof/>
                <w:webHidden/>
              </w:rPr>
              <w:instrText xml:space="preserve"> PAGEREF _Toc123562326 \h </w:instrText>
            </w:r>
            <w:r>
              <w:rPr>
                <w:noProof/>
                <w:webHidden/>
              </w:rPr>
            </w:r>
            <w:r>
              <w:rPr>
                <w:noProof/>
                <w:webHidden/>
              </w:rPr>
              <w:fldChar w:fldCharType="separate"/>
            </w:r>
            <w:r>
              <w:rPr>
                <w:noProof/>
                <w:webHidden/>
              </w:rPr>
              <w:t>55</w:t>
            </w:r>
            <w:r>
              <w:rPr>
                <w:noProof/>
                <w:webHidden/>
              </w:rPr>
              <w:fldChar w:fldCharType="end"/>
            </w:r>
          </w:hyperlink>
        </w:p>
        <w:p w14:paraId="55800DAC" w14:textId="5D1A09AB" w:rsidR="00D81AED" w:rsidRDefault="00D81AED">
          <w:pPr>
            <w:pStyle w:val="TOC3"/>
            <w:tabs>
              <w:tab w:val="right" w:leader="dot" w:pos="9016"/>
            </w:tabs>
            <w:rPr>
              <w:rFonts w:asciiTheme="minorHAnsi" w:eastAsiaTheme="minorEastAsia" w:hAnsiTheme="minorHAnsi" w:cstheme="minorBidi"/>
              <w:noProof/>
              <w:lang w:eastAsia="en-GB"/>
            </w:rPr>
          </w:pPr>
          <w:hyperlink w:anchor="_Toc123562327" w:history="1">
            <w:r w:rsidRPr="00F54C9B">
              <w:rPr>
                <w:rStyle w:val="Hyperlink"/>
                <w:rFonts w:ascii="Arial" w:eastAsiaTheme="minorHAnsi" w:hAnsi="Arial" w:cs="Arial"/>
                <w:noProof/>
              </w:rPr>
              <w:t>Community</w:t>
            </w:r>
            <w:r>
              <w:rPr>
                <w:noProof/>
                <w:webHidden/>
              </w:rPr>
              <w:tab/>
            </w:r>
            <w:r>
              <w:rPr>
                <w:noProof/>
                <w:webHidden/>
              </w:rPr>
              <w:fldChar w:fldCharType="begin"/>
            </w:r>
            <w:r>
              <w:rPr>
                <w:noProof/>
                <w:webHidden/>
              </w:rPr>
              <w:instrText xml:space="preserve"> PAGEREF _Toc123562327 \h </w:instrText>
            </w:r>
            <w:r>
              <w:rPr>
                <w:noProof/>
                <w:webHidden/>
              </w:rPr>
            </w:r>
            <w:r>
              <w:rPr>
                <w:noProof/>
                <w:webHidden/>
              </w:rPr>
              <w:fldChar w:fldCharType="separate"/>
            </w:r>
            <w:r>
              <w:rPr>
                <w:noProof/>
                <w:webHidden/>
              </w:rPr>
              <w:t>57</w:t>
            </w:r>
            <w:r>
              <w:rPr>
                <w:noProof/>
                <w:webHidden/>
              </w:rPr>
              <w:fldChar w:fldCharType="end"/>
            </w:r>
          </w:hyperlink>
        </w:p>
        <w:p w14:paraId="2C997366" w14:textId="5AED0E50" w:rsidR="00D81AED" w:rsidRDefault="00D81AED">
          <w:pPr>
            <w:pStyle w:val="TOC3"/>
            <w:tabs>
              <w:tab w:val="right" w:leader="dot" w:pos="9016"/>
            </w:tabs>
            <w:rPr>
              <w:rFonts w:asciiTheme="minorHAnsi" w:eastAsiaTheme="minorEastAsia" w:hAnsiTheme="minorHAnsi" w:cstheme="minorBidi"/>
              <w:noProof/>
              <w:lang w:eastAsia="en-GB"/>
            </w:rPr>
          </w:pPr>
          <w:hyperlink w:anchor="_Toc123562328" w:history="1">
            <w:r w:rsidRPr="00F54C9B">
              <w:rPr>
                <w:rStyle w:val="Hyperlink"/>
                <w:rFonts w:ascii="Arial" w:eastAsiaTheme="minorHAnsi" w:hAnsi="Arial" w:cs="Arial"/>
                <w:noProof/>
              </w:rPr>
              <w:t>Local culture</w:t>
            </w:r>
            <w:r>
              <w:rPr>
                <w:noProof/>
                <w:webHidden/>
              </w:rPr>
              <w:tab/>
            </w:r>
            <w:r>
              <w:rPr>
                <w:noProof/>
                <w:webHidden/>
              </w:rPr>
              <w:fldChar w:fldCharType="begin"/>
            </w:r>
            <w:r>
              <w:rPr>
                <w:noProof/>
                <w:webHidden/>
              </w:rPr>
              <w:instrText xml:space="preserve"> PAGEREF _Toc123562328 \h </w:instrText>
            </w:r>
            <w:r>
              <w:rPr>
                <w:noProof/>
                <w:webHidden/>
              </w:rPr>
            </w:r>
            <w:r>
              <w:rPr>
                <w:noProof/>
                <w:webHidden/>
              </w:rPr>
              <w:fldChar w:fldCharType="separate"/>
            </w:r>
            <w:r>
              <w:rPr>
                <w:noProof/>
                <w:webHidden/>
              </w:rPr>
              <w:t>58</w:t>
            </w:r>
            <w:r>
              <w:rPr>
                <w:noProof/>
                <w:webHidden/>
              </w:rPr>
              <w:fldChar w:fldCharType="end"/>
            </w:r>
          </w:hyperlink>
        </w:p>
        <w:p w14:paraId="15ECE9D2" w14:textId="0C72319E" w:rsidR="00D81AED" w:rsidRDefault="00D81AED">
          <w:pPr>
            <w:pStyle w:val="TOC2"/>
            <w:tabs>
              <w:tab w:val="right" w:leader="dot" w:pos="9016"/>
            </w:tabs>
            <w:rPr>
              <w:rFonts w:asciiTheme="minorHAnsi" w:eastAsiaTheme="minorEastAsia" w:hAnsiTheme="minorHAnsi" w:cstheme="minorBidi"/>
              <w:noProof/>
              <w:lang w:eastAsia="en-GB"/>
            </w:rPr>
          </w:pPr>
          <w:hyperlink w:anchor="_Toc123562329" w:history="1">
            <w:r w:rsidRPr="00F54C9B">
              <w:rPr>
                <w:rStyle w:val="Hyperlink"/>
                <w:rFonts w:ascii="Arial" w:eastAsiaTheme="minorHAnsi" w:hAnsi="Arial" w:cs="Arial"/>
                <w:noProof/>
              </w:rPr>
              <w:t>Theme 3: Engagement</w:t>
            </w:r>
            <w:r>
              <w:rPr>
                <w:noProof/>
                <w:webHidden/>
              </w:rPr>
              <w:tab/>
            </w:r>
            <w:r>
              <w:rPr>
                <w:noProof/>
                <w:webHidden/>
              </w:rPr>
              <w:fldChar w:fldCharType="begin"/>
            </w:r>
            <w:r>
              <w:rPr>
                <w:noProof/>
                <w:webHidden/>
              </w:rPr>
              <w:instrText xml:space="preserve"> PAGEREF _Toc123562329 \h </w:instrText>
            </w:r>
            <w:r>
              <w:rPr>
                <w:noProof/>
                <w:webHidden/>
              </w:rPr>
            </w:r>
            <w:r>
              <w:rPr>
                <w:noProof/>
                <w:webHidden/>
              </w:rPr>
              <w:fldChar w:fldCharType="separate"/>
            </w:r>
            <w:r>
              <w:rPr>
                <w:noProof/>
                <w:webHidden/>
              </w:rPr>
              <w:t>59</w:t>
            </w:r>
            <w:r>
              <w:rPr>
                <w:noProof/>
                <w:webHidden/>
              </w:rPr>
              <w:fldChar w:fldCharType="end"/>
            </w:r>
          </w:hyperlink>
        </w:p>
        <w:p w14:paraId="3CD2E7FE" w14:textId="4FF5BE81" w:rsidR="00D81AED" w:rsidRDefault="00D81AED">
          <w:pPr>
            <w:pStyle w:val="TOC3"/>
            <w:tabs>
              <w:tab w:val="right" w:leader="dot" w:pos="9016"/>
            </w:tabs>
            <w:rPr>
              <w:rFonts w:asciiTheme="minorHAnsi" w:eastAsiaTheme="minorEastAsia" w:hAnsiTheme="minorHAnsi" w:cstheme="minorBidi"/>
              <w:noProof/>
              <w:lang w:eastAsia="en-GB"/>
            </w:rPr>
          </w:pPr>
          <w:hyperlink w:anchor="_Toc123562330" w:history="1">
            <w:r w:rsidRPr="00F54C9B">
              <w:rPr>
                <w:rStyle w:val="Hyperlink"/>
                <w:rFonts w:ascii="Arial" w:eastAsiaTheme="minorHAnsi" w:hAnsi="Arial" w:cs="Arial"/>
                <w:noProof/>
              </w:rPr>
              <w:t>Benefits and Outcomes</w:t>
            </w:r>
            <w:r>
              <w:rPr>
                <w:noProof/>
                <w:webHidden/>
              </w:rPr>
              <w:tab/>
            </w:r>
            <w:r>
              <w:rPr>
                <w:noProof/>
                <w:webHidden/>
              </w:rPr>
              <w:fldChar w:fldCharType="begin"/>
            </w:r>
            <w:r>
              <w:rPr>
                <w:noProof/>
                <w:webHidden/>
              </w:rPr>
              <w:instrText xml:space="preserve"> PAGEREF _Toc123562330 \h </w:instrText>
            </w:r>
            <w:r>
              <w:rPr>
                <w:noProof/>
                <w:webHidden/>
              </w:rPr>
            </w:r>
            <w:r>
              <w:rPr>
                <w:noProof/>
                <w:webHidden/>
              </w:rPr>
              <w:fldChar w:fldCharType="separate"/>
            </w:r>
            <w:r>
              <w:rPr>
                <w:noProof/>
                <w:webHidden/>
              </w:rPr>
              <w:t>60</w:t>
            </w:r>
            <w:r>
              <w:rPr>
                <w:noProof/>
                <w:webHidden/>
              </w:rPr>
              <w:fldChar w:fldCharType="end"/>
            </w:r>
          </w:hyperlink>
        </w:p>
        <w:p w14:paraId="021AD8CA" w14:textId="2B256536" w:rsidR="00D81AED" w:rsidRDefault="00D81AED">
          <w:pPr>
            <w:pStyle w:val="TOC3"/>
            <w:tabs>
              <w:tab w:val="right" w:leader="dot" w:pos="9016"/>
            </w:tabs>
            <w:rPr>
              <w:rFonts w:asciiTheme="minorHAnsi" w:eastAsiaTheme="minorEastAsia" w:hAnsiTheme="minorHAnsi" w:cstheme="minorBidi"/>
              <w:noProof/>
              <w:lang w:eastAsia="en-GB"/>
            </w:rPr>
          </w:pPr>
          <w:hyperlink w:anchor="_Toc123562331" w:history="1">
            <w:r w:rsidRPr="00F54C9B">
              <w:rPr>
                <w:rStyle w:val="Hyperlink"/>
                <w:rFonts w:ascii="Arial" w:eastAsiaTheme="minorHAnsi" w:hAnsi="Arial" w:cs="Arial"/>
                <w:noProof/>
              </w:rPr>
              <w:t>Communication</w:t>
            </w:r>
            <w:r>
              <w:rPr>
                <w:noProof/>
                <w:webHidden/>
              </w:rPr>
              <w:tab/>
            </w:r>
            <w:r>
              <w:rPr>
                <w:noProof/>
                <w:webHidden/>
              </w:rPr>
              <w:fldChar w:fldCharType="begin"/>
            </w:r>
            <w:r>
              <w:rPr>
                <w:noProof/>
                <w:webHidden/>
              </w:rPr>
              <w:instrText xml:space="preserve"> PAGEREF _Toc123562331 \h </w:instrText>
            </w:r>
            <w:r>
              <w:rPr>
                <w:noProof/>
                <w:webHidden/>
              </w:rPr>
            </w:r>
            <w:r>
              <w:rPr>
                <w:noProof/>
                <w:webHidden/>
              </w:rPr>
              <w:fldChar w:fldCharType="separate"/>
            </w:r>
            <w:r>
              <w:rPr>
                <w:noProof/>
                <w:webHidden/>
              </w:rPr>
              <w:t>63</w:t>
            </w:r>
            <w:r>
              <w:rPr>
                <w:noProof/>
                <w:webHidden/>
              </w:rPr>
              <w:fldChar w:fldCharType="end"/>
            </w:r>
          </w:hyperlink>
        </w:p>
        <w:p w14:paraId="5AFB64DE" w14:textId="6E22E0FF" w:rsidR="00D81AED" w:rsidRDefault="00D81AED">
          <w:pPr>
            <w:pStyle w:val="TOC3"/>
            <w:tabs>
              <w:tab w:val="right" w:leader="dot" w:pos="9016"/>
            </w:tabs>
            <w:rPr>
              <w:rFonts w:asciiTheme="minorHAnsi" w:eastAsiaTheme="minorEastAsia" w:hAnsiTheme="minorHAnsi" w:cstheme="minorBidi"/>
              <w:noProof/>
              <w:lang w:eastAsia="en-GB"/>
            </w:rPr>
          </w:pPr>
          <w:hyperlink w:anchor="_Toc123562332" w:history="1">
            <w:r w:rsidRPr="00F54C9B">
              <w:rPr>
                <w:rStyle w:val="Hyperlink"/>
                <w:rFonts w:ascii="Arial" w:eastAsiaTheme="minorHAnsi" w:hAnsi="Arial" w:cs="Arial"/>
                <w:noProof/>
              </w:rPr>
              <w:t>Audience</w:t>
            </w:r>
            <w:r>
              <w:rPr>
                <w:noProof/>
                <w:webHidden/>
              </w:rPr>
              <w:tab/>
            </w:r>
            <w:r>
              <w:rPr>
                <w:noProof/>
                <w:webHidden/>
              </w:rPr>
              <w:fldChar w:fldCharType="begin"/>
            </w:r>
            <w:r>
              <w:rPr>
                <w:noProof/>
                <w:webHidden/>
              </w:rPr>
              <w:instrText xml:space="preserve"> PAGEREF _Toc123562332 \h </w:instrText>
            </w:r>
            <w:r>
              <w:rPr>
                <w:noProof/>
                <w:webHidden/>
              </w:rPr>
            </w:r>
            <w:r>
              <w:rPr>
                <w:noProof/>
                <w:webHidden/>
              </w:rPr>
              <w:fldChar w:fldCharType="separate"/>
            </w:r>
            <w:r>
              <w:rPr>
                <w:noProof/>
                <w:webHidden/>
              </w:rPr>
              <w:t>65</w:t>
            </w:r>
            <w:r>
              <w:rPr>
                <w:noProof/>
                <w:webHidden/>
              </w:rPr>
              <w:fldChar w:fldCharType="end"/>
            </w:r>
          </w:hyperlink>
        </w:p>
        <w:p w14:paraId="79598E49" w14:textId="142C3BD5" w:rsidR="00D81AED" w:rsidRDefault="00D81AED">
          <w:pPr>
            <w:pStyle w:val="TOC1"/>
            <w:tabs>
              <w:tab w:val="right" w:leader="dot" w:pos="9016"/>
            </w:tabs>
            <w:rPr>
              <w:rFonts w:asciiTheme="minorHAnsi" w:eastAsiaTheme="minorEastAsia" w:hAnsiTheme="minorHAnsi" w:cstheme="minorBidi"/>
              <w:noProof/>
              <w:lang w:eastAsia="en-GB"/>
            </w:rPr>
          </w:pPr>
          <w:hyperlink w:anchor="_Toc123562333" w:history="1">
            <w:r w:rsidRPr="00F54C9B">
              <w:rPr>
                <w:rStyle w:val="Hyperlink"/>
                <w:rFonts w:ascii="Arial" w:eastAsiaTheme="minorHAnsi" w:hAnsi="Arial" w:cs="Arial"/>
                <w:noProof/>
              </w:rPr>
              <w:t>Discussion</w:t>
            </w:r>
            <w:r>
              <w:rPr>
                <w:noProof/>
                <w:webHidden/>
              </w:rPr>
              <w:tab/>
            </w:r>
            <w:r>
              <w:rPr>
                <w:noProof/>
                <w:webHidden/>
              </w:rPr>
              <w:fldChar w:fldCharType="begin"/>
            </w:r>
            <w:r>
              <w:rPr>
                <w:noProof/>
                <w:webHidden/>
              </w:rPr>
              <w:instrText xml:space="preserve"> PAGEREF _Toc123562333 \h </w:instrText>
            </w:r>
            <w:r>
              <w:rPr>
                <w:noProof/>
                <w:webHidden/>
              </w:rPr>
            </w:r>
            <w:r>
              <w:rPr>
                <w:noProof/>
                <w:webHidden/>
              </w:rPr>
              <w:fldChar w:fldCharType="separate"/>
            </w:r>
            <w:r>
              <w:rPr>
                <w:noProof/>
                <w:webHidden/>
              </w:rPr>
              <w:t>68</w:t>
            </w:r>
            <w:r>
              <w:rPr>
                <w:noProof/>
                <w:webHidden/>
              </w:rPr>
              <w:fldChar w:fldCharType="end"/>
            </w:r>
          </w:hyperlink>
        </w:p>
        <w:p w14:paraId="7BB47E1A" w14:textId="54190A33" w:rsidR="00D81AED" w:rsidRDefault="00D81AED">
          <w:pPr>
            <w:pStyle w:val="TOC2"/>
            <w:tabs>
              <w:tab w:val="right" w:leader="dot" w:pos="9016"/>
            </w:tabs>
            <w:rPr>
              <w:rFonts w:asciiTheme="minorHAnsi" w:eastAsiaTheme="minorEastAsia" w:hAnsiTheme="minorHAnsi" w:cstheme="minorBidi"/>
              <w:noProof/>
              <w:lang w:eastAsia="en-GB"/>
            </w:rPr>
          </w:pPr>
          <w:hyperlink w:anchor="_Toc123562334" w:history="1">
            <w:r w:rsidRPr="00F54C9B">
              <w:rPr>
                <w:rStyle w:val="Hyperlink"/>
                <w:rFonts w:ascii="Arial" w:eastAsiaTheme="minorHAnsi" w:hAnsi="Arial" w:cs="Arial"/>
                <w:noProof/>
              </w:rPr>
              <w:t>Introduction</w:t>
            </w:r>
            <w:r>
              <w:rPr>
                <w:noProof/>
                <w:webHidden/>
              </w:rPr>
              <w:tab/>
            </w:r>
            <w:r>
              <w:rPr>
                <w:noProof/>
                <w:webHidden/>
              </w:rPr>
              <w:fldChar w:fldCharType="begin"/>
            </w:r>
            <w:r>
              <w:rPr>
                <w:noProof/>
                <w:webHidden/>
              </w:rPr>
              <w:instrText xml:space="preserve"> PAGEREF _Toc123562334 \h </w:instrText>
            </w:r>
            <w:r>
              <w:rPr>
                <w:noProof/>
                <w:webHidden/>
              </w:rPr>
            </w:r>
            <w:r>
              <w:rPr>
                <w:noProof/>
                <w:webHidden/>
              </w:rPr>
              <w:fldChar w:fldCharType="separate"/>
            </w:r>
            <w:r>
              <w:rPr>
                <w:noProof/>
                <w:webHidden/>
              </w:rPr>
              <w:t>68</w:t>
            </w:r>
            <w:r>
              <w:rPr>
                <w:noProof/>
                <w:webHidden/>
              </w:rPr>
              <w:fldChar w:fldCharType="end"/>
            </w:r>
          </w:hyperlink>
        </w:p>
        <w:p w14:paraId="5656A7C0" w14:textId="79A1FE62" w:rsidR="00D81AED" w:rsidRDefault="00D81AED">
          <w:pPr>
            <w:pStyle w:val="TOC2"/>
            <w:tabs>
              <w:tab w:val="right" w:leader="dot" w:pos="9016"/>
            </w:tabs>
            <w:rPr>
              <w:rFonts w:asciiTheme="minorHAnsi" w:eastAsiaTheme="minorEastAsia" w:hAnsiTheme="minorHAnsi" w:cstheme="minorBidi"/>
              <w:noProof/>
              <w:lang w:eastAsia="en-GB"/>
            </w:rPr>
          </w:pPr>
          <w:hyperlink w:anchor="_Toc123562335" w:history="1">
            <w:r w:rsidRPr="00F54C9B">
              <w:rPr>
                <w:rStyle w:val="Hyperlink"/>
                <w:rFonts w:ascii="Arial" w:eastAsiaTheme="minorHAnsi" w:hAnsi="Arial" w:cs="Arial"/>
                <w:noProof/>
              </w:rPr>
              <w:t>Interpretation of results</w:t>
            </w:r>
            <w:r>
              <w:rPr>
                <w:noProof/>
                <w:webHidden/>
              </w:rPr>
              <w:tab/>
            </w:r>
            <w:r>
              <w:rPr>
                <w:noProof/>
                <w:webHidden/>
              </w:rPr>
              <w:fldChar w:fldCharType="begin"/>
            </w:r>
            <w:r>
              <w:rPr>
                <w:noProof/>
                <w:webHidden/>
              </w:rPr>
              <w:instrText xml:space="preserve"> PAGEREF _Toc123562335 \h </w:instrText>
            </w:r>
            <w:r>
              <w:rPr>
                <w:noProof/>
                <w:webHidden/>
              </w:rPr>
            </w:r>
            <w:r>
              <w:rPr>
                <w:noProof/>
                <w:webHidden/>
              </w:rPr>
              <w:fldChar w:fldCharType="separate"/>
            </w:r>
            <w:r>
              <w:rPr>
                <w:noProof/>
                <w:webHidden/>
              </w:rPr>
              <w:t>69</w:t>
            </w:r>
            <w:r>
              <w:rPr>
                <w:noProof/>
                <w:webHidden/>
              </w:rPr>
              <w:fldChar w:fldCharType="end"/>
            </w:r>
          </w:hyperlink>
        </w:p>
        <w:p w14:paraId="556E57C7" w14:textId="7EAC98BC" w:rsidR="00D81AED" w:rsidRDefault="00D81AED">
          <w:pPr>
            <w:pStyle w:val="TOC2"/>
            <w:tabs>
              <w:tab w:val="right" w:leader="dot" w:pos="9016"/>
            </w:tabs>
            <w:rPr>
              <w:rFonts w:asciiTheme="minorHAnsi" w:eastAsiaTheme="minorEastAsia" w:hAnsiTheme="minorHAnsi" w:cstheme="minorBidi"/>
              <w:noProof/>
              <w:lang w:eastAsia="en-GB"/>
            </w:rPr>
          </w:pPr>
          <w:hyperlink w:anchor="_Toc123562336" w:history="1">
            <w:r w:rsidRPr="00F54C9B">
              <w:rPr>
                <w:rStyle w:val="Hyperlink"/>
                <w:rFonts w:ascii="Arial" w:eastAsiaTheme="minorHAnsi" w:hAnsi="Arial" w:cs="Arial"/>
                <w:noProof/>
              </w:rPr>
              <w:t>Theme 1: Service delivery and principles</w:t>
            </w:r>
            <w:r>
              <w:rPr>
                <w:noProof/>
                <w:webHidden/>
              </w:rPr>
              <w:tab/>
            </w:r>
            <w:r>
              <w:rPr>
                <w:noProof/>
                <w:webHidden/>
              </w:rPr>
              <w:fldChar w:fldCharType="begin"/>
            </w:r>
            <w:r>
              <w:rPr>
                <w:noProof/>
                <w:webHidden/>
              </w:rPr>
              <w:instrText xml:space="preserve"> PAGEREF _Toc123562336 \h </w:instrText>
            </w:r>
            <w:r>
              <w:rPr>
                <w:noProof/>
                <w:webHidden/>
              </w:rPr>
            </w:r>
            <w:r>
              <w:rPr>
                <w:noProof/>
                <w:webHidden/>
              </w:rPr>
              <w:fldChar w:fldCharType="separate"/>
            </w:r>
            <w:r>
              <w:rPr>
                <w:noProof/>
                <w:webHidden/>
              </w:rPr>
              <w:t>69</w:t>
            </w:r>
            <w:r>
              <w:rPr>
                <w:noProof/>
                <w:webHidden/>
              </w:rPr>
              <w:fldChar w:fldCharType="end"/>
            </w:r>
          </w:hyperlink>
        </w:p>
        <w:p w14:paraId="052A3DC5" w14:textId="32E76C79" w:rsidR="00D81AED" w:rsidRDefault="00D81AED">
          <w:pPr>
            <w:pStyle w:val="TOC2"/>
            <w:tabs>
              <w:tab w:val="right" w:leader="dot" w:pos="9016"/>
            </w:tabs>
            <w:rPr>
              <w:rFonts w:asciiTheme="minorHAnsi" w:eastAsiaTheme="minorEastAsia" w:hAnsiTheme="minorHAnsi" w:cstheme="minorBidi"/>
              <w:noProof/>
              <w:lang w:eastAsia="en-GB"/>
            </w:rPr>
          </w:pPr>
          <w:hyperlink w:anchor="_Toc123562337" w:history="1">
            <w:r w:rsidRPr="00F54C9B">
              <w:rPr>
                <w:rStyle w:val="Hyperlink"/>
                <w:rFonts w:ascii="Arial" w:eastAsiaTheme="minorHAnsi" w:hAnsi="Arial" w:cs="Arial"/>
                <w:noProof/>
              </w:rPr>
              <w:t>Theme 2: Ownership</w:t>
            </w:r>
            <w:r>
              <w:rPr>
                <w:noProof/>
                <w:webHidden/>
              </w:rPr>
              <w:tab/>
            </w:r>
            <w:r>
              <w:rPr>
                <w:noProof/>
                <w:webHidden/>
              </w:rPr>
              <w:fldChar w:fldCharType="begin"/>
            </w:r>
            <w:r>
              <w:rPr>
                <w:noProof/>
                <w:webHidden/>
              </w:rPr>
              <w:instrText xml:space="preserve"> PAGEREF _Toc123562337 \h </w:instrText>
            </w:r>
            <w:r>
              <w:rPr>
                <w:noProof/>
                <w:webHidden/>
              </w:rPr>
            </w:r>
            <w:r>
              <w:rPr>
                <w:noProof/>
                <w:webHidden/>
              </w:rPr>
              <w:fldChar w:fldCharType="separate"/>
            </w:r>
            <w:r>
              <w:rPr>
                <w:noProof/>
                <w:webHidden/>
              </w:rPr>
              <w:t>71</w:t>
            </w:r>
            <w:r>
              <w:rPr>
                <w:noProof/>
                <w:webHidden/>
              </w:rPr>
              <w:fldChar w:fldCharType="end"/>
            </w:r>
          </w:hyperlink>
        </w:p>
        <w:p w14:paraId="40906530" w14:textId="53097F3F" w:rsidR="00D81AED" w:rsidRDefault="00D81AED">
          <w:pPr>
            <w:pStyle w:val="TOC2"/>
            <w:tabs>
              <w:tab w:val="right" w:leader="dot" w:pos="9016"/>
            </w:tabs>
            <w:rPr>
              <w:rFonts w:asciiTheme="minorHAnsi" w:eastAsiaTheme="minorEastAsia" w:hAnsiTheme="minorHAnsi" w:cstheme="minorBidi"/>
              <w:noProof/>
              <w:lang w:eastAsia="en-GB"/>
            </w:rPr>
          </w:pPr>
          <w:hyperlink w:anchor="_Toc123562338" w:history="1">
            <w:r w:rsidRPr="00F54C9B">
              <w:rPr>
                <w:rStyle w:val="Hyperlink"/>
                <w:rFonts w:ascii="Arial" w:eastAsiaTheme="minorHAnsi" w:hAnsi="Arial" w:cs="Arial"/>
                <w:noProof/>
              </w:rPr>
              <w:t>Theme 3: Engagement</w:t>
            </w:r>
            <w:r>
              <w:rPr>
                <w:noProof/>
                <w:webHidden/>
              </w:rPr>
              <w:tab/>
            </w:r>
            <w:r>
              <w:rPr>
                <w:noProof/>
                <w:webHidden/>
              </w:rPr>
              <w:fldChar w:fldCharType="begin"/>
            </w:r>
            <w:r>
              <w:rPr>
                <w:noProof/>
                <w:webHidden/>
              </w:rPr>
              <w:instrText xml:space="preserve"> PAGEREF _Toc123562338 \h </w:instrText>
            </w:r>
            <w:r>
              <w:rPr>
                <w:noProof/>
                <w:webHidden/>
              </w:rPr>
            </w:r>
            <w:r>
              <w:rPr>
                <w:noProof/>
                <w:webHidden/>
              </w:rPr>
              <w:fldChar w:fldCharType="separate"/>
            </w:r>
            <w:r>
              <w:rPr>
                <w:noProof/>
                <w:webHidden/>
              </w:rPr>
              <w:t>74</w:t>
            </w:r>
            <w:r>
              <w:rPr>
                <w:noProof/>
                <w:webHidden/>
              </w:rPr>
              <w:fldChar w:fldCharType="end"/>
            </w:r>
          </w:hyperlink>
        </w:p>
        <w:p w14:paraId="7E86CC3C" w14:textId="6A633DBB" w:rsidR="00D81AED" w:rsidRDefault="00D81AED">
          <w:pPr>
            <w:pStyle w:val="TOC1"/>
            <w:tabs>
              <w:tab w:val="right" w:leader="dot" w:pos="9016"/>
            </w:tabs>
            <w:rPr>
              <w:rFonts w:asciiTheme="minorHAnsi" w:eastAsiaTheme="minorEastAsia" w:hAnsiTheme="minorHAnsi" w:cstheme="minorBidi"/>
              <w:noProof/>
              <w:lang w:eastAsia="en-GB"/>
            </w:rPr>
          </w:pPr>
          <w:hyperlink w:anchor="_Toc123562339" w:history="1">
            <w:r w:rsidRPr="00F54C9B">
              <w:rPr>
                <w:rStyle w:val="Hyperlink"/>
                <w:rFonts w:ascii="Arial" w:eastAsiaTheme="minorHAnsi" w:hAnsi="Arial" w:cs="Arial"/>
                <w:noProof/>
              </w:rPr>
              <w:t>Conclusion</w:t>
            </w:r>
            <w:r>
              <w:rPr>
                <w:noProof/>
                <w:webHidden/>
              </w:rPr>
              <w:tab/>
            </w:r>
            <w:r>
              <w:rPr>
                <w:noProof/>
                <w:webHidden/>
              </w:rPr>
              <w:fldChar w:fldCharType="begin"/>
            </w:r>
            <w:r>
              <w:rPr>
                <w:noProof/>
                <w:webHidden/>
              </w:rPr>
              <w:instrText xml:space="preserve"> PAGEREF _Toc123562339 \h </w:instrText>
            </w:r>
            <w:r>
              <w:rPr>
                <w:noProof/>
                <w:webHidden/>
              </w:rPr>
            </w:r>
            <w:r>
              <w:rPr>
                <w:noProof/>
                <w:webHidden/>
              </w:rPr>
              <w:fldChar w:fldCharType="separate"/>
            </w:r>
            <w:r>
              <w:rPr>
                <w:noProof/>
                <w:webHidden/>
              </w:rPr>
              <w:t>78</w:t>
            </w:r>
            <w:r>
              <w:rPr>
                <w:noProof/>
                <w:webHidden/>
              </w:rPr>
              <w:fldChar w:fldCharType="end"/>
            </w:r>
          </w:hyperlink>
        </w:p>
        <w:p w14:paraId="145605EC" w14:textId="7D87D06D" w:rsidR="00D81AED" w:rsidRDefault="00D81AED">
          <w:pPr>
            <w:pStyle w:val="TOC2"/>
            <w:tabs>
              <w:tab w:val="right" w:leader="dot" w:pos="9016"/>
            </w:tabs>
            <w:rPr>
              <w:rFonts w:asciiTheme="minorHAnsi" w:eastAsiaTheme="minorEastAsia" w:hAnsiTheme="minorHAnsi" w:cstheme="minorBidi"/>
              <w:noProof/>
              <w:lang w:eastAsia="en-GB"/>
            </w:rPr>
          </w:pPr>
          <w:hyperlink w:anchor="_Toc123562340" w:history="1">
            <w:r w:rsidRPr="00F54C9B">
              <w:rPr>
                <w:rStyle w:val="Hyperlink"/>
                <w:rFonts w:ascii="Arial" w:eastAsiaTheme="minorHAnsi" w:hAnsi="Arial" w:cs="Arial"/>
                <w:noProof/>
              </w:rPr>
              <w:t>Introduction</w:t>
            </w:r>
            <w:r>
              <w:rPr>
                <w:noProof/>
                <w:webHidden/>
              </w:rPr>
              <w:tab/>
            </w:r>
            <w:r>
              <w:rPr>
                <w:noProof/>
                <w:webHidden/>
              </w:rPr>
              <w:fldChar w:fldCharType="begin"/>
            </w:r>
            <w:r>
              <w:rPr>
                <w:noProof/>
                <w:webHidden/>
              </w:rPr>
              <w:instrText xml:space="preserve"> PAGEREF _Toc123562340 \h </w:instrText>
            </w:r>
            <w:r>
              <w:rPr>
                <w:noProof/>
                <w:webHidden/>
              </w:rPr>
            </w:r>
            <w:r>
              <w:rPr>
                <w:noProof/>
                <w:webHidden/>
              </w:rPr>
              <w:fldChar w:fldCharType="separate"/>
            </w:r>
            <w:r>
              <w:rPr>
                <w:noProof/>
                <w:webHidden/>
              </w:rPr>
              <w:t>78</w:t>
            </w:r>
            <w:r>
              <w:rPr>
                <w:noProof/>
                <w:webHidden/>
              </w:rPr>
              <w:fldChar w:fldCharType="end"/>
            </w:r>
          </w:hyperlink>
        </w:p>
        <w:p w14:paraId="432DE668" w14:textId="43D8A06C" w:rsidR="00D81AED" w:rsidRDefault="00D81AED">
          <w:pPr>
            <w:pStyle w:val="TOC2"/>
            <w:tabs>
              <w:tab w:val="right" w:leader="dot" w:pos="9016"/>
            </w:tabs>
            <w:rPr>
              <w:rFonts w:asciiTheme="minorHAnsi" w:eastAsiaTheme="minorEastAsia" w:hAnsiTheme="minorHAnsi" w:cstheme="minorBidi"/>
              <w:noProof/>
              <w:lang w:eastAsia="en-GB"/>
            </w:rPr>
          </w:pPr>
          <w:hyperlink w:anchor="_Toc123562341" w:history="1">
            <w:r w:rsidRPr="00F54C9B">
              <w:rPr>
                <w:rStyle w:val="Hyperlink"/>
                <w:rFonts w:ascii="Arial" w:eastAsiaTheme="minorHAnsi" w:hAnsi="Arial" w:cs="Arial"/>
                <w:noProof/>
              </w:rPr>
              <w:t>Key Findings</w:t>
            </w:r>
            <w:r>
              <w:rPr>
                <w:noProof/>
                <w:webHidden/>
              </w:rPr>
              <w:tab/>
            </w:r>
            <w:r>
              <w:rPr>
                <w:noProof/>
                <w:webHidden/>
              </w:rPr>
              <w:fldChar w:fldCharType="begin"/>
            </w:r>
            <w:r>
              <w:rPr>
                <w:noProof/>
                <w:webHidden/>
              </w:rPr>
              <w:instrText xml:space="preserve"> PAGEREF _Toc123562341 \h </w:instrText>
            </w:r>
            <w:r>
              <w:rPr>
                <w:noProof/>
                <w:webHidden/>
              </w:rPr>
            </w:r>
            <w:r>
              <w:rPr>
                <w:noProof/>
                <w:webHidden/>
              </w:rPr>
              <w:fldChar w:fldCharType="separate"/>
            </w:r>
            <w:r>
              <w:rPr>
                <w:noProof/>
                <w:webHidden/>
              </w:rPr>
              <w:t>78</w:t>
            </w:r>
            <w:r>
              <w:rPr>
                <w:noProof/>
                <w:webHidden/>
              </w:rPr>
              <w:fldChar w:fldCharType="end"/>
            </w:r>
          </w:hyperlink>
        </w:p>
        <w:p w14:paraId="52ECFC0C" w14:textId="7DE54F14" w:rsidR="00D81AED" w:rsidRDefault="00D81AED">
          <w:pPr>
            <w:pStyle w:val="TOC3"/>
            <w:tabs>
              <w:tab w:val="right" w:leader="dot" w:pos="9016"/>
            </w:tabs>
            <w:rPr>
              <w:rFonts w:asciiTheme="minorHAnsi" w:eastAsiaTheme="minorEastAsia" w:hAnsiTheme="minorHAnsi" w:cstheme="minorBidi"/>
              <w:noProof/>
              <w:lang w:eastAsia="en-GB"/>
            </w:rPr>
          </w:pPr>
          <w:hyperlink w:anchor="_Toc123562342" w:history="1">
            <w:r w:rsidRPr="00F54C9B">
              <w:rPr>
                <w:rStyle w:val="Hyperlink"/>
                <w:rFonts w:ascii="Arial" w:eastAsiaTheme="minorHAnsi" w:hAnsi="Arial" w:cs="Arial"/>
                <w:noProof/>
              </w:rPr>
              <w:t>RQ1 What strategies are implemented by local government and not for profit organisations that fundraise successfully?</w:t>
            </w:r>
            <w:r>
              <w:rPr>
                <w:noProof/>
                <w:webHidden/>
              </w:rPr>
              <w:tab/>
            </w:r>
            <w:r>
              <w:rPr>
                <w:noProof/>
                <w:webHidden/>
              </w:rPr>
              <w:fldChar w:fldCharType="begin"/>
            </w:r>
            <w:r>
              <w:rPr>
                <w:noProof/>
                <w:webHidden/>
              </w:rPr>
              <w:instrText xml:space="preserve"> PAGEREF _Toc123562342 \h </w:instrText>
            </w:r>
            <w:r>
              <w:rPr>
                <w:noProof/>
                <w:webHidden/>
              </w:rPr>
            </w:r>
            <w:r>
              <w:rPr>
                <w:noProof/>
                <w:webHidden/>
              </w:rPr>
              <w:fldChar w:fldCharType="separate"/>
            </w:r>
            <w:r>
              <w:rPr>
                <w:noProof/>
                <w:webHidden/>
              </w:rPr>
              <w:t>79</w:t>
            </w:r>
            <w:r>
              <w:rPr>
                <w:noProof/>
                <w:webHidden/>
              </w:rPr>
              <w:fldChar w:fldCharType="end"/>
            </w:r>
          </w:hyperlink>
        </w:p>
        <w:p w14:paraId="688E3126" w14:textId="7445C030" w:rsidR="00D81AED" w:rsidRDefault="00D81AED">
          <w:pPr>
            <w:pStyle w:val="TOC3"/>
            <w:tabs>
              <w:tab w:val="right" w:leader="dot" w:pos="9016"/>
            </w:tabs>
            <w:rPr>
              <w:rFonts w:asciiTheme="minorHAnsi" w:eastAsiaTheme="minorEastAsia" w:hAnsiTheme="minorHAnsi" w:cstheme="minorBidi"/>
              <w:noProof/>
              <w:lang w:eastAsia="en-GB"/>
            </w:rPr>
          </w:pPr>
          <w:hyperlink w:anchor="_Toc123562343" w:history="1">
            <w:r w:rsidRPr="00F54C9B">
              <w:rPr>
                <w:rStyle w:val="Hyperlink"/>
                <w:rFonts w:ascii="Arial" w:eastAsiaTheme="minorHAnsi" w:hAnsi="Arial" w:cs="Arial"/>
                <w:noProof/>
              </w:rPr>
              <w:t>RQ2 How are new technologies altering the fundraising landscape?</w:t>
            </w:r>
            <w:r>
              <w:rPr>
                <w:noProof/>
                <w:webHidden/>
              </w:rPr>
              <w:tab/>
            </w:r>
            <w:r>
              <w:rPr>
                <w:noProof/>
                <w:webHidden/>
              </w:rPr>
              <w:fldChar w:fldCharType="begin"/>
            </w:r>
            <w:r>
              <w:rPr>
                <w:noProof/>
                <w:webHidden/>
              </w:rPr>
              <w:instrText xml:space="preserve"> PAGEREF _Toc123562343 \h </w:instrText>
            </w:r>
            <w:r>
              <w:rPr>
                <w:noProof/>
                <w:webHidden/>
              </w:rPr>
            </w:r>
            <w:r>
              <w:rPr>
                <w:noProof/>
                <w:webHidden/>
              </w:rPr>
              <w:fldChar w:fldCharType="separate"/>
            </w:r>
            <w:r>
              <w:rPr>
                <w:noProof/>
                <w:webHidden/>
              </w:rPr>
              <w:t>79</w:t>
            </w:r>
            <w:r>
              <w:rPr>
                <w:noProof/>
                <w:webHidden/>
              </w:rPr>
              <w:fldChar w:fldCharType="end"/>
            </w:r>
          </w:hyperlink>
        </w:p>
        <w:p w14:paraId="32006203" w14:textId="1E9E0E4B" w:rsidR="00D81AED" w:rsidRDefault="00D81AED">
          <w:pPr>
            <w:pStyle w:val="TOC3"/>
            <w:tabs>
              <w:tab w:val="right" w:leader="dot" w:pos="9016"/>
            </w:tabs>
            <w:rPr>
              <w:rFonts w:asciiTheme="minorHAnsi" w:eastAsiaTheme="minorEastAsia" w:hAnsiTheme="minorHAnsi" w:cstheme="minorBidi"/>
              <w:noProof/>
              <w:lang w:eastAsia="en-GB"/>
            </w:rPr>
          </w:pPr>
          <w:hyperlink w:anchor="_Toc123562344" w:history="1">
            <w:r w:rsidRPr="00F54C9B">
              <w:rPr>
                <w:rStyle w:val="Hyperlink"/>
                <w:rFonts w:ascii="Arial" w:eastAsiaTheme="minorHAnsi" w:hAnsi="Arial" w:cs="Arial"/>
                <w:noProof/>
              </w:rPr>
              <w:t>RQ3 How sustainable are these successful models?</w:t>
            </w:r>
            <w:r>
              <w:rPr>
                <w:noProof/>
                <w:webHidden/>
              </w:rPr>
              <w:tab/>
            </w:r>
            <w:r>
              <w:rPr>
                <w:noProof/>
                <w:webHidden/>
              </w:rPr>
              <w:fldChar w:fldCharType="begin"/>
            </w:r>
            <w:r>
              <w:rPr>
                <w:noProof/>
                <w:webHidden/>
              </w:rPr>
              <w:instrText xml:space="preserve"> PAGEREF _Toc123562344 \h </w:instrText>
            </w:r>
            <w:r>
              <w:rPr>
                <w:noProof/>
                <w:webHidden/>
              </w:rPr>
            </w:r>
            <w:r>
              <w:rPr>
                <w:noProof/>
                <w:webHidden/>
              </w:rPr>
              <w:fldChar w:fldCharType="separate"/>
            </w:r>
            <w:r>
              <w:rPr>
                <w:noProof/>
                <w:webHidden/>
              </w:rPr>
              <w:t>79</w:t>
            </w:r>
            <w:r>
              <w:rPr>
                <w:noProof/>
                <w:webHidden/>
              </w:rPr>
              <w:fldChar w:fldCharType="end"/>
            </w:r>
          </w:hyperlink>
        </w:p>
        <w:p w14:paraId="53BCD372" w14:textId="03377705" w:rsidR="00D81AED" w:rsidRDefault="00D81AED">
          <w:pPr>
            <w:pStyle w:val="TOC3"/>
            <w:tabs>
              <w:tab w:val="right" w:leader="dot" w:pos="9016"/>
            </w:tabs>
            <w:rPr>
              <w:rFonts w:asciiTheme="minorHAnsi" w:eastAsiaTheme="minorEastAsia" w:hAnsiTheme="minorHAnsi" w:cstheme="minorBidi"/>
              <w:noProof/>
              <w:lang w:eastAsia="en-GB"/>
            </w:rPr>
          </w:pPr>
          <w:hyperlink w:anchor="_Toc123562345" w:history="1">
            <w:r w:rsidRPr="00F54C9B">
              <w:rPr>
                <w:rStyle w:val="Hyperlink"/>
                <w:rFonts w:ascii="Arial" w:eastAsiaTheme="minorHAnsi" w:hAnsi="Arial" w:cs="Arial"/>
                <w:noProof/>
              </w:rPr>
              <w:t>RQ4 What is the appetite for, and feasibility of, implementing these successful initiatives in Powys?</w:t>
            </w:r>
            <w:r>
              <w:rPr>
                <w:noProof/>
                <w:webHidden/>
              </w:rPr>
              <w:tab/>
            </w:r>
            <w:r>
              <w:rPr>
                <w:noProof/>
                <w:webHidden/>
              </w:rPr>
              <w:fldChar w:fldCharType="begin"/>
            </w:r>
            <w:r>
              <w:rPr>
                <w:noProof/>
                <w:webHidden/>
              </w:rPr>
              <w:instrText xml:space="preserve"> PAGEREF _Toc123562345 \h </w:instrText>
            </w:r>
            <w:r>
              <w:rPr>
                <w:noProof/>
                <w:webHidden/>
              </w:rPr>
            </w:r>
            <w:r>
              <w:rPr>
                <w:noProof/>
                <w:webHidden/>
              </w:rPr>
              <w:fldChar w:fldCharType="separate"/>
            </w:r>
            <w:r>
              <w:rPr>
                <w:noProof/>
                <w:webHidden/>
              </w:rPr>
              <w:t>80</w:t>
            </w:r>
            <w:r>
              <w:rPr>
                <w:noProof/>
                <w:webHidden/>
              </w:rPr>
              <w:fldChar w:fldCharType="end"/>
            </w:r>
          </w:hyperlink>
        </w:p>
        <w:p w14:paraId="0E08ABC3" w14:textId="097CAC16" w:rsidR="00D81AED" w:rsidRDefault="00D81AED">
          <w:pPr>
            <w:pStyle w:val="TOC2"/>
            <w:tabs>
              <w:tab w:val="right" w:leader="dot" w:pos="9016"/>
            </w:tabs>
            <w:rPr>
              <w:rFonts w:asciiTheme="minorHAnsi" w:eastAsiaTheme="minorEastAsia" w:hAnsiTheme="minorHAnsi" w:cstheme="minorBidi"/>
              <w:noProof/>
              <w:lang w:eastAsia="en-GB"/>
            </w:rPr>
          </w:pPr>
          <w:hyperlink w:anchor="_Toc123562346" w:history="1">
            <w:r w:rsidRPr="00F54C9B">
              <w:rPr>
                <w:rStyle w:val="Hyperlink"/>
                <w:rFonts w:ascii="Arial" w:hAnsi="Arial" w:cs="Arial"/>
                <w:noProof/>
              </w:rPr>
              <w:t>Contribution to existing research</w:t>
            </w:r>
            <w:r>
              <w:rPr>
                <w:noProof/>
                <w:webHidden/>
              </w:rPr>
              <w:tab/>
            </w:r>
            <w:r>
              <w:rPr>
                <w:noProof/>
                <w:webHidden/>
              </w:rPr>
              <w:fldChar w:fldCharType="begin"/>
            </w:r>
            <w:r>
              <w:rPr>
                <w:noProof/>
                <w:webHidden/>
              </w:rPr>
              <w:instrText xml:space="preserve"> PAGEREF _Toc123562346 \h </w:instrText>
            </w:r>
            <w:r>
              <w:rPr>
                <w:noProof/>
                <w:webHidden/>
              </w:rPr>
            </w:r>
            <w:r>
              <w:rPr>
                <w:noProof/>
                <w:webHidden/>
              </w:rPr>
              <w:fldChar w:fldCharType="separate"/>
            </w:r>
            <w:r>
              <w:rPr>
                <w:noProof/>
                <w:webHidden/>
              </w:rPr>
              <w:t>81</w:t>
            </w:r>
            <w:r>
              <w:rPr>
                <w:noProof/>
                <w:webHidden/>
              </w:rPr>
              <w:fldChar w:fldCharType="end"/>
            </w:r>
          </w:hyperlink>
        </w:p>
        <w:p w14:paraId="7DB2082A" w14:textId="50DD5D13" w:rsidR="00D81AED" w:rsidRDefault="00D81AED">
          <w:pPr>
            <w:pStyle w:val="TOC2"/>
            <w:tabs>
              <w:tab w:val="right" w:leader="dot" w:pos="9016"/>
            </w:tabs>
            <w:rPr>
              <w:rFonts w:asciiTheme="minorHAnsi" w:eastAsiaTheme="minorEastAsia" w:hAnsiTheme="minorHAnsi" w:cstheme="minorBidi"/>
              <w:noProof/>
              <w:lang w:eastAsia="en-GB"/>
            </w:rPr>
          </w:pPr>
          <w:hyperlink w:anchor="_Toc123562347" w:history="1">
            <w:r w:rsidRPr="00F54C9B">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_Toc123562347 \h </w:instrText>
            </w:r>
            <w:r>
              <w:rPr>
                <w:noProof/>
                <w:webHidden/>
              </w:rPr>
            </w:r>
            <w:r>
              <w:rPr>
                <w:noProof/>
                <w:webHidden/>
              </w:rPr>
              <w:fldChar w:fldCharType="separate"/>
            </w:r>
            <w:r>
              <w:rPr>
                <w:noProof/>
                <w:webHidden/>
              </w:rPr>
              <w:t>82</w:t>
            </w:r>
            <w:r>
              <w:rPr>
                <w:noProof/>
                <w:webHidden/>
              </w:rPr>
              <w:fldChar w:fldCharType="end"/>
            </w:r>
          </w:hyperlink>
        </w:p>
        <w:p w14:paraId="31F03988" w14:textId="4FAC08F1" w:rsidR="00D81AED" w:rsidRDefault="00D81AED">
          <w:pPr>
            <w:pStyle w:val="TOC2"/>
            <w:tabs>
              <w:tab w:val="right" w:leader="dot" w:pos="9016"/>
            </w:tabs>
            <w:rPr>
              <w:rFonts w:asciiTheme="minorHAnsi" w:eastAsiaTheme="minorEastAsia" w:hAnsiTheme="minorHAnsi" w:cstheme="minorBidi"/>
              <w:noProof/>
              <w:lang w:eastAsia="en-GB"/>
            </w:rPr>
          </w:pPr>
          <w:hyperlink w:anchor="_Toc123562348" w:history="1">
            <w:r w:rsidRPr="00F54C9B">
              <w:rPr>
                <w:rStyle w:val="Hyperlink"/>
                <w:rFonts w:ascii="Arial" w:hAnsi="Arial" w:cs="Arial"/>
                <w:noProof/>
              </w:rPr>
              <w:t>Future Research</w:t>
            </w:r>
            <w:r>
              <w:rPr>
                <w:noProof/>
                <w:webHidden/>
              </w:rPr>
              <w:tab/>
            </w:r>
            <w:r>
              <w:rPr>
                <w:noProof/>
                <w:webHidden/>
              </w:rPr>
              <w:fldChar w:fldCharType="begin"/>
            </w:r>
            <w:r>
              <w:rPr>
                <w:noProof/>
                <w:webHidden/>
              </w:rPr>
              <w:instrText xml:space="preserve"> PAGEREF _Toc123562348 \h </w:instrText>
            </w:r>
            <w:r>
              <w:rPr>
                <w:noProof/>
                <w:webHidden/>
              </w:rPr>
            </w:r>
            <w:r>
              <w:rPr>
                <w:noProof/>
                <w:webHidden/>
              </w:rPr>
              <w:fldChar w:fldCharType="separate"/>
            </w:r>
            <w:r>
              <w:rPr>
                <w:noProof/>
                <w:webHidden/>
              </w:rPr>
              <w:t>82</w:t>
            </w:r>
            <w:r>
              <w:rPr>
                <w:noProof/>
                <w:webHidden/>
              </w:rPr>
              <w:fldChar w:fldCharType="end"/>
            </w:r>
          </w:hyperlink>
        </w:p>
        <w:p w14:paraId="67DBDD10" w14:textId="7C1B96B6" w:rsidR="00D81AED" w:rsidRDefault="00D81AED">
          <w:pPr>
            <w:pStyle w:val="TOC2"/>
            <w:tabs>
              <w:tab w:val="right" w:leader="dot" w:pos="9016"/>
            </w:tabs>
            <w:rPr>
              <w:rFonts w:asciiTheme="minorHAnsi" w:eastAsiaTheme="minorEastAsia" w:hAnsiTheme="minorHAnsi" w:cstheme="minorBidi"/>
              <w:noProof/>
              <w:lang w:eastAsia="en-GB"/>
            </w:rPr>
          </w:pPr>
          <w:hyperlink w:anchor="_Toc123562349" w:history="1">
            <w:r w:rsidRPr="00F54C9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_Toc123562349 \h </w:instrText>
            </w:r>
            <w:r>
              <w:rPr>
                <w:noProof/>
                <w:webHidden/>
              </w:rPr>
            </w:r>
            <w:r>
              <w:rPr>
                <w:noProof/>
                <w:webHidden/>
              </w:rPr>
              <w:fldChar w:fldCharType="separate"/>
            </w:r>
            <w:r>
              <w:rPr>
                <w:noProof/>
                <w:webHidden/>
              </w:rPr>
              <w:t>83</w:t>
            </w:r>
            <w:r>
              <w:rPr>
                <w:noProof/>
                <w:webHidden/>
              </w:rPr>
              <w:fldChar w:fldCharType="end"/>
            </w:r>
          </w:hyperlink>
        </w:p>
        <w:p w14:paraId="78BC93AA" w14:textId="3351D7B6" w:rsidR="00D81AED" w:rsidRDefault="00D81AED">
          <w:pPr>
            <w:pStyle w:val="TOC2"/>
            <w:tabs>
              <w:tab w:val="right" w:leader="dot" w:pos="9016"/>
            </w:tabs>
            <w:rPr>
              <w:rFonts w:asciiTheme="minorHAnsi" w:eastAsiaTheme="minorEastAsia" w:hAnsiTheme="minorHAnsi" w:cstheme="minorBidi"/>
              <w:noProof/>
              <w:lang w:eastAsia="en-GB"/>
            </w:rPr>
          </w:pPr>
          <w:hyperlink w:anchor="_Toc123562350" w:history="1">
            <w:r w:rsidRPr="00F54C9B">
              <w:rPr>
                <w:rStyle w:val="Hyperlink"/>
                <w:rFonts w:ascii="Arial" w:hAnsi="Arial" w:cs="Arial"/>
                <w:noProof/>
              </w:rPr>
              <w:t>Recommendations for Income Generation Strategy</w:t>
            </w:r>
            <w:r>
              <w:rPr>
                <w:noProof/>
                <w:webHidden/>
              </w:rPr>
              <w:tab/>
            </w:r>
            <w:r>
              <w:rPr>
                <w:noProof/>
                <w:webHidden/>
              </w:rPr>
              <w:fldChar w:fldCharType="begin"/>
            </w:r>
            <w:r>
              <w:rPr>
                <w:noProof/>
                <w:webHidden/>
              </w:rPr>
              <w:instrText xml:space="preserve"> PAGEREF _Toc123562350 \h </w:instrText>
            </w:r>
            <w:r>
              <w:rPr>
                <w:noProof/>
                <w:webHidden/>
              </w:rPr>
            </w:r>
            <w:r>
              <w:rPr>
                <w:noProof/>
                <w:webHidden/>
              </w:rPr>
              <w:fldChar w:fldCharType="separate"/>
            </w:r>
            <w:r>
              <w:rPr>
                <w:noProof/>
                <w:webHidden/>
              </w:rPr>
              <w:t>83</w:t>
            </w:r>
            <w:r>
              <w:rPr>
                <w:noProof/>
                <w:webHidden/>
              </w:rPr>
              <w:fldChar w:fldCharType="end"/>
            </w:r>
          </w:hyperlink>
        </w:p>
        <w:p w14:paraId="7579CD53" w14:textId="692DE22B" w:rsidR="00D81AED" w:rsidRDefault="00D81AED">
          <w:pPr>
            <w:pStyle w:val="TOC1"/>
            <w:tabs>
              <w:tab w:val="right" w:leader="dot" w:pos="9016"/>
            </w:tabs>
            <w:rPr>
              <w:rFonts w:asciiTheme="minorHAnsi" w:eastAsiaTheme="minorEastAsia" w:hAnsiTheme="minorHAnsi" w:cstheme="minorBidi"/>
              <w:noProof/>
              <w:lang w:eastAsia="en-GB"/>
            </w:rPr>
          </w:pPr>
          <w:hyperlink w:anchor="_Toc123562351" w:history="1">
            <w:r w:rsidRPr="00F54C9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_Toc123562351 \h </w:instrText>
            </w:r>
            <w:r>
              <w:rPr>
                <w:noProof/>
                <w:webHidden/>
              </w:rPr>
            </w:r>
            <w:r>
              <w:rPr>
                <w:noProof/>
                <w:webHidden/>
              </w:rPr>
              <w:fldChar w:fldCharType="separate"/>
            </w:r>
            <w:r>
              <w:rPr>
                <w:noProof/>
                <w:webHidden/>
              </w:rPr>
              <w:t>85</w:t>
            </w:r>
            <w:r>
              <w:rPr>
                <w:noProof/>
                <w:webHidden/>
              </w:rPr>
              <w:fldChar w:fldCharType="end"/>
            </w:r>
          </w:hyperlink>
        </w:p>
        <w:p w14:paraId="5CC6F0FF" w14:textId="39AA992A" w:rsidR="00D81AED" w:rsidRDefault="00D81AED">
          <w:pPr>
            <w:pStyle w:val="TOC1"/>
            <w:tabs>
              <w:tab w:val="right" w:leader="dot" w:pos="9016"/>
            </w:tabs>
            <w:rPr>
              <w:rFonts w:asciiTheme="minorHAnsi" w:eastAsiaTheme="minorEastAsia" w:hAnsiTheme="minorHAnsi" w:cstheme="minorBidi"/>
              <w:noProof/>
              <w:lang w:eastAsia="en-GB"/>
            </w:rPr>
          </w:pPr>
          <w:hyperlink w:anchor="_Toc123562352" w:history="1">
            <w:r w:rsidRPr="00F54C9B">
              <w:rPr>
                <w:rStyle w:val="Hyperlink"/>
                <w:rFonts w:ascii="Arial" w:eastAsiaTheme="minorHAnsi" w:hAnsi="Arial" w:cs="Arial"/>
                <w:noProof/>
              </w:rPr>
              <w:t>Appendices</w:t>
            </w:r>
            <w:r>
              <w:rPr>
                <w:noProof/>
                <w:webHidden/>
              </w:rPr>
              <w:tab/>
            </w:r>
            <w:r>
              <w:rPr>
                <w:noProof/>
                <w:webHidden/>
              </w:rPr>
              <w:fldChar w:fldCharType="begin"/>
            </w:r>
            <w:r>
              <w:rPr>
                <w:noProof/>
                <w:webHidden/>
              </w:rPr>
              <w:instrText xml:space="preserve"> PAGEREF _Toc123562352 \h </w:instrText>
            </w:r>
            <w:r>
              <w:rPr>
                <w:noProof/>
                <w:webHidden/>
              </w:rPr>
            </w:r>
            <w:r>
              <w:rPr>
                <w:noProof/>
                <w:webHidden/>
              </w:rPr>
              <w:fldChar w:fldCharType="separate"/>
            </w:r>
            <w:r>
              <w:rPr>
                <w:noProof/>
                <w:webHidden/>
              </w:rPr>
              <w:t>96</w:t>
            </w:r>
            <w:r>
              <w:rPr>
                <w:noProof/>
                <w:webHidden/>
              </w:rPr>
              <w:fldChar w:fldCharType="end"/>
            </w:r>
          </w:hyperlink>
        </w:p>
        <w:p w14:paraId="57184C9D" w14:textId="2C8559AA" w:rsidR="00D81AED" w:rsidRDefault="00D81AED">
          <w:pPr>
            <w:pStyle w:val="TOC2"/>
            <w:tabs>
              <w:tab w:val="right" w:leader="dot" w:pos="9016"/>
            </w:tabs>
            <w:rPr>
              <w:rFonts w:asciiTheme="minorHAnsi" w:eastAsiaTheme="minorEastAsia" w:hAnsiTheme="minorHAnsi" w:cstheme="minorBidi"/>
              <w:noProof/>
              <w:lang w:eastAsia="en-GB"/>
            </w:rPr>
          </w:pPr>
          <w:hyperlink w:anchor="_Toc123562353" w:history="1">
            <w:r w:rsidRPr="00F54C9B">
              <w:rPr>
                <w:rStyle w:val="Hyperlink"/>
                <w:rFonts w:ascii="Arial" w:hAnsi="Arial" w:cs="Arial"/>
                <w:noProof/>
              </w:rPr>
              <w:t>Appendix 1: Semi-structured Interview Questions</w:t>
            </w:r>
            <w:r>
              <w:rPr>
                <w:noProof/>
                <w:webHidden/>
              </w:rPr>
              <w:tab/>
            </w:r>
            <w:r>
              <w:rPr>
                <w:noProof/>
                <w:webHidden/>
              </w:rPr>
              <w:fldChar w:fldCharType="begin"/>
            </w:r>
            <w:r>
              <w:rPr>
                <w:noProof/>
                <w:webHidden/>
              </w:rPr>
              <w:instrText xml:space="preserve"> PAGEREF _Toc123562353 \h </w:instrText>
            </w:r>
            <w:r>
              <w:rPr>
                <w:noProof/>
                <w:webHidden/>
              </w:rPr>
            </w:r>
            <w:r>
              <w:rPr>
                <w:noProof/>
                <w:webHidden/>
              </w:rPr>
              <w:fldChar w:fldCharType="separate"/>
            </w:r>
            <w:r>
              <w:rPr>
                <w:noProof/>
                <w:webHidden/>
              </w:rPr>
              <w:t>96</w:t>
            </w:r>
            <w:r>
              <w:rPr>
                <w:noProof/>
                <w:webHidden/>
              </w:rPr>
              <w:fldChar w:fldCharType="end"/>
            </w:r>
          </w:hyperlink>
        </w:p>
        <w:p w14:paraId="5A40050A" w14:textId="3C3E1FBB" w:rsidR="00D81AED" w:rsidRDefault="00D81AED">
          <w:pPr>
            <w:pStyle w:val="TOC2"/>
            <w:tabs>
              <w:tab w:val="right" w:leader="dot" w:pos="9016"/>
            </w:tabs>
            <w:rPr>
              <w:rFonts w:asciiTheme="minorHAnsi" w:eastAsiaTheme="minorEastAsia" w:hAnsiTheme="minorHAnsi" w:cstheme="minorBidi"/>
              <w:noProof/>
              <w:lang w:eastAsia="en-GB"/>
            </w:rPr>
          </w:pPr>
          <w:hyperlink w:anchor="_Toc123562354" w:history="1">
            <w:r w:rsidRPr="00F54C9B">
              <w:rPr>
                <w:rStyle w:val="Hyperlink"/>
                <w:rFonts w:ascii="Arial" w:hAnsi="Arial" w:cs="Arial"/>
                <w:noProof/>
              </w:rPr>
              <w:t xml:space="preserve">Appendix 2: </w:t>
            </w:r>
            <w:r w:rsidRPr="00F54C9B">
              <w:rPr>
                <w:rStyle w:val="Hyperlink"/>
                <w:rFonts w:ascii="Arial" w:eastAsiaTheme="minorHAnsi" w:hAnsi="Arial" w:cs="Arial"/>
                <w:noProof/>
              </w:rPr>
              <w:t>PG2-E1</w:t>
            </w:r>
            <w:r w:rsidRPr="00F54C9B">
              <w:rPr>
                <w:rStyle w:val="Hyperlink"/>
                <w:rFonts w:ascii="Arial" w:hAnsi="Arial" w:cs="Arial"/>
                <w:noProof/>
              </w:rPr>
              <w:t xml:space="preserve"> Ethics Form</w:t>
            </w:r>
            <w:r>
              <w:rPr>
                <w:noProof/>
                <w:webHidden/>
              </w:rPr>
              <w:tab/>
            </w:r>
            <w:r>
              <w:rPr>
                <w:noProof/>
                <w:webHidden/>
              </w:rPr>
              <w:fldChar w:fldCharType="begin"/>
            </w:r>
            <w:r>
              <w:rPr>
                <w:noProof/>
                <w:webHidden/>
              </w:rPr>
              <w:instrText xml:space="preserve"> PAGEREF _Toc123562354 \h </w:instrText>
            </w:r>
            <w:r>
              <w:rPr>
                <w:noProof/>
                <w:webHidden/>
              </w:rPr>
            </w:r>
            <w:r>
              <w:rPr>
                <w:noProof/>
                <w:webHidden/>
              </w:rPr>
              <w:fldChar w:fldCharType="separate"/>
            </w:r>
            <w:r>
              <w:rPr>
                <w:noProof/>
                <w:webHidden/>
              </w:rPr>
              <w:t>99</w:t>
            </w:r>
            <w:r>
              <w:rPr>
                <w:noProof/>
                <w:webHidden/>
              </w:rPr>
              <w:fldChar w:fldCharType="end"/>
            </w:r>
          </w:hyperlink>
        </w:p>
        <w:p w14:paraId="650E40F3" w14:textId="5FE0AFF3" w:rsidR="00D81AED" w:rsidRDefault="00D81AED">
          <w:pPr>
            <w:pStyle w:val="TOC2"/>
            <w:tabs>
              <w:tab w:val="right" w:leader="dot" w:pos="9016"/>
            </w:tabs>
            <w:rPr>
              <w:rFonts w:asciiTheme="minorHAnsi" w:eastAsiaTheme="minorEastAsia" w:hAnsiTheme="minorHAnsi" w:cstheme="minorBidi"/>
              <w:noProof/>
              <w:lang w:eastAsia="en-GB"/>
            </w:rPr>
          </w:pPr>
          <w:hyperlink w:anchor="_Toc123562355" w:history="1">
            <w:r w:rsidRPr="00F54C9B">
              <w:rPr>
                <w:rStyle w:val="Hyperlink"/>
                <w:rFonts w:ascii="Arial" w:hAnsi="Arial" w:cs="Arial"/>
                <w:noProof/>
              </w:rPr>
              <w:t>Appendix 3: Interview Consent Form</w:t>
            </w:r>
            <w:r>
              <w:rPr>
                <w:noProof/>
                <w:webHidden/>
              </w:rPr>
              <w:tab/>
            </w:r>
            <w:r>
              <w:rPr>
                <w:noProof/>
                <w:webHidden/>
              </w:rPr>
              <w:fldChar w:fldCharType="begin"/>
            </w:r>
            <w:r>
              <w:rPr>
                <w:noProof/>
                <w:webHidden/>
              </w:rPr>
              <w:instrText xml:space="preserve"> PAGEREF _Toc123562355 \h </w:instrText>
            </w:r>
            <w:r>
              <w:rPr>
                <w:noProof/>
                <w:webHidden/>
              </w:rPr>
            </w:r>
            <w:r>
              <w:rPr>
                <w:noProof/>
                <w:webHidden/>
              </w:rPr>
              <w:fldChar w:fldCharType="separate"/>
            </w:r>
            <w:r>
              <w:rPr>
                <w:noProof/>
                <w:webHidden/>
              </w:rPr>
              <w:t>114</w:t>
            </w:r>
            <w:r>
              <w:rPr>
                <w:noProof/>
                <w:webHidden/>
              </w:rPr>
              <w:fldChar w:fldCharType="end"/>
            </w:r>
          </w:hyperlink>
        </w:p>
        <w:p w14:paraId="6EDE8ED4" w14:textId="45151A85" w:rsidR="00D81AED" w:rsidRDefault="00D81AED">
          <w:pPr>
            <w:pStyle w:val="TOC2"/>
            <w:tabs>
              <w:tab w:val="right" w:leader="dot" w:pos="9016"/>
            </w:tabs>
            <w:rPr>
              <w:rFonts w:asciiTheme="minorHAnsi" w:eastAsiaTheme="minorEastAsia" w:hAnsiTheme="minorHAnsi" w:cstheme="minorBidi"/>
              <w:noProof/>
              <w:lang w:eastAsia="en-GB"/>
            </w:rPr>
          </w:pPr>
          <w:hyperlink w:anchor="_Toc123562356" w:history="1">
            <w:r w:rsidRPr="00F54C9B">
              <w:rPr>
                <w:rStyle w:val="Hyperlink"/>
                <w:rFonts w:ascii="Arial" w:hAnsi="Arial" w:cs="Arial"/>
                <w:noProof/>
              </w:rPr>
              <w:t>Appendix 4: Data Analysis Table</w:t>
            </w:r>
            <w:r>
              <w:rPr>
                <w:noProof/>
                <w:webHidden/>
              </w:rPr>
              <w:tab/>
            </w:r>
            <w:r>
              <w:rPr>
                <w:noProof/>
                <w:webHidden/>
              </w:rPr>
              <w:fldChar w:fldCharType="begin"/>
            </w:r>
            <w:r>
              <w:rPr>
                <w:noProof/>
                <w:webHidden/>
              </w:rPr>
              <w:instrText xml:space="preserve"> PAGEREF _Toc123562356 \h </w:instrText>
            </w:r>
            <w:r>
              <w:rPr>
                <w:noProof/>
                <w:webHidden/>
              </w:rPr>
            </w:r>
            <w:r>
              <w:rPr>
                <w:noProof/>
                <w:webHidden/>
              </w:rPr>
              <w:fldChar w:fldCharType="separate"/>
            </w:r>
            <w:r>
              <w:rPr>
                <w:noProof/>
                <w:webHidden/>
              </w:rPr>
              <w:t>116</w:t>
            </w:r>
            <w:r>
              <w:rPr>
                <w:noProof/>
                <w:webHidden/>
              </w:rPr>
              <w:fldChar w:fldCharType="end"/>
            </w:r>
          </w:hyperlink>
        </w:p>
        <w:p w14:paraId="31824B96" w14:textId="6B1A5213" w:rsidR="0050764E" w:rsidRDefault="0050764E">
          <w:r>
            <w:rPr>
              <w:b/>
              <w:bCs/>
              <w:noProof/>
            </w:rPr>
            <w:fldChar w:fldCharType="end"/>
          </w:r>
        </w:p>
      </w:sdtContent>
    </w:sdt>
    <w:p w14:paraId="7F3C0AD9" w14:textId="3D79101B" w:rsidR="003604B7" w:rsidRDefault="003604B7" w:rsidP="00891679">
      <w:pPr>
        <w:spacing w:line="480" w:lineRule="auto"/>
        <w:rPr>
          <w:rFonts w:ascii="Arial" w:hAnsi="Arial" w:cs="Arial"/>
          <w:sz w:val="24"/>
          <w:szCs w:val="24"/>
        </w:rPr>
      </w:pPr>
    </w:p>
    <w:p w14:paraId="2ADB3FA6" w14:textId="7C2FBF36" w:rsidR="003604B7" w:rsidRDefault="003604B7" w:rsidP="00063AFA">
      <w:pPr>
        <w:pStyle w:val="Heading1"/>
        <w:rPr>
          <w:rFonts w:ascii="Arial" w:hAnsi="Arial" w:cs="Arial"/>
          <w:sz w:val="24"/>
          <w:szCs w:val="24"/>
        </w:rPr>
      </w:pPr>
      <w:bookmarkStart w:id="2" w:name="_Toc123562287"/>
      <w:r>
        <w:rPr>
          <w:rFonts w:ascii="Arial" w:hAnsi="Arial" w:cs="Arial"/>
          <w:sz w:val="24"/>
          <w:szCs w:val="24"/>
        </w:rPr>
        <w:t>List of Appendices</w:t>
      </w:r>
      <w:bookmarkEnd w:id="2"/>
    </w:p>
    <w:p w14:paraId="4EC77AAC" w14:textId="02F50DBC" w:rsidR="005304D8" w:rsidRDefault="005304D8" w:rsidP="005304D8"/>
    <w:p w14:paraId="76C7F24C" w14:textId="66587BC2" w:rsidR="00AD64FA" w:rsidRDefault="00AD64F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_Ref123561031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Appendix 1: Semi-st</w:t>
      </w:r>
      <w:r>
        <w:rPr>
          <w:rFonts w:ascii="Arial" w:hAnsi="Arial" w:cs="Arial"/>
          <w:sz w:val="24"/>
          <w:szCs w:val="24"/>
        </w:rPr>
        <w:t>r</w:t>
      </w:r>
      <w:r>
        <w:rPr>
          <w:rFonts w:ascii="Arial" w:hAnsi="Arial" w:cs="Arial"/>
          <w:sz w:val="24"/>
          <w:szCs w:val="24"/>
        </w:rPr>
        <w:t>uctured Interview Questions</w:t>
      </w:r>
      <w:r>
        <w:rPr>
          <w:rFonts w:ascii="Arial" w:eastAsiaTheme="majorEastAsia" w:hAnsi="Arial" w:cs="Arial"/>
          <w:sz w:val="24"/>
          <w:szCs w:val="24"/>
        </w:rPr>
        <w:fldChar w:fldCharType="end"/>
      </w:r>
      <w:r w:rsidR="00151547">
        <w:rPr>
          <w:rFonts w:ascii="Arial" w:eastAsiaTheme="majorEastAsia" w:hAnsi="Arial" w:cs="Arial"/>
          <w:sz w:val="24"/>
          <w:szCs w:val="24"/>
        </w:rPr>
        <w:t xml:space="preserve"> </w:t>
      </w:r>
    </w:p>
    <w:p w14:paraId="4D218A6D" w14:textId="1AC8667C" w:rsidR="00151547" w:rsidRDefault="00151547"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_Ref123561094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 xml:space="preserve">Appendix 2: </w:t>
      </w:r>
      <w:r w:rsidRPr="00E01AE1">
        <w:rPr>
          <w:rFonts w:ascii="Arial" w:eastAsiaTheme="minorHAnsi" w:hAnsi="Arial" w:cs="Arial"/>
          <w:sz w:val="24"/>
          <w:szCs w:val="24"/>
        </w:rPr>
        <w:t>P</w:t>
      </w:r>
      <w:r w:rsidRPr="00E01AE1">
        <w:rPr>
          <w:rFonts w:ascii="Arial" w:eastAsiaTheme="minorHAnsi" w:hAnsi="Arial" w:cs="Arial"/>
          <w:sz w:val="24"/>
          <w:szCs w:val="24"/>
        </w:rPr>
        <w:t>G</w:t>
      </w:r>
      <w:r w:rsidRPr="00E01AE1">
        <w:rPr>
          <w:rFonts w:ascii="Arial" w:eastAsiaTheme="minorHAnsi" w:hAnsi="Arial" w:cs="Arial"/>
          <w:sz w:val="24"/>
          <w:szCs w:val="24"/>
        </w:rPr>
        <w:t>2-E1</w:t>
      </w:r>
      <w:r>
        <w:rPr>
          <w:rFonts w:ascii="Arial" w:hAnsi="Arial" w:cs="Arial"/>
          <w:sz w:val="24"/>
          <w:szCs w:val="24"/>
        </w:rPr>
        <w:t xml:space="preserve"> Ethic</w:t>
      </w:r>
      <w:r>
        <w:rPr>
          <w:rFonts w:ascii="Arial" w:hAnsi="Arial" w:cs="Arial"/>
          <w:sz w:val="24"/>
          <w:szCs w:val="24"/>
        </w:rPr>
        <w:t>s</w:t>
      </w:r>
      <w:r>
        <w:rPr>
          <w:rFonts w:ascii="Arial" w:hAnsi="Arial" w:cs="Arial"/>
          <w:sz w:val="24"/>
          <w:szCs w:val="24"/>
        </w:rPr>
        <w:t xml:space="preserve"> Form</w:t>
      </w:r>
      <w:r>
        <w:rPr>
          <w:rFonts w:ascii="Arial" w:eastAsiaTheme="majorEastAsia" w:hAnsi="Arial" w:cs="Arial"/>
          <w:sz w:val="24"/>
          <w:szCs w:val="24"/>
        </w:rPr>
        <w:fldChar w:fldCharType="end"/>
      </w:r>
      <w:r>
        <w:rPr>
          <w:rFonts w:ascii="Arial" w:eastAsiaTheme="majorEastAsia" w:hAnsi="Arial" w:cs="Arial"/>
          <w:sz w:val="24"/>
          <w:szCs w:val="24"/>
        </w:rPr>
        <w:t xml:space="preserve"> </w:t>
      </w:r>
    </w:p>
    <w:p w14:paraId="192AB188" w14:textId="15E968C7" w:rsidR="0070235A" w:rsidRDefault="0070235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Arial" w:eastAsiaTheme="majorEastAsia" w:hAnsi="Arial" w:cs="Arial"/>
          <w:sz w:val="24"/>
          <w:szCs w:val="24"/>
        </w:rPr>
        <w:instrText xml:space="preserve"> REF _Ref123561150 \h </w:instrText>
      </w:r>
      <w:r>
        <w:rPr>
          <w:rFonts w:ascii="Arial" w:eastAsiaTheme="majorEastAsia" w:hAnsi="Arial" w:cs="Arial"/>
          <w:sz w:val="24"/>
          <w:szCs w:val="24"/>
        </w:rPr>
      </w:r>
      <w:r>
        <w:rPr>
          <w:rFonts w:ascii="Arial" w:eastAsiaTheme="majorEastAsia" w:hAnsi="Arial" w:cs="Arial"/>
          <w:sz w:val="24"/>
          <w:szCs w:val="24"/>
        </w:rPr>
        <w:fldChar w:fldCharType="separate"/>
      </w:r>
      <w:r>
        <w:rPr>
          <w:rFonts w:ascii="Arial" w:hAnsi="Arial" w:cs="Arial"/>
          <w:sz w:val="24"/>
          <w:szCs w:val="24"/>
        </w:rPr>
        <w:t>Appendix 3: Interv</w:t>
      </w:r>
      <w:r>
        <w:rPr>
          <w:rFonts w:ascii="Arial" w:hAnsi="Arial" w:cs="Arial"/>
          <w:sz w:val="24"/>
          <w:szCs w:val="24"/>
        </w:rPr>
        <w:t>i</w:t>
      </w:r>
      <w:r>
        <w:rPr>
          <w:rFonts w:ascii="Arial" w:hAnsi="Arial" w:cs="Arial"/>
          <w:sz w:val="24"/>
          <w:szCs w:val="24"/>
        </w:rPr>
        <w:t>ew Consent Form</w:t>
      </w:r>
      <w:r>
        <w:rPr>
          <w:rFonts w:ascii="Arial" w:eastAsiaTheme="majorEastAsia" w:hAnsi="Arial" w:cs="Arial"/>
          <w:sz w:val="24"/>
          <w:szCs w:val="24"/>
        </w:rPr>
        <w:fldChar w:fldCharType="end"/>
      </w:r>
      <w:r>
        <w:rPr>
          <w:rFonts w:ascii="Arial" w:eastAsiaTheme="majorEastAsia" w:hAnsi="Arial" w:cs="Arial"/>
          <w:sz w:val="24"/>
          <w:szCs w:val="24"/>
        </w:rPr>
        <w:t xml:space="preserve"> </w:t>
      </w:r>
    </w:p>
    <w:p w14:paraId="4478683E" w14:textId="77271C04" w:rsidR="00C26E73" w:rsidRDefault="00C74E7A" w:rsidP="005E4AF6">
      <w:pPr>
        <w:spacing w:after="160" w:line="259" w:lineRule="auto"/>
        <w:rPr>
          <w:rFonts w:ascii="Arial" w:eastAsiaTheme="majorEastAsia" w:hAnsi="Arial" w:cs="Arial"/>
          <w:sz w:val="24"/>
          <w:szCs w:val="24"/>
        </w:rPr>
      </w:pPr>
      <w:r>
        <w:rPr>
          <w:rFonts w:ascii="Arial" w:eastAsiaTheme="majorEastAsia" w:hAnsi="Arial" w:cs="Arial"/>
          <w:sz w:val="24"/>
          <w:szCs w:val="24"/>
        </w:rPr>
        <w:fldChar w:fldCharType="begin"/>
      </w:r>
      <w:r>
        <w:rPr>
          <w:rFonts w:asciiTheme="minorHAnsi" w:eastAsiaTheme="minorHAnsi" w:hAnsiTheme="minorHAnsi" w:cstheme="minorHAnsi"/>
          <w:b/>
          <w:bCs/>
        </w:rPr>
        <w:instrText xml:space="preserve"> REF _Ref123561200 \h </w:instrText>
      </w:r>
      <w:r>
        <w:rPr>
          <w:rFonts w:ascii="Arial" w:eastAsiaTheme="majorEastAsia" w:hAnsi="Arial" w:cs="Arial"/>
          <w:sz w:val="24"/>
          <w:szCs w:val="24"/>
        </w:rPr>
      </w:r>
      <w:r>
        <w:rPr>
          <w:rFonts w:ascii="Arial" w:eastAsiaTheme="majorEastAsia" w:hAnsi="Arial" w:cs="Arial"/>
          <w:sz w:val="24"/>
          <w:szCs w:val="24"/>
        </w:rPr>
        <w:fldChar w:fldCharType="separate"/>
      </w:r>
      <w:r w:rsidRPr="00DB4EAD">
        <w:rPr>
          <w:rFonts w:ascii="Arial" w:hAnsi="Arial" w:cs="Arial"/>
          <w:sz w:val="24"/>
          <w:szCs w:val="24"/>
        </w:rPr>
        <w:t>Appendix 4: Data Analys</w:t>
      </w:r>
      <w:r w:rsidRPr="00DB4EAD">
        <w:rPr>
          <w:rFonts w:ascii="Arial" w:hAnsi="Arial" w:cs="Arial"/>
          <w:sz w:val="24"/>
          <w:szCs w:val="24"/>
        </w:rPr>
        <w:t>i</w:t>
      </w:r>
      <w:r w:rsidRPr="00DB4EAD">
        <w:rPr>
          <w:rFonts w:ascii="Arial" w:hAnsi="Arial" w:cs="Arial"/>
          <w:sz w:val="24"/>
          <w:szCs w:val="24"/>
        </w:rPr>
        <w:t>s Table</w:t>
      </w:r>
      <w:r>
        <w:rPr>
          <w:rFonts w:ascii="Arial" w:eastAsiaTheme="majorEastAsia" w:hAnsi="Arial" w:cs="Arial"/>
          <w:sz w:val="24"/>
          <w:szCs w:val="24"/>
        </w:rPr>
        <w:fldChar w:fldCharType="end"/>
      </w:r>
    </w:p>
    <w:p w14:paraId="326ACD60" w14:textId="77777777" w:rsidR="00C74E7A" w:rsidRPr="005E4AF6" w:rsidRDefault="00C74E7A" w:rsidP="005E4AF6">
      <w:pPr>
        <w:spacing w:after="160" w:line="259" w:lineRule="auto"/>
        <w:rPr>
          <w:rFonts w:asciiTheme="minorHAnsi" w:eastAsiaTheme="minorHAnsi" w:hAnsiTheme="minorHAnsi" w:cstheme="minorHAnsi"/>
          <w:b/>
          <w:bCs/>
        </w:rPr>
      </w:pPr>
    </w:p>
    <w:p w14:paraId="702E8F91" w14:textId="63FADC91" w:rsidR="00053037" w:rsidRDefault="00053037" w:rsidP="00053037">
      <w:pPr>
        <w:pStyle w:val="Heading1"/>
        <w:rPr>
          <w:rFonts w:ascii="Arial" w:hAnsi="Arial" w:cs="Arial"/>
          <w:sz w:val="24"/>
          <w:szCs w:val="24"/>
        </w:rPr>
      </w:pPr>
      <w:bookmarkStart w:id="3" w:name="_Toc123562288"/>
      <w:r>
        <w:rPr>
          <w:rFonts w:ascii="Arial" w:hAnsi="Arial" w:cs="Arial"/>
          <w:sz w:val="24"/>
          <w:szCs w:val="24"/>
        </w:rPr>
        <w:t>List of Figures and Tables</w:t>
      </w:r>
      <w:bookmarkEnd w:id="3"/>
    </w:p>
    <w:p w14:paraId="29EC93B3" w14:textId="73EAF884" w:rsidR="002420C1" w:rsidRDefault="002420C1" w:rsidP="002420C1"/>
    <w:p w14:paraId="4643FAD2" w14:textId="77777777" w:rsidR="00190F72" w:rsidRDefault="00CF19C2"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_Ref123560358 \h </w:instrText>
      </w:r>
      <w:r w:rsidRPr="00D40731">
        <w:rPr>
          <w:rFonts w:ascii="Arial" w:eastAsiaTheme="minorHAnsi" w:hAnsi="Arial" w:cs="Arial"/>
          <w:sz w:val="24"/>
          <w:szCs w:val="24"/>
        </w:rPr>
      </w:r>
      <w:r w:rsidR="00B85EAA" w:rsidRP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fldChar w:fldCharType="separate"/>
      </w:r>
      <w:r w:rsidRPr="00D40731">
        <w:rPr>
          <w:rFonts w:ascii="Arial" w:hAnsi="Arial" w:cs="Arial"/>
          <w:sz w:val="24"/>
          <w:szCs w:val="24"/>
        </w:rPr>
        <w:t xml:space="preserve">Figure </w:t>
      </w:r>
      <w:r w:rsidRPr="00D40731">
        <w:rPr>
          <w:rFonts w:ascii="Arial" w:hAnsi="Arial" w:cs="Arial"/>
          <w:noProof/>
          <w:sz w:val="24"/>
          <w:szCs w:val="24"/>
        </w:rPr>
        <w:t>1</w:t>
      </w:r>
      <w:r w:rsidRPr="00D40731">
        <w:rPr>
          <w:rFonts w:ascii="Arial" w:hAnsi="Arial" w:cs="Arial"/>
          <w:sz w:val="24"/>
          <w:szCs w:val="24"/>
        </w:rPr>
        <w:t xml:space="preserve">, The </w:t>
      </w:r>
      <w:r w:rsidRPr="00D40731">
        <w:rPr>
          <w:rFonts w:ascii="Arial" w:hAnsi="Arial" w:cs="Arial"/>
          <w:sz w:val="24"/>
          <w:szCs w:val="24"/>
        </w:rPr>
        <w:t>R</w:t>
      </w:r>
      <w:r w:rsidRPr="00D40731">
        <w:rPr>
          <w:rFonts w:ascii="Arial" w:hAnsi="Arial" w:cs="Arial"/>
          <w:sz w:val="24"/>
          <w:szCs w:val="24"/>
        </w:rPr>
        <w:t>esearch Onion (Sa</w:t>
      </w:r>
      <w:r w:rsidRPr="00D40731">
        <w:rPr>
          <w:rFonts w:ascii="Arial" w:hAnsi="Arial" w:cs="Arial"/>
          <w:sz w:val="24"/>
          <w:szCs w:val="24"/>
        </w:rPr>
        <w:t>u</w:t>
      </w:r>
      <w:r w:rsidRPr="00D40731">
        <w:rPr>
          <w:rFonts w:ascii="Arial" w:hAnsi="Arial" w:cs="Arial"/>
          <w:sz w:val="24"/>
          <w:szCs w:val="24"/>
        </w:rPr>
        <w:t>nders et al, 2019, p. 130).</w:t>
      </w:r>
      <w:r w:rsidRPr="00D40731">
        <w:rPr>
          <w:rFonts w:ascii="Arial" w:eastAsiaTheme="minorHAnsi" w:hAnsi="Arial" w:cs="Arial"/>
          <w:sz w:val="24"/>
          <w:szCs w:val="24"/>
        </w:rPr>
        <w:fldChar w:fldCharType="end"/>
      </w:r>
    </w:p>
    <w:p w14:paraId="2708307B" w14:textId="77777777" w:rsidR="00190F72" w:rsidRDefault="005518A3"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_Ref123560692 \h </w:instrText>
      </w:r>
      <w:r w:rsidRPr="00D40731">
        <w:rPr>
          <w:rFonts w:ascii="Arial" w:eastAsiaTheme="minorHAnsi" w:hAnsi="Arial" w:cs="Arial"/>
          <w:sz w:val="24"/>
          <w:szCs w:val="24"/>
        </w:rPr>
      </w:r>
      <w:r w:rsid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fldChar w:fldCharType="separate"/>
      </w:r>
      <w:r w:rsidRPr="00D40731">
        <w:rPr>
          <w:rFonts w:ascii="Arial" w:hAnsi="Arial" w:cs="Arial"/>
          <w:sz w:val="24"/>
          <w:szCs w:val="24"/>
        </w:rPr>
        <w:t xml:space="preserve">Figure </w:t>
      </w:r>
      <w:r w:rsidRPr="00D40731">
        <w:rPr>
          <w:rFonts w:ascii="Arial" w:hAnsi="Arial" w:cs="Arial"/>
          <w:noProof/>
          <w:sz w:val="24"/>
          <w:szCs w:val="24"/>
        </w:rPr>
        <w:t>2</w:t>
      </w:r>
      <w:r w:rsidRPr="00D40731">
        <w:rPr>
          <w:rFonts w:ascii="Arial" w:hAnsi="Arial" w:cs="Arial"/>
          <w:sz w:val="24"/>
          <w:szCs w:val="24"/>
        </w:rPr>
        <w:t xml:space="preserve">, Word cloud </w:t>
      </w:r>
      <w:r w:rsidRPr="00D40731">
        <w:rPr>
          <w:rFonts w:ascii="Arial" w:hAnsi="Arial" w:cs="Arial"/>
          <w:sz w:val="24"/>
          <w:szCs w:val="24"/>
        </w:rPr>
        <w:t>o</w:t>
      </w:r>
      <w:r w:rsidRPr="00D40731">
        <w:rPr>
          <w:rFonts w:ascii="Arial" w:hAnsi="Arial" w:cs="Arial"/>
          <w:sz w:val="24"/>
          <w:szCs w:val="24"/>
        </w:rPr>
        <w:t>f coded interview data</w:t>
      </w:r>
      <w:r w:rsidRPr="00D40731">
        <w:rPr>
          <w:rFonts w:ascii="Arial" w:eastAsiaTheme="minorHAnsi" w:hAnsi="Arial" w:cs="Arial"/>
          <w:sz w:val="24"/>
          <w:szCs w:val="24"/>
        </w:rPr>
        <w:fldChar w:fldCharType="end"/>
      </w:r>
    </w:p>
    <w:p w14:paraId="4C20C969" w14:textId="70DB458D" w:rsidR="005C5A05" w:rsidRPr="00D40731" w:rsidRDefault="005147A5" w:rsidP="00190F72">
      <w:pPr>
        <w:spacing w:after="160" w:line="240" w:lineRule="auto"/>
        <w:rPr>
          <w:rFonts w:ascii="Arial" w:eastAsiaTheme="minorHAnsi" w:hAnsi="Arial" w:cs="Arial"/>
          <w:sz w:val="24"/>
          <w:szCs w:val="24"/>
        </w:rPr>
      </w:pPr>
      <w:r w:rsidRPr="00D40731">
        <w:rPr>
          <w:rFonts w:ascii="Arial" w:eastAsiaTheme="minorHAnsi" w:hAnsi="Arial" w:cs="Arial"/>
          <w:sz w:val="24"/>
          <w:szCs w:val="24"/>
        </w:rPr>
        <w:fldChar w:fldCharType="begin"/>
      </w:r>
      <w:r w:rsidRPr="00D40731">
        <w:rPr>
          <w:rFonts w:ascii="Arial" w:eastAsiaTheme="minorHAnsi" w:hAnsi="Arial" w:cs="Arial"/>
          <w:sz w:val="24"/>
          <w:szCs w:val="24"/>
        </w:rPr>
        <w:instrText xml:space="preserve"> REF _Ref123560523 \h </w:instrText>
      </w:r>
      <w:r w:rsidRPr="00D40731">
        <w:rPr>
          <w:rFonts w:ascii="Arial" w:eastAsiaTheme="minorHAnsi" w:hAnsi="Arial" w:cs="Arial"/>
          <w:sz w:val="24"/>
          <w:szCs w:val="24"/>
        </w:rPr>
      </w:r>
      <w:r w:rsidR="00B85EAA" w:rsidRPr="00D40731">
        <w:rPr>
          <w:rFonts w:ascii="Arial" w:eastAsiaTheme="minorHAnsi" w:hAnsi="Arial" w:cs="Arial"/>
          <w:sz w:val="24"/>
          <w:szCs w:val="24"/>
        </w:rPr>
        <w:instrText xml:space="preserve"> \* MERGEFORMAT </w:instrText>
      </w:r>
      <w:r w:rsidRPr="00D40731">
        <w:rPr>
          <w:rFonts w:ascii="Arial" w:eastAsiaTheme="minorHAnsi" w:hAnsi="Arial" w:cs="Arial"/>
          <w:sz w:val="24"/>
          <w:szCs w:val="24"/>
        </w:rPr>
        <w:fldChar w:fldCharType="separate"/>
      </w:r>
      <w:r w:rsidRPr="00D40731">
        <w:rPr>
          <w:rFonts w:ascii="Arial" w:hAnsi="Arial" w:cs="Arial"/>
          <w:sz w:val="24"/>
          <w:szCs w:val="24"/>
        </w:rPr>
        <w:t xml:space="preserve">Table </w:t>
      </w:r>
      <w:r w:rsidRPr="00D40731">
        <w:rPr>
          <w:rFonts w:ascii="Arial" w:hAnsi="Arial" w:cs="Arial"/>
          <w:noProof/>
          <w:sz w:val="24"/>
          <w:szCs w:val="24"/>
        </w:rPr>
        <w:t>1</w:t>
      </w:r>
      <w:r w:rsidRPr="00D40731">
        <w:rPr>
          <w:rFonts w:ascii="Arial" w:hAnsi="Arial" w:cs="Arial"/>
          <w:sz w:val="24"/>
          <w:szCs w:val="24"/>
        </w:rPr>
        <w:t>, Overview of participants</w:t>
      </w:r>
      <w:r w:rsidRPr="00D40731">
        <w:rPr>
          <w:rFonts w:ascii="Arial" w:hAnsi="Arial" w:cs="Arial"/>
          <w:sz w:val="24"/>
          <w:szCs w:val="24"/>
        </w:rPr>
        <w:t>'</w:t>
      </w:r>
      <w:r w:rsidRPr="00D40731">
        <w:rPr>
          <w:rFonts w:ascii="Arial" w:hAnsi="Arial" w:cs="Arial"/>
          <w:sz w:val="24"/>
          <w:szCs w:val="24"/>
        </w:rPr>
        <w:t xml:space="preserve"> demographics and interests.</w:t>
      </w:r>
      <w:r w:rsidRPr="00D40731">
        <w:rPr>
          <w:rFonts w:ascii="Arial" w:eastAsiaTheme="minorHAnsi" w:hAnsi="Arial" w:cs="Arial"/>
          <w:sz w:val="24"/>
          <w:szCs w:val="24"/>
        </w:rPr>
        <w:fldChar w:fldCharType="end"/>
      </w:r>
    </w:p>
    <w:p w14:paraId="590D112F" w14:textId="7C493930" w:rsidR="00F82D7A" w:rsidRDefault="00F82D7A" w:rsidP="00CA7DD8">
      <w:pPr>
        <w:spacing w:after="160" w:line="480" w:lineRule="auto"/>
        <w:rPr>
          <w:rFonts w:ascii="Arial" w:eastAsiaTheme="minorHAnsi" w:hAnsi="Arial" w:cs="Arial"/>
          <w:sz w:val="24"/>
          <w:szCs w:val="24"/>
        </w:rPr>
      </w:pPr>
    </w:p>
    <w:p w14:paraId="2023E3B8" w14:textId="4B9CA4E5" w:rsidR="00C26E73" w:rsidRDefault="00C26E73" w:rsidP="00CA7DD8">
      <w:pPr>
        <w:spacing w:after="160" w:line="480" w:lineRule="auto"/>
        <w:rPr>
          <w:rFonts w:ascii="Arial" w:eastAsiaTheme="minorHAnsi" w:hAnsi="Arial" w:cs="Arial"/>
          <w:sz w:val="24"/>
          <w:szCs w:val="24"/>
        </w:rPr>
      </w:pPr>
    </w:p>
    <w:p w14:paraId="536EC732" w14:textId="37AB5CDC" w:rsidR="00C26E73" w:rsidRDefault="00C26E73" w:rsidP="00CA7DD8">
      <w:pPr>
        <w:spacing w:after="160" w:line="480" w:lineRule="auto"/>
        <w:rPr>
          <w:rFonts w:ascii="Arial" w:eastAsiaTheme="minorHAnsi" w:hAnsi="Arial" w:cs="Arial"/>
          <w:sz w:val="24"/>
          <w:szCs w:val="24"/>
        </w:rPr>
      </w:pPr>
    </w:p>
    <w:p w14:paraId="44162F73" w14:textId="20A5F1AF" w:rsidR="00C26E73" w:rsidRDefault="00C26E73" w:rsidP="00CA7DD8">
      <w:pPr>
        <w:spacing w:after="160" w:line="480" w:lineRule="auto"/>
        <w:rPr>
          <w:rFonts w:ascii="Arial" w:eastAsiaTheme="minorHAnsi" w:hAnsi="Arial" w:cs="Arial"/>
          <w:sz w:val="24"/>
          <w:szCs w:val="24"/>
        </w:rPr>
      </w:pPr>
    </w:p>
    <w:p w14:paraId="1935806C" w14:textId="68A06716" w:rsidR="00C26E73" w:rsidRDefault="00C26E73" w:rsidP="00CA7DD8">
      <w:pPr>
        <w:spacing w:after="160" w:line="480" w:lineRule="auto"/>
        <w:rPr>
          <w:rFonts w:ascii="Arial" w:eastAsiaTheme="minorHAnsi" w:hAnsi="Arial" w:cs="Arial"/>
          <w:sz w:val="24"/>
          <w:szCs w:val="24"/>
        </w:rPr>
      </w:pPr>
    </w:p>
    <w:p w14:paraId="6C9FB0AC" w14:textId="3647C11F" w:rsidR="00C26E73" w:rsidRDefault="00C26E73" w:rsidP="00CA7DD8">
      <w:pPr>
        <w:spacing w:after="160" w:line="480" w:lineRule="auto"/>
        <w:rPr>
          <w:rFonts w:ascii="Arial" w:eastAsiaTheme="minorHAnsi" w:hAnsi="Arial" w:cs="Arial"/>
          <w:sz w:val="24"/>
          <w:szCs w:val="24"/>
        </w:rPr>
      </w:pPr>
    </w:p>
    <w:p w14:paraId="79C899B3" w14:textId="77777777" w:rsidR="00D81AED" w:rsidRDefault="00D81AED" w:rsidP="00CA7DD8">
      <w:pPr>
        <w:spacing w:after="160" w:line="480" w:lineRule="auto"/>
        <w:rPr>
          <w:rFonts w:ascii="Arial" w:eastAsiaTheme="minorHAnsi" w:hAnsi="Arial" w:cs="Arial"/>
          <w:sz w:val="24"/>
          <w:szCs w:val="24"/>
        </w:rPr>
      </w:pPr>
    </w:p>
    <w:p w14:paraId="6E4B354E" w14:textId="5BEE6ADD" w:rsidR="00C26E73" w:rsidRDefault="00C26E73" w:rsidP="00CA7DD8">
      <w:pPr>
        <w:spacing w:after="160" w:line="480" w:lineRule="auto"/>
        <w:rPr>
          <w:rFonts w:ascii="Arial" w:eastAsiaTheme="minorHAnsi" w:hAnsi="Arial" w:cs="Arial"/>
          <w:sz w:val="24"/>
          <w:szCs w:val="24"/>
        </w:rPr>
      </w:pPr>
    </w:p>
    <w:p w14:paraId="64868CB4" w14:textId="36845083" w:rsidR="00C26E73" w:rsidRDefault="00C26E73" w:rsidP="00CA7DD8">
      <w:pPr>
        <w:spacing w:after="160" w:line="480" w:lineRule="auto"/>
        <w:rPr>
          <w:rFonts w:ascii="Arial" w:eastAsiaTheme="minorHAnsi" w:hAnsi="Arial" w:cs="Arial"/>
          <w:sz w:val="24"/>
          <w:szCs w:val="24"/>
        </w:rPr>
      </w:pPr>
    </w:p>
    <w:p w14:paraId="0D118656" w14:textId="7FD79708" w:rsidR="00C26E73" w:rsidRDefault="00C26E73" w:rsidP="00CA7DD8">
      <w:pPr>
        <w:spacing w:after="160" w:line="480" w:lineRule="auto"/>
        <w:rPr>
          <w:rFonts w:ascii="Arial" w:eastAsiaTheme="minorHAnsi" w:hAnsi="Arial" w:cs="Arial"/>
          <w:sz w:val="24"/>
          <w:szCs w:val="24"/>
        </w:rPr>
      </w:pPr>
    </w:p>
    <w:p w14:paraId="0CCA105C" w14:textId="3371321F" w:rsidR="00C26E73" w:rsidRDefault="00C26E73" w:rsidP="00CA7DD8">
      <w:pPr>
        <w:spacing w:after="160" w:line="480" w:lineRule="auto"/>
        <w:rPr>
          <w:rFonts w:ascii="Arial" w:eastAsiaTheme="minorHAnsi" w:hAnsi="Arial" w:cs="Arial"/>
          <w:sz w:val="24"/>
          <w:szCs w:val="24"/>
        </w:rPr>
      </w:pPr>
    </w:p>
    <w:p w14:paraId="189CA4D5" w14:textId="77777777" w:rsidR="00C26E73" w:rsidRPr="00E01AE1" w:rsidRDefault="00C26E73" w:rsidP="00CA7DD8">
      <w:pPr>
        <w:spacing w:after="160" w:line="480" w:lineRule="auto"/>
        <w:rPr>
          <w:rFonts w:ascii="Arial" w:eastAsiaTheme="minorHAnsi" w:hAnsi="Arial" w:cs="Arial"/>
          <w:sz w:val="24"/>
          <w:szCs w:val="24"/>
        </w:rPr>
      </w:pPr>
    </w:p>
    <w:p w14:paraId="5CEA19F9" w14:textId="06A8FBD5" w:rsidR="003F7A0A" w:rsidRDefault="003F7A0A" w:rsidP="00516ADD">
      <w:pPr>
        <w:pStyle w:val="Heading1"/>
        <w:rPr>
          <w:rFonts w:ascii="Arial" w:hAnsi="Arial" w:cs="Arial"/>
          <w:sz w:val="24"/>
          <w:szCs w:val="24"/>
        </w:rPr>
      </w:pPr>
      <w:bookmarkStart w:id="4" w:name="_Toc123562289"/>
      <w:r w:rsidRPr="00516ADD">
        <w:rPr>
          <w:rFonts w:ascii="Arial" w:hAnsi="Arial" w:cs="Arial"/>
          <w:sz w:val="24"/>
          <w:szCs w:val="24"/>
        </w:rPr>
        <w:t>Introduction</w:t>
      </w:r>
      <w:bookmarkEnd w:id="4"/>
    </w:p>
    <w:p w14:paraId="1BD1DC8B" w14:textId="4D0823E7" w:rsidR="00516ADD" w:rsidRDefault="00516ADD" w:rsidP="00516ADD"/>
    <w:p w14:paraId="4C2669E9"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research investigation attempts to contribute to existing research in the field of income generation activity in publicly run cultural services, specifically in relation to StoriPowys, Powys County Council’s libraries, museums, and archives. It is intended that learning from this study will help inform an income generation strategy for these cultural services.  </w:t>
      </w:r>
    </w:p>
    <w:p w14:paraId="78B9F731"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chapter provides a background to StoriPowys, in the context of the financial challenges faced by the public sector and its impact on the sustainability of government-run cultural facilities. An overview of the research aims and objectives is presented, including the research questions that this study attempts to answer. A rationale for the study follows, which outlines the motivation for pursuing this investigation, reflecting on current difficulties facing cultural services budgets and workforce, against a backdrop of digital disruption and an unknown future. The chapter concludes with a brief overview of the research structure that follows. </w:t>
      </w:r>
    </w:p>
    <w:p w14:paraId="4C562A43" w14:textId="323D7761" w:rsidR="00986214" w:rsidRDefault="00986214" w:rsidP="00FC754F">
      <w:pPr>
        <w:pStyle w:val="Heading2"/>
        <w:rPr>
          <w:rFonts w:ascii="Arial" w:hAnsi="Arial" w:cs="Arial"/>
          <w:color w:val="auto"/>
          <w:sz w:val="24"/>
          <w:szCs w:val="24"/>
        </w:rPr>
      </w:pPr>
      <w:bookmarkStart w:id="5" w:name="_Toc123562290"/>
      <w:r w:rsidRPr="00986214">
        <w:rPr>
          <w:rFonts w:ascii="Arial" w:hAnsi="Arial" w:cs="Arial"/>
          <w:color w:val="auto"/>
          <w:sz w:val="24"/>
          <w:szCs w:val="24"/>
        </w:rPr>
        <w:lastRenderedPageBreak/>
        <w:t>Background</w:t>
      </w:r>
      <w:bookmarkEnd w:id="5"/>
    </w:p>
    <w:p w14:paraId="7B1999A7" w14:textId="77777777" w:rsidR="00986214" w:rsidRPr="00986214" w:rsidRDefault="00986214" w:rsidP="00986214"/>
    <w:p w14:paraId="5E6AECFC"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Powys County Council’s Cultural Services comprises of Library, Museum, Archive and Arts services for the Local Authority of Powys, mid Wales. Co-location of several of the county’s libraries and museums have led to more collaborative working between the individual services, and collectively they are now branded as StoriPowys. 16 public libraries, 4 museums and one central archives and information management centre make up the total offer. Cultural Services management is composed of a small group of library, museum and information management professionals, assisted by customer-facing service delivery team. </w:t>
      </w:r>
    </w:p>
    <w:p w14:paraId="47126D64"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Powys is a rural county, geographically widespread with a relatively low population. Major towns and cities are not easily accessible, and residents depend on services and activities within their local communities. As a popular tourist destination, visitor numbers in Powys increase significantly over the summer months, and footfall in StoriPowys facilities, particularly museums, is higher at this time.</w:t>
      </w:r>
    </w:p>
    <w:p w14:paraId="28FB7A1C"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Funding for StoriPowys has decreased by more than half over the past decade. It follows a trend of decreasing financial support for publicly funded cultural organisations across the UK (Harvey, 2018) due to increasing financial pressures on local authorities and the need to divert funds to business-critical services such as social care and education. With further budget cuts likely in the wake of the COVID-19 pandemic, the future of StoriPowys in its current iteration is precarious. In 2020, management consultants were commissioned by Powys County Council to undertake an options appraisal on the feasibility of transferring its cultural services within the council to an alternative delivery model (ADM) that would sit outside the council (Red Quadrant, 2021. Unpublished – available on request). The outcome of </w:t>
      </w:r>
      <w:r w:rsidRPr="005457F4">
        <w:rPr>
          <w:rFonts w:ascii="Arial" w:eastAsiaTheme="minorHAnsi" w:hAnsi="Arial" w:cs="Arial"/>
          <w:sz w:val="24"/>
          <w:szCs w:val="24"/>
        </w:rPr>
        <w:lastRenderedPageBreak/>
        <w:t>the report concluded that that this was not a viable option at the time of publication, and that StoriPowys would need to diversify income streams to make an ADM feasible. Any income generation in StoriPowys thus far has largely been limited to the submission of grant-funding applications and low-level fundraising through ad-hoc book sales and donations pots, and the workforce is inexperienced in methods of fundraising beyond this. In response to this options appraisal report, StoriPowys has recognised that a strategy for income generation is essential for ensuring financial sustainability of its services.</w:t>
      </w:r>
    </w:p>
    <w:p w14:paraId="74957BCE" w14:textId="77777777" w:rsidR="003F7A0A" w:rsidRPr="00516ADD" w:rsidRDefault="003F7A0A" w:rsidP="00516ADD">
      <w:pPr>
        <w:spacing w:line="480" w:lineRule="auto"/>
        <w:rPr>
          <w:rFonts w:ascii="Arial" w:hAnsi="Arial" w:cs="Arial"/>
          <w:sz w:val="24"/>
          <w:szCs w:val="24"/>
        </w:rPr>
      </w:pPr>
    </w:p>
    <w:p w14:paraId="25BB8D24" w14:textId="592D0A4C" w:rsidR="003F7A0A" w:rsidRDefault="003F7A0A" w:rsidP="00516ADD">
      <w:pPr>
        <w:pStyle w:val="Heading2"/>
        <w:rPr>
          <w:rFonts w:ascii="Arial" w:hAnsi="Arial" w:cs="Arial"/>
          <w:sz w:val="24"/>
          <w:szCs w:val="24"/>
        </w:rPr>
      </w:pPr>
      <w:bookmarkStart w:id="6" w:name="_Toc123562291"/>
      <w:r w:rsidRPr="00516ADD">
        <w:rPr>
          <w:rFonts w:ascii="Arial" w:hAnsi="Arial" w:cs="Arial"/>
          <w:sz w:val="24"/>
          <w:szCs w:val="24"/>
        </w:rPr>
        <w:t>Research Aim and Objectives</w:t>
      </w:r>
      <w:bookmarkEnd w:id="6"/>
    </w:p>
    <w:p w14:paraId="2FF0F388" w14:textId="77777777" w:rsidR="00516ADD" w:rsidRPr="00516ADD" w:rsidRDefault="00516ADD" w:rsidP="00516ADD"/>
    <w:p w14:paraId="30D10107"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As Powys staff lack knowledge and experience in income generation, the service must look to the wider world for inspiration to determine an appropriate income generation strategy. The purpose of this study is therefore to explore effective initiatives elsewhere, to identify relevant learning and research in the field and to develop a successful, sustainable strategy against a backdrop of digital disruption and post Covid-19 recovery. The aim and objectives are as follows:</w:t>
      </w:r>
    </w:p>
    <w:p w14:paraId="5D21354B"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Aim</w:t>
      </w:r>
      <w:r w:rsidRPr="00427697">
        <w:rPr>
          <w:rFonts w:ascii="Arial" w:eastAsiaTheme="minorHAnsi" w:hAnsi="Arial" w:cs="Arial"/>
          <w:b/>
          <w:bCs/>
          <w:sz w:val="24"/>
          <w:szCs w:val="24"/>
        </w:rPr>
        <w:t>:</w:t>
      </w:r>
      <w:r w:rsidRPr="00427697">
        <w:rPr>
          <w:rFonts w:ascii="Arial" w:eastAsiaTheme="minorHAnsi" w:hAnsi="Arial" w:cs="Arial"/>
          <w:sz w:val="24"/>
          <w:szCs w:val="24"/>
        </w:rPr>
        <w:t xml:space="preserve"> to investigate how income generating activities in the cultural sector can be used to develop an income generation strategy for Powys County Council’s cultural services.</w:t>
      </w:r>
    </w:p>
    <w:p w14:paraId="5E067096"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Research objectives:</w:t>
      </w:r>
    </w:p>
    <w:p w14:paraId="381A0B60"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To critically review the important literature surrounding income generation activities in cultural and non-profit sectors globally</w:t>
      </w:r>
    </w:p>
    <w:p w14:paraId="5A333665"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lastRenderedPageBreak/>
        <w:t>To conduct semi-structured interviews with consumers to determine customer opinion on the potential implementation of income generating activities proven successful worldwide</w:t>
      </w:r>
    </w:p>
    <w:p w14:paraId="79BA9655"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To develop an income generation strategy for StoriPowys and roadmap for sustainability</w:t>
      </w:r>
    </w:p>
    <w:p w14:paraId="04F8B4A6" w14:textId="77777777" w:rsidR="00427697" w:rsidRPr="00427697" w:rsidRDefault="00427697" w:rsidP="004016DB">
      <w:pPr>
        <w:spacing w:after="160" w:line="480" w:lineRule="auto"/>
        <w:ind w:left="720"/>
        <w:contextualSpacing/>
        <w:rPr>
          <w:rFonts w:ascii="Arial" w:eastAsiaTheme="minorHAnsi" w:hAnsi="Arial" w:cs="Arial"/>
          <w:color w:val="000000" w:themeColor="text1"/>
          <w:sz w:val="24"/>
          <w:szCs w:val="24"/>
        </w:rPr>
      </w:pPr>
    </w:p>
    <w:p w14:paraId="5436E6D9" w14:textId="215D6185" w:rsidR="00427697" w:rsidRDefault="00427697" w:rsidP="00B170FD">
      <w:pPr>
        <w:pStyle w:val="Heading2"/>
        <w:rPr>
          <w:rFonts w:ascii="Arial" w:eastAsiaTheme="minorHAnsi" w:hAnsi="Arial" w:cs="Arial"/>
          <w:color w:val="000000" w:themeColor="text1"/>
          <w:sz w:val="24"/>
          <w:szCs w:val="24"/>
        </w:rPr>
      </w:pPr>
      <w:bookmarkStart w:id="7" w:name="_Toc123562292"/>
      <w:r w:rsidRPr="00427697">
        <w:rPr>
          <w:rFonts w:ascii="Arial" w:eastAsiaTheme="minorHAnsi" w:hAnsi="Arial" w:cs="Arial"/>
          <w:color w:val="000000" w:themeColor="text1"/>
          <w:sz w:val="24"/>
          <w:szCs w:val="24"/>
        </w:rPr>
        <w:t>Research Questions</w:t>
      </w:r>
      <w:bookmarkEnd w:id="7"/>
    </w:p>
    <w:p w14:paraId="1672E6F6" w14:textId="77777777" w:rsidR="004016DB" w:rsidRPr="00427697" w:rsidRDefault="004016DB" w:rsidP="004016DB"/>
    <w:p w14:paraId="5942EE0D"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To meet the objectives, the following research questions have been posed:</w:t>
      </w:r>
    </w:p>
    <w:p w14:paraId="77B353CB" w14:textId="77777777" w:rsidR="00427697" w:rsidRPr="00427697" w:rsidRDefault="00427697" w:rsidP="004016DB">
      <w:pPr>
        <w:numPr>
          <w:ilvl w:val="0"/>
          <w:numId w:val="36"/>
        </w:numPr>
        <w:spacing w:after="160" w:line="480" w:lineRule="auto"/>
        <w:contextualSpacing/>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What are the areas of income generation (e.g., legacy, corporate fundraising, commercial activity) that have proven most successful in local government and not for profit organisations globally?</w:t>
      </w:r>
    </w:p>
    <w:p w14:paraId="35A2823E"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strategies are implemented by local government and not for profit organisations that fundraise successfully?</w:t>
      </w:r>
    </w:p>
    <w:p w14:paraId="366B42CA"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are new technologies altering the fundraising landscape?</w:t>
      </w:r>
    </w:p>
    <w:p w14:paraId="4BEE170C"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sustainable are these successful models?</w:t>
      </w:r>
    </w:p>
    <w:p w14:paraId="07F71522"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is the appetite for, and feasibility of, implementing these successful initiatives in Powys?</w:t>
      </w:r>
      <w:r w:rsidRPr="00427697">
        <w:rPr>
          <w:rFonts w:ascii="Arial" w:eastAsiaTheme="minorHAnsi" w:hAnsi="Arial" w:cs="Arial"/>
          <w:sz w:val="24"/>
          <w:szCs w:val="24"/>
        </w:rPr>
        <w:br/>
      </w:r>
    </w:p>
    <w:p w14:paraId="0BD180AD" w14:textId="6301FAAA" w:rsidR="003F7A0A" w:rsidRDefault="00A677BC" w:rsidP="00B170FD">
      <w:pPr>
        <w:pStyle w:val="Heading2"/>
        <w:rPr>
          <w:rFonts w:ascii="Arial" w:hAnsi="Arial" w:cs="Arial"/>
          <w:sz w:val="24"/>
          <w:szCs w:val="24"/>
        </w:rPr>
      </w:pPr>
      <w:bookmarkStart w:id="8" w:name="_Toc123562293"/>
      <w:r>
        <w:rPr>
          <w:rFonts w:ascii="Arial" w:hAnsi="Arial" w:cs="Arial"/>
          <w:sz w:val="24"/>
          <w:szCs w:val="24"/>
        </w:rPr>
        <w:t>Rationale</w:t>
      </w:r>
      <w:bookmarkEnd w:id="8"/>
      <w:r w:rsidR="003F7A0A" w:rsidRPr="00516ADD">
        <w:rPr>
          <w:rFonts w:ascii="Arial" w:hAnsi="Arial" w:cs="Arial"/>
          <w:sz w:val="24"/>
          <w:szCs w:val="24"/>
        </w:rPr>
        <w:tab/>
      </w:r>
    </w:p>
    <w:p w14:paraId="5DFA3DDF" w14:textId="77777777" w:rsidR="00B170FD" w:rsidRPr="00B170FD" w:rsidRDefault="00B170FD" w:rsidP="00B170FD"/>
    <w:p w14:paraId="169BA3F4" w14:textId="7777777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 xml:space="preserve">Detailed information for museum and library professionals in Wales is difficult to find. A search of the Welsh Museums Federation website (welshmuseumsfederation.org) fails to generate any literature on the subject, and neither library nor archives services in Wales have online resources for staff, aside from policy and regulatory </w:t>
      </w:r>
      <w:r w:rsidRPr="00A677BC">
        <w:rPr>
          <w:rFonts w:ascii="Arial" w:eastAsiaTheme="minorHAnsi" w:hAnsi="Arial" w:cs="Arial"/>
          <w:sz w:val="24"/>
          <w:szCs w:val="24"/>
        </w:rPr>
        <w:lastRenderedPageBreak/>
        <w:t>guidance provided by Welsh Government. Looking more broadly within the UK, the National Archives website provides guidance around income generation in archives services (National Archives, 2019), including some useful case studies, but it exists primarily as a how-to guide for public sector archives. Libraries Connected, the national advocate for public libraries in the UK, has launched a Future Funding programme, to help library services develop and diversity income generation strategies, but training is currently available only to libraries in England and learning from the programme has yet to be shared (Libraries Connected, 2022). The most comprehensive research to date can be found in a Locality report on income generation activities in UK public libraries (2015), in which findings revealed a disparity between potential income generating activities and evidence of the success of such activities, leaving library services with little proof that such routes to financial sustainability can be assured. Meaningful learning for StoriPowys will require looking further afield to similar organisations beyond the UK, to investigate whether success stories elsewhere can translate to rural mid Wales. It is hoped that a Wales perspective will contribute to improvements in strategy development.</w:t>
      </w:r>
    </w:p>
    <w:p w14:paraId="6BED842E" w14:textId="7CF6883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In academic research, studies point to a significant disconnect between research and practice in the field of fundraising (Williams, 2016) and more work is needed to determine factors that influence charitable giving and the success of fundraising campaigns. The Charities Aid Foundation’s Charity Landscape 2022 report (CAF, 2022) points to the changing fundraising landscape, and an increasing reliance on digital channels for successful fundraising campaigns.  Online giving</w:t>
      </w:r>
      <w:r w:rsidR="00D34F10">
        <w:rPr>
          <w:rFonts w:ascii="Arial" w:eastAsiaTheme="minorHAnsi" w:hAnsi="Arial" w:cs="Arial"/>
          <w:sz w:val="24"/>
          <w:szCs w:val="24"/>
        </w:rPr>
        <w:t>;</w:t>
      </w:r>
      <w:r w:rsidRPr="00A677BC">
        <w:rPr>
          <w:rFonts w:ascii="Arial" w:eastAsiaTheme="minorHAnsi" w:hAnsi="Arial" w:cs="Arial"/>
          <w:sz w:val="24"/>
          <w:szCs w:val="24"/>
        </w:rPr>
        <w:t xml:space="preserve"> social media campaigns</w:t>
      </w:r>
      <w:r w:rsidR="00D34F10">
        <w:rPr>
          <w:rFonts w:ascii="Arial" w:eastAsiaTheme="minorHAnsi" w:hAnsi="Arial" w:cs="Arial"/>
          <w:sz w:val="24"/>
          <w:szCs w:val="24"/>
        </w:rPr>
        <w:t>;</w:t>
      </w:r>
      <w:r w:rsidRPr="00A677BC">
        <w:rPr>
          <w:rFonts w:ascii="Arial" w:eastAsiaTheme="minorHAnsi" w:hAnsi="Arial" w:cs="Arial"/>
          <w:sz w:val="24"/>
          <w:szCs w:val="24"/>
        </w:rPr>
        <w:t xml:space="preserve"> and crowdfunding are relatively new channels for raising funds and further investigation is needed to build a picture of what does and doesn’t work, to inform a StoriPowys strategy going forward. Bhati &amp; McDonnell (2020) point to a lack </w:t>
      </w:r>
      <w:r w:rsidRPr="00A677BC">
        <w:rPr>
          <w:rFonts w:ascii="Arial" w:eastAsiaTheme="minorHAnsi" w:hAnsi="Arial" w:cs="Arial"/>
          <w:sz w:val="24"/>
          <w:szCs w:val="24"/>
        </w:rPr>
        <w:lastRenderedPageBreak/>
        <w:t>of academic research concerning the use of social media in fundraising, asserting that much investigation to date has focused on the general role of social media in consumer engagement, rather than its contribution to fundraising success. A 2021 benchmark report (Blackbaud, 2021) of UK charities acknowledges a rapid increase in adoption of digital tools for fundraising during the Covid-19 pandemic and the need for organisations to be digitally mature to keep pace with changing technologies. It is intended that learning from this study will contribute a cultural sector perspective to emerging academic research on the use of digital tools for income generation.</w:t>
      </w:r>
    </w:p>
    <w:p w14:paraId="78B20D73" w14:textId="77777777" w:rsidR="003F7A0A" w:rsidRPr="00516ADD" w:rsidRDefault="003F7A0A" w:rsidP="00516ADD">
      <w:pPr>
        <w:spacing w:line="480" w:lineRule="auto"/>
        <w:rPr>
          <w:rFonts w:ascii="Arial" w:hAnsi="Arial" w:cs="Arial"/>
          <w:sz w:val="24"/>
          <w:szCs w:val="24"/>
        </w:rPr>
      </w:pPr>
    </w:p>
    <w:p w14:paraId="61BAEAB6" w14:textId="4951011E" w:rsidR="003F7A0A" w:rsidRDefault="003F7A0A" w:rsidP="00A27B7E">
      <w:pPr>
        <w:pStyle w:val="Heading2"/>
        <w:rPr>
          <w:rFonts w:ascii="Arial" w:hAnsi="Arial" w:cs="Arial"/>
          <w:sz w:val="24"/>
          <w:szCs w:val="24"/>
        </w:rPr>
      </w:pPr>
      <w:bookmarkStart w:id="9" w:name="_Toc123562294"/>
      <w:r w:rsidRPr="00516ADD">
        <w:rPr>
          <w:rFonts w:ascii="Arial" w:hAnsi="Arial" w:cs="Arial"/>
          <w:sz w:val="24"/>
          <w:szCs w:val="24"/>
        </w:rPr>
        <w:t>Research Structure</w:t>
      </w:r>
      <w:bookmarkEnd w:id="9"/>
      <w:r w:rsidRPr="00516ADD">
        <w:rPr>
          <w:rFonts w:ascii="Arial" w:hAnsi="Arial" w:cs="Arial"/>
          <w:sz w:val="24"/>
          <w:szCs w:val="24"/>
        </w:rPr>
        <w:t xml:space="preserve"> </w:t>
      </w:r>
    </w:p>
    <w:p w14:paraId="43A4BE94" w14:textId="77777777" w:rsidR="00A27B7E" w:rsidRPr="00A27B7E" w:rsidRDefault="00A27B7E" w:rsidP="00A27B7E"/>
    <w:p w14:paraId="1F4871BA" w14:textId="77777777" w:rsidR="003C2BA1" w:rsidRPr="003C2BA1" w:rsidRDefault="003C2BA1" w:rsidP="003C2BA1">
      <w:pPr>
        <w:spacing w:after="160" w:line="480" w:lineRule="auto"/>
        <w:rPr>
          <w:rFonts w:ascii="Arial" w:eastAsiaTheme="minorHAnsi" w:hAnsi="Arial" w:cs="Arial"/>
          <w:color w:val="000000" w:themeColor="text1"/>
          <w:sz w:val="24"/>
          <w:szCs w:val="24"/>
        </w:rPr>
      </w:pPr>
      <w:r w:rsidRPr="003C2BA1">
        <w:rPr>
          <w:rFonts w:ascii="Arial" w:eastAsiaTheme="minorHAnsi" w:hAnsi="Arial" w:cs="Arial"/>
          <w:color w:val="000000" w:themeColor="text1"/>
          <w:sz w:val="24"/>
          <w:szCs w:val="24"/>
        </w:rPr>
        <w:t xml:space="preserve">Chapter 2 presents a review of the literature, which includes an exploration of case studies as well as academic and professional research to determine which avenues of income generating activity could be adapted to a Powys setting.  Discussion focuses on some key areas of fundraising including corporate sponsorship, commercial activity, membership programmes and development trusts. Digital innovation in fundraising including crowdfunding will is reviewed, as is an exploration into commercial activity within a local authority environment. The research considers the implications and complications of such fundraising in the public sector, including discussions on key related business disciplines of marketing, strategy, and workforce development.  A reflection on key findings follows, identifying key themes and highlighting gaps in the literature. Recommendations for further areas of research are outlined, and an overview of the contribution that this study will make to future </w:t>
      </w:r>
      <w:r w:rsidRPr="003C2BA1">
        <w:rPr>
          <w:rFonts w:ascii="Arial" w:eastAsiaTheme="minorHAnsi" w:hAnsi="Arial" w:cs="Arial"/>
          <w:color w:val="000000" w:themeColor="text1"/>
          <w:sz w:val="24"/>
          <w:szCs w:val="24"/>
        </w:rPr>
        <w:lastRenderedPageBreak/>
        <w:t xml:space="preserve">inquiry. Findings from the literature review are used to inform the questions that are set to interview participants. </w:t>
      </w:r>
    </w:p>
    <w:p w14:paraId="393FA9CA" w14:textId="77777777" w:rsidR="003C2BA1" w:rsidRP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t>An evaluation of the methodological design used to undertake the primary qualitative research data is discussed in Chapter 3, which presents a justification of the chosen research method through an exploration of the researcher’s philosophical standpoint. This includes a rationalisation of an interpretivist, inductive approach to data collection, to capture subjective, information-rich data from StoriPowys consumers for evaluation, by way of semi-structured interviews. A review of the research process follows, outlining the choice of a thematic analysis approach to interpret the interview transcripts.</w:t>
      </w:r>
    </w:p>
    <w:p w14:paraId="5A616D38" w14:textId="77777777" w:rsidR="003C2BA1" w:rsidRP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t xml:space="preserve">Chapter 4 presents the findings from thematic analysis of the semi-structured interviews, with evidence presented by theme in the form of user quotations. Interpretation and discussion of the data follows in relation to the research questions and aims, and a reflection on the limitations of the study and suggestions for future research is presented. Finally, the investigation concludes with a series of recommendations for income generation strategy development, to meet the final research objective.  </w:t>
      </w:r>
    </w:p>
    <w:p w14:paraId="6D12A9C1" w14:textId="69A66D2F" w:rsidR="0067170D" w:rsidRDefault="00653124" w:rsidP="00653124">
      <w:pPr>
        <w:pStyle w:val="Heading1"/>
        <w:rPr>
          <w:rFonts w:ascii="Arial" w:hAnsi="Arial" w:cs="Arial"/>
          <w:sz w:val="24"/>
          <w:szCs w:val="24"/>
        </w:rPr>
      </w:pPr>
      <w:bookmarkStart w:id="10" w:name="_Toc123562295"/>
      <w:r>
        <w:rPr>
          <w:rFonts w:ascii="Arial" w:hAnsi="Arial" w:cs="Arial"/>
          <w:sz w:val="24"/>
          <w:szCs w:val="24"/>
        </w:rPr>
        <w:t>Literature Review</w:t>
      </w:r>
      <w:bookmarkEnd w:id="10"/>
    </w:p>
    <w:p w14:paraId="61DAF85B" w14:textId="77777777" w:rsidR="00653124" w:rsidRPr="00653124" w:rsidRDefault="00653124" w:rsidP="00653124"/>
    <w:p w14:paraId="281DB02F" w14:textId="5A39D029" w:rsidR="00653124" w:rsidRDefault="00653124" w:rsidP="00653124">
      <w:pPr>
        <w:pStyle w:val="Heading2"/>
        <w:rPr>
          <w:rFonts w:ascii="Arial" w:eastAsiaTheme="minorHAnsi" w:hAnsi="Arial" w:cs="Arial"/>
          <w:sz w:val="24"/>
          <w:szCs w:val="24"/>
        </w:rPr>
      </w:pPr>
      <w:bookmarkStart w:id="11" w:name="_Toc123562296"/>
      <w:r w:rsidRPr="00653124">
        <w:rPr>
          <w:rFonts w:ascii="Arial" w:eastAsiaTheme="minorHAnsi" w:hAnsi="Arial" w:cs="Arial"/>
          <w:sz w:val="24"/>
          <w:szCs w:val="24"/>
        </w:rPr>
        <w:t>Introduction</w:t>
      </w:r>
      <w:bookmarkEnd w:id="11"/>
    </w:p>
    <w:p w14:paraId="76F3A01D" w14:textId="77777777" w:rsidR="00653124" w:rsidRPr="00653124" w:rsidRDefault="00653124" w:rsidP="00653124"/>
    <w:p w14:paraId="26F415A8" w14:textId="77777777" w:rsidR="004237DE"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chapter intends to provide a comprehensive analysis of professional and academic literature relating to income generation in public libraries and museums, to determine future fundraising strategy for Powys’ Cultural Services. Investigation </w:t>
      </w:r>
      <w:r w:rsidRPr="00653124">
        <w:rPr>
          <w:rFonts w:ascii="Arial" w:eastAsiaTheme="minorHAnsi" w:hAnsi="Arial" w:cs="Arial"/>
          <w:sz w:val="24"/>
          <w:szCs w:val="24"/>
        </w:rPr>
        <w:lastRenderedPageBreak/>
        <w:t xml:space="preserve">seeks a global perspective, and the researcher has sourced evidence predominantly from the UK and North America. </w:t>
      </w:r>
    </w:p>
    <w:p w14:paraId="15FCBEAA" w14:textId="049017F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review of the literature attempts to answer research questions 1-4, and thus focuses on the following areas: effective income generation initiatives in libraries and museums worldwide; the use of evolving technologies to raise funds; and fundraising strategies used by similar organisations that have a successful track record in income generation activity. Income generation activities considered include grassroots initiatives, membership models, and commercial activity. A discussion on the use of development trusts and Friends groups follows, before moving to a review of the literature regarding the use of digital technologies to generate income. A reflection on each of these areas in a strategic context is presented, followed by a general overview of findings relating to income generation strategy. Finally, a review of the literature considers the sustainability of these strategies and, where appropriate, consideration from a local government perspective is offered. </w:t>
      </w:r>
    </w:p>
    <w:p w14:paraId="1C2B2D18" w14:textId="11811191" w:rsidR="00653124" w:rsidRDefault="00653124" w:rsidP="00653124">
      <w:pPr>
        <w:pStyle w:val="Heading2"/>
        <w:rPr>
          <w:rFonts w:ascii="Arial" w:eastAsiaTheme="minorHAnsi" w:hAnsi="Arial" w:cs="Arial"/>
          <w:sz w:val="24"/>
          <w:szCs w:val="24"/>
        </w:rPr>
      </w:pPr>
      <w:bookmarkStart w:id="12" w:name="_Toc123562297"/>
      <w:r w:rsidRPr="00653124">
        <w:rPr>
          <w:rFonts w:ascii="Arial" w:eastAsiaTheme="minorHAnsi" w:hAnsi="Arial" w:cs="Arial"/>
          <w:sz w:val="24"/>
          <w:szCs w:val="24"/>
        </w:rPr>
        <w:t>Grassroots and ad hoc Activity</w:t>
      </w:r>
      <w:bookmarkEnd w:id="12"/>
    </w:p>
    <w:p w14:paraId="1F8BABA3" w14:textId="77777777" w:rsidR="00653124" w:rsidRPr="00653124" w:rsidRDefault="00653124" w:rsidP="00653124"/>
    <w:p w14:paraId="3F6DA113"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many examples of staff in libraries and museums innovating to raise funds income (Public Libraries News, 2022), and the public library approach appears to focus on grassroots activity to generate income. As community facilities, public libraries are uniquely placed to understand and respond to the needs of residents as a very local level, and evidence of library staff engaging in income generating pursuits with a personalised slant can be found in the literature. Staff at Jane Morgan Memorial Library, Wisconsin, have achieved small but steady income by identifying and responding to a public need by providing a volunteer-led clothing alterations service (American Libraries Association, 2019). Revenue from donations not only </w:t>
      </w:r>
      <w:r w:rsidRPr="00653124">
        <w:rPr>
          <w:rFonts w:ascii="Arial" w:eastAsiaTheme="minorHAnsi" w:hAnsi="Arial" w:cs="Arial"/>
          <w:sz w:val="24"/>
          <w:szCs w:val="24"/>
        </w:rPr>
        <w:lastRenderedPageBreak/>
        <w:t xml:space="preserve">funds library stock but has also brought a new audience to the facility. Alpine Public Library, Texas, finds success in fundraising 76% of its budget through various grassroots activities, including spelling bee competitions and a silent auction as part of an annual ArtWalk Alpine event. Support from the Friends group is key, to forge strong relationships with the community so that ongoing donor support continues (Civitello, 2017, p. 13). </w:t>
      </w:r>
    </w:p>
    <w:p w14:paraId="6BC927F2"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There are diverse examples across the US of raising funds for summer programmes, including Upshur County Library’s crowdfunding campaign (GoFundMe, 2021), Wharton Public Library’s merchandise fundraiser (Custom Ink, 2022) and Evergreen Park Public Library’s virtual fundraiser basket (Evergreen Park Library, 2021). Jacksonville Public Library, Illinois, generates a respectable $6,000 via its annual “Hi-$5 for Reading” campaign, which takes a multifaceted approach to donor marketing through various online and in person channels (Civitello, 2017, pp. 11-12). It is part of its broader giving strategy to support the $40,000 summer reading programme for children with the goal of achieving sustainable funding for it, even if traditional funding sources were to disappear  Public libraries across the UK, including Powys, run similar summer reading programmes (Reading Agency, 2022), but from the researcher’s own experiences of financing programme materials, UK libraries tend to fund such initiatives through government grants and internal funds, which puts increasing pressure on library budgets to fund programme materials and associated activities. For an initiative that runs annually, the success of fundraising ventures suggests that running similar campaigns would prove fruitful.</w:t>
      </w:r>
    </w:p>
    <w:p w14:paraId="1F0E6B26" w14:textId="77777777" w:rsidR="00653124" w:rsidRPr="00653124" w:rsidRDefault="00653124" w:rsidP="00653124">
      <w:pPr>
        <w:spacing w:after="160" w:line="480" w:lineRule="auto"/>
        <w:rPr>
          <w:rFonts w:ascii="Arial" w:eastAsiaTheme="minorHAnsi" w:hAnsi="Arial" w:cs="Arial"/>
          <w:sz w:val="24"/>
          <w:szCs w:val="24"/>
        </w:rPr>
      </w:pPr>
    </w:p>
    <w:p w14:paraId="07314A94" w14:textId="70459A12" w:rsidR="00653124" w:rsidRDefault="00653124" w:rsidP="00653124">
      <w:pPr>
        <w:pStyle w:val="Heading2"/>
        <w:rPr>
          <w:rFonts w:ascii="Arial" w:eastAsiaTheme="minorHAnsi" w:hAnsi="Arial" w:cs="Arial"/>
          <w:sz w:val="24"/>
          <w:szCs w:val="24"/>
        </w:rPr>
      </w:pPr>
      <w:bookmarkStart w:id="13" w:name="_Toc123562298"/>
      <w:r w:rsidRPr="00653124">
        <w:rPr>
          <w:rFonts w:ascii="Arial" w:eastAsiaTheme="minorHAnsi" w:hAnsi="Arial" w:cs="Arial"/>
          <w:sz w:val="24"/>
          <w:szCs w:val="24"/>
        </w:rPr>
        <w:t>Membership Models</w:t>
      </w:r>
      <w:bookmarkEnd w:id="13"/>
    </w:p>
    <w:p w14:paraId="39349CA6" w14:textId="77777777" w:rsidR="00653124" w:rsidRPr="00653124" w:rsidRDefault="00653124" w:rsidP="00653124"/>
    <w:p w14:paraId="0906C4F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lastRenderedPageBreak/>
        <w:t>A popular fundraising model for cultural and heritage organisations that emerges from research is a donor membership scheme. In smaller public libraries, where the ethos is to provide free access to resources, and where these services have little to “sell”, membership models tend to operate as Friends of the Library schemes. These initiatives can generate funds to support library activities and help sustain educational and community programmes (Mountainside Public Library, 2022). As Friends groups run independently of the libraries they support, the success of membership initiatives is largely dependent on external support to drive sponsorship.</w:t>
      </w:r>
    </w:p>
    <w:p w14:paraId="63BF103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More sophisticated membership models can be found within organisations that not only have the capacity to manage them but are able to offer rewards packages to affiliates. These models sometimes provide tiers of membership that offer benefits to members that are commensurate with the donation (City Museum, 2022) or memberships that provide discounts on exhibitions and members-only events (New York Public Library, 2022; Milwaukee Art Museum, 2022). Broader philanthropic fundraising strategy may consider the option of Legacy Giving (Libraries Unlimited, 2022; Milwaukee Art Museum, 2022).</w:t>
      </w:r>
    </w:p>
    <w:p w14:paraId="33DE220A"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 range and popularity of membership schemes makes this an option worth exploring, but the impact on organisations of managing and retaining donors requires significant time investment (Miguel, 2022). Academic research is scarce and evidence of the return on investment in libraries and museums would be helpful.</w:t>
      </w:r>
    </w:p>
    <w:p w14:paraId="6BCCB079" w14:textId="21FDBB61" w:rsidR="00653124" w:rsidRDefault="00653124" w:rsidP="00653124">
      <w:pPr>
        <w:pStyle w:val="Heading2"/>
        <w:rPr>
          <w:rFonts w:ascii="Arial" w:eastAsiaTheme="minorHAnsi" w:hAnsi="Arial" w:cs="Arial"/>
          <w:sz w:val="24"/>
          <w:szCs w:val="24"/>
        </w:rPr>
      </w:pPr>
      <w:bookmarkStart w:id="14" w:name="_Toc123562299"/>
      <w:r w:rsidRPr="00653124">
        <w:rPr>
          <w:rFonts w:ascii="Arial" w:eastAsiaTheme="minorHAnsi" w:hAnsi="Arial" w:cs="Arial"/>
          <w:sz w:val="24"/>
          <w:szCs w:val="24"/>
        </w:rPr>
        <w:t>Commercialism</w:t>
      </w:r>
      <w:bookmarkEnd w:id="14"/>
    </w:p>
    <w:p w14:paraId="1E0A2A5E" w14:textId="77777777" w:rsidR="00653124" w:rsidRPr="00653124" w:rsidRDefault="00653124" w:rsidP="00653124"/>
    <w:p w14:paraId="269AFFCE"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Many cultural organisations have adopted commercial practices to enhance revenue. Norfolk museums have exploited their unique facilities to provide various venue hire offers, including corporate events, private exhibition viewings, weddings, and film </w:t>
      </w:r>
      <w:r w:rsidRPr="00653124">
        <w:rPr>
          <w:rFonts w:ascii="Arial" w:eastAsiaTheme="minorHAnsi" w:hAnsi="Arial" w:cs="Arial"/>
          <w:sz w:val="24"/>
          <w:szCs w:val="24"/>
        </w:rPr>
        <w:lastRenderedPageBreak/>
        <w:t>hire (Norfolk Museums, 2022). A case study of the wedding service emphasises the need to know one’s limitations in terms of what is feasible, and to ensure that the museum visitor experience and access to the collections is not compromised by commercial endeavours (Share Museums East, 2018). In this instance, success has been achieved through outsourcing wedding planning to a third party, and diminished profits are offset by the time commitment that museum staff would otherwise have made. Weddings in libraries and museums are a popular choice, from large institutions where bookings are coordinated by events teams (NYPL, 2022; Toronto Public Library, 2022; Madison Public Library, 2022; Kitchener Public Library, 2022;) to smaller community libraries where smaller scale offerings generate income via simple room-only bookings (Fulham Library, 2022; National Mining Museum, 2022).</w:t>
      </w:r>
    </w:p>
    <w:p w14:paraId="23544067"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Creative leveraging of room hire stretches beyond weddings.  South Lanarkshire Leisure and Culture (2022) earns a moderate income from hosting birthday parties at select libraries, and this trend can be seen elsewhere across the globe (Douglas County Libraries, 2022; Australian National Maritime Museum, 2022). Numerous examples of similar initiatives can be found, with varying degrees of sophistication in terms of event packages. </w:t>
      </w:r>
    </w:p>
    <w:p w14:paraId="55B3B081" w14:textId="4F291E6E" w:rsidR="00653124" w:rsidRPr="00653124" w:rsidRDefault="00470CBA" w:rsidP="00653124">
      <w:pPr>
        <w:spacing w:after="160" w:line="480" w:lineRule="auto"/>
        <w:rPr>
          <w:rFonts w:ascii="Arial" w:eastAsiaTheme="minorHAnsi" w:hAnsi="Arial" w:cs="Arial"/>
          <w:sz w:val="24"/>
          <w:szCs w:val="24"/>
        </w:rPr>
      </w:pPr>
      <w:r w:rsidRPr="00470CBA">
        <w:rPr>
          <w:rFonts w:ascii="Arial" w:eastAsiaTheme="minorHAnsi" w:hAnsi="Arial" w:cs="Arial"/>
          <w:sz w:val="24"/>
          <w:szCs w:val="24"/>
        </w:rPr>
        <w:t xml:space="preserve">Another common commercial add-on to cultural venues is cafes. Traditionally associated with larger museum venues to provide an enhanced visitor experience, cafes are increasingly popping up in libraries and smaller museums. A guide to successful museum cafes (AIM, 2020) outlines the pros and cons of running these services, including the level of turnover needed to turn a healthy profit. This figure may be high for some, particularly in areas where visitor footfall may be low, although interestingly the advice echoes what has emerged elsewhere in the </w:t>
      </w:r>
      <w:r w:rsidRPr="00470CBA">
        <w:rPr>
          <w:rFonts w:ascii="Arial" w:eastAsiaTheme="minorHAnsi" w:hAnsi="Arial" w:cs="Arial"/>
          <w:sz w:val="24"/>
          <w:szCs w:val="24"/>
        </w:rPr>
        <w:lastRenderedPageBreak/>
        <w:t>literature, that income from a single project is not necessarily the ultimate goal: the visitor experience remains the focus, which in turn brings repeat trade, which then drives future engagement (Ibid, p. 3.). A recent report on arts and cultural organisations in England (Arts Council England, 2020) highlights the important role of cafes and other amenities in rural and under provided-for areas and suggests that these spaces will play a longer-term role in reanimating local economies post-Covid. Evidently it is worth considering the bigger picture when developing strategies for sustainable services. There are countless examples of libraries and museums with some form of coffee shop or other hospitality service attached. Those that stand out from the crowd do so by capitalising on their assets by tailoring their offers to their collections (Mitsitam Café, 2022; Museums Association, 2020). Whilst these are world class facilities, learning can be used and implemented on a smaller scale. In a library setting, Civitello (2017) identifies case studies of public libraries that are successfully operating cafés through partnership working with organisations that hold similar values. Lawrenceburg Public Library, Illinois, operates their café alongside a local rehabilitation centre, and both share the financial burden. The second of the case studies presents a collaboration between Beloit Public Library, Wisconsin, and the local high school, where students earn college credits for participating in service delivery and the income is shared between school and library (Beloit Public Library, 2022). In both cases, a shared vision and strategic goals that are aligned serves both partners well, leading to future development of new and existing services (Civitello, 2017, p. 13).</w:t>
      </w:r>
      <w:r>
        <w:rPr>
          <w:rFonts w:ascii="Arial" w:eastAsiaTheme="minorHAnsi" w:hAnsi="Arial" w:cs="Arial"/>
          <w:sz w:val="24"/>
          <w:szCs w:val="24"/>
        </w:rPr>
        <w:t xml:space="preserve"> </w:t>
      </w:r>
      <w:r w:rsidR="00653124" w:rsidRPr="00653124">
        <w:rPr>
          <w:rFonts w:ascii="Arial" w:eastAsiaTheme="minorHAnsi" w:hAnsi="Arial" w:cs="Arial"/>
          <w:sz w:val="24"/>
          <w:szCs w:val="24"/>
        </w:rPr>
        <w:t xml:space="preserve">Another key player in driving revenue is income from retail. Traditional gift shops have met with the same challenges as cafes, in that they have struggled to make significant profits in rural communities and cities where footfall is substantially lower than in cities and large towns. However, opportunities for retail </w:t>
      </w:r>
      <w:r w:rsidR="00653124" w:rsidRPr="00653124">
        <w:rPr>
          <w:rFonts w:ascii="Arial" w:eastAsiaTheme="minorHAnsi" w:hAnsi="Arial" w:cs="Arial"/>
          <w:sz w:val="24"/>
          <w:szCs w:val="24"/>
        </w:rPr>
        <w:lastRenderedPageBreak/>
        <w:t xml:space="preserve">are gaining traction, and evidence of innovation in this field is growing. Public Libraries News (2022) cites several retail initiatives that have been trialled in the UK, and the results look promising.  The introduction of Amazon Lockers in West Sussex Libraries back in 2016 has been highlighted, and an internet search suggests that this service is still being provided. Moderate yet regular income has been reported, and a case study by the Department for Digital, Culture, Media &amp; Sport (2016) presents it as a viable income generator for libraries. One concern, however, is that a decent level of footfall would be required to ensure that suitable demand for the service exists, so this proposal may not be the best course of action in rural Powys. It is also conceivable that a partnership with a book retailer, as presented in this example, may not be the best match for public libraries.  </w:t>
      </w:r>
    </w:p>
    <w:p w14:paraId="6987243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is a growing trend in museums to focus on merchandising their collections. Collaborations between cultural institutions and brand licensing companies are developing creative ways to promote products and services: case studies can be found on the licensing company, Artistory’s website, such as home appliance Abode’s collaboration with the National Gallery in London (Artistory, 2022). Further examples can be found on Alfilo Brand’s website, where case studies of partnerships with Brooklyn Museum and the Metropolitan Museum of Art, amongst others, can be found. It’s clear that innovation is a driving force with these partnerships, with collaborations ranging from traditional retail branding to immersive experiences where art it integrated with video gaming, food and pop-up stores (Alfilo, 2022). </w:t>
      </w:r>
    </w:p>
    <w:p w14:paraId="0086677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An interview with the founder of Alfilo discusses the company’s partnership with the British Museum (Ruiz, 2022), which highlights the financial success of the collaboration. To expect smaller cultural organisations to develop partnerships on this scale would be unrealistic as they lack the human and financial resources to </w:t>
      </w:r>
      <w:r w:rsidRPr="00653124">
        <w:rPr>
          <w:rFonts w:ascii="Arial" w:eastAsiaTheme="minorHAnsi" w:hAnsi="Arial" w:cs="Arial"/>
          <w:sz w:val="24"/>
          <w:szCs w:val="24"/>
        </w:rPr>
        <w:lastRenderedPageBreak/>
        <w:t>invest in such a project, and more research is needed to establish how easily this might translate in other settings. However, it does provide food for thought in terms of exploring smaller-scale initiatives. The approach to merchandising is perhaps the biggest takeaway, and the future of cultural retail is about engaging the consumer with immersive, relatable experiences (Saffra, 2022).</w:t>
      </w:r>
    </w:p>
    <w:p w14:paraId="3F3D281D" w14:textId="04863FA1" w:rsidR="00653124" w:rsidRDefault="00653124" w:rsidP="00653124">
      <w:pPr>
        <w:pStyle w:val="Heading2"/>
        <w:rPr>
          <w:rFonts w:ascii="Arial" w:eastAsiaTheme="minorHAnsi" w:hAnsi="Arial" w:cs="Arial"/>
          <w:sz w:val="24"/>
          <w:szCs w:val="24"/>
        </w:rPr>
      </w:pPr>
      <w:bookmarkStart w:id="15" w:name="_Toc123562300"/>
      <w:r w:rsidRPr="00653124">
        <w:rPr>
          <w:rFonts w:ascii="Arial" w:eastAsiaTheme="minorHAnsi" w:hAnsi="Arial" w:cs="Arial"/>
          <w:sz w:val="24"/>
          <w:szCs w:val="24"/>
        </w:rPr>
        <w:t>Corporate Suppor</w:t>
      </w:r>
      <w:r>
        <w:rPr>
          <w:rFonts w:ascii="Arial" w:eastAsiaTheme="minorHAnsi" w:hAnsi="Arial" w:cs="Arial"/>
          <w:sz w:val="24"/>
          <w:szCs w:val="24"/>
        </w:rPr>
        <w:t>t</w:t>
      </w:r>
      <w:bookmarkEnd w:id="15"/>
    </w:p>
    <w:p w14:paraId="2D43BFCF" w14:textId="77777777" w:rsidR="00653124" w:rsidRPr="00653124" w:rsidRDefault="00653124" w:rsidP="00653124"/>
    <w:p w14:paraId="2838A420"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There are many examples of corporate sponsorship arrangements in cultural institutions. Prominent establishments, such as the British Museum and the New York Public Library, have sleek corporate programmes, including membership, events and benefits, all of which are managed by dedicated teams (British Library, 2022; New York Public Library, 2022). Other organisations have a similarly structured, yet less business-like, approach to courting corporate sponsors: the Brooklyn Public Library network’s corporate support programme is very much focused promoting its core services and engages potential sponsors with its education- and literacy-related objectives (Brooklyn Public Library, 2022). More examples can be found in the Brooklyn area alone (Brooklyn Children’s Museum, 2022; Brooklyn Museum, 2022), as well as much closer to home in Wales (Amgueddfa Cymru, 2022), where opportunities are tailored to the organisations and include capital developments, community programmes and exhibitions.</w:t>
      </w:r>
    </w:p>
    <w:p w14:paraId="1FFD186C" w14:textId="726E5BE2"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Academic literature on the success and sustainability of corporate sponsorship is limited, particularly in reference to public libraries. An exploration of the consumer response to corporate sponsorships in museums against the backdrop of Covid-19 highlights the challenges of this type of sponsor, and the social, environmental</w:t>
      </w:r>
      <w:r w:rsidR="00C82401">
        <w:rPr>
          <w:rFonts w:ascii="Arial" w:eastAsiaTheme="minorHAnsi" w:hAnsi="Arial" w:cs="Arial"/>
          <w:sz w:val="24"/>
          <w:szCs w:val="24"/>
        </w:rPr>
        <w:t>,</w:t>
      </w:r>
      <w:r w:rsidRPr="00653124">
        <w:rPr>
          <w:rFonts w:ascii="Arial" w:eastAsiaTheme="minorHAnsi" w:hAnsi="Arial" w:cs="Arial"/>
          <w:sz w:val="24"/>
          <w:szCs w:val="24"/>
        </w:rPr>
        <w:t xml:space="preserve"> and ethical considerations of working with corporate partners (Biraglia &amp; Gerrath, 2021). </w:t>
      </w:r>
      <w:r w:rsidRPr="00653124">
        <w:rPr>
          <w:rFonts w:ascii="Arial" w:eastAsiaTheme="minorHAnsi" w:hAnsi="Arial" w:cs="Arial"/>
          <w:sz w:val="24"/>
          <w:szCs w:val="24"/>
        </w:rPr>
        <w:lastRenderedPageBreak/>
        <w:t>Consumers, particularly millennials and younger, are impacted by the perceived credibility of a business (Wang &amp; Holznagel, 2021) and cultural organisations must carefully consider how appropriate a partner organisation might be when signing up to sponsorship arrangements, perhaps more so in a more prescriptive local government setting.</w:t>
      </w:r>
    </w:p>
    <w:p w14:paraId="4B9EB4E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Tysiac (2016, p. 36) asserts that organisations entering into business partnerships, or sponsorship arrangements need to factor in good business sense in terms of whether the business is the right fit for the organisation. Furthermore, these partnerships must align with the mission of the organisation and that these objectives must outweigh financial priorities.  An MLA report (2011, p. 26) recommends corporate support as an area of income generation for museums to pursue, and a distinction is made between standard corporate sponsorship as a business transaction or the alternative approach whereby businesses fund cultural activity as part of their Corporate Social Responsibility programmes.</w:t>
      </w:r>
    </w:p>
    <w:p w14:paraId="22901C87" w14:textId="77777777" w:rsidR="00653124" w:rsidRPr="00653124" w:rsidRDefault="00653124" w:rsidP="00653124">
      <w:pPr>
        <w:spacing w:after="160" w:line="480" w:lineRule="auto"/>
        <w:rPr>
          <w:rFonts w:ascii="Arial" w:eastAsiaTheme="minorHAnsi" w:hAnsi="Arial" w:cs="Arial"/>
          <w:sz w:val="24"/>
          <w:szCs w:val="24"/>
        </w:rPr>
      </w:pPr>
    </w:p>
    <w:p w14:paraId="0DA32982" w14:textId="403AECBA" w:rsidR="00653124" w:rsidRDefault="00653124" w:rsidP="00653124">
      <w:pPr>
        <w:pStyle w:val="Heading2"/>
        <w:rPr>
          <w:rFonts w:ascii="Arial" w:eastAsiaTheme="minorHAnsi" w:hAnsi="Arial" w:cs="Arial"/>
          <w:sz w:val="24"/>
          <w:szCs w:val="24"/>
        </w:rPr>
      </w:pPr>
      <w:bookmarkStart w:id="16" w:name="_Toc123562301"/>
      <w:r w:rsidRPr="00653124">
        <w:rPr>
          <w:rFonts w:ascii="Arial" w:eastAsiaTheme="minorHAnsi" w:hAnsi="Arial" w:cs="Arial"/>
          <w:sz w:val="24"/>
          <w:szCs w:val="24"/>
        </w:rPr>
        <w:t>Development Trusts and Friends Groups</w:t>
      </w:r>
      <w:bookmarkEnd w:id="16"/>
    </w:p>
    <w:p w14:paraId="2F9869CC" w14:textId="77777777" w:rsidR="00653124" w:rsidRPr="00653124" w:rsidRDefault="00653124" w:rsidP="00653124"/>
    <w:p w14:paraId="477C181F" w14:textId="0EC7ECDC"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An opportunity that is gaining traction amongst public bodies in the UK is the establishment of Development Trusts: community owned, not for private profit organisations that engage in economic, social</w:t>
      </w:r>
      <w:r w:rsidR="00C82401">
        <w:rPr>
          <w:rFonts w:ascii="Arial" w:eastAsiaTheme="minorHAnsi" w:hAnsi="Arial" w:cs="Arial"/>
          <w:sz w:val="24"/>
          <w:szCs w:val="24"/>
        </w:rPr>
        <w:t>,</w:t>
      </w:r>
      <w:r w:rsidRPr="00653124">
        <w:rPr>
          <w:rFonts w:ascii="Arial" w:eastAsiaTheme="minorHAnsi" w:hAnsi="Arial" w:cs="Arial"/>
          <w:sz w:val="24"/>
          <w:szCs w:val="24"/>
        </w:rPr>
        <w:t xml:space="preserve"> and environmental regeneration (Development Trusts Association Wales, 2022). They are independently run, but work in partnerships with other organisations, including public bodies, to achieve their aims. Entrepreneurial activity supports grant funding opportunities, which may include the establishment of trading companies to support this (Wilcox, 1998), which can provide some council-run services with alternative income generation sources </w:t>
      </w:r>
      <w:r w:rsidRPr="00653124">
        <w:rPr>
          <w:rFonts w:ascii="Arial" w:eastAsiaTheme="minorHAnsi" w:hAnsi="Arial" w:cs="Arial"/>
          <w:sz w:val="24"/>
          <w:szCs w:val="24"/>
        </w:rPr>
        <w:lastRenderedPageBreak/>
        <w:t xml:space="preserve">that remain closed to local authorities. Development Trusts Association Wales (2022) cites an estimated 600 development trusts in the UK, with community assets of £560 million. </w:t>
      </w:r>
    </w:p>
    <w:p w14:paraId="7EB64A6E" w14:textId="088ED9A5"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search of online academic resources has failed to locate discussion regarding the success (or failure) of cultural development trusts, however, there is evidence of several trusts in the cultural sphere which seem promising. Manchester Central Library Development Trust (2022) is one example, which was established to support both the Manchester Council-run central library, and other libraries across the city, through fundraising activity for educational and cultural benefit.  An overview of its financial history on the Charity Commission website (Charity Commission, 2022) shows modest, yet increasing, profits since 2017, which is likely to have been hampered somewhat by the Covid-19 pandemic. The trust’s website cites achievements that include raising funds for the refurbishment of Central Library as well as funding </w:t>
      </w:r>
      <w:r w:rsidR="00C82401" w:rsidRPr="00653124">
        <w:rPr>
          <w:rFonts w:ascii="Arial" w:eastAsiaTheme="minorHAnsi" w:hAnsi="Arial" w:cs="Arial"/>
          <w:sz w:val="24"/>
          <w:szCs w:val="24"/>
        </w:rPr>
        <w:t>several</w:t>
      </w:r>
      <w:r w:rsidRPr="00653124">
        <w:rPr>
          <w:rFonts w:ascii="Arial" w:eastAsiaTheme="minorHAnsi" w:hAnsi="Arial" w:cs="Arial"/>
          <w:sz w:val="24"/>
          <w:szCs w:val="24"/>
        </w:rPr>
        <w:t xml:space="preserve"> engagement events and initiatives. The Norfolk Museums Development Foundation (Norfolk Museums, 2022) has a similar set-up, where the trust covers all 10 local authority museums, which shows a steady profit until the recent pandemic (Charity Commission, 2022). Further examples can be found in the Tyne &amp; Wear Archives &amp; Museums Development Trust (Tyne &amp; Wear Archives &amp; Museums, 2022), which supports the services of 4 local authorities in the area and has been operating since 2010; and more recently, the Oriel Môn Trust (Oriel Môn, 2022) which supports its namesake museum and art gallery through charitable fundraising that supplements the financial contributions made by Anglesey County Council. </w:t>
      </w:r>
    </w:p>
    <w:p w14:paraId="325250C1"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2018 report (Education Scotland and Development Trusts Association Scotland) on the impact of development trusts in Scotland highlights not only their benefits in </w:t>
      </w:r>
      <w:r w:rsidRPr="00653124">
        <w:rPr>
          <w:rFonts w:ascii="Arial" w:eastAsiaTheme="minorHAnsi" w:hAnsi="Arial" w:cs="Arial"/>
          <w:sz w:val="24"/>
          <w:szCs w:val="24"/>
        </w:rPr>
        <w:lastRenderedPageBreak/>
        <w:t xml:space="preserve">terms of social value, but also the economic impact of the six trusts that participated in the research.  both strengths and weaknesses of this approach. Four of the six trusts each secured investments of over £1 million for their local communities, and additional economic benefits referenced improvements to building assets and development of enterprise projects to reduce reliance on external funding (Ibid, pp. 2-3).  However, the review presents the need for a high level of commitment from trustees and volunteers to guarantee success and a robust strategic framework to ensure sustainability as these organisations evolve (Ibid, p. 4). Whilst the report underlines useful learning, is reflects the experiences of a small number of trusts and further study is needed to capture a broader picture of development trust success or failure in the UK. Furthermore, in the context on income generation in local authority cultural services, the transferability of the report findings may be limited, as activities that may prove effective in the organisations studied may not translate to a cultural setting. Wilcox (1998) acknowledges risks associated with development trusts, primarily relating to a lack of clarity regarding core objectives and the path to financial sustainability. However, for the researcher, it would be useful to view the challenges in the context of real-life scenarios; detailed case studies would provide richer information to better understand how and why some trusts fail.  </w:t>
      </w:r>
    </w:p>
    <w:p w14:paraId="1AF0BA15" w14:textId="0F3C50AA"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popular adjunct to many libraries, museum and archives are Friends groups, generally set up by local members of the community to help deliver and sponsor grassroots activities within the locale.  There are many Friends groups across Wales (including Powys) and beyond (British Association of Friends of Museums, 2022; Library Campaign, 2022) who advocate for services and conduct low level funding, e.g., running book sales and sponsoring activity programmes (American Library Association, 2022). Ashman (2002, p.35) recommends making the distinction </w:t>
      </w:r>
      <w:r w:rsidRPr="00653124">
        <w:rPr>
          <w:rFonts w:ascii="Arial" w:eastAsiaTheme="minorHAnsi" w:hAnsi="Arial" w:cs="Arial"/>
          <w:sz w:val="24"/>
          <w:szCs w:val="24"/>
        </w:rPr>
        <w:lastRenderedPageBreak/>
        <w:t xml:space="preserve">between traditional Friends groups and constituted organisations, and that members of the former would not be expected to possess the financial and political characteristics that would be demanded of the latter, where a more strategic approach to fundraising would be required. </w:t>
      </w:r>
    </w:p>
    <w:p w14:paraId="201F736D" w14:textId="63E8B13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Research suggests that numerous Friends groups paused activities or disbanded completely during the pandemic (Gerber, 2021). A report on the role of volunteering in philanthropy (Fidelity Charitable, 2020, p.14) found that Covid-19 forced 65% of volunteers to virtual activity, although there is a clear preference for in-person contribution (Ibid, p.19). Of the surveyed volunteers that ceased activity during the pandemic, three-quarters of them hoped to return to their old roles in the future. This paints a hopeful picture, but a settled post-pandemic volunteer landscape is still largely unknown, and research is still emerging, A reliance on evidence of success stories from Friends’ fundraising initiatives pre-pandemic should perhaps be treated with some caution, and these groups should be looking to emerging trends in donor engagement </w:t>
      </w:r>
      <w:r w:rsidR="00FC1316" w:rsidRPr="00653124">
        <w:rPr>
          <w:rFonts w:ascii="Arial" w:eastAsiaTheme="minorHAnsi" w:hAnsi="Arial" w:cs="Arial"/>
          <w:sz w:val="24"/>
          <w:szCs w:val="24"/>
        </w:rPr>
        <w:t>to</w:t>
      </w:r>
      <w:r w:rsidRPr="00653124">
        <w:rPr>
          <w:rFonts w:ascii="Arial" w:eastAsiaTheme="minorHAnsi" w:hAnsi="Arial" w:cs="Arial"/>
          <w:sz w:val="24"/>
          <w:szCs w:val="24"/>
        </w:rPr>
        <w:t xml:space="preserve"> provide true, sustainable value. </w:t>
      </w:r>
    </w:p>
    <w:p w14:paraId="719BCE1F" w14:textId="77777777" w:rsidR="00653124" w:rsidRPr="00653124" w:rsidRDefault="00653124" w:rsidP="00653124">
      <w:pPr>
        <w:spacing w:after="160" w:line="480" w:lineRule="auto"/>
        <w:rPr>
          <w:rFonts w:ascii="Arial" w:eastAsiaTheme="minorHAnsi" w:hAnsi="Arial" w:cs="Arial"/>
          <w:sz w:val="24"/>
          <w:szCs w:val="24"/>
        </w:rPr>
      </w:pPr>
    </w:p>
    <w:p w14:paraId="013F7DF1" w14:textId="051F82DE" w:rsidR="00653124" w:rsidRDefault="00653124" w:rsidP="00653124">
      <w:pPr>
        <w:pStyle w:val="Heading2"/>
        <w:rPr>
          <w:rFonts w:ascii="Arial" w:eastAsiaTheme="minorHAnsi" w:hAnsi="Arial" w:cs="Arial"/>
          <w:sz w:val="24"/>
          <w:szCs w:val="24"/>
        </w:rPr>
      </w:pPr>
      <w:bookmarkStart w:id="17" w:name="_Toc123562302"/>
      <w:r w:rsidRPr="00653124">
        <w:rPr>
          <w:rFonts w:ascii="Arial" w:eastAsiaTheme="minorHAnsi" w:hAnsi="Arial" w:cs="Arial"/>
          <w:sz w:val="24"/>
          <w:szCs w:val="24"/>
        </w:rPr>
        <w:t>Digital Developments</w:t>
      </w:r>
      <w:bookmarkEnd w:id="17"/>
    </w:p>
    <w:p w14:paraId="24EC2444" w14:textId="77777777" w:rsidR="00653124" w:rsidRPr="00653124" w:rsidRDefault="00653124" w:rsidP="00653124"/>
    <w:p w14:paraId="7BCF31A2"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Advances in digital technologies have transformed how audiences engage with culture (Department for Digital, Culture, Media &amp; Sport, 2019) and inevitably is disrupted the traditional fundraising landscape. CAF’s annual giving research (Charities Aid Foundation, 2022, p. 20) reports that a 26% share of charitable donors in the UK is now dedicated to online giving. Options for online giving are now a staple for many public library and heritage organisations (Queens Public Library, 2022; Barnsley Museums &amp; Heritage Trust, 2022), and one would expect to find </w:t>
      </w:r>
      <w:r w:rsidRPr="00653124">
        <w:rPr>
          <w:rFonts w:ascii="Arial" w:eastAsiaTheme="minorHAnsi" w:hAnsi="Arial" w:cs="Arial"/>
          <w:sz w:val="24"/>
          <w:szCs w:val="24"/>
        </w:rPr>
        <w:lastRenderedPageBreak/>
        <w:t>options ranging from “donate” buttons on website homepages to dedicated webpages for a range of online giving options.</w:t>
      </w:r>
    </w:p>
    <w:p w14:paraId="56AFFEB3" w14:textId="0B169DD6"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Research suggests that a holistic approach to philanthropic giving should be adopted, and an effective fundraising strategy should be communicated via both digital and more traditional physical channels such as donations boxes (Museum Next, 2022). Social media is a big driver in digital fundraising campaigns and numerous examples can be found online. North American libraries have harnessed their collective powers of communication to run an annual online giving campaign (Library Giving Day, 2022); and a guide to social media for fundraising highlights a range of marketing tools, with examples, to encourage donor engagement, from creative storytelling to viral challenges (Goodbox, 2021).   Goodbox (2022) evidences </w:t>
      </w:r>
      <w:r w:rsidR="00FC1316" w:rsidRPr="00653124">
        <w:rPr>
          <w:rFonts w:ascii="Arial" w:eastAsiaTheme="minorHAnsi" w:hAnsi="Arial" w:cs="Arial"/>
          <w:sz w:val="24"/>
          <w:szCs w:val="24"/>
        </w:rPr>
        <w:t>several</w:t>
      </w:r>
      <w:r w:rsidRPr="00653124">
        <w:rPr>
          <w:rFonts w:ascii="Arial" w:eastAsiaTheme="minorHAnsi" w:hAnsi="Arial" w:cs="Arial"/>
          <w:sz w:val="24"/>
          <w:szCs w:val="24"/>
        </w:rPr>
        <w:t xml:space="preserve"> digital fundraising case studies which emphasise the benefits to donor engagement that improved in-house technologies can bring.   The success of the ALS Association’s Ice bucket Challenge (Tysiac, 2016, p. 36) illustrates the far-reaching effects of an innovative social media fundraising campaign, which proved not only an outstanding fundraising achievement but also allowed the organisation to promote its cause to millions of Facebook subscribers.  Tysiac goes on to stress that social media campaigns are an important and effective tool to engage the younger donors of the future and cites the Eiteljorg Museum’s donor programme for under 40s as an example of good practice (Tysiac, 2016, p. 37).</w:t>
      </w:r>
    </w:p>
    <w:p w14:paraId="38CAFF28" w14:textId="7DB1BEE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Advancing technologies in recent years have seen an increase in digital engagement with cultural services.  Online participation increased dramatically in response to the COVID-19 pandemic, when museums and libraries across the world were closed to the public found creative ways to transfer the in-person visitor experience to a virtual environment. An account of Chinese museums’ online activities during the pandemic </w:t>
      </w:r>
      <w:r w:rsidRPr="00653124">
        <w:rPr>
          <w:rFonts w:ascii="Arial" w:eastAsiaTheme="minorHAnsi" w:hAnsi="Arial" w:cs="Arial"/>
          <w:sz w:val="24"/>
          <w:szCs w:val="24"/>
        </w:rPr>
        <w:lastRenderedPageBreak/>
        <w:t>(Jin and Min, 2021, pp. 35-36) highlights the extensive scope for online interactions with visitors via a range of platforms across digital devices. Virtual museum tours, specialist talks, and eCommerce events with established online retailers, marketing products to promote the museum collections. Outcomes for both retail and visitor experience transcended the online experience, with virtual visits promoting in-person visits as well as increased opportunities for partnership collaboration to develop the retail offer (</w:t>
      </w:r>
      <w:r w:rsidRPr="00653124">
        <w:rPr>
          <w:rFonts w:ascii="Arial" w:eastAsiaTheme="minorHAnsi" w:hAnsi="Arial" w:cs="Arial"/>
          <w:i/>
          <w:iCs/>
          <w:sz w:val="24"/>
          <w:szCs w:val="24"/>
        </w:rPr>
        <w:t>Ibid</w:t>
      </w:r>
      <w:r w:rsidRPr="00653124">
        <w:rPr>
          <w:rFonts w:ascii="Arial" w:eastAsiaTheme="minorHAnsi" w:hAnsi="Arial" w:cs="Arial"/>
          <w:sz w:val="24"/>
          <w:szCs w:val="24"/>
        </w:rPr>
        <w:t xml:space="preserve">, p. 37). </w:t>
      </w:r>
      <w:r w:rsidRPr="00653124">
        <w:rPr>
          <w:rFonts w:ascii="Arial" w:eastAsiaTheme="minorHAnsi" w:hAnsi="Arial" w:cs="Arial"/>
          <w:b/>
          <w:bCs/>
          <w:sz w:val="24"/>
          <w:szCs w:val="24"/>
        </w:rPr>
        <w:t xml:space="preserve"> </w:t>
      </w:r>
    </w:p>
    <w:p w14:paraId="5EAB6B1C"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 well-developed digital infrastructure in these Chinese museums made this transition easier than may be found in other organisations worldwide but is nevertheless an excellent example of the potential for online interaction in the digital age. The learning from the Chinese museums case studies is that to ensure sustained, successful online activity, digitalisation of services must be integrated into working practice, and that the retail offer should be secondary to the delivery of a varied and interactive online programme to deliver an excellent visitor experience (Jin and Min, 2021, pp. 40-41). </w:t>
      </w:r>
    </w:p>
    <w:p w14:paraId="7138F93F"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Additional ideas for funding online activity includes the potential for monetising digital content. A search for academic literature on this phenomenon in a cultural setting has been fruitless but examples of innovation in this field during the Covid-19 pandemic can be found online. An article from the American Alliance of Museums (2020) illustrates how finding creative ways to link collections with audiences can be an effective revenue generator. Examples include the National Steinbeck Center’s digital membership, where an annual fee will unlock members-only digital content (National Steinbeck Center, 2022); and Tracy Aviary’s “pay-what-you-want” digital content pricing scheme (Tracy Aviary, 2020), that operates much like the Guardian </w:t>
      </w:r>
      <w:r w:rsidRPr="00653124">
        <w:rPr>
          <w:rFonts w:ascii="Arial" w:eastAsiaTheme="minorHAnsi" w:hAnsi="Arial" w:cs="Arial"/>
          <w:color w:val="000000" w:themeColor="text1"/>
          <w:sz w:val="24"/>
          <w:szCs w:val="24"/>
        </w:rPr>
        <w:lastRenderedPageBreak/>
        <w:t xml:space="preserve">Newspaper’s online micro-donation model which encourages rather than enforces payment (Museums Next, 2020).   </w:t>
      </w:r>
    </w:p>
    <w:p w14:paraId="31BECB31" w14:textId="77777777" w:rsidR="00653124" w:rsidRPr="00653124" w:rsidRDefault="00653124" w:rsidP="00653124">
      <w:pPr>
        <w:spacing w:after="160" w:line="480" w:lineRule="auto"/>
        <w:rPr>
          <w:rFonts w:ascii="Arial" w:eastAsiaTheme="minorHAnsi" w:hAnsi="Arial" w:cs="Arial"/>
          <w:sz w:val="24"/>
          <w:szCs w:val="24"/>
        </w:rPr>
      </w:pPr>
    </w:p>
    <w:p w14:paraId="7F85E074" w14:textId="2C2EB6DE" w:rsidR="00653124" w:rsidRDefault="00653124" w:rsidP="00653124">
      <w:pPr>
        <w:pStyle w:val="Heading2"/>
        <w:rPr>
          <w:rFonts w:ascii="Arial" w:eastAsiaTheme="minorHAnsi" w:hAnsi="Arial" w:cs="Arial"/>
          <w:sz w:val="24"/>
          <w:szCs w:val="24"/>
        </w:rPr>
      </w:pPr>
      <w:bookmarkStart w:id="18" w:name="_Toc123562303"/>
      <w:r w:rsidRPr="00653124">
        <w:rPr>
          <w:rFonts w:ascii="Arial" w:eastAsiaTheme="minorHAnsi" w:hAnsi="Arial" w:cs="Arial"/>
          <w:sz w:val="24"/>
          <w:szCs w:val="24"/>
        </w:rPr>
        <w:t>Crowdfunding</w:t>
      </w:r>
      <w:bookmarkEnd w:id="18"/>
    </w:p>
    <w:p w14:paraId="172A348C" w14:textId="77777777" w:rsidR="00653124" w:rsidRPr="00653124" w:rsidRDefault="00653124" w:rsidP="00653124"/>
    <w:p w14:paraId="4E00B12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National cultural organisations at home and overseas are actively promoting crowdfunding as a viable source of income generation (National Archives, 2022), and examples of nationwide crowdfunding initiatives are evident, both through partnerships with established crowdfunding platforms (Museums Association, 2022) and the setting up of crowdfunding websites specifically to promote cultural services (Art Fund, 2022; EveryLibrary Institute, 2019). EveryLibrary Institute’s Fund Libraries website hosts a range of library- and literacy-related campaigns (Fund Libraries, 2022) with varying degrees of success, in some contrast to the sleeker Art Happens crowdfunding website (Art Fund, 2022), where many hugely successful campaigns are evident. Ryu &amp; Suh (2021) argue that choice of crowdfunding platform is crucial to the success of a project, and that one must also consider the donor-platform relationship as well at the donor’s relationship to the cause.</w:t>
      </w:r>
    </w:p>
    <w:p w14:paraId="0B9A3969"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The crowdfunding approach is also critical, with donation- and reward-based crowdfunding both popular approaches in the cultural sector. An exploration of Crowdfunder provides successful examples of both (although more weighted to reward-based offerings): the Fashion and Textile Museum’s reward-based drive for post-Covid financial support offered a range of bespoke products and experiences to donors, depending on their level of contribution (Crowdfunder, 2022). Alternatively, a donor-based approach can be seen in National Museum Liverpool’s plea for similar funding, where the approach was to promote the value of what a set donation could </w:t>
      </w:r>
      <w:r w:rsidRPr="00653124">
        <w:rPr>
          <w:rFonts w:ascii="Arial" w:eastAsiaTheme="minorHAnsi" w:hAnsi="Arial" w:cs="Arial"/>
          <w:sz w:val="24"/>
          <w:szCs w:val="24"/>
        </w:rPr>
        <w:lastRenderedPageBreak/>
        <w:t>mean to a visitor rather than a donor (Crowdfunder, 2022 (2??)). There are myriad examples of both types on this platform and elsewhere, suggesting that crowdfunding in the cultural sector is becoming embedded as an effective fundraising solution for cultural organisations.  However, it is important to note that evidence of library crowdfunding is scanter, illustrating perhaps that museums can capitalise on their collections to offer more appealing rewards for donors.</w:t>
      </w:r>
    </w:p>
    <w:p w14:paraId="369922B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Whilst individual crowdfunding campaigns are finite, the opportunity to undertake further campaigns exists. Moreover, the benefits of value creation, co-creation and innovation that can emerge from crowdfunding campaigns (Mollick, 2016) has the potential to extend audience reach and customer engagement, thereby creating new opportunity for future initiatives. Research also points to the advantage of GLAM (Galleries, Libraries, Archives and Museums) organisations as due to their credibility and strong relationships with communities, and that success depends on running crowdfunding projects that are meaningful (Riley-Huff et al., 2019) and encourage empathy, particularly in the charitable sector (Liu, Suh, &amp; Wagner, 2018). Further research stresses the importance of community engagement to ensure success, cultivating donor support through high levels of engagement and transparency throughout the campaign process (Donelli, 2018).</w:t>
      </w:r>
    </w:p>
    <w:p w14:paraId="2BD6DCAB" w14:textId="492EA6CA" w:rsidR="00653124" w:rsidRDefault="00653124" w:rsidP="00653124">
      <w:pPr>
        <w:pStyle w:val="Heading2"/>
        <w:rPr>
          <w:rFonts w:ascii="Arial" w:eastAsiaTheme="minorHAnsi" w:hAnsi="Arial" w:cs="Arial"/>
          <w:sz w:val="24"/>
          <w:szCs w:val="24"/>
        </w:rPr>
      </w:pPr>
      <w:bookmarkStart w:id="19" w:name="_Toc123562304"/>
      <w:r w:rsidRPr="00653124">
        <w:rPr>
          <w:rFonts w:ascii="Arial" w:eastAsiaTheme="minorHAnsi" w:hAnsi="Arial" w:cs="Arial"/>
          <w:sz w:val="24"/>
          <w:szCs w:val="24"/>
        </w:rPr>
        <w:t>Strategy</w:t>
      </w:r>
      <w:bookmarkEnd w:id="19"/>
    </w:p>
    <w:p w14:paraId="1DC17B9C" w14:textId="77777777" w:rsidR="00653124" w:rsidRPr="00653124" w:rsidRDefault="00653124" w:rsidP="00653124"/>
    <w:p w14:paraId="6CDC5972" w14:textId="5F5A6D4C"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Drawing from the research above, </w:t>
      </w:r>
      <w:r w:rsidR="00FC1316" w:rsidRPr="00653124">
        <w:rPr>
          <w:rFonts w:ascii="Arial" w:eastAsiaTheme="minorHAnsi" w:hAnsi="Arial" w:cs="Arial"/>
          <w:color w:val="000000" w:themeColor="text1"/>
          <w:sz w:val="24"/>
          <w:szCs w:val="24"/>
        </w:rPr>
        <w:t>several</w:t>
      </w:r>
      <w:r w:rsidRPr="00653124">
        <w:rPr>
          <w:rFonts w:ascii="Arial" w:eastAsiaTheme="minorHAnsi" w:hAnsi="Arial" w:cs="Arial"/>
          <w:color w:val="000000" w:themeColor="text1"/>
          <w:sz w:val="24"/>
          <w:szCs w:val="24"/>
        </w:rPr>
        <w:t xml:space="preserve"> strategic considerations have emerged. These centre primarily around workforce capacity and capability; the benefits of effective collaboration; and the need to balance commercial gain with the purpose of the organisation.</w:t>
      </w:r>
    </w:p>
    <w:p w14:paraId="5C6055A3"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lastRenderedPageBreak/>
        <w:t>A 2012 review of income generation activity in museums in the north of England highlighted several barriers to staff fundraising, namely the lack of time and a lack of expertise, followed by inappropriate space for events or shop sales, a low footfall and a workforce culture which naturally prioritises public service over revenue generation (Woodward, 2012, pp. 22-23). Similar arguments can be found in the research (TBR, 2015, p. 26; Museums Association, 2020, pp. 20-21).    Emphasising such barriers can help determine future strategy: issues of staff capacity and inadequate fundraising skills are a recurrent theme throughout the literature (Museums Association, 2022, p.21) and both should be addressed when developing strategic direction in fundraising. The Museums, Libraries and Archives Council suggests that organisations could harness the capabilities of a volunteer workforce to help deliver enterprising initiatives (MLA, 2011, p. 31). However, volunteer skills development may prove challenging, as could volunteer management where teams of staff are small.</w:t>
      </w:r>
    </w:p>
    <w:p w14:paraId="76C2255A" w14:textId="499204FC"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For government-run institutions that have the means to transform, incorporation of income development activity into all aspects of day-to-day operations can be the answer. In the late 20th century, Fairfax County Library, Virginia, took the brave decision to rethink their development strategies and embrace revenue generation as part of daily working practice (Kernochon, 2016, p. 134); </w:t>
      </w:r>
      <w:r w:rsidR="00FA79DE">
        <w:rPr>
          <w:rFonts w:ascii="Arial" w:eastAsiaTheme="minorHAnsi" w:hAnsi="Arial" w:cs="Arial"/>
          <w:color w:val="000000" w:themeColor="text1"/>
          <w:sz w:val="24"/>
          <w:szCs w:val="24"/>
        </w:rPr>
        <w:t xml:space="preserve">this supports the argument from Peet (2016), that a </w:t>
      </w:r>
      <w:r w:rsidRPr="00653124">
        <w:rPr>
          <w:rFonts w:ascii="Arial" w:eastAsiaTheme="minorHAnsi" w:hAnsi="Arial" w:cs="Arial"/>
          <w:color w:val="000000" w:themeColor="text1"/>
          <w:sz w:val="24"/>
          <w:szCs w:val="24"/>
        </w:rPr>
        <w:t xml:space="preserve">holistic approach </w:t>
      </w:r>
      <w:r w:rsidR="00AC7A21">
        <w:rPr>
          <w:rFonts w:ascii="Arial" w:eastAsiaTheme="minorHAnsi" w:hAnsi="Arial" w:cs="Arial"/>
          <w:color w:val="000000" w:themeColor="text1"/>
          <w:sz w:val="24"/>
          <w:szCs w:val="24"/>
        </w:rPr>
        <w:t>to fundraising strategy is necessary,</w:t>
      </w:r>
      <w:r w:rsidR="0018080A">
        <w:rPr>
          <w:rFonts w:ascii="Arial" w:eastAsiaTheme="minorHAnsi" w:hAnsi="Arial" w:cs="Arial"/>
          <w:color w:val="000000" w:themeColor="text1"/>
          <w:sz w:val="24"/>
          <w:szCs w:val="24"/>
        </w:rPr>
        <w:t xml:space="preserve"> and</w:t>
      </w:r>
      <w:r w:rsidR="00AC7A21">
        <w:rPr>
          <w:rFonts w:ascii="Arial" w:eastAsiaTheme="minorHAnsi" w:hAnsi="Arial" w:cs="Arial"/>
          <w:color w:val="000000" w:themeColor="text1"/>
          <w:sz w:val="24"/>
          <w:szCs w:val="24"/>
        </w:rPr>
        <w:t xml:space="preserve"> </w:t>
      </w:r>
      <w:r w:rsidR="00335669">
        <w:rPr>
          <w:rFonts w:ascii="Arial" w:eastAsiaTheme="minorHAnsi" w:hAnsi="Arial" w:cs="Arial"/>
          <w:color w:val="000000" w:themeColor="text1"/>
          <w:sz w:val="24"/>
          <w:szCs w:val="24"/>
        </w:rPr>
        <w:t>to achieve</w:t>
      </w:r>
      <w:r w:rsidRPr="00653124">
        <w:rPr>
          <w:rFonts w:ascii="Arial" w:eastAsiaTheme="minorHAnsi" w:hAnsi="Arial" w:cs="Arial"/>
          <w:color w:val="000000" w:themeColor="text1"/>
          <w:sz w:val="24"/>
          <w:szCs w:val="24"/>
        </w:rPr>
        <w:t xml:space="preserve"> financial success </w:t>
      </w:r>
      <w:r w:rsidR="002D59B9">
        <w:rPr>
          <w:rFonts w:ascii="Arial" w:eastAsiaTheme="minorHAnsi" w:hAnsi="Arial" w:cs="Arial"/>
          <w:color w:val="000000" w:themeColor="text1"/>
          <w:sz w:val="24"/>
          <w:szCs w:val="24"/>
        </w:rPr>
        <w:t xml:space="preserve">a </w:t>
      </w:r>
      <w:r w:rsidR="00335669">
        <w:rPr>
          <w:rFonts w:ascii="Arial" w:eastAsiaTheme="minorHAnsi" w:hAnsi="Arial" w:cs="Arial"/>
          <w:color w:val="000000" w:themeColor="text1"/>
          <w:sz w:val="24"/>
          <w:szCs w:val="24"/>
        </w:rPr>
        <w:t>‘buy-in’</w:t>
      </w:r>
      <w:r w:rsidRPr="00653124">
        <w:rPr>
          <w:rFonts w:ascii="Arial" w:eastAsiaTheme="minorHAnsi" w:hAnsi="Arial" w:cs="Arial"/>
          <w:color w:val="000000" w:themeColor="text1"/>
          <w:sz w:val="24"/>
          <w:szCs w:val="24"/>
        </w:rPr>
        <w:t xml:space="preserve"> </w:t>
      </w:r>
      <w:r w:rsidR="002D59B9">
        <w:rPr>
          <w:rFonts w:ascii="Arial" w:eastAsiaTheme="minorHAnsi" w:hAnsi="Arial" w:cs="Arial"/>
          <w:color w:val="000000" w:themeColor="text1"/>
          <w:sz w:val="24"/>
          <w:szCs w:val="24"/>
        </w:rPr>
        <w:t xml:space="preserve">from patrons is essential. </w:t>
      </w:r>
    </w:p>
    <w:p w14:paraId="111FF76B" w14:textId="7FD766EB" w:rsidR="00653124" w:rsidRPr="00653124" w:rsidRDefault="00653124" w:rsidP="00653124">
      <w:pPr>
        <w:spacing w:after="160" w:line="480" w:lineRule="auto"/>
        <w:rPr>
          <w:rFonts w:ascii="Arial" w:eastAsiaTheme="minorHAnsi" w:hAnsi="Arial" w:cs="Arial"/>
          <w:color w:val="00B050"/>
          <w:sz w:val="24"/>
          <w:szCs w:val="24"/>
        </w:rPr>
      </w:pPr>
      <w:r w:rsidRPr="00653124">
        <w:rPr>
          <w:rFonts w:ascii="Arial" w:eastAsiaTheme="minorHAnsi" w:hAnsi="Arial" w:cs="Arial"/>
          <w:color w:val="000000" w:themeColor="text1"/>
          <w:sz w:val="24"/>
          <w:szCs w:val="24"/>
        </w:rPr>
        <w:t>A review of the literature indicates that a key success factor in sustainable cultural services is effective leadership and an organisational culture where employees advocate for, and raise the profile of, the services they represent. Evidence from Arts Council England (TBR, 2015, pp. 9-10, p. 26) suggests that forward-looking, risk-</w:t>
      </w:r>
      <w:r w:rsidRPr="00653124">
        <w:rPr>
          <w:rFonts w:ascii="Arial" w:eastAsiaTheme="minorHAnsi" w:hAnsi="Arial" w:cs="Arial"/>
          <w:color w:val="000000" w:themeColor="text1"/>
          <w:sz w:val="24"/>
          <w:szCs w:val="24"/>
        </w:rPr>
        <w:lastRenderedPageBreak/>
        <w:t xml:space="preserve">taking leaders are critical to the success of enterprising museums; as well as development staff skills and behaviour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build an agile, innovative and entrepreneurial workforce that is adaptive to a changing environment. Guidance from the Association of Independent Museums dictates that a museum fundraising campaign should be bought into by the entire organisation, and it cites effective communication, clear organisational aims, a trained workforce, and financial systems as essential to success (AIM, 2013, PP. 4-7).  Encouraging a culture of innovation using staff incentives and allowing experimentation in a fail-safe environment is recommended (MLA, 2011, p. 22). </w:t>
      </w:r>
    </w:p>
    <w:p w14:paraId="126371F5" w14:textId="77777777" w:rsidR="00653124" w:rsidRPr="00653124" w:rsidRDefault="00653124" w:rsidP="00653124">
      <w:pPr>
        <w:spacing w:after="160" w:line="480" w:lineRule="auto"/>
        <w:rPr>
          <w:rFonts w:ascii="Arial" w:eastAsiaTheme="minorHAnsi" w:hAnsi="Arial" w:cs="Arial"/>
          <w:color w:val="000000" w:themeColor="text1"/>
          <w:sz w:val="24"/>
          <w:szCs w:val="24"/>
        </w:rPr>
      </w:pPr>
    </w:p>
    <w:p w14:paraId="0C176C52"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Workforce development strategy must consider the post-Covid landscape. A survey undertaken by Library Journal (Gerber, 2021, pp.2-3) points to a shift in fundraising methods during the Covid-19 pandemic, with grant fundraising surpassing other regular fundraising methods that were suspended at the time. Staff priorities were refocused to grantsmanship activities and the development of philanthropic skills, and whether there will be a return to “normal” remains to be seen.</w:t>
      </w:r>
    </w:p>
    <w:p w14:paraId="79A32E9F" w14:textId="258E3AF2" w:rsidR="00653124" w:rsidRPr="00653124" w:rsidRDefault="00653124" w:rsidP="00653124">
      <w:pPr>
        <w:spacing w:after="160" w:line="480" w:lineRule="auto"/>
        <w:rPr>
          <w:rFonts w:ascii="Arial" w:eastAsiaTheme="minorHAnsi" w:hAnsi="Arial" w:cs="Arial"/>
          <w:b/>
          <w:bCs/>
          <w:color w:val="000000" w:themeColor="text1"/>
          <w:sz w:val="24"/>
          <w:szCs w:val="24"/>
        </w:rPr>
      </w:pPr>
      <w:r w:rsidRPr="00653124">
        <w:rPr>
          <w:rFonts w:ascii="Arial" w:eastAsiaTheme="minorHAnsi" w:hAnsi="Arial" w:cs="Arial"/>
          <w:color w:val="000000" w:themeColor="text1"/>
          <w:sz w:val="24"/>
          <w:szCs w:val="24"/>
        </w:rPr>
        <w:t xml:space="preserve">An MLA report on museum sustainability highlights the need for museums to develop an entrepreneurial staff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ensure economic sustainability, citing the opportunity presented to museums to engage a captive audience of visitors with the museum brand. The report suggests that staff should be capitalising on exploitation of the museum’s assets, building a retail offer that offers products promoting the museum’s collections, and presents examples of museum collaborations with well-known retailers and instances of “brand collusions” (MLA, 2011, p. 24). Further evidence of entrepreneurial practice provided includes examples of joint ventures, where </w:t>
      </w:r>
      <w:r w:rsidRPr="00653124">
        <w:rPr>
          <w:rFonts w:ascii="Arial" w:eastAsiaTheme="minorHAnsi" w:hAnsi="Arial" w:cs="Arial"/>
          <w:color w:val="000000" w:themeColor="text1"/>
          <w:sz w:val="24"/>
          <w:szCs w:val="24"/>
        </w:rPr>
        <w:lastRenderedPageBreak/>
        <w:t>museums have sub-contracted well-known businesses to deliver services on their behalf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xml:space="preserve">). </w:t>
      </w:r>
    </w:p>
    <w:p w14:paraId="044089BE" w14:textId="77777777" w:rsidR="00653124" w:rsidRPr="00653124" w:rsidRDefault="00653124" w:rsidP="00653124">
      <w:pPr>
        <w:spacing w:after="160" w:line="480" w:lineRule="auto"/>
        <w:rPr>
          <w:rFonts w:ascii="Arial" w:eastAsiaTheme="minorHAnsi" w:hAnsi="Arial" w:cs="Arial"/>
          <w:color w:val="00B050"/>
          <w:sz w:val="24"/>
          <w:szCs w:val="24"/>
        </w:rPr>
      </w:pPr>
    </w:p>
    <w:p w14:paraId="3AF0FACA" w14:textId="3A8567D2" w:rsidR="00653124" w:rsidRDefault="00653124" w:rsidP="00653124">
      <w:pPr>
        <w:pStyle w:val="Heading2"/>
        <w:rPr>
          <w:rFonts w:ascii="Arial" w:eastAsiaTheme="minorHAnsi" w:hAnsi="Arial" w:cs="Arial"/>
          <w:sz w:val="24"/>
          <w:szCs w:val="24"/>
        </w:rPr>
      </w:pPr>
      <w:bookmarkStart w:id="20" w:name="_Toc123562305"/>
      <w:r w:rsidRPr="00653124">
        <w:rPr>
          <w:rFonts w:ascii="Arial" w:eastAsiaTheme="minorHAnsi" w:hAnsi="Arial" w:cs="Arial"/>
          <w:sz w:val="24"/>
          <w:szCs w:val="24"/>
        </w:rPr>
        <w:t>Sustainability</w:t>
      </w:r>
      <w:bookmarkEnd w:id="20"/>
    </w:p>
    <w:p w14:paraId="2AECBBA2" w14:textId="77777777" w:rsidR="00653124" w:rsidRPr="00653124" w:rsidRDefault="00653124" w:rsidP="00653124"/>
    <w:p w14:paraId="49D1FD23" w14:textId="5C78197F" w:rsid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Income generation in public sector cultural services is still relatively new, and only time will tell how successful these fundraising models will be in the longer term. A report undertaken by TBR (2015, p. 7) discusses the ‘resilience’ of museums as defined in social, economic</w:t>
      </w:r>
      <w:r w:rsidR="00FC1316">
        <w:rPr>
          <w:rFonts w:ascii="Arial" w:eastAsiaTheme="minorHAnsi" w:hAnsi="Arial" w:cs="Arial"/>
          <w:color w:val="000000" w:themeColor="text1"/>
          <w:sz w:val="24"/>
          <w:szCs w:val="24"/>
        </w:rPr>
        <w:t>,</w:t>
      </w:r>
      <w:r w:rsidRPr="00653124">
        <w:rPr>
          <w:rFonts w:ascii="Arial" w:eastAsiaTheme="minorHAnsi" w:hAnsi="Arial" w:cs="Arial"/>
          <w:color w:val="000000" w:themeColor="text1"/>
          <w:sz w:val="24"/>
          <w:szCs w:val="24"/>
        </w:rPr>
        <w:t xml:space="preserve"> and environmental contexts and posits that resilience and sustainability must be viewed as an ongoing process, suggesting that a success is dependent on an organisation’s ability and willingness to embrace change and innovative practice. </w:t>
      </w:r>
    </w:p>
    <w:p w14:paraId="04CEF19E" w14:textId="443FCFD2" w:rsidR="00B75C17" w:rsidRPr="00653124" w:rsidRDefault="00B75C17" w:rsidP="00653124">
      <w:pPr>
        <w:spacing w:after="160" w:line="480" w:lineRule="auto"/>
        <w:rPr>
          <w:rFonts w:ascii="Arial" w:eastAsiaTheme="minorHAnsi" w:hAnsi="Arial" w:cs="Arial"/>
          <w:color w:val="000000" w:themeColor="text1"/>
          <w:sz w:val="24"/>
          <w:szCs w:val="24"/>
        </w:rPr>
      </w:pPr>
      <w:r w:rsidRPr="00B75C17">
        <w:rPr>
          <w:rFonts w:ascii="Arial" w:eastAsiaTheme="minorHAnsi" w:hAnsi="Arial" w:cs="Arial"/>
          <w:color w:val="000000" w:themeColor="text1"/>
          <w:sz w:val="24"/>
          <w:szCs w:val="24"/>
        </w:rPr>
        <w:t>The rurality of StoriPowys warranted a search for examples of sustainable fundraising practice in similar, rural cultural organisations, but evidence is scarce. Looking close to home at Scottish libraries and museums, activity mirrors that taking place elsewhere, where institutions are grappling with new technologies and issues of workforce capacity and capability. A report on the state of heritage funding in Scotland (Arts and Business Scotland, 2018) highlights these challenges, and recommends a ‘Golden Tripod’ approach to fundraising, to generate income from public, private and earned income sources, with a focus on the development of entrepreneurial activity.</w:t>
      </w:r>
    </w:p>
    <w:p w14:paraId="17E8F4D2"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The ability to generate earned revenue within government-run cultural services is somewhat dependent on local authority support and ‘buy-in’. As councils have become increasingly dependent on finding new ways to generate income, research suggests that learning in the field has led to a more considered approach to raising </w:t>
      </w:r>
      <w:r w:rsidRPr="00653124">
        <w:rPr>
          <w:rFonts w:ascii="Arial" w:eastAsiaTheme="minorHAnsi" w:hAnsi="Arial" w:cs="Arial"/>
          <w:color w:val="000000" w:themeColor="text1"/>
          <w:sz w:val="24"/>
          <w:szCs w:val="24"/>
        </w:rPr>
        <w:lastRenderedPageBreak/>
        <w:t>funds. A report on commercial enterprise in local government (Mills et al., 2021) argues that councils must attune their entrepreneurial activity to local priorities and public value creation. It outlines a Commercial Maturity Model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pp. 8-10) approach, focusing on the alignment of commercial and corporate strategy; development of relevant business skills and better use of commercial data; and cultural change within the organisation to instil an ethos of enterprise that aligns with its core values.  A case study of Wealdon District Council (</w:t>
      </w:r>
      <w:r w:rsidRPr="00653124">
        <w:rPr>
          <w:rFonts w:ascii="Arial" w:eastAsiaTheme="minorHAnsi" w:hAnsi="Arial" w:cs="Arial"/>
          <w:i/>
          <w:iCs/>
          <w:color w:val="000000" w:themeColor="text1"/>
          <w:sz w:val="24"/>
          <w:szCs w:val="24"/>
        </w:rPr>
        <w:t>Ibid</w:t>
      </w:r>
      <w:r w:rsidRPr="00653124">
        <w:rPr>
          <w:rFonts w:ascii="Arial" w:eastAsiaTheme="minorHAnsi" w:hAnsi="Arial" w:cs="Arial"/>
          <w:color w:val="000000" w:themeColor="text1"/>
          <w:sz w:val="24"/>
          <w:szCs w:val="24"/>
        </w:rPr>
        <w:t xml:space="preserve">, p. 28) illustrates that by ensuring commercial projects are closely bound to the delivery of public value for communities, buy-in from locals can bolster the success of these projects. So too with the development trust model, where the ongoing financial success of these trusts is inextricably tied to the work that councils and individuals do </w:t>
      </w:r>
      <w:r w:rsidRPr="00653124">
        <w:rPr>
          <w:rFonts w:ascii="Arial" w:eastAsiaTheme="minorHAnsi" w:hAnsi="Arial" w:cs="Arial"/>
          <w:i/>
          <w:iCs/>
          <w:color w:val="000000" w:themeColor="text1"/>
          <w:sz w:val="24"/>
          <w:szCs w:val="24"/>
        </w:rPr>
        <w:t>with</w:t>
      </w:r>
      <w:r w:rsidRPr="00653124">
        <w:rPr>
          <w:rFonts w:ascii="Arial" w:eastAsiaTheme="minorHAnsi" w:hAnsi="Arial" w:cs="Arial"/>
          <w:color w:val="000000" w:themeColor="text1"/>
          <w:sz w:val="24"/>
          <w:szCs w:val="24"/>
        </w:rPr>
        <w:t xml:space="preserve"> and </w:t>
      </w:r>
      <w:r w:rsidRPr="00653124">
        <w:rPr>
          <w:rFonts w:ascii="Arial" w:eastAsiaTheme="minorHAnsi" w:hAnsi="Arial" w:cs="Arial"/>
          <w:i/>
          <w:iCs/>
          <w:color w:val="000000" w:themeColor="text1"/>
          <w:sz w:val="24"/>
          <w:szCs w:val="24"/>
        </w:rPr>
        <w:t xml:space="preserve">for </w:t>
      </w:r>
      <w:r w:rsidRPr="00653124">
        <w:rPr>
          <w:rFonts w:ascii="Arial" w:eastAsiaTheme="minorHAnsi" w:hAnsi="Arial" w:cs="Arial"/>
          <w:color w:val="000000" w:themeColor="text1"/>
          <w:sz w:val="24"/>
          <w:szCs w:val="24"/>
        </w:rPr>
        <w:t>their communities.</w:t>
      </w:r>
    </w:p>
    <w:p w14:paraId="561C49F4" w14:textId="77777777" w:rsidR="00653124" w:rsidRPr="00653124" w:rsidRDefault="00653124" w:rsidP="00653124">
      <w:pPr>
        <w:spacing w:after="160" w:line="480" w:lineRule="auto"/>
        <w:rPr>
          <w:rFonts w:ascii="Arial" w:eastAsiaTheme="minorHAnsi" w:hAnsi="Arial" w:cs="Arial"/>
          <w:color w:val="00B050"/>
          <w:sz w:val="24"/>
          <w:szCs w:val="24"/>
        </w:rPr>
      </w:pPr>
    </w:p>
    <w:p w14:paraId="164DF0E8" w14:textId="2781B45A" w:rsidR="00653124" w:rsidRDefault="00653124" w:rsidP="00653124">
      <w:pPr>
        <w:pStyle w:val="Heading2"/>
        <w:rPr>
          <w:rFonts w:ascii="Arial" w:eastAsiaTheme="minorHAnsi" w:hAnsi="Arial" w:cs="Arial"/>
          <w:sz w:val="24"/>
          <w:szCs w:val="24"/>
        </w:rPr>
      </w:pPr>
      <w:bookmarkStart w:id="21" w:name="_Toc123562306"/>
      <w:r w:rsidRPr="00653124">
        <w:rPr>
          <w:rFonts w:ascii="Arial" w:eastAsiaTheme="minorHAnsi" w:hAnsi="Arial" w:cs="Arial"/>
          <w:sz w:val="24"/>
          <w:szCs w:val="24"/>
        </w:rPr>
        <w:t>Conclusion</w:t>
      </w:r>
      <w:bookmarkEnd w:id="21"/>
    </w:p>
    <w:p w14:paraId="35F09B37" w14:textId="77777777" w:rsidR="00653124" w:rsidRPr="00653124" w:rsidRDefault="00653124" w:rsidP="00653124"/>
    <w:p w14:paraId="471FB0E6"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literature review has considered a range of academic and professional material, as well as online news articles and websites of cultural organisations globally. Academic literature on income generation activity within the sector is scarce, and what does exist is largely outdated. Evidence of success stories often comes in the form of news articles and case studies, which focus on the launch of a new initiative, rather than addressing its longer-term outcomes. An academic exploration of the sustainability of these initiatives is needed, identifying not only the factors that make a project successful, but also the failures and lessons learned. Qualitative data from staff and leaders would also be useful, as would quantifiable financial data from organisations. </w:t>
      </w:r>
    </w:p>
    <w:p w14:paraId="25D23F5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lastRenderedPageBreak/>
        <w:t xml:space="preserve">The impact of digital disruption on income generation is relatively new phenomenon, and it is hoped that as innovation and experimentation continue to emerge, so too will the research. The full impact of the Covid-19 pandemic on donor and visitor engagement has yet to be determined, and future analysis of the post-pandemic visitor experience, and fundraising landscape, will be welcome. </w:t>
      </w:r>
    </w:p>
    <w:p w14:paraId="0DD5F4DC" w14:textId="43021A66"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It is hoped that this new research will contribute to building the overall picture of income generation activity in library, museum, and archive services, and how initiatives may be successfully implemented in rural, local government setting. It is also the intention that this investigation will contribute to knowledge-building of the appetite for donor support and consumer participation in the post-pandemic environment.</w:t>
      </w:r>
    </w:p>
    <w:p w14:paraId="3CC21925" w14:textId="7D6FD734" w:rsidR="00E01AE1" w:rsidRDefault="00E01AE1" w:rsidP="000138B8">
      <w:pPr>
        <w:pStyle w:val="Heading1"/>
        <w:rPr>
          <w:rFonts w:ascii="Arial" w:eastAsiaTheme="minorHAnsi" w:hAnsi="Arial" w:cs="Arial"/>
          <w:sz w:val="24"/>
          <w:szCs w:val="24"/>
        </w:rPr>
      </w:pPr>
      <w:bookmarkStart w:id="22" w:name="_Toc123562307"/>
      <w:r w:rsidRPr="00E01AE1">
        <w:rPr>
          <w:rFonts w:ascii="Arial" w:eastAsiaTheme="minorHAnsi" w:hAnsi="Arial" w:cs="Arial"/>
          <w:sz w:val="24"/>
          <w:szCs w:val="24"/>
        </w:rPr>
        <w:t>Research Methodology</w:t>
      </w:r>
      <w:bookmarkEnd w:id="22"/>
    </w:p>
    <w:p w14:paraId="469FE6D8" w14:textId="77777777" w:rsidR="000138B8" w:rsidRPr="00E01AE1" w:rsidRDefault="000138B8" w:rsidP="00E01AE1">
      <w:pPr>
        <w:spacing w:after="160" w:line="259" w:lineRule="auto"/>
        <w:contextualSpacing/>
        <w:rPr>
          <w:rFonts w:ascii="Arial" w:eastAsiaTheme="minorHAnsi" w:hAnsi="Arial" w:cs="Arial"/>
          <w:sz w:val="24"/>
          <w:szCs w:val="24"/>
        </w:rPr>
      </w:pPr>
    </w:p>
    <w:p w14:paraId="7D4B770E"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following chapter covers the research methodology adopted: the strategic reasoning for methods employed (Crotty, 1998, pp. 1-3) and the path to finding answers to research questions (Kumar, 2014) to achieve the primary research aims of this study. To recap, the aims and objectives of this study were as follows:   </w:t>
      </w:r>
    </w:p>
    <w:p w14:paraId="5323536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Aim: </w:t>
      </w:r>
      <w:r w:rsidRPr="00E01AE1">
        <w:rPr>
          <w:rFonts w:ascii="Arial" w:eastAsiaTheme="minorHAnsi" w:hAnsi="Arial" w:cs="Arial"/>
          <w:sz w:val="24"/>
          <w:szCs w:val="24"/>
        </w:rPr>
        <w:br/>
        <w:t>To investigate how income generating activities in the cultural sector can be used to develop an income generation strategy for Powys County Council’s cultural services</w:t>
      </w:r>
    </w:p>
    <w:p w14:paraId="0D42EE2F"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Research objectives:</w:t>
      </w:r>
    </w:p>
    <w:p w14:paraId="5BB84628"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To critically review the relevant literature surrounding income generation activities in cultural and non-profit sectors globally</w:t>
      </w:r>
    </w:p>
    <w:p w14:paraId="47685881"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lastRenderedPageBreak/>
        <w:t xml:space="preserve"> To undertake user surveys and conduct semi-structured interviews with consumers to determine customer opinion on the potential implementation of income generating activities proven successful worldwide</w:t>
      </w:r>
    </w:p>
    <w:p w14:paraId="09181CE4"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To develop an income generation strategy for StoriPowys and roadmap for sustainability</w:t>
      </w:r>
      <w:r w:rsidRPr="00E01AE1">
        <w:rPr>
          <w:rFonts w:ascii="Arial" w:eastAsiaTheme="minorHAnsi" w:hAnsi="Arial" w:cs="Arial"/>
          <w:sz w:val="24"/>
          <w:szCs w:val="24"/>
        </w:rPr>
        <w:br/>
      </w:r>
      <w:r w:rsidRPr="00E01AE1">
        <w:rPr>
          <w:rFonts w:ascii="Arial" w:eastAsiaTheme="minorHAnsi" w:hAnsi="Arial" w:cs="Arial"/>
          <w:color w:val="000000" w:themeColor="text1"/>
          <w:sz w:val="24"/>
          <w:szCs w:val="24"/>
        </w:rPr>
        <w:tab/>
      </w:r>
    </w:p>
    <w:p w14:paraId="7D190A0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Chosen methodology relates to the second objective: to obtain qualitative data in the form of consumer interview and survey feedback. Primary data was collated through semi-structured interviews with library customers and museum visitors of StoriPowys facilities across the county. Secondary data sources include reviews of academic literature, websites, and databases of statutory and not-for-profit organisations.  </w:t>
      </w:r>
    </w:p>
    <w:p w14:paraId="44A1A48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systematic approach to research methodology was undertaken using Saunders’ Research Onion model (Saunders et al, 2019, p. 130), to determine appropriate research strategy. It highlights the complex layers of academic research and the epistemological, ontological, and practical approaches that must be considered in the design process. A rationale for the chosen approaches is outlined below, followed by an overview of the sampling process and a reflection on ethical and logistical considerations.  </w:t>
      </w:r>
    </w:p>
    <w:p w14:paraId="083192B5" w14:textId="77777777" w:rsidR="00E01AE1" w:rsidRPr="00E01AE1" w:rsidRDefault="00E01AE1" w:rsidP="00CB7166">
      <w:pPr>
        <w:spacing w:after="160" w:line="480" w:lineRule="auto"/>
        <w:ind w:left="360"/>
        <w:rPr>
          <w:rFonts w:ascii="Arial" w:eastAsiaTheme="minorHAnsi" w:hAnsi="Arial" w:cs="Arial"/>
          <w:sz w:val="24"/>
          <w:szCs w:val="24"/>
        </w:rPr>
      </w:pPr>
    </w:p>
    <w:p w14:paraId="70D5DE0D" w14:textId="77777777" w:rsidR="00E01AE1" w:rsidRPr="00E01AE1" w:rsidRDefault="00E01AE1" w:rsidP="00CB7166">
      <w:pPr>
        <w:spacing w:after="160" w:line="480" w:lineRule="auto"/>
        <w:ind w:left="360"/>
        <w:rPr>
          <w:rFonts w:ascii="Arial" w:eastAsiaTheme="minorHAnsi" w:hAnsi="Arial" w:cs="Arial"/>
          <w:sz w:val="24"/>
          <w:szCs w:val="24"/>
        </w:rPr>
      </w:pPr>
      <w:r w:rsidRPr="00E01AE1">
        <w:rPr>
          <w:rFonts w:ascii="Arial" w:eastAsiaTheme="minorHAnsi" w:hAnsi="Arial" w:cs="Arial"/>
          <w:noProof/>
          <w:sz w:val="24"/>
          <w:szCs w:val="24"/>
        </w:rPr>
        <w:lastRenderedPageBreak/>
        <w:drawing>
          <wp:inline distT="0" distB="0" distL="0" distR="0" wp14:anchorId="2797A900" wp14:editId="003B3926">
            <wp:extent cx="4514850" cy="33909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3390900"/>
                    </a:xfrm>
                    <a:prstGeom prst="rect">
                      <a:avLst/>
                    </a:prstGeom>
                    <a:noFill/>
                    <a:ln>
                      <a:noFill/>
                    </a:ln>
                  </pic:spPr>
                </pic:pic>
              </a:graphicData>
            </a:graphic>
          </wp:inline>
        </w:drawing>
      </w:r>
      <w:r w:rsidRPr="00E01AE1">
        <w:rPr>
          <w:rFonts w:ascii="Arial" w:eastAsiaTheme="minorHAnsi" w:hAnsi="Arial" w:cs="Arial"/>
          <w:sz w:val="24"/>
          <w:szCs w:val="24"/>
        </w:rPr>
        <w:t xml:space="preserve"> </w:t>
      </w:r>
    </w:p>
    <w:p w14:paraId="57B490AF" w14:textId="7B2BD2D9" w:rsidR="00E01AE1" w:rsidRPr="00CF19C2" w:rsidRDefault="00E34AF2" w:rsidP="00E34AF2">
      <w:pPr>
        <w:pStyle w:val="Caption"/>
        <w:rPr>
          <w:rFonts w:ascii="Arial" w:eastAsiaTheme="minorHAnsi" w:hAnsi="Arial" w:cs="Arial"/>
          <w:szCs w:val="24"/>
        </w:rPr>
      </w:pPr>
      <w:bookmarkStart w:id="23" w:name="_Hlk122204042"/>
      <w:bookmarkStart w:id="24" w:name="_Ref123560358"/>
      <w:r w:rsidRPr="00CF19C2">
        <w:rPr>
          <w:rFonts w:ascii="Arial" w:hAnsi="Arial" w:cs="Arial"/>
        </w:rPr>
        <w:t xml:space="preserve">Figure </w:t>
      </w:r>
      <w:r w:rsidRPr="00CF19C2">
        <w:rPr>
          <w:rFonts w:ascii="Arial" w:hAnsi="Arial" w:cs="Arial"/>
        </w:rPr>
        <w:fldChar w:fldCharType="begin"/>
      </w:r>
      <w:r w:rsidRPr="00CF19C2">
        <w:rPr>
          <w:rFonts w:ascii="Arial" w:hAnsi="Arial" w:cs="Arial"/>
        </w:rPr>
        <w:instrText xml:space="preserve"> SEQ Figure \* ARABIC </w:instrText>
      </w:r>
      <w:r w:rsidRPr="00CF19C2">
        <w:rPr>
          <w:rFonts w:ascii="Arial" w:hAnsi="Arial" w:cs="Arial"/>
        </w:rPr>
        <w:fldChar w:fldCharType="separate"/>
      </w:r>
      <w:r w:rsidR="003D307D">
        <w:rPr>
          <w:rFonts w:ascii="Arial" w:hAnsi="Arial" w:cs="Arial"/>
          <w:noProof/>
        </w:rPr>
        <w:t>1</w:t>
      </w:r>
      <w:r w:rsidRPr="00CF19C2">
        <w:rPr>
          <w:rFonts w:ascii="Arial" w:hAnsi="Arial" w:cs="Arial"/>
        </w:rPr>
        <w:fldChar w:fldCharType="end"/>
      </w:r>
      <w:r w:rsidRPr="00CF19C2">
        <w:rPr>
          <w:rFonts w:ascii="Arial" w:hAnsi="Arial" w:cs="Arial"/>
        </w:rPr>
        <w:t>, The Research Onion (Saunders et al, 2019, p. 130).</w:t>
      </w:r>
      <w:bookmarkEnd w:id="24"/>
    </w:p>
    <w:bookmarkEnd w:id="23"/>
    <w:p w14:paraId="451F5C1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p>
    <w:p w14:paraId="5F1BF7DA" w14:textId="77777777" w:rsidR="00E01AE1" w:rsidRPr="00E01AE1" w:rsidRDefault="00E01AE1" w:rsidP="00CB7166">
      <w:pPr>
        <w:spacing w:after="160" w:line="480" w:lineRule="auto"/>
        <w:rPr>
          <w:rFonts w:ascii="Arial" w:eastAsiaTheme="minorHAnsi" w:hAnsi="Arial" w:cs="Arial"/>
          <w:sz w:val="24"/>
          <w:szCs w:val="24"/>
        </w:rPr>
      </w:pPr>
    </w:p>
    <w:p w14:paraId="4F0053D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73078A2E" w14:textId="63F67478" w:rsidR="000138B8" w:rsidRPr="0096374F" w:rsidRDefault="00E01AE1" w:rsidP="0096374F">
      <w:pPr>
        <w:pStyle w:val="Heading2"/>
        <w:spacing w:line="480" w:lineRule="auto"/>
        <w:rPr>
          <w:rFonts w:ascii="Arial" w:eastAsiaTheme="minorHAnsi" w:hAnsi="Arial" w:cs="Arial"/>
          <w:sz w:val="24"/>
          <w:szCs w:val="24"/>
        </w:rPr>
      </w:pPr>
      <w:bookmarkStart w:id="25" w:name="_Toc123562308"/>
      <w:r w:rsidRPr="00E01AE1">
        <w:rPr>
          <w:rFonts w:ascii="Arial" w:eastAsiaTheme="minorHAnsi" w:hAnsi="Arial" w:cs="Arial"/>
          <w:sz w:val="24"/>
          <w:szCs w:val="24"/>
        </w:rPr>
        <w:t>Research Philosoph</w:t>
      </w:r>
      <w:r w:rsidR="000138B8" w:rsidRPr="00CB7166">
        <w:rPr>
          <w:rFonts w:ascii="Arial" w:eastAsiaTheme="minorHAnsi" w:hAnsi="Arial" w:cs="Arial"/>
          <w:sz w:val="24"/>
          <w:szCs w:val="24"/>
        </w:rPr>
        <w:t>y</w:t>
      </w:r>
      <w:bookmarkEnd w:id="25"/>
    </w:p>
    <w:p w14:paraId="38A1AC1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Academics agree that researchers have assumptions about the nature of the social world and the way in which it may be investigated (Burrell &amp; Morgan, 2016; Crotty, 1998, p. 7). These assumptions influence one’s approach to research investigation and how the findings are interpreted, and are centred around 3 philosophical perspectives of Epistemology: origins and nature of knowing (Maykut &amp; Morhouse, 1994, p. 4), and how we come to know what we know (Saunders et al, 2019, p. 133); Ontology: the nature of being (Spencer, Pryce and Walsh, 2020), and Axiology: the role of the researcher’s own values (Saunders et al, 2019, p. 134). The adoption of a </w:t>
      </w:r>
      <w:r w:rsidRPr="00E01AE1">
        <w:rPr>
          <w:rFonts w:ascii="Arial" w:eastAsiaTheme="minorHAnsi" w:hAnsi="Arial" w:cs="Arial"/>
          <w:sz w:val="24"/>
          <w:szCs w:val="24"/>
        </w:rPr>
        <w:lastRenderedPageBreak/>
        <w:t xml:space="preserve">philosophical standpoint can be formed through a rationalisation of these assumptions (Saunders et al, 2019, pp. 130-131). </w:t>
      </w:r>
    </w:p>
    <w:p w14:paraId="6CCA4E75" w14:textId="4728448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Research Onion points to 3 epistemological research paradigms: Positivist, </w:t>
      </w:r>
      <w:r w:rsidR="00E74F72" w:rsidRPr="00E01AE1">
        <w:rPr>
          <w:rFonts w:ascii="Arial" w:eastAsiaTheme="minorHAnsi" w:hAnsi="Arial" w:cs="Arial"/>
          <w:sz w:val="24"/>
          <w:szCs w:val="24"/>
        </w:rPr>
        <w:t>Pragmatist,</w:t>
      </w:r>
      <w:r w:rsidRPr="00E01AE1">
        <w:rPr>
          <w:rFonts w:ascii="Arial" w:eastAsiaTheme="minorHAnsi" w:hAnsi="Arial" w:cs="Arial"/>
          <w:sz w:val="24"/>
          <w:szCs w:val="24"/>
        </w:rPr>
        <w:t xml:space="preserve"> and Interpretivist, with further concepts explored by Grix (2004, pp. 78-88), Spencer, Pryce and Walsh (2020, pp. 5-18) and Saunders et al (2019, pp. 144-151).  </w:t>
      </w:r>
    </w:p>
    <w:p w14:paraId="2830D8A4"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An Interpretivist philosophy was adopted for this research. Interpretivism is characterised by subjectivity (Saunders et al, 2019, pp.135-137) and a belief that social reality is shaped by our perceptions (Collis &amp; Hussey, 2014, pp. 44-45). In contrast to Positivism, the interpretive perspective allows the researcher to understand what is happening in a given context, rather than quantifying it (O’Gorman and MacIntosh, p. 65). Saunders et al (2019, p. 149) posit that the role of the interpretivist researcher is to create new understanding of social worlds through recognition of the complex and divergent social realities that people experience: this perspective was a natural fit for the research objective, which sought to understand what fundraising initiatives service users would be prepared to engage positively with.</w:t>
      </w:r>
    </w:p>
    <w:p w14:paraId="74F3C20C"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From an ontological perspective, interpretivism is multiple and comparative (Saunders et al, 2019, p. 145). The success of income generating activities in StoriPowys depends on service users: their interest in, and engagement with, the activity programme, and a recognition that each customer’s experiences and needs are very different.  The epistemology of interpretivism seeks meaning from relationships and the social experiences being observed (O’Gorman and MacIntosh, p. 59). In terms of this research, emphasis was placed on service user opinion and </w:t>
      </w:r>
      <w:r w:rsidRPr="00E01AE1">
        <w:rPr>
          <w:rFonts w:ascii="Arial" w:eastAsiaTheme="minorHAnsi" w:hAnsi="Arial" w:cs="Arial"/>
          <w:sz w:val="24"/>
          <w:szCs w:val="24"/>
        </w:rPr>
        <w:lastRenderedPageBreak/>
        <w:t xml:space="preserve">experience, and the need to build research data that captured the diversity of the user base.  From an axiological standpoint, research is value-bound, and the researcher’s own values are tied with the subject being researched (Grix, 2004, p. 83). The research analysed was aligned to the researcher’s own professional experiences within a cultural services organisation.  </w:t>
      </w:r>
    </w:p>
    <w:p w14:paraId="4668489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Positivism, as defined by Brinkmann (2017, p. 47) posits that knowledge can only be legitimised if positively verified. This philosophy is characterised by objectivity and facts that can be proven, and in the context of the research objective, this approach would not allow for the depth of personal experience and knowledge that was required to answer the research question (Saunders et al, 2019, p. 134). </w:t>
      </w:r>
    </w:p>
    <w:p w14:paraId="29B570A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Pragmatism adopts philosophical positions of both positivist and interpretivist philosophies (Collis &amp; Hussey, 2014, p. 54), where the ontology is framed through action, and the appropriate research method is determined by the nature of the research problem (Ibid). A practical outcome would need to be incorporated with this approach (Saunders et al, 2019, p. 151), which did not correlate with the research objectives. </w:t>
      </w:r>
    </w:p>
    <w:p w14:paraId="30AF2EBA" w14:textId="77777777" w:rsidR="00E01AE1" w:rsidRPr="00E01AE1" w:rsidRDefault="00E01AE1" w:rsidP="00CB7166">
      <w:pPr>
        <w:pStyle w:val="Heading2"/>
        <w:spacing w:line="480" w:lineRule="auto"/>
        <w:rPr>
          <w:rFonts w:ascii="Arial" w:eastAsiaTheme="minorHAnsi" w:hAnsi="Arial" w:cs="Arial"/>
          <w:sz w:val="24"/>
          <w:szCs w:val="24"/>
        </w:rPr>
      </w:pPr>
      <w:bookmarkStart w:id="26" w:name="_Toc123562309"/>
      <w:r w:rsidRPr="00E01AE1">
        <w:rPr>
          <w:rFonts w:ascii="Arial" w:eastAsiaTheme="minorHAnsi" w:hAnsi="Arial" w:cs="Arial"/>
          <w:sz w:val="24"/>
          <w:szCs w:val="24"/>
        </w:rPr>
        <w:t>Research Approach</w:t>
      </w:r>
      <w:bookmarkEnd w:id="26"/>
    </w:p>
    <w:p w14:paraId="4BA065A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Academics point to two main types of scientific enquiry: Deductive and Inductive reasoning (Adams et al, 2007, p. 29). Both are modes of argument that rely on the premise of using existing knowledge to draw conclusions or advance knowledge (Woiceshyn and Daellenbach, 2018, pp. 183-195). The former starts with a hypothesis and examines the possibilities to reach a logical conclusion and is analytical in nature (Grix, 2004, p. 113). For this reason, it is associated primarily with quantitative data (Saunders, 2019, p. 153). </w:t>
      </w:r>
    </w:p>
    <w:p w14:paraId="636931A0" w14:textId="1BE8549E" w:rsidR="00E01AE1" w:rsidRPr="00CB7166"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By contrast, Inductive reasoning is observational in nature; the emphasis is on evidence-gathering and building theory based on the research findings or justifying hypotheses using empirical data, using a “bottom up” approach (Sachdeva, 2019, p. 31). To answer the research question, an inductive approach was required. The appetite for fundraising initiatives in StoriPowys was unknown, and investigation was needed in order to determine next steps in a fundraising strategy.</w:t>
      </w:r>
    </w:p>
    <w:p w14:paraId="3B02DFB4" w14:textId="77777777" w:rsidR="000138B8" w:rsidRPr="00E01AE1" w:rsidRDefault="000138B8" w:rsidP="00CB7166">
      <w:pPr>
        <w:spacing w:after="160" w:line="480" w:lineRule="auto"/>
        <w:rPr>
          <w:rFonts w:ascii="Arial" w:eastAsiaTheme="minorHAnsi" w:hAnsi="Arial" w:cs="Arial"/>
          <w:sz w:val="24"/>
          <w:szCs w:val="24"/>
        </w:rPr>
      </w:pPr>
    </w:p>
    <w:p w14:paraId="639D12D5" w14:textId="068B061C" w:rsidR="000138B8" w:rsidRPr="00E01AE1" w:rsidRDefault="00E01AE1" w:rsidP="0096374F">
      <w:pPr>
        <w:pStyle w:val="Heading2"/>
        <w:spacing w:line="480" w:lineRule="auto"/>
        <w:rPr>
          <w:rFonts w:ascii="Arial" w:eastAsiaTheme="minorHAnsi" w:hAnsi="Arial" w:cs="Arial"/>
          <w:sz w:val="24"/>
          <w:szCs w:val="24"/>
        </w:rPr>
      </w:pPr>
      <w:bookmarkStart w:id="27" w:name="_Toc123562310"/>
      <w:r w:rsidRPr="00E01AE1">
        <w:rPr>
          <w:rFonts w:ascii="Arial" w:eastAsiaTheme="minorHAnsi" w:hAnsi="Arial" w:cs="Arial"/>
          <w:sz w:val="24"/>
          <w:szCs w:val="24"/>
        </w:rPr>
        <w:t>Research Strateg</w:t>
      </w:r>
      <w:r w:rsidR="000138B8" w:rsidRPr="00CB7166">
        <w:rPr>
          <w:rFonts w:ascii="Arial" w:eastAsiaTheme="minorHAnsi" w:hAnsi="Arial" w:cs="Arial"/>
          <w:sz w:val="24"/>
          <w:szCs w:val="24"/>
        </w:rPr>
        <w:t>y</w:t>
      </w:r>
      <w:bookmarkEnd w:id="27"/>
    </w:p>
    <w:p w14:paraId="3A23B64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The research aimed to answer the question of whether successful fundraising activities elsewhere would be worth pursuing in rural Powys. Evidence in the form of customer opinion was collected, with the evidence used to inform recommendations for a StoriPowys fundraising strategy.</w:t>
      </w:r>
    </w:p>
    <w:p w14:paraId="07152474"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How the research was undertaken in practical terms was dictated by the research method, and this method reflected the philosophical assumptions of the chosen paradigm (Collis and Hussey, 2014, p. 59), which was identified as interpretivism. There are several methodologies associated with interpretivism, and the inductive process (Ibid pp. 64-70), and from these, the Grounded Theory approach was selected. Grounded Theory is a data analysis method that uses data to build theory (Cottrell, 2019, p. 103). Developed by Glaser and Strauss in 1967, this approach uses empirical data as the starting point, building theory from the research findings that is grounded in the data (Denscombe, 2014, p. 156). Silverman (2006, cited in O’Gorman, 2014, p. 143) outlines the stages of a grounded theory approach, searching for meanings and patterns in the data, developing categories (coding) which provide the framework for the emergence of new theories. Denscombe (2014, </w:t>
      </w:r>
      <w:r w:rsidRPr="00E01AE1">
        <w:rPr>
          <w:rFonts w:ascii="Arial" w:eastAsiaTheme="minorHAnsi" w:hAnsi="Arial" w:cs="Arial"/>
          <w:sz w:val="24"/>
          <w:szCs w:val="24"/>
        </w:rPr>
        <w:lastRenderedPageBreak/>
        <w:t xml:space="preserve">p. 164) asserts that a flexible and open-minded attitude from the researcher is required, and a “constant, comparative method” is needed as emerging concepts lead to new lines of enquiry and further data analysis. </w:t>
      </w:r>
    </w:p>
    <w:p w14:paraId="51243B6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This organic development of theory has limitations as analysis of this emerging data can be laborious and ambiguous (Cottrell, 2019, p. 103), however, with interview participants limited to 10, this did not hinder the research process. </w:t>
      </w:r>
    </w:p>
    <w:p w14:paraId="7606A56B" w14:textId="77777777" w:rsidR="00E01AE1" w:rsidRPr="00E01AE1" w:rsidRDefault="00E01AE1" w:rsidP="00CB7166">
      <w:pPr>
        <w:spacing w:after="160" w:line="480" w:lineRule="auto"/>
        <w:ind w:left="360"/>
        <w:rPr>
          <w:rFonts w:ascii="Arial" w:eastAsiaTheme="minorHAnsi" w:hAnsi="Arial" w:cs="Arial"/>
          <w:sz w:val="24"/>
          <w:szCs w:val="24"/>
        </w:rPr>
      </w:pPr>
    </w:p>
    <w:p w14:paraId="13FC9907" w14:textId="3A591DF4" w:rsidR="000138B8" w:rsidRPr="0096374F" w:rsidRDefault="00E01AE1" w:rsidP="0096374F">
      <w:pPr>
        <w:pStyle w:val="Heading2"/>
        <w:spacing w:line="480" w:lineRule="auto"/>
        <w:rPr>
          <w:rFonts w:ascii="Arial" w:eastAsiaTheme="minorHAnsi" w:hAnsi="Arial" w:cs="Arial"/>
          <w:sz w:val="24"/>
          <w:szCs w:val="24"/>
        </w:rPr>
      </w:pPr>
      <w:bookmarkStart w:id="28" w:name="_Toc123562311"/>
      <w:r w:rsidRPr="00E01AE1">
        <w:rPr>
          <w:rFonts w:ascii="Arial" w:eastAsiaTheme="minorHAnsi" w:hAnsi="Arial" w:cs="Arial"/>
          <w:sz w:val="24"/>
          <w:szCs w:val="24"/>
        </w:rPr>
        <w:t>Methodological Choice</w:t>
      </w:r>
      <w:bookmarkEnd w:id="28"/>
    </w:p>
    <w:p w14:paraId="6F45BBE4" w14:textId="011915FD"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Saunders’ Research Onion lists three categories of data collection that can be used for research: mono and mixed methods that use either qualitative or quantitative data, or multi-method, which includes both data types (Saunders. 2019, p. 176). Quantitative data is measurable and numerical in nature, and is embraced by the objective, positivist research approach (Adams, 2007, p. 26). Conversely, qualitative data cannot be objectively measured: it is non-numerical information that researchers use to find meaning in, and understanding of, social phenomena (Flick, 2008, p. 3). Qualitative research creates “accounts of social life and in doing so we construct versions of the social worlds and the social actors that we observe’” Coffey and Atkinson (1998, cited in Campbell, Taylor and McGlade, 2007, p. 67). This fits with the subjective, interpretivist viewpoint and a mono-method was used to undertake qualitative research in the form of semi-structured interviews and user questionnaires.</w:t>
      </w:r>
    </w:p>
    <w:p w14:paraId="6145FCF5" w14:textId="77777777" w:rsidR="00E01AE1" w:rsidRPr="00E01AE1" w:rsidRDefault="00E01AE1" w:rsidP="00CB7166">
      <w:pPr>
        <w:spacing w:after="160" w:line="480" w:lineRule="auto"/>
        <w:ind w:left="360"/>
        <w:rPr>
          <w:rFonts w:ascii="Arial" w:eastAsiaTheme="minorHAnsi" w:hAnsi="Arial" w:cs="Arial"/>
          <w:sz w:val="24"/>
          <w:szCs w:val="24"/>
        </w:rPr>
      </w:pPr>
    </w:p>
    <w:p w14:paraId="550628D5" w14:textId="5C876294" w:rsidR="00E01AE1" w:rsidRPr="00CB7166" w:rsidRDefault="00E01AE1" w:rsidP="00CB7166">
      <w:pPr>
        <w:pStyle w:val="Heading2"/>
        <w:spacing w:line="480" w:lineRule="auto"/>
        <w:rPr>
          <w:rFonts w:ascii="Arial" w:eastAsiaTheme="minorHAnsi" w:hAnsi="Arial" w:cs="Arial"/>
          <w:sz w:val="24"/>
          <w:szCs w:val="24"/>
        </w:rPr>
      </w:pPr>
      <w:bookmarkStart w:id="29" w:name="_Toc123562312"/>
      <w:r w:rsidRPr="00E01AE1">
        <w:rPr>
          <w:rFonts w:ascii="Arial" w:eastAsiaTheme="minorHAnsi" w:hAnsi="Arial" w:cs="Arial"/>
          <w:sz w:val="24"/>
          <w:szCs w:val="24"/>
        </w:rPr>
        <w:lastRenderedPageBreak/>
        <w:t>Time Horizon</w:t>
      </w:r>
      <w:bookmarkEnd w:id="29"/>
      <w:r w:rsidRPr="00E01AE1">
        <w:rPr>
          <w:rFonts w:ascii="Arial" w:eastAsiaTheme="minorHAnsi" w:hAnsi="Arial" w:cs="Arial"/>
          <w:sz w:val="24"/>
          <w:szCs w:val="24"/>
        </w:rPr>
        <w:t xml:space="preserve"> </w:t>
      </w:r>
    </w:p>
    <w:p w14:paraId="6859477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cross-sectional time horizon was used to undertake customer interviews and questionnaires. Saunders (2019, p. 212) describes a cross-sectional study as a “snapshot”, where data is collected once over a short period, as opposed to longitudinal studies, where data is collected over a protracted period on more than one occasion (Collis and Hussey, 2014, p. 64). The research question did not seek to explore changes in participants’ opinions and data analysis over an extended period was not required. Interviews were conducted over a 3-week period during October and November 2022. </w:t>
      </w:r>
    </w:p>
    <w:p w14:paraId="4416D8F9" w14:textId="77777777" w:rsidR="00E01AE1" w:rsidRPr="00E01AE1" w:rsidRDefault="00E01AE1" w:rsidP="00CB7166">
      <w:pPr>
        <w:spacing w:after="160" w:line="480" w:lineRule="auto"/>
        <w:ind w:left="360"/>
        <w:rPr>
          <w:rFonts w:ascii="Arial" w:eastAsiaTheme="minorHAnsi" w:hAnsi="Arial" w:cs="Arial"/>
          <w:sz w:val="24"/>
          <w:szCs w:val="24"/>
        </w:rPr>
      </w:pPr>
    </w:p>
    <w:p w14:paraId="0BD2E685" w14:textId="256F9FE0" w:rsidR="000138B8" w:rsidRPr="0096374F" w:rsidRDefault="00E01AE1" w:rsidP="0096374F">
      <w:pPr>
        <w:pStyle w:val="Heading2"/>
        <w:spacing w:line="480" w:lineRule="auto"/>
        <w:rPr>
          <w:rFonts w:ascii="Arial" w:eastAsiaTheme="minorHAnsi" w:hAnsi="Arial" w:cs="Arial"/>
          <w:sz w:val="24"/>
          <w:szCs w:val="24"/>
        </w:rPr>
      </w:pPr>
      <w:bookmarkStart w:id="30" w:name="_Toc123562313"/>
      <w:r w:rsidRPr="00E01AE1">
        <w:rPr>
          <w:rFonts w:ascii="Arial" w:eastAsiaTheme="minorHAnsi" w:hAnsi="Arial" w:cs="Arial"/>
          <w:sz w:val="24"/>
          <w:szCs w:val="24"/>
        </w:rPr>
        <w:t>Techniques &amp; Procedures</w:t>
      </w:r>
      <w:bookmarkEnd w:id="30"/>
    </w:p>
    <w:p w14:paraId="6B735E14" w14:textId="6ED9BDA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For this qualitative research, primary data was collected in the form of semi-structured interviews. Interviews are a main source of data collection in qualitative research (Vanderstoep &amp; Johnston, 2009, p. 224) and the most common method for a grounded theory process (Matthews &amp; Ross, 2010, p. 137). Patton (2015, p. 426) suggests that the purpose of interviewing is to discover another person’s perspective, which aligns with the research aim to seek user opinion on fundraising initiatives. Semi-structured interviews permit a freedom that is lacking in structured interviews, allowing the interview to “be shaped by the interviewee's own understandings as well as the researcher's interests, and unexpected themes can emerge” (Lewis-Beck et al, 2004).</w:t>
      </w:r>
      <w:r w:rsidR="00E74F72">
        <w:rPr>
          <w:rFonts w:ascii="Arial" w:eastAsiaTheme="minorHAnsi" w:hAnsi="Arial" w:cs="Arial"/>
          <w:sz w:val="24"/>
          <w:szCs w:val="24"/>
        </w:rPr>
        <w:t xml:space="preserve"> </w:t>
      </w:r>
      <w:r w:rsidRPr="00E01AE1">
        <w:rPr>
          <w:rFonts w:ascii="Arial" w:eastAsiaTheme="minorHAnsi" w:hAnsi="Arial" w:cs="Arial"/>
          <w:sz w:val="24"/>
          <w:szCs w:val="24"/>
        </w:rPr>
        <w:t xml:space="preserve">Vanderstop &amp; Johnston (2009, p. 225) posit that a semi-structured approach avoids the challenges in data variance that can stem from informal interviews, and does not hamper the emergent discovery process in the way that structured interviews can. </w:t>
      </w:r>
    </w:p>
    <w:p w14:paraId="43ED1A01" w14:textId="557E14B8"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 xml:space="preserve">Substantial data was generated from the semi-structured interviews, as open questions allowed participants to share their experiences and reactions to fundraising ideas in an organic way, which led to different avenues of enquiry. The interview questions can be found </w:t>
      </w:r>
      <w:r w:rsidR="008E4D44">
        <w:rPr>
          <w:rFonts w:ascii="Arial" w:eastAsiaTheme="minorHAnsi" w:hAnsi="Arial" w:cs="Arial"/>
          <w:sz w:val="24"/>
          <w:szCs w:val="24"/>
        </w:rPr>
        <w:t>in</w:t>
      </w:r>
      <w:r w:rsidR="00AF0781">
        <w:rPr>
          <w:rFonts w:ascii="Arial" w:eastAsiaTheme="minorHAnsi" w:hAnsi="Arial" w:cs="Arial"/>
          <w:sz w:val="24"/>
          <w:szCs w:val="24"/>
        </w:rPr>
        <w:t xml:space="preserve"> </w:t>
      </w:r>
      <w:r w:rsidR="00AF0781" w:rsidRPr="00AF0781">
        <w:rPr>
          <w:rFonts w:ascii="Arial" w:eastAsiaTheme="minorHAnsi" w:hAnsi="Arial" w:cs="Arial"/>
          <w:b/>
          <w:bCs/>
          <w:sz w:val="24"/>
          <w:szCs w:val="24"/>
        </w:rPr>
        <w:t>Appendix 1</w:t>
      </w:r>
      <w:r w:rsidR="00AF0781">
        <w:rPr>
          <w:rFonts w:ascii="Arial" w:eastAsiaTheme="minorHAnsi" w:hAnsi="Arial" w:cs="Arial"/>
          <w:sz w:val="24"/>
          <w:szCs w:val="24"/>
        </w:rPr>
        <w:t xml:space="preserve">. </w:t>
      </w:r>
      <w:r w:rsidRPr="00E01AE1">
        <w:rPr>
          <w:rFonts w:ascii="Arial" w:eastAsiaTheme="minorHAnsi" w:hAnsi="Arial" w:cs="Arial"/>
          <w:sz w:val="24"/>
          <w:szCs w:val="24"/>
        </w:rPr>
        <w:t xml:space="preserve"> For this reason, data was analysed using a thematic analysis process, which is an effective method for analysing large datasets (Clarke &amp; Braun, 2016, p. 298). Thematic analysis is a preferred data analysis method in qualitative research, used for identifying, analysing, and interpreting patterns of meaning by identifying codes and themes (Clarke &amp; Braun, 2017). It is recognised for its flexibility, in terms of application to </w:t>
      </w:r>
      <w:r w:rsidR="00E74F72" w:rsidRPr="00E01AE1">
        <w:rPr>
          <w:rFonts w:ascii="Arial" w:eastAsiaTheme="minorHAnsi" w:hAnsi="Arial" w:cs="Arial"/>
          <w:sz w:val="24"/>
          <w:szCs w:val="24"/>
        </w:rPr>
        <w:t>several</w:t>
      </w:r>
      <w:r w:rsidRPr="00E01AE1">
        <w:rPr>
          <w:rFonts w:ascii="Arial" w:eastAsiaTheme="minorHAnsi" w:hAnsi="Arial" w:cs="Arial"/>
          <w:sz w:val="24"/>
          <w:szCs w:val="24"/>
        </w:rPr>
        <w:t xml:space="preserve"> epistemological frameworks and research techniques (Kiger &amp; Varpio, 2020). Braun &amp; Clarke (2006</w:t>
      </w:r>
      <w:r w:rsidR="00330C7A">
        <w:rPr>
          <w:rFonts w:ascii="Arial" w:eastAsiaTheme="minorHAnsi" w:hAnsi="Arial" w:cs="Arial"/>
          <w:sz w:val="24"/>
          <w:szCs w:val="24"/>
        </w:rPr>
        <w:t>, p</w:t>
      </w:r>
      <w:r w:rsidR="00B353D9">
        <w:rPr>
          <w:rFonts w:ascii="Arial" w:eastAsiaTheme="minorHAnsi" w:hAnsi="Arial" w:cs="Arial"/>
          <w:sz w:val="24"/>
          <w:szCs w:val="24"/>
        </w:rPr>
        <w:t>.80</w:t>
      </w:r>
      <w:r w:rsidRPr="00E01AE1">
        <w:rPr>
          <w:rFonts w:ascii="Arial" w:eastAsiaTheme="minorHAnsi" w:hAnsi="Arial" w:cs="Arial"/>
          <w:sz w:val="24"/>
          <w:szCs w:val="24"/>
        </w:rPr>
        <w:t>) assert that, although different to grounded theory, thematic analysis has a similar data coding process which is more appropriate to research that does not warrant the level of theory development that would be required to answer some research questions. As the research aim did not demand the development of significantly detailed theory-building, this type of analysis was selected.  Braun &amp; Clarke also outline six phases of thematic analysis (</w:t>
      </w:r>
      <w:r w:rsidRPr="00E01AE1">
        <w:rPr>
          <w:rFonts w:ascii="Arial" w:eastAsiaTheme="minorHAnsi" w:hAnsi="Arial" w:cs="Arial"/>
          <w:i/>
          <w:iCs/>
          <w:sz w:val="24"/>
          <w:szCs w:val="24"/>
        </w:rPr>
        <w:t>Ibid</w:t>
      </w:r>
      <w:r w:rsidR="00330C7A">
        <w:rPr>
          <w:rFonts w:ascii="Arial" w:eastAsiaTheme="minorHAnsi" w:hAnsi="Arial" w:cs="Arial"/>
          <w:i/>
          <w:iCs/>
          <w:sz w:val="24"/>
          <w:szCs w:val="24"/>
        </w:rPr>
        <w:t xml:space="preserve">, </w:t>
      </w:r>
      <w:r w:rsidR="00330C7A" w:rsidRPr="00330C7A">
        <w:rPr>
          <w:rFonts w:ascii="Arial" w:eastAsiaTheme="minorHAnsi" w:hAnsi="Arial" w:cs="Arial"/>
          <w:sz w:val="24"/>
          <w:szCs w:val="24"/>
        </w:rPr>
        <w:t>p.87</w:t>
      </w:r>
      <w:r w:rsidRPr="00E01AE1">
        <w:rPr>
          <w:rFonts w:ascii="Arial" w:eastAsiaTheme="minorHAnsi" w:hAnsi="Arial" w:cs="Arial"/>
          <w:sz w:val="24"/>
          <w:szCs w:val="24"/>
        </w:rPr>
        <w:t xml:space="preserve">), which I used to evaluate the data.  </w:t>
      </w:r>
    </w:p>
    <w:p w14:paraId="7A0B7233" w14:textId="77777777" w:rsidR="00E01AE1" w:rsidRPr="00E01AE1" w:rsidRDefault="00E01AE1" w:rsidP="00CB7166">
      <w:pPr>
        <w:spacing w:after="160" w:line="480" w:lineRule="auto"/>
        <w:rPr>
          <w:rFonts w:ascii="Arial" w:eastAsiaTheme="minorHAnsi" w:hAnsi="Arial" w:cs="Arial"/>
          <w:color w:val="0070C0"/>
          <w:sz w:val="24"/>
          <w:szCs w:val="24"/>
        </w:rPr>
      </w:pPr>
      <w:r w:rsidRPr="00E01AE1">
        <w:rPr>
          <w:rFonts w:ascii="Arial" w:eastAsiaTheme="minorHAnsi" w:hAnsi="Arial" w:cs="Arial"/>
          <w:sz w:val="24"/>
          <w:szCs w:val="24"/>
        </w:rPr>
        <w:t xml:space="preserve">The flexibility of this analysis allowed for a reflexive, inductive approach, and themes from user opinion of fundraising initiatives became apparent as the data was analysed. Reflexive, thematic analysis was appropriate as it allowed for the alteration of codes as thematic trends emerged (University of Auckland, 2022).  Interviews focused on the opinions and experiences of participants in relation to examples of income generation activities that were presented to them. Interrogation of this data allowed the researcher to code relevant information and commonalities between participants, before determining overarching themes. Thematic analysis permitted </w:t>
      </w:r>
      <w:r w:rsidRPr="00E01AE1">
        <w:rPr>
          <w:rFonts w:ascii="Arial" w:eastAsiaTheme="minorHAnsi" w:hAnsi="Arial" w:cs="Arial"/>
          <w:sz w:val="24"/>
          <w:szCs w:val="24"/>
        </w:rPr>
        <w:lastRenderedPageBreak/>
        <w:t xml:space="preserve">the identification of recurring patterns in the interview data. In addition, it attempted to discover inferred meaning from interviewees’ responses and to search for relationships in themes that emerged. </w:t>
      </w:r>
    </w:p>
    <w:p w14:paraId="2429069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54ED9BDA"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67302F4F" w14:textId="3D2F4407" w:rsidR="000138B8" w:rsidRPr="0096374F" w:rsidRDefault="00E01AE1" w:rsidP="0096374F">
      <w:pPr>
        <w:pStyle w:val="Heading2"/>
        <w:spacing w:line="480" w:lineRule="auto"/>
        <w:rPr>
          <w:rFonts w:ascii="Arial" w:eastAsiaTheme="minorHAnsi" w:hAnsi="Arial" w:cs="Arial"/>
          <w:sz w:val="24"/>
          <w:szCs w:val="24"/>
        </w:rPr>
      </w:pPr>
      <w:bookmarkStart w:id="31" w:name="_Toc123562314"/>
      <w:r w:rsidRPr="00E01AE1">
        <w:rPr>
          <w:rFonts w:ascii="Arial" w:eastAsiaTheme="minorHAnsi" w:hAnsi="Arial" w:cs="Arial"/>
          <w:sz w:val="24"/>
          <w:szCs w:val="24"/>
        </w:rPr>
        <w:t>Sample</w:t>
      </w:r>
      <w:bookmarkEnd w:id="31"/>
      <w:r w:rsidRPr="00E01AE1">
        <w:rPr>
          <w:rFonts w:ascii="Arial" w:eastAsiaTheme="minorHAnsi" w:hAnsi="Arial" w:cs="Arial"/>
          <w:sz w:val="24"/>
          <w:szCs w:val="24"/>
        </w:rPr>
        <w:t xml:space="preserve"> </w:t>
      </w:r>
    </w:p>
    <w:p w14:paraId="7BAC4AEE"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Purposive sampling (Duduvskiy, 2022) technique was used to select research participants. Purposive (Purposeful) sampling focuses on the selection of participants (cases) who will provide information-rich responses that are strategically aligned with the research aims (Patton, 2015, p. 264; Campbell et al., 2020, p. 654).  </w:t>
      </w:r>
    </w:p>
    <w:p w14:paraId="36011E10" w14:textId="178B368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Yin (2016, p. 94) highlights the need to include variance in interview participant selection, with an emphasis on selecting interviewees who provide a broad range of perspectives on the research topic. The sample selected for this research was deliberately chosen to represent the broad StoriPowys customer base, in terms of ages</w:t>
      </w:r>
      <w:r w:rsidR="006B55D5">
        <w:rPr>
          <w:rFonts w:ascii="Arial" w:eastAsiaTheme="minorHAnsi" w:hAnsi="Arial" w:cs="Arial"/>
          <w:sz w:val="24"/>
          <w:szCs w:val="24"/>
        </w:rPr>
        <w:t xml:space="preserve"> and </w:t>
      </w:r>
      <w:r w:rsidRPr="00E01AE1">
        <w:rPr>
          <w:rFonts w:ascii="Arial" w:eastAsiaTheme="minorHAnsi" w:hAnsi="Arial" w:cs="Arial"/>
          <w:sz w:val="24"/>
          <w:szCs w:val="24"/>
        </w:rPr>
        <w:t>interests</w:t>
      </w:r>
      <w:r w:rsidR="00406CCD">
        <w:rPr>
          <w:rFonts w:ascii="Arial" w:eastAsiaTheme="minorHAnsi" w:hAnsi="Arial" w:cs="Arial"/>
          <w:sz w:val="24"/>
          <w:szCs w:val="24"/>
        </w:rPr>
        <w:t xml:space="preserve">. </w:t>
      </w:r>
      <w:r w:rsidRPr="00E01AE1">
        <w:rPr>
          <w:rFonts w:ascii="Arial" w:eastAsiaTheme="minorHAnsi" w:hAnsi="Arial" w:cs="Arial"/>
          <w:sz w:val="24"/>
          <w:szCs w:val="24"/>
        </w:rPr>
        <w:t xml:space="preserve">To align with the aim of the research, this technique allowed for the selection of interview participants that are supportive of cultural services and who were likely to be receptive, in principle, to fundraising initiatives. Purposive sampling allowed for these necessary assumptions, based on the researcher’s understanding of StoriPowys customers and of fundraising in a cultural setting (Robinson, 2014).  A typical case sample, which was expected to provide an average or normal profile on the phenomenon (Given, 2008), was identified, as the research aim was to establish the general appetite for fundraising initiatives that would be characteristic of StoriPowys consumers. </w:t>
      </w:r>
    </w:p>
    <w:p w14:paraId="63EB1D7C"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4ADF51EA" w14:textId="77777777" w:rsidR="00E01AE1" w:rsidRPr="00E01AE1" w:rsidRDefault="00E01AE1" w:rsidP="00CB7166">
      <w:pPr>
        <w:spacing w:after="160" w:line="480" w:lineRule="auto"/>
        <w:rPr>
          <w:rFonts w:ascii="Arial" w:eastAsiaTheme="minorHAnsi" w:hAnsi="Arial" w:cs="Arial"/>
          <w:sz w:val="24"/>
          <w:szCs w:val="24"/>
        </w:rPr>
      </w:pPr>
    </w:p>
    <w:p w14:paraId="5E5EFFFE" w14:textId="7E96510F" w:rsidR="00406CCD" w:rsidRPr="0096374F" w:rsidRDefault="00E01AE1" w:rsidP="0096374F">
      <w:pPr>
        <w:pStyle w:val="Heading2"/>
        <w:spacing w:line="480" w:lineRule="auto"/>
        <w:rPr>
          <w:rFonts w:ascii="Arial" w:eastAsiaTheme="minorHAnsi" w:hAnsi="Arial" w:cs="Arial"/>
          <w:sz w:val="24"/>
          <w:szCs w:val="24"/>
        </w:rPr>
      </w:pPr>
      <w:bookmarkStart w:id="32" w:name="_Toc123562315"/>
      <w:r w:rsidRPr="00E01AE1">
        <w:rPr>
          <w:rFonts w:ascii="Arial" w:eastAsiaTheme="minorHAnsi" w:hAnsi="Arial" w:cs="Arial"/>
          <w:sz w:val="24"/>
          <w:szCs w:val="24"/>
        </w:rPr>
        <w:t>Ethical and Logistical Considerations</w:t>
      </w:r>
      <w:bookmarkEnd w:id="32"/>
    </w:p>
    <w:p w14:paraId="2D5889D2" w14:textId="0595DA3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An ethical review of the research proposal was </w:t>
      </w:r>
      <w:r w:rsidR="0096374F" w:rsidRPr="00E01AE1">
        <w:rPr>
          <w:rFonts w:ascii="Arial" w:eastAsiaTheme="minorHAnsi" w:hAnsi="Arial" w:cs="Arial"/>
          <w:sz w:val="24"/>
          <w:szCs w:val="24"/>
        </w:rPr>
        <w:t>undertaken,</w:t>
      </w:r>
      <w:r w:rsidRPr="00E01AE1">
        <w:rPr>
          <w:rFonts w:ascii="Arial" w:eastAsiaTheme="minorHAnsi" w:hAnsi="Arial" w:cs="Arial"/>
          <w:sz w:val="24"/>
          <w:szCs w:val="24"/>
        </w:rPr>
        <w:t xml:space="preserve"> and approval was sought from the University of Wales Trinity Saint David via the dissertation research supervisor. PG2-E1 Ethics Form was completed</w:t>
      </w:r>
      <w:r w:rsidR="00E23F50">
        <w:rPr>
          <w:rFonts w:ascii="Arial" w:eastAsiaTheme="minorHAnsi" w:hAnsi="Arial" w:cs="Arial"/>
          <w:sz w:val="24"/>
          <w:szCs w:val="24"/>
        </w:rPr>
        <w:t xml:space="preserve"> (see </w:t>
      </w:r>
      <w:r w:rsidR="00E23F50" w:rsidRPr="00E23F50">
        <w:rPr>
          <w:rFonts w:ascii="Arial" w:eastAsiaTheme="minorHAnsi" w:hAnsi="Arial" w:cs="Arial"/>
          <w:b/>
          <w:bCs/>
          <w:sz w:val="24"/>
          <w:szCs w:val="24"/>
        </w:rPr>
        <w:t>Appendix 2</w:t>
      </w:r>
      <w:r w:rsidR="00E23F50">
        <w:rPr>
          <w:rFonts w:ascii="Arial" w:eastAsiaTheme="minorHAnsi" w:hAnsi="Arial" w:cs="Arial"/>
          <w:sz w:val="24"/>
          <w:szCs w:val="24"/>
        </w:rPr>
        <w:t>),</w:t>
      </w:r>
      <w:r w:rsidRPr="00E01AE1">
        <w:rPr>
          <w:rFonts w:ascii="Arial" w:eastAsiaTheme="minorHAnsi" w:hAnsi="Arial" w:cs="Arial"/>
          <w:sz w:val="24"/>
          <w:szCs w:val="24"/>
        </w:rPr>
        <w:t xml:space="preserve"> which details the dissertation research proposal and its compliance with guidance outlined in the University’s Research Ethics and Integrity Code of Practice. </w:t>
      </w:r>
    </w:p>
    <w:p w14:paraId="38ABF7F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Authorisation to undertake consumer interviews and surveys was requested from Powys County Council’s Information Compliance department and the Professional Lead for Cultural Services.  </w:t>
      </w:r>
    </w:p>
    <w:p w14:paraId="3854547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Research ethics addresses questions of morality in a research context (Wiles, 2012, p. 4), which largely focuses on the treatment of research subjects when focusing on the acquisition of qualitative data (Traianou, 2020, p. 87) and the “protection of societal concepts of right and wrong behaviour” (Hackett, Schwarzenbach and Jürgens, 2016, p. 35). This would include, but is not limited to, informed consent, anonymity, confidentiality, and one must also consider academic integrity, where conflicts of interest may inform researcher bias (Cottrell, 2014, p. 107).</w:t>
      </w:r>
    </w:p>
    <w:p w14:paraId="16390045" w14:textId="5D13F1C5"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Written informed consent was obtained from interview participants via a consent form and information document that interviewees were provided with ahead of the session. The documents contained an outline of the project, the location and format of the interview process and details of safeguarding including participants’ right to withdraw from the process at any time, and how their data would be stored and used. The information document also detailed the steps taken to ensure anonymity of consumer responses. A copy of the consent form can be found </w:t>
      </w:r>
      <w:r w:rsidR="008E4D44">
        <w:rPr>
          <w:rFonts w:ascii="Arial" w:eastAsiaTheme="minorHAnsi" w:hAnsi="Arial" w:cs="Arial"/>
          <w:sz w:val="24"/>
          <w:szCs w:val="24"/>
        </w:rPr>
        <w:t>in</w:t>
      </w:r>
      <w:r w:rsidRPr="00E01AE1">
        <w:rPr>
          <w:rFonts w:ascii="Arial" w:eastAsiaTheme="minorHAnsi" w:hAnsi="Arial" w:cs="Arial"/>
          <w:sz w:val="24"/>
          <w:szCs w:val="24"/>
        </w:rPr>
        <w:t xml:space="preserve"> </w:t>
      </w:r>
      <w:r w:rsidR="00D14C3E" w:rsidRPr="00AF0781">
        <w:rPr>
          <w:rFonts w:ascii="Arial" w:eastAsiaTheme="minorHAnsi" w:hAnsi="Arial" w:cs="Arial"/>
          <w:b/>
          <w:bCs/>
          <w:sz w:val="24"/>
          <w:szCs w:val="24"/>
        </w:rPr>
        <w:t xml:space="preserve">Appendix </w:t>
      </w:r>
      <w:r w:rsidR="003A3D9A">
        <w:rPr>
          <w:rFonts w:ascii="Arial" w:eastAsiaTheme="minorHAnsi" w:hAnsi="Arial" w:cs="Arial"/>
          <w:b/>
          <w:bCs/>
          <w:sz w:val="24"/>
          <w:szCs w:val="24"/>
        </w:rPr>
        <w:t>3</w:t>
      </w:r>
      <w:r w:rsidR="00AF0781">
        <w:rPr>
          <w:rFonts w:ascii="Arial" w:eastAsiaTheme="minorHAnsi" w:hAnsi="Arial" w:cs="Arial"/>
          <w:sz w:val="24"/>
          <w:szCs w:val="24"/>
        </w:rPr>
        <w:t xml:space="preserve">. </w:t>
      </w:r>
      <w:r w:rsidRPr="00E01AE1">
        <w:rPr>
          <w:rFonts w:ascii="Arial" w:eastAsiaTheme="minorHAnsi" w:hAnsi="Arial" w:cs="Arial"/>
          <w:sz w:val="24"/>
          <w:szCs w:val="24"/>
        </w:rPr>
        <w:lastRenderedPageBreak/>
        <w:t xml:space="preserve">Collected interview data was anonymised accordingly and information contained nothing of a personal nature that would identify participants. </w:t>
      </w:r>
    </w:p>
    <w:p w14:paraId="23CC22E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All personal information about registered customers was protected by Powys County Council’s data protection regulations, in line with national GDPR guidance (Powys County Council, 2022). Storage of all data was cloud-based, stored on my personal OneDrive for Business application within Powys County Council’s Microsoft Office 365 account. Data files were shared only with my dissertation supervisor, via an email link which allowed access for the recipient only.</w:t>
      </w:r>
    </w:p>
    <w:p w14:paraId="69637E2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Mitigation of bias was met through adherence to best practice guidelines in academic research (University of Wales, Trinity Saint David, 2022). </w:t>
      </w:r>
    </w:p>
    <w:p w14:paraId="28EAE17A"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The project aims and objectives did not require data from children or vulnerable adults and no ethical or logistical assessments needed be made in relation to these groups.</w:t>
      </w:r>
    </w:p>
    <w:p w14:paraId="55D8DA3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It was recognised that the COVID-19 pandemic continued to upend social norms, and due consideration was given to the ethical and logistical implications of this, as outlined by Newman et al (2021).</w:t>
      </w:r>
    </w:p>
    <w:p w14:paraId="7B384219" w14:textId="77777777" w:rsidR="00E01AE1" w:rsidRPr="00E01AE1" w:rsidRDefault="00E01AE1" w:rsidP="00CB7166">
      <w:pPr>
        <w:spacing w:after="160" w:line="480" w:lineRule="auto"/>
        <w:ind w:left="360"/>
        <w:rPr>
          <w:rFonts w:ascii="Arial" w:eastAsiaTheme="minorHAnsi" w:hAnsi="Arial" w:cs="Arial"/>
          <w:sz w:val="24"/>
          <w:szCs w:val="24"/>
        </w:rPr>
      </w:pPr>
    </w:p>
    <w:p w14:paraId="384CBC48" w14:textId="41B5AC94" w:rsidR="00E01AE1" w:rsidRPr="00E01AE1" w:rsidRDefault="00E01AE1" w:rsidP="00CB7166">
      <w:pPr>
        <w:pStyle w:val="Heading2"/>
        <w:spacing w:line="480" w:lineRule="auto"/>
        <w:rPr>
          <w:rFonts w:ascii="Arial" w:eastAsiaTheme="minorHAnsi" w:hAnsi="Arial" w:cs="Arial"/>
          <w:sz w:val="24"/>
          <w:szCs w:val="24"/>
        </w:rPr>
      </w:pPr>
      <w:bookmarkStart w:id="33" w:name="_Toc123562316"/>
      <w:r w:rsidRPr="00E01AE1">
        <w:rPr>
          <w:rFonts w:ascii="Arial" w:eastAsiaTheme="minorHAnsi" w:hAnsi="Arial" w:cs="Arial"/>
          <w:sz w:val="24"/>
          <w:szCs w:val="24"/>
        </w:rPr>
        <w:t>Limitations of the study</w:t>
      </w:r>
      <w:bookmarkEnd w:id="33"/>
    </w:p>
    <w:p w14:paraId="72DFF21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literature review was met with some limitations. Academic and professional literature on fundraising in libraries and museums was quite scarce; academic investigation into less traditional methods of fundraising activity is in its infancy, particularly in relation to income generation using new technologies (Locality, 2015, p. 58). </w:t>
      </w:r>
    </w:p>
    <w:p w14:paraId="145757B1" w14:textId="6A3ED29C"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In terms of primary research, an element of location bias was present with the interview sample, weighted towards participants in the south of Powys, due to the location of the researcher, the size of the county and difficulties with travel and time constraints. There is the potential that capturing opinion from people based further north, from more traditional, Welsh-speaking communities, would have shown some diversity from the somewhat anglicised south-based participants. Sample size also presented some limitations: public libraries and museums serve a variety of market segments whereas this research focused on the findings from a small sample of interview participants. It pr</w:t>
      </w:r>
      <w:r w:rsidR="00C54AF2">
        <w:rPr>
          <w:rFonts w:ascii="Arial" w:eastAsiaTheme="minorHAnsi" w:hAnsi="Arial" w:cs="Arial"/>
          <w:sz w:val="24"/>
          <w:szCs w:val="24"/>
        </w:rPr>
        <w:t>o</w:t>
      </w:r>
      <w:r w:rsidRPr="00E01AE1">
        <w:rPr>
          <w:rFonts w:ascii="Arial" w:eastAsiaTheme="minorHAnsi" w:hAnsi="Arial" w:cs="Arial"/>
          <w:sz w:val="24"/>
          <w:szCs w:val="24"/>
        </w:rPr>
        <w:t xml:space="preserve">vides a snapshot of customer opinion across Powys’ cultural services, and it is acknowledged that a larger sample would provide a richer source of information. </w:t>
      </w:r>
    </w:p>
    <w:p w14:paraId="75CBD42D"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Caution is advised against researcher bias and the potential for choosing sources that confirm preconceptions when conducting thematic analysis (Yin, 2016, p. 94) and whilst steps were taken to mitigate this, the researcher acknowledges that subjective, qualitative research carries this risk. </w:t>
      </w:r>
    </w:p>
    <w:p w14:paraId="42BB9FD5" w14:textId="4000FC6A" w:rsidR="00E01AE1" w:rsidRPr="00CB7166" w:rsidRDefault="00E01AE1" w:rsidP="00CB7166">
      <w:pPr>
        <w:spacing w:after="160" w:line="480" w:lineRule="auto"/>
        <w:rPr>
          <w:rFonts w:ascii="Arial" w:eastAsiaTheme="minorHAnsi" w:hAnsi="Arial" w:cs="Arial"/>
          <w:sz w:val="24"/>
          <w:szCs w:val="24"/>
        </w:rPr>
      </w:pPr>
    </w:p>
    <w:p w14:paraId="07378AAB" w14:textId="62278AED" w:rsidR="00BB195C" w:rsidRDefault="00BB195C" w:rsidP="00481076">
      <w:pPr>
        <w:pStyle w:val="Heading1"/>
        <w:rPr>
          <w:rFonts w:ascii="Arial" w:eastAsiaTheme="minorHAnsi" w:hAnsi="Arial" w:cs="Arial"/>
          <w:sz w:val="24"/>
          <w:szCs w:val="24"/>
        </w:rPr>
      </w:pPr>
      <w:bookmarkStart w:id="34" w:name="_Toc123562317"/>
      <w:r w:rsidRPr="00BB195C">
        <w:rPr>
          <w:rFonts w:ascii="Arial" w:eastAsiaTheme="minorHAnsi" w:hAnsi="Arial" w:cs="Arial"/>
          <w:sz w:val="24"/>
          <w:szCs w:val="24"/>
        </w:rPr>
        <w:t>Findings and Analysis</w:t>
      </w:r>
      <w:bookmarkEnd w:id="34"/>
    </w:p>
    <w:p w14:paraId="22098555" w14:textId="77777777" w:rsidR="00481076" w:rsidRPr="00BB195C" w:rsidRDefault="00481076" w:rsidP="00481076"/>
    <w:p w14:paraId="78CF7931" w14:textId="624CE28C" w:rsidR="00BB195C" w:rsidRPr="00481076" w:rsidRDefault="00BB195C" w:rsidP="00481076">
      <w:pPr>
        <w:pStyle w:val="Heading2"/>
        <w:rPr>
          <w:rFonts w:ascii="Arial" w:eastAsiaTheme="minorHAnsi" w:hAnsi="Arial" w:cs="Arial"/>
          <w:sz w:val="24"/>
          <w:szCs w:val="24"/>
        </w:rPr>
      </w:pPr>
      <w:bookmarkStart w:id="35" w:name="_Toc123562318"/>
      <w:r w:rsidRPr="00BB195C">
        <w:rPr>
          <w:rFonts w:ascii="Arial" w:eastAsiaTheme="minorHAnsi" w:hAnsi="Arial" w:cs="Arial"/>
          <w:sz w:val="24"/>
          <w:szCs w:val="24"/>
        </w:rPr>
        <w:t>Research setting</w:t>
      </w:r>
      <w:bookmarkEnd w:id="35"/>
    </w:p>
    <w:p w14:paraId="3A9BF871" w14:textId="77777777" w:rsidR="00481076" w:rsidRPr="00BB195C" w:rsidRDefault="00481076" w:rsidP="00481076"/>
    <w:p w14:paraId="4A693A0C" w14:textId="50108B4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series of interviews took place in October 2022, comprising 10 participants known to be museum supporters and/or library users. A purposive sampling approach was adopted, to ensure these individuals brought a relevant and important perspective to the research investigation (Robinson, 2014, p. 32). Interviewees were sought initially via email to Branch Librarians and Museum Curators across StoriPowys, with a </w:t>
      </w:r>
      <w:r w:rsidRPr="00BB195C">
        <w:rPr>
          <w:rFonts w:ascii="Arial" w:eastAsiaTheme="minorHAnsi" w:hAnsi="Arial" w:cs="Arial"/>
          <w:sz w:val="24"/>
          <w:szCs w:val="24"/>
        </w:rPr>
        <w:lastRenderedPageBreak/>
        <w:t>request that they identify and approach regular service users and supporters who may be interested in participating in the study. From the responses received, I employed a loose quota sampling strategy (Ibid, pp. 33-34), selecting participants with a range of ages and interests in our cultural services,</w:t>
      </w:r>
      <w:r w:rsidR="00C54AF2">
        <w:rPr>
          <w:rFonts w:ascii="Arial" w:eastAsiaTheme="minorHAnsi" w:hAnsi="Arial" w:cs="Arial"/>
          <w:sz w:val="24"/>
          <w:szCs w:val="24"/>
        </w:rPr>
        <w:t xml:space="preserve"> including </w:t>
      </w:r>
      <w:r w:rsidR="005C5A05">
        <w:rPr>
          <w:rFonts w:ascii="Arial" w:eastAsiaTheme="minorHAnsi" w:hAnsi="Arial" w:cs="Arial"/>
          <w:sz w:val="24"/>
          <w:szCs w:val="24"/>
        </w:rPr>
        <w:t>those with volunteer experience,</w:t>
      </w:r>
      <w:r w:rsidRPr="00BB195C">
        <w:rPr>
          <w:rFonts w:ascii="Arial" w:eastAsiaTheme="minorHAnsi" w:hAnsi="Arial" w:cs="Arial"/>
          <w:sz w:val="24"/>
          <w:szCs w:val="24"/>
        </w:rPr>
        <w:t xml:space="preserve"> to represent the broad user base of StoriPowys</w:t>
      </w:r>
      <w:r w:rsidRPr="00584673">
        <w:rPr>
          <w:rFonts w:ascii="Arial" w:eastAsiaTheme="minorHAnsi" w:hAnsi="Arial" w:cs="Arial"/>
          <w:sz w:val="24"/>
          <w:szCs w:val="24"/>
        </w:rPr>
        <w:t xml:space="preserve">. An overview of demographics and interests of selected participants can be found in </w:t>
      </w:r>
      <w:r w:rsidR="00584673" w:rsidRPr="00584673">
        <w:rPr>
          <w:rFonts w:ascii="Arial" w:eastAsiaTheme="minorHAnsi" w:hAnsi="Arial" w:cs="Arial"/>
          <w:b/>
          <w:bCs/>
          <w:sz w:val="24"/>
          <w:szCs w:val="24"/>
        </w:rPr>
        <w:t>Table 1</w:t>
      </w:r>
      <w:r w:rsidRPr="00584673">
        <w:rPr>
          <w:rFonts w:ascii="Arial" w:eastAsiaTheme="minorHAnsi" w:hAnsi="Arial" w:cs="Arial"/>
          <w:sz w:val="24"/>
          <w:szCs w:val="24"/>
        </w:rPr>
        <w:t>, below.</w:t>
      </w:r>
    </w:p>
    <w:p w14:paraId="41E4B1E8" w14:textId="77777777" w:rsidR="00BB195C" w:rsidRPr="00BB195C" w:rsidRDefault="00BB195C" w:rsidP="00CB7166">
      <w:pPr>
        <w:spacing w:after="160" w:line="480" w:lineRule="auto"/>
        <w:rPr>
          <w:rFonts w:ascii="Arial" w:eastAsiaTheme="minorHAnsi" w:hAnsi="Arial" w:cs="Arial"/>
          <w:sz w:val="24"/>
          <w:szCs w:val="24"/>
        </w:rPr>
      </w:pPr>
    </w:p>
    <w:tbl>
      <w:tblPr>
        <w:tblStyle w:val="TableGrid"/>
        <w:tblW w:w="0" w:type="auto"/>
        <w:tblLook w:val="04A0" w:firstRow="1" w:lastRow="0" w:firstColumn="1" w:lastColumn="0" w:noHBand="0" w:noVBand="1"/>
      </w:tblPr>
      <w:tblGrid>
        <w:gridCol w:w="1113"/>
        <w:gridCol w:w="590"/>
        <w:gridCol w:w="1765"/>
        <w:gridCol w:w="590"/>
        <w:gridCol w:w="2281"/>
        <w:gridCol w:w="590"/>
        <w:gridCol w:w="1391"/>
        <w:gridCol w:w="696"/>
      </w:tblGrid>
      <w:tr w:rsidR="00BB195C" w:rsidRPr="00BB195C" w14:paraId="4A9135CD" w14:textId="77777777" w:rsidTr="00DC521F">
        <w:tc>
          <w:tcPr>
            <w:tcW w:w="1137" w:type="dxa"/>
            <w:shd w:val="clear" w:color="auto" w:fill="6EA92D"/>
          </w:tcPr>
          <w:p w14:paraId="7D89D90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Age Range</w:t>
            </w:r>
          </w:p>
        </w:tc>
        <w:tc>
          <w:tcPr>
            <w:tcW w:w="557" w:type="dxa"/>
            <w:shd w:val="clear" w:color="auto" w:fill="6EA92D"/>
          </w:tcPr>
          <w:p w14:paraId="2C59151A" w14:textId="77777777" w:rsidR="00BB195C" w:rsidRPr="00BB195C" w:rsidRDefault="00BB195C" w:rsidP="00481076">
            <w:pPr>
              <w:spacing w:after="0" w:line="240" w:lineRule="auto"/>
              <w:jc w:val="center"/>
              <w:rPr>
                <w:rFonts w:ascii="Arial" w:eastAsiaTheme="minorHAnsi" w:hAnsi="Arial" w:cs="Arial"/>
                <w:sz w:val="24"/>
                <w:szCs w:val="24"/>
              </w:rPr>
            </w:pPr>
            <w:r w:rsidRPr="00BB195C">
              <w:rPr>
                <w:rFonts w:ascii="Arial" w:eastAsiaTheme="minorHAnsi" w:hAnsi="Arial" w:cs="Arial"/>
                <w:sz w:val="24"/>
                <w:szCs w:val="24"/>
              </w:rPr>
              <w:t>No.</w:t>
            </w:r>
          </w:p>
        </w:tc>
        <w:tc>
          <w:tcPr>
            <w:tcW w:w="1845" w:type="dxa"/>
            <w:shd w:val="clear" w:color="auto" w:fill="92D050"/>
          </w:tcPr>
          <w:p w14:paraId="708B5BA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Location in Powys</w:t>
            </w:r>
          </w:p>
        </w:tc>
        <w:tc>
          <w:tcPr>
            <w:tcW w:w="567" w:type="dxa"/>
            <w:shd w:val="clear" w:color="auto" w:fill="92D050"/>
          </w:tcPr>
          <w:p w14:paraId="2D476A3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2410" w:type="dxa"/>
            <w:shd w:val="clear" w:color="auto" w:fill="C4E59F"/>
          </w:tcPr>
          <w:p w14:paraId="27C265F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Area of interest</w:t>
            </w:r>
          </w:p>
        </w:tc>
        <w:tc>
          <w:tcPr>
            <w:tcW w:w="567" w:type="dxa"/>
            <w:shd w:val="clear" w:color="auto" w:fill="C4E59F"/>
          </w:tcPr>
          <w:p w14:paraId="67CEB874"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1134" w:type="dxa"/>
            <w:shd w:val="clear" w:color="auto" w:fill="D8EEC0"/>
          </w:tcPr>
          <w:p w14:paraId="008720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Volunteer experience</w:t>
            </w:r>
          </w:p>
        </w:tc>
        <w:tc>
          <w:tcPr>
            <w:tcW w:w="709" w:type="dxa"/>
            <w:shd w:val="clear" w:color="auto" w:fill="D8EEC0"/>
          </w:tcPr>
          <w:p w14:paraId="5AF3806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r>
      <w:tr w:rsidR="00BB195C" w:rsidRPr="00BB195C" w14:paraId="55F4395D" w14:textId="77777777" w:rsidTr="00DC521F">
        <w:tc>
          <w:tcPr>
            <w:tcW w:w="1137" w:type="dxa"/>
            <w:shd w:val="clear" w:color="auto" w:fill="6EA92D"/>
          </w:tcPr>
          <w:p w14:paraId="3FC9C4A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18-24</w:t>
            </w:r>
          </w:p>
        </w:tc>
        <w:tc>
          <w:tcPr>
            <w:tcW w:w="557" w:type="dxa"/>
            <w:shd w:val="clear" w:color="auto" w:fill="6EA92D"/>
          </w:tcPr>
          <w:p w14:paraId="3A890F1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845" w:type="dxa"/>
            <w:shd w:val="clear" w:color="auto" w:fill="92D050"/>
          </w:tcPr>
          <w:p w14:paraId="3714741E"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South</w:t>
            </w:r>
          </w:p>
        </w:tc>
        <w:tc>
          <w:tcPr>
            <w:tcW w:w="567" w:type="dxa"/>
            <w:shd w:val="clear" w:color="auto" w:fill="92D050"/>
          </w:tcPr>
          <w:p w14:paraId="26B774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w:t>
            </w:r>
          </w:p>
        </w:tc>
        <w:tc>
          <w:tcPr>
            <w:tcW w:w="2410" w:type="dxa"/>
            <w:shd w:val="clear" w:color="auto" w:fill="C4E59F"/>
          </w:tcPr>
          <w:p w14:paraId="66FA1EA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w:t>
            </w:r>
          </w:p>
        </w:tc>
        <w:tc>
          <w:tcPr>
            <w:tcW w:w="567" w:type="dxa"/>
            <w:shd w:val="clear" w:color="auto" w:fill="C4E59F"/>
          </w:tcPr>
          <w:p w14:paraId="24781C68"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3</w:t>
            </w:r>
          </w:p>
        </w:tc>
        <w:tc>
          <w:tcPr>
            <w:tcW w:w="1134" w:type="dxa"/>
            <w:shd w:val="clear" w:color="auto" w:fill="D8EEC0"/>
          </w:tcPr>
          <w:p w14:paraId="2EE68CC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Yes</w:t>
            </w:r>
          </w:p>
        </w:tc>
        <w:tc>
          <w:tcPr>
            <w:tcW w:w="709" w:type="dxa"/>
            <w:shd w:val="clear" w:color="auto" w:fill="D8EEC0"/>
          </w:tcPr>
          <w:p w14:paraId="5DB3CE0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3C6A69EB" w14:textId="77777777" w:rsidTr="00DC521F">
        <w:tc>
          <w:tcPr>
            <w:tcW w:w="1137" w:type="dxa"/>
            <w:shd w:val="clear" w:color="auto" w:fill="6EA92D"/>
          </w:tcPr>
          <w:p w14:paraId="1549759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25-44</w:t>
            </w:r>
          </w:p>
        </w:tc>
        <w:tc>
          <w:tcPr>
            <w:tcW w:w="557" w:type="dxa"/>
            <w:shd w:val="clear" w:color="auto" w:fill="6EA92D"/>
          </w:tcPr>
          <w:p w14:paraId="3E2FC172"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91D0BB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Mid</w:t>
            </w:r>
          </w:p>
        </w:tc>
        <w:tc>
          <w:tcPr>
            <w:tcW w:w="567" w:type="dxa"/>
            <w:shd w:val="clear" w:color="auto" w:fill="92D050"/>
          </w:tcPr>
          <w:p w14:paraId="7A57CC3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154143A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Museum</w:t>
            </w:r>
          </w:p>
        </w:tc>
        <w:tc>
          <w:tcPr>
            <w:tcW w:w="567" w:type="dxa"/>
            <w:shd w:val="clear" w:color="auto" w:fill="C4E59F"/>
          </w:tcPr>
          <w:p w14:paraId="03CE0F9B"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134" w:type="dxa"/>
            <w:shd w:val="clear" w:color="auto" w:fill="D8EEC0"/>
          </w:tcPr>
          <w:p w14:paraId="133952E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709" w:type="dxa"/>
            <w:shd w:val="clear" w:color="auto" w:fill="D8EEC0"/>
          </w:tcPr>
          <w:p w14:paraId="192F089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6F38D480" w14:textId="77777777" w:rsidTr="00DC521F">
        <w:tc>
          <w:tcPr>
            <w:tcW w:w="1137" w:type="dxa"/>
            <w:shd w:val="clear" w:color="auto" w:fill="6EA92D"/>
          </w:tcPr>
          <w:p w14:paraId="596E320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45-64</w:t>
            </w:r>
          </w:p>
        </w:tc>
        <w:tc>
          <w:tcPr>
            <w:tcW w:w="557" w:type="dxa"/>
            <w:shd w:val="clear" w:color="auto" w:fill="6EA92D"/>
          </w:tcPr>
          <w:p w14:paraId="73818E87"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C45D16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North</w:t>
            </w:r>
          </w:p>
        </w:tc>
        <w:tc>
          <w:tcPr>
            <w:tcW w:w="567" w:type="dxa"/>
            <w:shd w:val="clear" w:color="auto" w:fill="92D050"/>
          </w:tcPr>
          <w:p w14:paraId="2D7EEF6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79B20DF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 and Museums</w:t>
            </w:r>
          </w:p>
        </w:tc>
        <w:tc>
          <w:tcPr>
            <w:tcW w:w="567" w:type="dxa"/>
            <w:shd w:val="clear" w:color="auto" w:fill="C4E59F"/>
          </w:tcPr>
          <w:p w14:paraId="3ECF9421"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w:t>
            </w:r>
          </w:p>
        </w:tc>
        <w:tc>
          <w:tcPr>
            <w:tcW w:w="1134" w:type="dxa"/>
            <w:shd w:val="clear" w:color="auto" w:fill="D8EEC0"/>
          </w:tcPr>
          <w:p w14:paraId="3C727B26"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0EEB2D62" w14:textId="77777777" w:rsidR="00BB195C" w:rsidRPr="00BB195C" w:rsidRDefault="00BB195C" w:rsidP="00481076">
            <w:pPr>
              <w:spacing w:after="0" w:line="240" w:lineRule="auto"/>
              <w:rPr>
                <w:rFonts w:ascii="Arial" w:eastAsiaTheme="minorHAnsi" w:hAnsi="Arial" w:cs="Arial"/>
                <w:sz w:val="24"/>
                <w:szCs w:val="24"/>
              </w:rPr>
            </w:pPr>
          </w:p>
        </w:tc>
      </w:tr>
      <w:tr w:rsidR="00BB195C" w:rsidRPr="00BB195C" w14:paraId="7696DC51" w14:textId="77777777" w:rsidTr="00DC521F">
        <w:tc>
          <w:tcPr>
            <w:tcW w:w="1137" w:type="dxa"/>
            <w:shd w:val="clear" w:color="auto" w:fill="6EA92D"/>
          </w:tcPr>
          <w:p w14:paraId="723D32C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65+</w:t>
            </w:r>
          </w:p>
        </w:tc>
        <w:tc>
          <w:tcPr>
            <w:tcW w:w="557" w:type="dxa"/>
            <w:shd w:val="clear" w:color="auto" w:fill="6EA92D"/>
          </w:tcPr>
          <w:p w14:paraId="30D1D4E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c>
          <w:tcPr>
            <w:tcW w:w="1845" w:type="dxa"/>
            <w:shd w:val="clear" w:color="auto" w:fill="92D050"/>
          </w:tcPr>
          <w:p w14:paraId="7CE2AA2A"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92D050"/>
          </w:tcPr>
          <w:p w14:paraId="1EA70931" w14:textId="77777777" w:rsidR="00BB195C" w:rsidRPr="00BB195C" w:rsidRDefault="00BB195C" w:rsidP="00481076">
            <w:pPr>
              <w:spacing w:after="0" w:line="240" w:lineRule="auto"/>
              <w:rPr>
                <w:rFonts w:ascii="Arial" w:eastAsiaTheme="minorHAnsi" w:hAnsi="Arial" w:cs="Arial"/>
                <w:sz w:val="24"/>
                <w:szCs w:val="24"/>
              </w:rPr>
            </w:pPr>
          </w:p>
        </w:tc>
        <w:tc>
          <w:tcPr>
            <w:tcW w:w="2410" w:type="dxa"/>
            <w:shd w:val="clear" w:color="auto" w:fill="C4E59F"/>
          </w:tcPr>
          <w:p w14:paraId="09186110"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C4E59F"/>
          </w:tcPr>
          <w:p w14:paraId="07506880" w14:textId="77777777" w:rsidR="00BB195C" w:rsidRPr="00BB195C" w:rsidRDefault="00BB195C" w:rsidP="00481076">
            <w:pPr>
              <w:spacing w:after="0" w:line="240" w:lineRule="auto"/>
              <w:rPr>
                <w:rFonts w:ascii="Arial" w:eastAsiaTheme="minorHAnsi" w:hAnsi="Arial" w:cs="Arial"/>
                <w:sz w:val="24"/>
                <w:szCs w:val="24"/>
              </w:rPr>
            </w:pPr>
          </w:p>
        </w:tc>
        <w:tc>
          <w:tcPr>
            <w:tcW w:w="1134" w:type="dxa"/>
            <w:shd w:val="clear" w:color="auto" w:fill="D8EEC0"/>
          </w:tcPr>
          <w:p w14:paraId="32C5A721"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63A97268" w14:textId="77777777" w:rsidR="00BB195C" w:rsidRPr="00BB195C" w:rsidRDefault="00BB195C" w:rsidP="00481076">
            <w:pPr>
              <w:spacing w:after="0" w:line="240" w:lineRule="auto"/>
              <w:rPr>
                <w:rFonts w:ascii="Arial" w:eastAsiaTheme="minorHAnsi" w:hAnsi="Arial" w:cs="Arial"/>
                <w:sz w:val="24"/>
                <w:szCs w:val="24"/>
              </w:rPr>
            </w:pPr>
          </w:p>
        </w:tc>
      </w:tr>
    </w:tbl>
    <w:p w14:paraId="148EF5C8" w14:textId="77777777" w:rsidR="00BB195C" w:rsidRPr="00BB195C" w:rsidRDefault="00BB195C" w:rsidP="00CB7166">
      <w:pPr>
        <w:spacing w:after="160" w:line="480" w:lineRule="auto"/>
        <w:rPr>
          <w:rFonts w:ascii="Arial" w:eastAsiaTheme="minorHAnsi" w:hAnsi="Arial" w:cs="Arial"/>
          <w:sz w:val="24"/>
          <w:szCs w:val="24"/>
        </w:rPr>
      </w:pPr>
    </w:p>
    <w:p w14:paraId="4EBD4AF7" w14:textId="0770813D" w:rsidR="005147A5" w:rsidRPr="005147A5" w:rsidRDefault="005147A5" w:rsidP="005147A5">
      <w:pPr>
        <w:pStyle w:val="Caption"/>
        <w:keepNext/>
        <w:rPr>
          <w:rFonts w:ascii="Arial" w:hAnsi="Arial" w:cs="Arial"/>
        </w:rPr>
      </w:pPr>
      <w:bookmarkStart w:id="36" w:name="_Ref123560523"/>
      <w:r w:rsidRPr="005147A5">
        <w:rPr>
          <w:rFonts w:ascii="Arial" w:hAnsi="Arial" w:cs="Arial"/>
        </w:rPr>
        <w:t xml:space="preserve">Table </w:t>
      </w:r>
      <w:r w:rsidRPr="005147A5">
        <w:rPr>
          <w:rFonts w:ascii="Arial" w:hAnsi="Arial" w:cs="Arial"/>
        </w:rPr>
        <w:fldChar w:fldCharType="begin"/>
      </w:r>
      <w:r w:rsidRPr="005147A5">
        <w:rPr>
          <w:rFonts w:ascii="Arial" w:hAnsi="Arial" w:cs="Arial"/>
        </w:rPr>
        <w:instrText xml:space="preserve"> SEQ Table \* ARABIC </w:instrText>
      </w:r>
      <w:r w:rsidRPr="005147A5">
        <w:rPr>
          <w:rFonts w:ascii="Arial" w:hAnsi="Arial" w:cs="Arial"/>
        </w:rPr>
        <w:fldChar w:fldCharType="separate"/>
      </w:r>
      <w:r w:rsidRPr="005147A5">
        <w:rPr>
          <w:rFonts w:ascii="Arial" w:hAnsi="Arial" w:cs="Arial"/>
          <w:noProof/>
        </w:rPr>
        <w:t>1</w:t>
      </w:r>
      <w:r w:rsidRPr="005147A5">
        <w:rPr>
          <w:rFonts w:ascii="Arial" w:hAnsi="Arial" w:cs="Arial"/>
        </w:rPr>
        <w:fldChar w:fldCharType="end"/>
      </w:r>
      <w:r w:rsidRPr="005147A5">
        <w:rPr>
          <w:rFonts w:ascii="Arial" w:hAnsi="Arial" w:cs="Arial"/>
        </w:rPr>
        <w:t>, Overview of participants' demographics and interests.</w:t>
      </w:r>
      <w:bookmarkEnd w:id="36"/>
    </w:p>
    <w:p w14:paraId="021AB58A" w14:textId="77777777" w:rsidR="005147A5" w:rsidRPr="005147A5" w:rsidRDefault="005147A5" w:rsidP="005147A5"/>
    <w:p w14:paraId="49F1BABF" w14:textId="34C8DF91"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Potential interviewees were contacted with further information regarding the research, including details of anonymity, ethical considerations, data protection, and interview arrangements. A copy of the Interview Consent Form that was shared with participants can be found in </w:t>
      </w:r>
      <w:r w:rsidR="005C7DBF" w:rsidRPr="005C7DBF">
        <w:rPr>
          <w:rFonts w:ascii="Arial" w:eastAsiaTheme="minorHAnsi" w:hAnsi="Arial" w:cs="Arial"/>
          <w:b/>
          <w:bCs/>
          <w:sz w:val="24"/>
          <w:szCs w:val="24"/>
        </w:rPr>
        <w:t>Appendix 3</w:t>
      </w:r>
      <w:r w:rsidRPr="00BB195C">
        <w:rPr>
          <w:rFonts w:ascii="Arial" w:eastAsiaTheme="minorHAnsi" w:hAnsi="Arial" w:cs="Arial"/>
          <w:sz w:val="24"/>
          <w:szCs w:val="24"/>
        </w:rPr>
        <w:t xml:space="preserve">. </w:t>
      </w:r>
    </w:p>
    <w:p w14:paraId="59960F92" w14:textId="007043E9" w:rsidR="00BB195C" w:rsidRDefault="00BB195C" w:rsidP="00481076">
      <w:pPr>
        <w:pStyle w:val="Heading2"/>
        <w:rPr>
          <w:rFonts w:ascii="Arial" w:eastAsiaTheme="minorHAnsi" w:hAnsi="Arial" w:cs="Arial"/>
          <w:sz w:val="24"/>
          <w:szCs w:val="24"/>
        </w:rPr>
      </w:pPr>
      <w:bookmarkStart w:id="37" w:name="_Toc123562319"/>
      <w:r w:rsidRPr="00BB195C">
        <w:rPr>
          <w:rFonts w:ascii="Arial" w:eastAsiaTheme="minorHAnsi" w:hAnsi="Arial" w:cs="Arial"/>
          <w:sz w:val="24"/>
          <w:szCs w:val="24"/>
        </w:rPr>
        <w:t>Data collection</w:t>
      </w:r>
      <w:bookmarkEnd w:id="37"/>
    </w:p>
    <w:p w14:paraId="6DE9E382" w14:textId="77777777" w:rsidR="00481076" w:rsidRPr="00BB195C" w:rsidRDefault="00481076" w:rsidP="00481076"/>
    <w:p w14:paraId="6CE03A3D" w14:textId="0D47C780" w:rsid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sz w:val="24"/>
          <w:szCs w:val="24"/>
        </w:rPr>
        <w:t>A 10-question, semi-structured interview (</w:t>
      </w:r>
      <w:r w:rsidR="007A4477" w:rsidRPr="007A4477">
        <w:rPr>
          <w:rFonts w:ascii="Arial" w:eastAsiaTheme="minorHAnsi" w:hAnsi="Arial" w:cs="Arial"/>
          <w:b/>
          <w:bCs/>
          <w:sz w:val="24"/>
          <w:szCs w:val="24"/>
        </w:rPr>
        <w:t>Appendix 1</w:t>
      </w:r>
      <w:r w:rsidRPr="00BB195C">
        <w:rPr>
          <w:rFonts w:ascii="Arial" w:eastAsiaTheme="minorHAnsi" w:hAnsi="Arial" w:cs="Arial"/>
          <w:sz w:val="24"/>
          <w:szCs w:val="24"/>
        </w:rPr>
        <w:t xml:space="preserve">) was used as a data collection tool, and questions were formulated using findings from the literature review regarding successful income generation activities in the cultural sector worldwide. The aim of these interviews was to answer research question 5: </w:t>
      </w:r>
      <w:r w:rsidRPr="00BB195C">
        <w:rPr>
          <w:rFonts w:ascii="Arial" w:eastAsiaTheme="minorHAnsi" w:hAnsi="Arial" w:cs="Arial"/>
          <w:color w:val="000000" w:themeColor="text1"/>
          <w:sz w:val="24"/>
          <w:szCs w:val="24"/>
        </w:rPr>
        <w:t xml:space="preserve">What is the appetite for, and feasibility of, implementing these successful initiatives in Powys? Interviews </w:t>
      </w:r>
      <w:r w:rsidRPr="00BB195C">
        <w:rPr>
          <w:rFonts w:ascii="Arial" w:eastAsiaTheme="minorHAnsi" w:hAnsi="Arial" w:cs="Arial"/>
          <w:color w:val="000000" w:themeColor="text1"/>
          <w:sz w:val="24"/>
          <w:szCs w:val="24"/>
        </w:rPr>
        <w:lastRenderedPageBreak/>
        <w:t>were conducted at library and museum sites over a 2-week period, according to the preference of the participant. Conversations were conducted in private meeting area, where all interviews were recorded, then transcribed at a later date.</w:t>
      </w:r>
      <w:r w:rsidR="000E1DF3">
        <w:rPr>
          <w:rFonts w:ascii="Arial" w:eastAsiaTheme="minorHAnsi" w:hAnsi="Arial" w:cs="Arial"/>
          <w:color w:val="000000" w:themeColor="text1"/>
          <w:sz w:val="24"/>
          <w:szCs w:val="24"/>
        </w:rPr>
        <w:t xml:space="preserve"> </w:t>
      </w:r>
    </w:p>
    <w:p w14:paraId="15BD3B37" w14:textId="07809E09" w:rsidR="000E1DF3" w:rsidRPr="00BB195C" w:rsidRDefault="009B7677" w:rsidP="00CB7166">
      <w:pPr>
        <w:spacing w:after="160" w:line="480" w:lineRule="auto"/>
        <w:rPr>
          <w:rFonts w:ascii="Arial" w:eastAsiaTheme="minorHAnsi" w:hAnsi="Arial" w:cs="Arial"/>
          <w:color w:val="000000" w:themeColor="text1"/>
          <w:sz w:val="24"/>
          <w:szCs w:val="24"/>
        </w:rPr>
      </w:pPr>
      <w:r>
        <w:rPr>
          <w:rFonts w:ascii="Arial" w:eastAsiaTheme="minorHAnsi" w:hAnsi="Arial" w:cs="Arial"/>
          <w:color w:val="000000" w:themeColor="text1"/>
          <w:sz w:val="24"/>
          <w:szCs w:val="24"/>
        </w:rPr>
        <w:t xml:space="preserve">To ensure </w:t>
      </w:r>
      <w:r w:rsidR="00304A17">
        <w:rPr>
          <w:rFonts w:ascii="Arial" w:eastAsiaTheme="minorHAnsi" w:hAnsi="Arial" w:cs="Arial"/>
          <w:color w:val="000000" w:themeColor="text1"/>
          <w:sz w:val="24"/>
          <w:szCs w:val="24"/>
        </w:rPr>
        <w:t xml:space="preserve">anonymity, all ten participants </w:t>
      </w:r>
      <w:r>
        <w:rPr>
          <w:rFonts w:ascii="Arial" w:eastAsiaTheme="minorHAnsi" w:hAnsi="Arial" w:cs="Arial"/>
          <w:color w:val="000000" w:themeColor="text1"/>
          <w:sz w:val="24"/>
          <w:szCs w:val="24"/>
        </w:rPr>
        <w:t>were</w:t>
      </w:r>
      <w:r w:rsidR="00304A17">
        <w:rPr>
          <w:rFonts w:ascii="Arial" w:eastAsiaTheme="minorHAnsi" w:hAnsi="Arial" w:cs="Arial"/>
          <w:color w:val="000000" w:themeColor="text1"/>
          <w:sz w:val="24"/>
          <w:szCs w:val="24"/>
        </w:rPr>
        <w:t xml:space="preserve"> allocated an assumed name, and q</w:t>
      </w:r>
      <w:r w:rsidR="000E1DF3" w:rsidRPr="000E1DF3">
        <w:rPr>
          <w:rFonts w:ascii="Arial" w:eastAsiaTheme="minorHAnsi" w:hAnsi="Arial" w:cs="Arial"/>
          <w:color w:val="000000" w:themeColor="text1"/>
          <w:sz w:val="24"/>
          <w:szCs w:val="24"/>
        </w:rPr>
        <w:t>uotations are followed by participant identifier</w:t>
      </w:r>
      <w:r w:rsidR="00304A17">
        <w:rPr>
          <w:rFonts w:ascii="Arial" w:eastAsiaTheme="minorHAnsi" w:hAnsi="Arial" w:cs="Arial"/>
          <w:color w:val="000000" w:themeColor="text1"/>
          <w:sz w:val="24"/>
          <w:szCs w:val="24"/>
        </w:rPr>
        <w:t xml:space="preserve"> from </w:t>
      </w:r>
      <w:r w:rsidR="00AC32B4">
        <w:rPr>
          <w:rFonts w:ascii="Arial" w:eastAsiaTheme="minorHAnsi" w:hAnsi="Arial" w:cs="Arial"/>
          <w:color w:val="000000" w:themeColor="text1"/>
          <w:sz w:val="24"/>
          <w:szCs w:val="24"/>
        </w:rPr>
        <w:t xml:space="preserve">A-J </w:t>
      </w:r>
      <w:r w:rsidR="00304A17">
        <w:rPr>
          <w:rFonts w:ascii="Arial" w:eastAsiaTheme="minorHAnsi" w:hAnsi="Arial" w:cs="Arial"/>
          <w:color w:val="000000" w:themeColor="text1"/>
          <w:sz w:val="24"/>
          <w:szCs w:val="24"/>
        </w:rPr>
        <w:t>(Participant A, Participant B, etc.)</w:t>
      </w:r>
      <w:r w:rsidR="000E1DF3" w:rsidRPr="000E1DF3">
        <w:rPr>
          <w:rFonts w:ascii="Arial" w:eastAsiaTheme="minorHAnsi" w:hAnsi="Arial" w:cs="Arial"/>
          <w:color w:val="000000" w:themeColor="text1"/>
          <w:sz w:val="24"/>
          <w:szCs w:val="24"/>
        </w:rPr>
        <w:t xml:space="preserve">. </w:t>
      </w:r>
    </w:p>
    <w:p w14:paraId="638DDF39" w14:textId="1A5646B0" w:rsidR="004D2F07" w:rsidRPr="00BB195C" w:rsidRDefault="004D2F07" w:rsidP="004D2F07">
      <w:pPr>
        <w:pStyle w:val="Heading2"/>
        <w:rPr>
          <w:rFonts w:ascii="Arial" w:eastAsiaTheme="minorHAnsi" w:hAnsi="Arial" w:cs="Arial"/>
          <w:sz w:val="24"/>
          <w:szCs w:val="24"/>
        </w:rPr>
      </w:pPr>
      <w:bookmarkStart w:id="38" w:name="_Toc123562320"/>
      <w:r>
        <w:rPr>
          <w:rFonts w:ascii="Arial" w:eastAsiaTheme="minorHAnsi" w:hAnsi="Arial" w:cs="Arial"/>
          <w:sz w:val="24"/>
          <w:szCs w:val="24"/>
        </w:rPr>
        <w:t>Data Analysis</w:t>
      </w:r>
      <w:bookmarkEnd w:id="38"/>
    </w:p>
    <w:p w14:paraId="75516681" w14:textId="77777777" w:rsidR="00CF03F5" w:rsidRPr="00BB195C" w:rsidRDefault="00CF03F5" w:rsidP="00CF03F5"/>
    <w:p w14:paraId="06F8EF92" w14:textId="1801EC76"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color w:val="000000" w:themeColor="text1"/>
          <w:sz w:val="24"/>
          <w:szCs w:val="24"/>
        </w:rPr>
        <w:t xml:space="preserve">Raw data transcriptions were examined using inductive, thematic analysis, following a process of six phases as outlined by Braun and Clarke (2006, </w:t>
      </w:r>
      <w:r w:rsidRPr="002D1067">
        <w:rPr>
          <w:rFonts w:ascii="Arial" w:eastAsiaTheme="minorHAnsi" w:hAnsi="Arial" w:cs="Arial"/>
          <w:color w:val="000000" w:themeColor="text1"/>
          <w:sz w:val="24"/>
          <w:szCs w:val="24"/>
        </w:rPr>
        <w:t>p.</w:t>
      </w:r>
      <w:r w:rsidR="002D1067" w:rsidRPr="002D1067">
        <w:rPr>
          <w:rFonts w:ascii="Arial" w:eastAsiaTheme="minorHAnsi" w:hAnsi="Arial" w:cs="Arial"/>
          <w:color w:val="000000" w:themeColor="text1"/>
          <w:sz w:val="24"/>
          <w:szCs w:val="24"/>
        </w:rPr>
        <w:t xml:space="preserve"> 87</w:t>
      </w:r>
      <w:r w:rsidRPr="002D1067">
        <w:rPr>
          <w:rFonts w:ascii="Arial" w:eastAsiaTheme="minorHAnsi" w:hAnsi="Arial" w:cs="Arial"/>
          <w:color w:val="000000" w:themeColor="text1"/>
          <w:sz w:val="24"/>
          <w:szCs w:val="24"/>
        </w:rPr>
        <w:t>).</w:t>
      </w:r>
      <w:r w:rsidRPr="00BB195C">
        <w:rPr>
          <w:rFonts w:ascii="Arial" w:eastAsiaTheme="minorHAnsi" w:hAnsi="Arial" w:cs="Arial"/>
          <w:color w:val="000000" w:themeColor="text1"/>
          <w:sz w:val="24"/>
          <w:szCs w:val="24"/>
        </w:rPr>
        <w:t xml:space="preserve">  Detailed read-throughs of each interview transcript preceded the coding and categorisation of data as patterns emerged during more detailed analysis. </w:t>
      </w:r>
      <w:r w:rsidR="002D1067">
        <w:rPr>
          <w:rFonts w:ascii="Arial" w:eastAsiaTheme="minorHAnsi" w:hAnsi="Arial" w:cs="Arial"/>
          <w:color w:val="000000" w:themeColor="text1"/>
          <w:sz w:val="24"/>
          <w:szCs w:val="24"/>
        </w:rPr>
        <w:t>A</w:t>
      </w:r>
      <w:r w:rsidR="000706B0">
        <w:rPr>
          <w:rFonts w:ascii="Arial" w:eastAsiaTheme="minorHAnsi" w:hAnsi="Arial" w:cs="Arial"/>
          <w:color w:val="000000" w:themeColor="text1"/>
          <w:sz w:val="24"/>
          <w:szCs w:val="24"/>
        </w:rPr>
        <w:t>n overview of c</w:t>
      </w:r>
      <w:r w:rsidRPr="00BB195C">
        <w:rPr>
          <w:rFonts w:ascii="Arial" w:eastAsiaTheme="minorHAnsi" w:hAnsi="Arial" w:cs="Arial"/>
          <w:color w:val="000000" w:themeColor="text1"/>
          <w:sz w:val="24"/>
          <w:szCs w:val="24"/>
        </w:rPr>
        <w:t xml:space="preserve">odes and categories </w:t>
      </w:r>
      <w:r w:rsidR="002D1067">
        <w:rPr>
          <w:rFonts w:ascii="Arial" w:eastAsiaTheme="minorHAnsi" w:hAnsi="Arial" w:cs="Arial"/>
          <w:color w:val="000000" w:themeColor="text1"/>
          <w:sz w:val="24"/>
          <w:szCs w:val="24"/>
        </w:rPr>
        <w:t xml:space="preserve">generated from the data </w:t>
      </w:r>
      <w:r w:rsidR="00BA1F56">
        <w:rPr>
          <w:rFonts w:ascii="Arial" w:eastAsiaTheme="minorHAnsi" w:hAnsi="Arial" w:cs="Arial"/>
          <w:color w:val="000000" w:themeColor="text1"/>
          <w:sz w:val="24"/>
          <w:szCs w:val="24"/>
        </w:rPr>
        <w:t>in relation to the questions posed</w:t>
      </w:r>
      <w:r w:rsidR="002673C6">
        <w:rPr>
          <w:rFonts w:ascii="Arial" w:eastAsiaTheme="minorHAnsi" w:hAnsi="Arial" w:cs="Arial"/>
          <w:color w:val="000000" w:themeColor="text1"/>
          <w:sz w:val="24"/>
          <w:szCs w:val="24"/>
        </w:rPr>
        <w:t xml:space="preserve"> can be found in </w:t>
      </w:r>
      <w:r w:rsidR="002673C6" w:rsidRPr="002673C6">
        <w:rPr>
          <w:rFonts w:ascii="Arial" w:eastAsiaTheme="minorHAnsi" w:hAnsi="Arial" w:cs="Arial"/>
          <w:b/>
          <w:bCs/>
          <w:color w:val="000000" w:themeColor="text1"/>
          <w:sz w:val="24"/>
          <w:szCs w:val="24"/>
        </w:rPr>
        <w:t>Appendix 4</w:t>
      </w:r>
      <w:r w:rsidR="002673C6">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 xml:space="preserve"> </w:t>
      </w:r>
      <w:r w:rsidR="00A21B9F">
        <w:rPr>
          <w:rFonts w:ascii="Arial" w:eastAsiaTheme="minorHAnsi" w:hAnsi="Arial" w:cs="Arial"/>
          <w:color w:val="000000" w:themeColor="text1"/>
          <w:sz w:val="24"/>
          <w:szCs w:val="24"/>
        </w:rPr>
        <w:t>An online</w:t>
      </w:r>
      <w:r w:rsidRPr="00BB195C">
        <w:rPr>
          <w:rFonts w:ascii="Arial" w:eastAsiaTheme="minorHAnsi" w:hAnsi="Arial" w:cs="Arial"/>
          <w:color w:val="000000" w:themeColor="text1"/>
          <w:sz w:val="24"/>
          <w:szCs w:val="24"/>
        </w:rPr>
        <w:t xml:space="preserve"> word cloud </w:t>
      </w:r>
      <w:r w:rsidR="0011424D">
        <w:rPr>
          <w:rFonts w:ascii="Arial" w:eastAsiaTheme="minorHAnsi" w:hAnsi="Arial" w:cs="Arial"/>
          <w:color w:val="000000" w:themeColor="text1"/>
          <w:sz w:val="24"/>
          <w:szCs w:val="24"/>
        </w:rPr>
        <w:t xml:space="preserve">generator was used to produce the </w:t>
      </w:r>
      <w:r w:rsidR="00A21B9F">
        <w:rPr>
          <w:rFonts w:ascii="Arial" w:eastAsiaTheme="minorHAnsi" w:hAnsi="Arial" w:cs="Arial"/>
          <w:color w:val="000000" w:themeColor="text1"/>
          <w:sz w:val="24"/>
          <w:szCs w:val="24"/>
        </w:rPr>
        <w:t xml:space="preserve">diagram below </w:t>
      </w:r>
      <w:r w:rsidRPr="00BB195C">
        <w:rPr>
          <w:rFonts w:ascii="Arial" w:eastAsiaTheme="minorHAnsi" w:hAnsi="Arial" w:cs="Arial"/>
          <w:color w:val="000000" w:themeColor="text1"/>
          <w:sz w:val="24"/>
          <w:szCs w:val="24"/>
        </w:rPr>
        <w:t>(</w:t>
      </w:r>
      <w:r w:rsidR="002673C6" w:rsidRPr="002673C6">
        <w:rPr>
          <w:rFonts w:ascii="Arial" w:eastAsiaTheme="minorHAnsi" w:hAnsi="Arial" w:cs="Arial"/>
          <w:b/>
          <w:bCs/>
          <w:color w:val="000000" w:themeColor="text1"/>
          <w:sz w:val="24"/>
          <w:szCs w:val="24"/>
        </w:rPr>
        <w:t>Figure 2</w:t>
      </w:r>
      <w:r w:rsidRPr="00BB195C">
        <w:rPr>
          <w:rFonts w:ascii="Arial" w:eastAsiaTheme="minorHAnsi" w:hAnsi="Arial" w:cs="Arial"/>
          <w:color w:val="000000" w:themeColor="text1"/>
          <w:sz w:val="24"/>
          <w:szCs w:val="24"/>
        </w:rPr>
        <w:t>)</w:t>
      </w:r>
      <w:r w:rsidR="00A21B9F">
        <w:rPr>
          <w:rFonts w:ascii="Arial" w:eastAsiaTheme="minorHAnsi" w:hAnsi="Arial" w:cs="Arial"/>
          <w:color w:val="000000" w:themeColor="text1"/>
          <w:sz w:val="24"/>
          <w:szCs w:val="24"/>
        </w:rPr>
        <w:t xml:space="preserve">. </w:t>
      </w:r>
      <w:r w:rsidR="00F05347">
        <w:rPr>
          <w:rFonts w:ascii="Arial" w:eastAsiaTheme="minorHAnsi" w:hAnsi="Arial" w:cs="Arial"/>
          <w:color w:val="000000" w:themeColor="text1"/>
          <w:sz w:val="24"/>
          <w:szCs w:val="24"/>
        </w:rPr>
        <w:t>Coded text</w:t>
      </w:r>
      <w:r w:rsidRPr="00BB195C">
        <w:rPr>
          <w:rFonts w:ascii="Arial" w:eastAsiaTheme="minorHAnsi" w:hAnsi="Arial" w:cs="Arial"/>
          <w:color w:val="000000" w:themeColor="text1"/>
          <w:sz w:val="24"/>
          <w:szCs w:val="24"/>
        </w:rPr>
        <w:t xml:space="preserve"> </w:t>
      </w:r>
      <w:r w:rsidR="00BF21B7">
        <w:rPr>
          <w:rFonts w:ascii="Arial" w:eastAsiaTheme="minorHAnsi" w:hAnsi="Arial" w:cs="Arial"/>
          <w:color w:val="000000" w:themeColor="text1"/>
          <w:sz w:val="24"/>
          <w:szCs w:val="24"/>
        </w:rPr>
        <w:t xml:space="preserve">was input </w:t>
      </w:r>
      <w:r w:rsidR="00306DDE">
        <w:rPr>
          <w:rFonts w:ascii="Arial" w:eastAsiaTheme="minorHAnsi" w:hAnsi="Arial" w:cs="Arial"/>
          <w:color w:val="000000" w:themeColor="text1"/>
          <w:sz w:val="24"/>
          <w:szCs w:val="24"/>
        </w:rPr>
        <w:t>to generate the image</w:t>
      </w:r>
      <w:r w:rsidR="00BF21B7">
        <w:rPr>
          <w:rFonts w:ascii="Arial" w:eastAsiaTheme="minorHAnsi" w:hAnsi="Arial" w:cs="Arial"/>
          <w:color w:val="000000" w:themeColor="text1"/>
          <w:sz w:val="24"/>
          <w:szCs w:val="24"/>
        </w:rPr>
        <w:t xml:space="preserve">, </w:t>
      </w:r>
      <w:r w:rsidR="00154F1B">
        <w:rPr>
          <w:rFonts w:ascii="Arial" w:eastAsiaTheme="minorHAnsi" w:hAnsi="Arial" w:cs="Arial"/>
          <w:color w:val="000000" w:themeColor="text1"/>
          <w:sz w:val="24"/>
          <w:szCs w:val="24"/>
        </w:rPr>
        <w:t>and the predominan</w:t>
      </w:r>
      <w:r w:rsidR="000557DF">
        <w:rPr>
          <w:rFonts w:ascii="Arial" w:eastAsiaTheme="minorHAnsi" w:hAnsi="Arial" w:cs="Arial"/>
          <w:color w:val="000000" w:themeColor="text1"/>
          <w:sz w:val="24"/>
          <w:szCs w:val="24"/>
        </w:rPr>
        <w:t>tly visible words</w:t>
      </w:r>
      <w:r w:rsidR="00982F1E">
        <w:rPr>
          <w:rFonts w:ascii="Arial" w:eastAsiaTheme="minorHAnsi" w:hAnsi="Arial" w:cs="Arial"/>
          <w:color w:val="000000" w:themeColor="text1"/>
          <w:sz w:val="24"/>
          <w:szCs w:val="24"/>
        </w:rPr>
        <w:t xml:space="preserve"> help</w:t>
      </w:r>
      <w:r w:rsidR="005D5EFC">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illustra</w:t>
      </w:r>
      <w:r w:rsidR="000557DF">
        <w:rPr>
          <w:rFonts w:ascii="Arial" w:eastAsiaTheme="minorHAnsi" w:hAnsi="Arial" w:cs="Arial"/>
          <w:color w:val="000000" w:themeColor="text1"/>
          <w:sz w:val="24"/>
          <w:szCs w:val="24"/>
        </w:rPr>
        <w:t>te</w:t>
      </w:r>
      <w:r w:rsidRPr="00BB195C">
        <w:rPr>
          <w:rFonts w:ascii="Arial" w:eastAsiaTheme="minorHAnsi" w:hAnsi="Arial" w:cs="Arial"/>
          <w:color w:val="000000" w:themeColor="text1"/>
          <w:sz w:val="24"/>
          <w:szCs w:val="24"/>
        </w:rPr>
        <w:t xml:space="preserve"> the emergence of patterns within the data, </w:t>
      </w:r>
      <w:r w:rsidR="00982F1E">
        <w:rPr>
          <w:rFonts w:ascii="Arial" w:eastAsiaTheme="minorHAnsi" w:hAnsi="Arial" w:cs="Arial"/>
          <w:color w:val="000000" w:themeColor="text1"/>
          <w:sz w:val="24"/>
          <w:szCs w:val="24"/>
        </w:rPr>
        <w:t>as</w:t>
      </w:r>
      <w:r w:rsidRPr="00BB195C">
        <w:rPr>
          <w:rFonts w:ascii="Arial" w:eastAsiaTheme="minorHAnsi" w:hAnsi="Arial" w:cs="Arial"/>
          <w:color w:val="000000" w:themeColor="text1"/>
          <w:sz w:val="24"/>
          <w:szCs w:val="24"/>
        </w:rPr>
        <w:t xml:space="preserve"> specific themes bec</w:t>
      </w:r>
      <w:r w:rsidR="00982F1E">
        <w:rPr>
          <w:rFonts w:ascii="Arial" w:eastAsiaTheme="minorHAnsi" w:hAnsi="Arial" w:cs="Arial"/>
          <w:color w:val="000000" w:themeColor="text1"/>
          <w:sz w:val="24"/>
          <w:szCs w:val="24"/>
        </w:rPr>
        <w:t>o</w:t>
      </w:r>
      <w:r w:rsidRPr="00BB195C">
        <w:rPr>
          <w:rFonts w:ascii="Arial" w:eastAsiaTheme="minorHAnsi" w:hAnsi="Arial" w:cs="Arial"/>
          <w:color w:val="000000" w:themeColor="text1"/>
          <w:sz w:val="24"/>
          <w:szCs w:val="24"/>
        </w:rPr>
        <w:t xml:space="preserve">me apparent. </w:t>
      </w:r>
    </w:p>
    <w:p w14:paraId="170B7A66" w14:textId="77777777" w:rsidR="00BB195C" w:rsidRPr="00BB195C" w:rsidRDefault="00BB195C" w:rsidP="00CB7166">
      <w:pPr>
        <w:spacing w:after="160" w:line="480" w:lineRule="auto"/>
        <w:rPr>
          <w:rFonts w:ascii="Arial" w:eastAsiaTheme="minorHAnsi" w:hAnsi="Arial" w:cs="Arial"/>
          <w:color w:val="000000" w:themeColor="text1"/>
          <w:sz w:val="24"/>
          <w:szCs w:val="24"/>
        </w:rPr>
      </w:pPr>
    </w:p>
    <w:p w14:paraId="2E636409" w14:textId="77777777"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noProof/>
          <w:sz w:val="24"/>
          <w:szCs w:val="24"/>
        </w:rPr>
        <w:lastRenderedPageBreak/>
        <w:drawing>
          <wp:inline distT="0" distB="0" distL="0" distR="0" wp14:anchorId="13DD002A" wp14:editId="205C0E65">
            <wp:extent cx="4819650" cy="2428875"/>
            <wp:effectExtent l="0" t="0" r="0" b="952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808" t="4413" r="7102" b="15212"/>
                    <a:stretch/>
                  </pic:blipFill>
                  <pic:spPr bwMode="auto">
                    <a:xfrm>
                      <a:off x="0" y="0"/>
                      <a:ext cx="4819650" cy="2428875"/>
                    </a:xfrm>
                    <a:prstGeom prst="rect">
                      <a:avLst/>
                    </a:prstGeom>
                    <a:noFill/>
                    <a:ln>
                      <a:noFill/>
                    </a:ln>
                    <a:extLst>
                      <a:ext uri="{53640926-AAD7-44D8-BBD7-CCE9431645EC}">
                        <a14:shadowObscured xmlns:a14="http://schemas.microsoft.com/office/drawing/2010/main"/>
                      </a:ext>
                    </a:extLst>
                  </pic:spPr>
                </pic:pic>
              </a:graphicData>
            </a:graphic>
          </wp:inline>
        </w:drawing>
      </w:r>
    </w:p>
    <w:p w14:paraId="73305446" w14:textId="740009D9" w:rsidR="00BB195C" w:rsidRPr="003D307D" w:rsidRDefault="003D307D" w:rsidP="003D307D">
      <w:pPr>
        <w:pStyle w:val="Caption"/>
        <w:rPr>
          <w:rFonts w:ascii="Arial" w:eastAsiaTheme="minorHAnsi" w:hAnsi="Arial" w:cs="Arial"/>
          <w:szCs w:val="24"/>
        </w:rPr>
      </w:pPr>
      <w:bookmarkStart w:id="39" w:name="_Ref123560692"/>
      <w:r w:rsidRPr="003D307D">
        <w:rPr>
          <w:rFonts w:ascii="Arial" w:hAnsi="Arial" w:cs="Arial"/>
        </w:rPr>
        <w:t xml:space="preserve">Figure </w:t>
      </w:r>
      <w:r w:rsidRPr="003D307D">
        <w:rPr>
          <w:rFonts w:ascii="Arial" w:hAnsi="Arial" w:cs="Arial"/>
        </w:rPr>
        <w:fldChar w:fldCharType="begin"/>
      </w:r>
      <w:r w:rsidRPr="003D307D">
        <w:rPr>
          <w:rFonts w:ascii="Arial" w:hAnsi="Arial" w:cs="Arial"/>
        </w:rPr>
        <w:instrText xml:space="preserve"> SEQ Figure \* ARABIC </w:instrText>
      </w:r>
      <w:r w:rsidRPr="003D307D">
        <w:rPr>
          <w:rFonts w:ascii="Arial" w:hAnsi="Arial" w:cs="Arial"/>
        </w:rPr>
        <w:fldChar w:fldCharType="separate"/>
      </w:r>
      <w:r w:rsidRPr="003D307D">
        <w:rPr>
          <w:rFonts w:ascii="Arial" w:hAnsi="Arial" w:cs="Arial"/>
          <w:noProof/>
        </w:rPr>
        <w:t>2</w:t>
      </w:r>
      <w:r w:rsidRPr="003D307D">
        <w:rPr>
          <w:rFonts w:ascii="Arial" w:hAnsi="Arial" w:cs="Arial"/>
        </w:rPr>
        <w:fldChar w:fldCharType="end"/>
      </w:r>
      <w:r w:rsidRPr="003D307D">
        <w:rPr>
          <w:rFonts w:ascii="Arial" w:hAnsi="Arial" w:cs="Arial"/>
        </w:rPr>
        <w:t>, Word cloud of coded interview data</w:t>
      </w:r>
      <w:bookmarkEnd w:id="39"/>
    </w:p>
    <w:p w14:paraId="201DEE74" w14:textId="77777777" w:rsidR="00BB195C" w:rsidRPr="00BB195C" w:rsidRDefault="00BB195C" w:rsidP="00CB7166">
      <w:pPr>
        <w:spacing w:after="160" w:line="480" w:lineRule="auto"/>
        <w:rPr>
          <w:rFonts w:ascii="Arial" w:eastAsiaTheme="minorHAnsi" w:hAnsi="Arial" w:cs="Arial"/>
          <w:sz w:val="24"/>
          <w:szCs w:val="24"/>
        </w:rPr>
      </w:pPr>
    </w:p>
    <w:p w14:paraId="375196B5" w14:textId="582A07E1" w:rsidR="00BB195C" w:rsidRDefault="00BB195C" w:rsidP="00CF03F5">
      <w:pPr>
        <w:pStyle w:val="Heading2"/>
        <w:rPr>
          <w:rFonts w:ascii="Arial" w:eastAsiaTheme="minorHAnsi" w:hAnsi="Arial" w:cs="Arial"/>
          <w:sz w:val="24"/>
          <w:szCs w:val="24"/>
        </w:rPr>
      </w:pPr>
      <w:bookmarkStart w:id="40" w:name="_Toc123562321"/>
      <w:r w:rsidRPr="00BB195C">
        <w:rPr>
          <w:rFonts w:ascii="Arial" w:eastAsiaTheme="minorHAnsi" w:hAnsi="Arial" w:cs="Arial"/>
          <w:sz w:val="24"/>
          <w:szCs w:val="24"/>
        </w:rPr>
        <w:t>Theme 1</w:t>
      </w:r>
      <w:r w:rsidR="004D2F07">
        <w:rPr>
          <w:rFonts w:ascii="Arial" w:eastAsiaTheme="minorHAnsi" w:hAnsi="Arial" w:cs="Arial"/>
          <w:sz w:val="24"/>
          <w:szCs w:val="24"/>
        </w:rPr>
        <w:t xml:space="preserve">: </w:t>
      </w:r>
      <w:r w:rsidRPr="00BB195C">
        <w:rPr>
          <w:rFonts w:ascii="Arial" w:eastAsiaTheme="minorHAnsi" w:hAnsi="Arial" w:cs="Arial"/>
          <w:sz w:val="24"/>
          <w:szCs w:val="24"/>
        </w:rPr>
        <w:t>Service delivery and principles</w:t>
      </w:r>
      <w:bookmarkEnd w:id="40"/>
    </w:p>
    <w:p w14:paraId="613A9245" w14:textId="77777777" w:rsidR="004D2F07" w:rsidRPr="00BB195C" w:rsidRDefault="004D2F07" w:rsidP="004D2F07"/>
    <w:p w14:paraId="500F6AE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key theme that appeared throughout the data related to the delivery of existing library and museum services. Comments centred on matters relating to the impact of income generating activity on core services as well as effects on values traditionally upheld by cultural institutions. Comments around accountability were also prevalent, in terms of both the council’s responsibility to support the service, as well as the service’s responsibility to the public.</w:t>
      </w:r>
    </w:p>
    <w:p w14:paraId="7A8609BE" w14:textId="738C515B" w:rsidR="00BB195C" w:rsidRDefault="00BB195C" w:rsidP="004D2F07">
      <w:pPr>
        <w:pStyle w:val="Heading3"/>
        <w:rPr>
          <w:rFonts w:ascii="Arial" w:eastAsiaTheme="minorHAnsi" w:hAnsi="Arial" w:cs="Arial"/>
        </w:rPr>
      </w:pPr>
      <w:bookmarkStart w:id="41" w:name="_Toc123562322"/>
      <w:r w:rsidRPr="00BB195C">
        <w:rPr>
          <w:rFonts w:ascii="Arial" w:eastAsiaTheme="minorHAnsi" w:hAnsi="Arial" w:cs="Arial"/>
        </w:rPr>
        <w:t>Impact on service provision</w:t>
      </w:r>
      <w:bookmarkEnd w:id="41"/>
    </w:p>
    <w:p w14:paraId="691A1701" w14:textId="77777777" w:rsidR="004D2F07" w:rsidRPr="00BB195C" w:rsidRDefault="004D2F07" w:rsidP="004D2F07"/>
    <w:p w14:paraId="0330C3B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potential impact of income generating activity on core service delivery was raised as a concern by all participants at some point during the interviews. Interviewees who occupied a volunteer role within the service, and therefore more aware of work pressures on library and museum staff, expressed doubt and concern about staff’s capacity to deliver commercial events in addition to their usual workload:</w:t>
      </w:r>
    </w:p>
    <w:p w14:paraId="00D05F4E" w14:textId="1F475ED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 xml:space="preserve">“There is an expectation of a minimum level of service which staff in a public service institution are expected to deliver. Be careful about crowding out their ability to perform that basic service” </w:t>
      </w:r>
      <w:r w:rsidRPr="00BB195C">
        <w:rPr>
          <w:rFonts w:ascii="Arial" w:eastAsiaTheme="minorHAnsi" w:hAnsi="Arial" w:cs="Arial"/>
          <w:sz w:val="24"/>
          <w:szCs w:val="24"/>
        </w:rPr>
        <w:t>(Participant A).</w:t>
      </w:r>
    </w:p>
    <w:p w14:paraId="5D68E8FE" w14:textId="77777777" w:rsidR="00CB7166"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Another volunteer participant was extremely sceptical about the feasibility of having staff members manage such endeavours:</w:t>
      </w:r>
    </w:p>
    <w:p w14:paraId="54E4EC6F" w14:textId="1CBF3CE8" w:rsidR="00BB195C" w:rsidRPr="00BB195C" w:rsidRDefault="00BB195C" w:rsidP="00CB7166">
      <w:pPr>
        <w:spacing w:after="160" w:line="480" w:lineRule="auto"/>
        <w:rPr>
          <w:rFonts w:ascii="Arial" w:eastAsia="Times New Roman" w:hAnsi="Arial" w:cs="Arial"/>
          <w:color w:val="000000"/>
          <w:sz w:val="24"/>
          <w:szCs w:val="24"/>
          <w:lang w:eastAsia="en-GB"/>
        </w:rPr>
      </w:pPr>
      <w:r w:rsidRPr="00BB195C">
        <w:rPr>
          <w:rFonts w:ascii="Arial" w:eastAsiaTheme="minorHAnsi" w:hAnsi="Arial" w:cs="Arial"/>
          <w:sz w:val="24"/>
          <w:szCs w:val="24"/>
        </w:rPr>
        <w:t>“</w:t>
      </w:r>
      <w:r w:rsidRPr="00BB195C">
        <w:rPr>
          <w:rFonts w:ascii="Arial" w:eastAsia="Times New Roman" w:hAnsi="Arial" w:cs="Arial"/>
          <w:i/>
          <w:iCs/>
          <w:color w:val="000000"/>
          <w:sz w:val="24"/>
          <w:szCs w:val="24"/>
          <w:lang w:eastAsia="en-GB"/>
        </w:rPr>
        <w:t>I can’t see you doing it on the existing staffing”</w:t>
      </w:r>
      <w:r w:rsidRPr="00BB195C">
        <w:rPr>
          <w:rFonts w:ascii="Arial" w:eastAsia="Times New Roman" w:hAnsi="Arial" w:cs="Arial"/>
          <w:color w:val="000000"/>
          <w:sz w:val="24"/>
          <w:szCs w:val="24"/>
          <w:lang w:eastAsia="en-GB"/>
        </w:rPr>
        <w:t xml:space="preserve"> (Participant F). </w:t>
      </w:r>
    </w:p>
    <w:p w14:paraId="6D4F3888"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imes New Roman" w:hAnsi="Arial" w:cs="Arial"/>
          <w:color w:val="000000"/>
          <w:sz w:val="24"/>
          <w:szCs w:val="24"/>
          <w:lang w:eastAsia="en-GB"/>
        </w:rPr>
        <w:t xml:space="preserve">However, </w:t>
      </w:r>
      <w:r w:rsidRPr="00BB195C">
        <w:rPr>
          <w:rFonts w:ascii="Arial" w:eastAsiaTheme="minorHAnsi" w:hAnsi="Arial" w:cs="Arial"/>
          <w:sz w:val="24"/>
          <w:szCs w:val="24"/>
        </w:rPr>
        <w:t>t</w:t>
      </w:r>
      <w:r w:rsidRPr="00BB195C">
        <w:rPr>
          <w:rFonts w:ascii="Arial" w:eastAsia="Times New Roman" w:hAnsi="Arial" w:cs="Arial"/>
          <w:color w:val="000000"/>
          <w:sz w:val="24"/>
          <w:szCs w:val="24"/>
          <w:lang w:eastAsia="en-GB"/>
        </w:rPr>
        <w:t>he observations were not strictly limited to those in volunteer roles, as evidenced by a regular library user:</w:t>
      </w:r>
    </w:p>
    <w:p w14:paraId="7D97FC7E" w14:textId="4A31E861" w:rsid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“Making sure that staff are paid extra is important as half the time you don’t have enough staff to do the day-to-day work</w:t>
      </w:r>
      <w:r w:rsidRPr="00BB195C">
        <w:rPr>
          <w:rFonts w:ascii="Arial" w:eastAsia="Times New Roman" w:hAnsi="Arial" w:cs="Arial"/>
          <w:color w:val="000000"/>
          <w:sz w:val="24"/>
          <w:szCs w:val="24"/>
          <w:lang w:eastAsia="en-GB"/>
        </w:rPr>
        <w:t>” (Participant G).</w:t>
      </w:r>
    </w:p>
    <w:p w14:paraId="77ACB244" w14:textId="77777777" w:rsidR="00CB7166" w:rsidRPr="00BB195C" w:rsidRDefault="00CB7166" w:rsidP="00CB7166">
      <w:pPr>
        <w:spacing w:after="0" w:line="480" w:lineRule="auto"/>
        <w:rPr>
          <w:rFonts w:ascii="Arial" w:eastAsia="Times New Roman" w:hAnsi="Arial" w:cs="Arial"/>
          <w:color w:val="000000"/>
          <w:sz w:val="24"/>
          <w:szCs w:val="24"/>
          <w:lang w:eastAsia="en-GB"/>
        </w:rPr>
      </w:pPr>
    </w:p>
    <w:p w14:paraId="4ABE734C"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Perspectives on the potential negative impact on core services varied when examined through a lens of a museum visitor, compared to a library customer. Those disposed to consider the museum drew attention to the practicalities of managing the visitor experience if sections of the facility were cordoned off to host weddings and other events:</w:t>
      </w:r>
    </w:p>
    <w:p w14:paraId="0759F877"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219D9625" w14:textId="38CD6DB7" w:rsidR="00BB195C" w:rsidRPr="00BB195C" w:rsidRDefault="00BB195C" w:rsidP="00CB7166">
      <w:pPr>
        <w:spacing w:after="0" w:line="480" w:lineRule="auto"/>
        <w:rPr>
          <w:rFonts w:ascii="Arial" w:eastAsiaTheme="minorHAnsi" w:hAnsi="Arial" w:cs="Arial"/>
          <w:sz w:val="24"/>
          <w:szCs w:val="24"/>
        </w:rPr>
      </w:pPr>
      <w:r w:rsidRPr="00BB195C">
        <w:rPr>
          <w:rFonts w:ascii="Arial" w:eastAsiaTheme="minorHAnsi" w:hAnsi="Arial" w:cs="Arial"/>
          <w:i/>
          <w:iCs/>
          <w:sz w:val="24"/>
          <w:szCs w:val="24"/>
        </w:rPr>
        <w:t xml:space="preserve">“For people outside Breconshire who may travel a distance and not be able to access some places or see things, it might be a problem and reflect negatively on the perception of the museum” </w:t>
      </w:r>
      <w:r w:rsidRPr="00BB195C">
        <w:rPr>
          <w:rFonts w:ascii="Arial" w:eastAsiaTheme="minorHAnsi" w:hAnsi="Arial" w:cs="Arial"/>
          <w:sz w:val="24"/>
          <w:szCs w:val="24"/>
        </w:rPr>
        <w:t xml:space="preserve">(Participant </w:t>
      </w:r>
      <w:r w:rsidR="00CB7166" w:rsidRPr="00CB7166">
        <w:rPr>
          <w:rFonts w:ascii="Arial" w:eastAsiaTheme="minorHAnsi" w:hAnsi="Arial" w:cs="Arial"/>
          <w:sz w:val="24"/>
          <w:szCs w:val="24"/>
        </w:rPr>
        <w:t>F</w:t>
      </w:r>
      <w:r w:rsidRPr="00BB195C">
        <w:rPr>
          <w:rFonts w:ascii="Arial" w:eastAsiaTheme="minorHAnsi" w:hAnsi="Arial" w:cs="Arial"/>
          <w:sz w:val="24"/>
          <w:szCs w:val="24"/>
        </w:rPr>
        <w:t>).</w:t>
      </w:r>
    </w:p>
    <w:p w14:paraId="3595C3A9" w14:textId="77777777" w:rsidR="00BB195C" w:rsidRPr="00BB195C" w:rsidRDefault="00BB195C" w:rsidP="00CB7166">
      <w:pPr>
        <w:spacing w:after="0" w:line="480" w:lineRule="auto"/>
        <w:rPr>
          <w:rFonts w:ascii="Arial" w:eastAsiaTheme="minorHAnsi" w:hAnsi="Arial" w:cs="Arial"/>
          <w:sz w:val="24"/>
          <w:szCs w:val="24"/>
        </w:rPr>
      </w:pPr>
    </w:p>
    <w:p w14:paraId="4D800967"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One participant was less disposed to rule out the possibility, providing restrictions were well communicated:</w:t>
      </w:r>
    </w:p>
    <w:p w14:paraId="4036B670"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0E01CEC4" w14:textId="3C1125DA" w:rsidR="00BB195C" w:rsidRPr="00BB195C" w:rsidRDefault="00BB195C" w:rsidP="00CB7166">
      <w:pPr>
        <w:spacing w:after="0" w:line="240" w:lineRule="auto"/>
        <w:rPr>
          <w:rFonts w:ascii="Arial" w:eastAsia="Times New Roman" w:hAnsi="Arial" w:cs="Arial"/>
          <w:color w:val="000000"/>
          <w:sz w:val="24"/>
          <w:szCs w:val="24"/>
          <w:lang w:eastAsia="en-GB"/>
        </w:rPr>
      </w:pPr>
      <w:r w:rsidRPr="00BB195C">
        <w:rPr>
          <w:rFonts w:ascii="Arial" w:eastAsiaTheme="minorHAnsi" w:hAnsi="Arial" w:cs="Arial"/>
          <w:i/>
          <w:iCs/>
          <w:sz w:val="24"/>
          <w:szCs w:val="24"/>
        </w:rPr>
        <w:t>“As a museum visitor I would want that communicated if something I wanted to see wasn’t available”</w:t>
      </w:r>
      <w:r w:rsidRPr="00BB195C">
        <w:rPr>
          <w:rFonts w:ascii="Arial" w:eastAsiaTheme="minorHAnsi" w:hAnsi="Arial" w:cs="Arial"/>
          <w:sz w:val="24"/>
          <w:szCs w:val="24"/>
        </w:rPr>
        <w:t xml:space="preserve"> (Participant I)             </w:t>
      </w:r>
    </w:p>
    <w:p w14:paraId="4053F919"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7087FCD6"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lastRenderedPageBreak/>
        <w:t>Through a library lens, the impact on services to customers was flagged by 7 out of the 10 participants. And it was clear that although fundraising initiatives would be welcome, this should not come at the expense of service delivery:</w:t>
      </w:r>
    </w:p>
    <w:p w14:paraId="2BFB85E5"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B4C683F" w14:textId="6A60A0C3" w:rsidR="00BB195C" w:rsidRPr="00CB7166" w:rsidRDefault="00BB195C" w:rsidP="00CB7166">
      <w:pPr>
        <w:spacing w:after="0" w:line="240" w:lineRule="auto"/>
        <w:rPr>
          <w:rFonts w:ascii="Arial" w:eastAsia="Times New Roman" w:hAnsi="Arial" w:cs="Arial"/>
          <w:color w:val="000000"/>
          <w:sz w:val="24"/>
          <w:szCs w:val="24"/>
          <w:lang w:eastAsia="en-GB"/>
        </w:rPr>
      </w:pPr>
      <w:bookmarkStart w:id="42" w:name="_Hlk121664966"/>
      <w:r w:rsidRPr="00BB195C">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BB195C">
        <w:rPr>
          <w:rFonts w:ascii="Arial" w:eastAsia="Times New Roman" w:hAnsi="Arial" w:cs="Arial"/>
          <w:color w:val="000000"/>
          <w:sz w:val="24"/>
          <w:szCs w:val="24"/>
          <w:lang w:eastAsia="en-GB"/>
        </w:rPr>
        <w:t xml:space="preserve">(Participant I).      </w:t>
      </w:r>
    </w:p>
    <w:p w14:paraId="1804524D" w14:textId="77777777" w:rsidR="00387F64" w:rsidRPr="00BB195C" w:rsidRDefault="00387F64" w:rsidP="00CB7166">
      <w:pPr>
        <w:spacing w:after="0" w:line="240" w:lineRule="auto"/>
        <w:rPr>
          <w:rFonts w:ascii="Arial" w:eastAsia="Times New Roman" w:hAnsi="Arial" w:cs="Arial"/>
          <w:color w:val="000000"/>
          <w:sz w:val="24"/>
          <w:szCs w:val="24"/>
          <w:lang w:eastAsia="en-GB"/>
        </w:rPr>
      </w:pPr>
    </w:p>
    <w:bookmarkEnd w:id="42"/>
    <w:p w14:paraId="6D4832B8" w14:textId="0751DB8F" w:rsidR="00BB195C" w:rsidRPr="00BB195C" w:rsidRDefault="00BB195C" w:rsidP="00CB7166">
      <w:pPr>
        <w:spacing w:after="0" w:line="240" w:lineRule="auto"/>
        <w:rPr>
          <w:rFonts w:ascii="Arial" w:eastAsia="Times New Roman" w:hAnsi="Arial" w:cs="Arial"/>
          <w:i/>
          <w:iCs/>
          <w:color w:val="000000"/>
          <w:sz w:val="24"/>
          <w:szCs w:val="24"/>
          <w:lang w:eastAsia="en-GB"/>
        </w:rPr>
      </w:pPr>
      <w:r w:rsidRPr="00BB195C">
        <w:rPr>
          <w:rFonts w:ascii="Arial" w:eastAsia="Times New Roman" w:hAnsi="Arial" w:cs="Arial"/>
          <w:i/>
          <w:iCs/>
          <w:color w:val="000000"/>
          <w:sz w:val="24"/>
          <w:szCs w:val="24"/>
          <w:lang w:eastAsia="en-GB"/>
        </w:rPr>
        <w:t xml:space="preserve"> “Maybe a library gift shop defeats the purpose of a library, and I wouldn’t want the library to go off track and focus more on selling things rather than the people who need them” </w:t>
      </w:r>
      <w:r w:rsidRPr="00BB195C">
        <w:rPr>
          <w:rFonts w:ascii="Arial" w:eastAsia="Times New Roman" w:hAnsi="Arial" w:cs="Arial"/>
          <w:color w:val="000000"/>
          <w:sz w:val="24"/>
          <w:szCs w:val="24"/>
          <w:lang w:eastAsia="en-GB"/>
        </w:rPr>
        <w:t>(Participant J).</w:t>
      </w:r>
    </w:p>
    <w:p w14:paraId="05CEA42C"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37CF20A" w14:textId="77777777" w:rsidR="00BB195C" w:rsidRPr="00BB195C" w:rsidRDefault="00BB195C" w:rsidP="00CB7166">
      <w:pPr>
        <w:spacing w:after="160" w:line="480" w:lineRule="auto"/>
        <w:rPr>
          <w:rFonts w:ascii="Arial" w:eastAsiaTheme="minorHAnsi" w:hAnsi="Arial" w:cs="Arial"/>
          <w:sz w:val="24"/>
          <w:szCs w:val="24"/>
        </w:rPr>
      </w:pPr>
    </w:p>
    <w:p w14:paraId="4B5E6377" w14:textId="78419402" w:rsidR="00BB195C" w:rsidRDefault="00BB195C" w:rsidP="004D2F07">
      <w:pPr>
        <w:pStyle w:val="Heading3"/>
        <w:rPr>
          <w:rFonts w:ascii="Arial" w:eastAsiaTheme="minorHAnsi" w:hAnsi="Arial" w:cs="Arial"/>
        </w:rPr>
      </w:pPr>
      <w:bookmarkStart w:id="43" w:name="_Toc123562323"/>
      <w:r w:rsidRPr="00BB195C">
        <w:rPr>
          <w:rFonts w:ascii="Arial" w:eastAsiaTheme="minorHAnsi" w:hAnsi="Arial" w:cs="Arial"/>
        </w:rPr>
        <w:t>Values</w:t>
      </w:r>
      <w:bookmarkEnd w:id="43"/>
    </w:p>
    <w:p w14:paraId="06D81A73" w14:textId="77777777" w:rsidR="004D2F07" w:rsidRPr="00BB195C" w:rsidRDefault="004D2F07" w:rsidP="004D2F07"/>
    <w:p w14:paraId="7F1AB3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recurrent theme in the data was the importance that participants attached to access to services. This manifested not only in observations about the impact on physical access to service if income generation were to become the norm, but also in relation to financial barriers that users might face if charges were to be imposed. Eight of the participants raised at least one of these aspects.</w:t>
      </w:r>
    </w:p>
    <w:p w14:paraId="3E617B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All participants were supportive of a museum café, with the majority believing that the public would expect this as part of the visitor experience. There were several comments about ensuring affordability as well as quality:</w:t>
      </w:r>
    </w:p>
    <w:p w14:paraId="3CBFDB8C" w14:textId="752B3D13"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“Make things affordable, offer a good product and you will get and keep customers” </w:t>
      </w:r>
      <w:r w:rsidRPr="00BB195C">
        <w:rPr>
          <w:rFonts w:ascii="Arial" w:eastAsiaTheme="minorHAnsi" w:hAnsi="Arial" w:cs="Arial"/>
          <w:sz w:val="24"/>
          <w:szCs w:val="24"/>
        </w:rPr>
        <w:t>(Participant E)</w:t>
      </w:r>
      <w:r w:rsidR="00387F64" w:rsidRPr="00CB7166">
        <w:rPr>
          <w:rFonts w:ascii="Arial" w:eastAsiaTheme="minorHAnsi" w:hAnsi="Arial" w:cs="Arial"/>
          <w:sz w:val="24"/>
          <w:szCs w:val="24"/>
        </w:rPr>
        <w:t>.</w:t>
      </w:r>
    </w:p>
    <w:p w14:paraId="16D2E8A2" w14:textId="77777777" w:rsidR="00CB7166" w:rsidRPr="00BB195C" w:rsidRDefault="00CB7166" w:rsidP="00CB7166">
      <w:pPr>
        <w:spacing w:after="160" w:line="240" w:lineRule="auto"/>
        <w:rPr>
          <w:rFonts w:ascii="Arial" w:eastAsiaTheme="minorHAnsi" w:hAnsi="Arial" w:cs="Arial"/>
          <w:i/>
          <w:iCs/>
          <w:sz w:val="24"/>
          <w:szCs w:val="24"/>
        </w:rPr>
      </w:pPr>
    </w:p>
    <w:p w14:paraId="27564E0C" w14:textId="380C822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feel sad though when the arts museums have fancy ones as they should be more available to the average citizen. They have high prices and are kind of expensive for not the best quality. I feel that if you are going to have it in a place that says we’re open access to as many people as we can then having it accessible than more than just the physical sense makes more sense” </w:t>
      </w:r>
      <w:r w:rsidRPr="00BB195C">
        <w:rPr>
          <w:rFonts w:ascii="Arial" w:eastAsiaTheme="minorHAnsi" w:hAnsi="Arial" w:cs="Arial"/>
          <w:sz w:val="24"/>
          <w:szCs w:val="24"/>
        </w:rPr>
        <w:t>(Participant A)</w:t>
      </w:r>
      <w:r w:rsidRPr="00BB195C">
        <w:rPr>
          <w:rFonts w:ascii="Arial" w:eastAsiaTheme="minorHAnsi" w:hAnsi="Arial" w:cs="Arial"/>
          <w:i/>
          <w:iCs/>
          <w:sz w:val="24"/>
          <w:szCs w:val="24"/>
        </w:rPr>
        <w:t>.</w:t>
      </w:r>
      <w:r w:rsidRPr="00BB195C">
        <w:rPr>
          <w:rFonts w:ascii="Arial" w:eastAsiaTheme="minorHAnsi" w:hAnsi="Arial" w:cs="Arial"/>
          <w:sz w:val="24"/>
          <w:szCs w:val="24"/>
        </w:rPr>
        <w:t xml:space="preserve"> </w:t>
      </w:r>
    </w:p>
    <w:p w14:paraId="52E99397" w14:textId="77777777" w:rsidR="00CB7166" w:rsidRPr="00BB195C" w:rsidRDefault="00CB7166" w:rsidP="00CB7166">
      <w:pPr>
        <w:spacing w:after="160" w:line="240" w:lineRule="auto"/>
        <w:rPr>
          <w:rFonts w:ascii="Arial" w:eastAsiaTheme="minorHAnsi" w:hAnsi="Arial" w:cs="Arial"/>
          <w:sz w:val="24"/>
          <w:szCs w:val="24"/>
        </w:rPr>
      </w:pPr>
    </w:p>
    <w:p w14:paraId="34FCE1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There was some acknowledgement of the difficulty in collocated library and museum facilities with finding the balance between catering to local library customers as well as tourists, which would be:</w:t>
      </w:r>
    </w:p>
    <w:p w14:paraId="64537103" w14:textId="56EADCF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 </w:t>
      </w:r>
      <w:r w:rsidRPr="00BB195C">
        <w:rPr>
          <w:rFonts w:ascii="Arial" w:eastAsiaTheme="minorHAnsi" w:hAnsi="Arial" w:cs="Arial"/>
          <w:i/>
          <w:iCs/>
          <w:sz w:val="24"/>
          <w:szCs w:val="24"/>
        </w:rPr>
        <w:t xml:space="preserve">“a slightly different level of comfort of charging than would be in some museums” </w:t>
      </w:r>
      <w:r w:rsidRPr="00BB195C">
        <w:rPr>
          <w:rFonts w:ascii="Arial" w:eastAsiaTheme="minorHAnsi" w:hAnsi="Arial" w:cs="Arial"/>
          <w:sz w:val="24"/>
          <w:szCs w:val="24"/>
        </w:rPr>
        <w:t>(Participant B).</w:t>
      </w:r>
    </w:p>
    <w:p w14:paraId="0B2D1282" w14:textId="77777777" w:rsidR="00CB7166" w:rsidRPr="00BB195C" w:rsidRDefault="00CB7166" w:rsidP="00CB7166">
      <w:pPr>
        <w:spacing w:after="160" w:line="240" w:lineRule="auto"/>
        <w:rPr>
          <w:rFonts w:ascii="Arial" w:eastAsiaTheme="minorHAnsi" w:hAnsi="Arial" w:cs="Arial"/>
          <w:sz w:val="24"/>
          <w:szCs w:val="24"/>
        </w:rPr>
      </w:pPr>
    </w:p>
    <w:p w14:paraId="70237B7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similar concerns about access to paid online content, in terms of both accessible charges and the quality of the content being presented to the public.</w:t>
      </w:r>
    </w:p>
    <w:p w14:paraId="1C459733" w14:textId="720DEEB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only thing about paying is that some people can’t afford it”</w:t>
      </w:r>
      <w:r w:rsidRPr="00BB195C">
        <w:rPr>
          <w:rFonts w:ascii="Arial" w:eastAsiaTheme="minorHAnsi" w:hAnsi="Arial" w:cs="Arial"/>
          <w:sz w:val="24"/>
          <w:szCs w:val="24"/>
        </w:rPr>
        <w:t xml:space="preserve"> (Participant G).</w:t>
      </w:r>
    </w:p>
    <w:p w14:paraId="34C62DE9" w14:textId="3303B00B"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people have to view on laptops, or traffic makes picture bad, what are they paying for, will you see the detail of what’s in the collections”</w:t>
      </w:r>
      <w:r w:rsidRPr="00BB195C">
        <w:rPr>
          <w:rFonts w:ascii="Arial" w:eastAsiaTheme="minorHAnsi" w:hAnsi="Arial" w:cs="Arial"/>
          <w:sz w:val="24"/>
          <w:szCs w:val="24"/>
        </w:rPr>
        <w:t xml:space="preserve"> (Participant A).</w:t>
      </w:r>
    </w:p>
    <w:p w14:paraId="31DC07D5" w14:textId="795784A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 need to make sure that the way that the activity is presented online is of good quality and not just a sense of people making do because they can't come in. There's a difference between what was put online during covid because there was no other option and a course that's been specifically set up to be hosted online</w:t>
      </w:r>
      <w:r w:rsidRPr="00BB195C">
        <w:rPr>
          <w:rFonts w:ascii="Arial" w:eastAsiaTheme="minorHAnsi" w:hAnsi="Arial" w:cs="Arial"/>
          <w:sz w:val="24"/>
          <w:szCs w:val="24"/>
        </w:rPr>
        <w:t>” (Participant J).</w:t>
      </w:r>
    </w:p>
    <w:p w14:paraId="2D8A1C18" w14:textId="77777777" w:rsidR="00CB7166" w:rsidRPr="00BB195C" w:rsidRDefault="00CB7166" w:rsidP="00CB7166">
      <w:pPr>
        <w:spacing w:after="160" w:line="240" w:lineRule="auto"/>
        <w:rPr>
          <w:rFonts w:ascii="Arial" w:eastAsiaTheme="minorHAnsi" w:hAnsi="Arial" w:cs="Arial"/>
          <w:sz w:val="24"/>
          <w:szCs w:val="24"/>
        </w:rPr>
      </w:pPr>
    </w:p>
    <w:p w14:paraId="61253518" w14:textId="77777777" w:rsidR="00BB195C" w:rsidRPr="00BB195C" w:rsidRDefault="00BB195C" w:rsidP="00CB7166">
      <w:pPr>
        <w:spacing w:after="16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On the subject of corporate support, participants were somewhat conflicted. Whilst only one of the ten participants was entirely opposed to the premise, all bar one had concerns, and reported feeling “wary” or “uncomfortable” with the idea. All interviewees were adamant that only ethical companies should be considered as partners.</w:t>
      </w:r>
    </w:p>
    <w:p w14:paraId="6B72B4D4" w14:textId="1137D2F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guess a lot will be out for what they can get. It’s just what you have to do these days. It would need to be ethical”</w:t>
      </w:r>
      <w:r w:rsidRPr="00BB195C">
        <w:rPr>
          <w:rFonts w:ascii="Arial" w:eastAsiaTheme="minorHAnsi" w:hAnsi="Arial" w:cs="Arial"/>
          <w:sz w:val="24"/>
          <w:szCs w:val="24"/>
        </w:rPr>
        <w:t xml:space="preserve"> (Participant G).</w:t>
      </w:r>
    </w:p>
    <w:p w14:paraId="2A90246D" w14:textId="511E663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feel relaxed about a company who was getting money in because it’s so abjectly commercial, like Amazon. It wouldn’t fit. An ethical, local fit, local economies, would be appropriate”</w:t>
      </w:r>
      <w:r w:rsidRPr="00BB195C">
        <w:rPr>
          <w:rFonts w:ascii="Arial" w:eastAsiaTheme="minorHAnsi" w:hAnsi="Arial" w:cs="Arial"/>
          <w:sz w:val="24"/>
          <w:szCs w:val="24"/>
        </w:rPr>
        <w:t xml:space="preserve"> (Participant B).</w:t>
      </w:r>
    </w:p>
    <w:p w14:paraId="164556EC" w14:textId="77777777" w:rsidR="00CB7166" w:rsidRPr="00BB195C" w:rsidRDefault="00CB7166" w:rsidP="00CB7166">
      <w:pPr>
        <w:spacing w:after="160" w:line="240" w:lineRule="auto"/>
        <w:rPr>
          <w:rFonts w:ascii="Arial" w:eastAsiaTheme="minorHAnsi" w:hAnsi="Arial" w:cs="Arial"/>
          <w:sz w:val="24"/>
          <w:szCs w:val="24"/>
        </w:rPr>
      </w:pPr>
    </w:p>
    <w:p w14:paraId="76D2235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also concerns about business advertising diluting the ethos of fairness and inclusivity that cultural services are known to promote.</w:t>
      </w:r>
    </w:p>
    <w:p w14:paraId="76A3A8B5" w14:textId="70F09EB8"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“If I see a place that’s supposed to be for everybody, but you see a big brand that may not be known for something nice I find it sad and cheap maybe that they’re still able to slap their name on something”</w:t>
      </w:r>
      <w:r w:rsidRPr="00BB195C">
        <w:rPr>
          <w:rFonts w:ascii="Arial" w:eastAsiaTheme="minorHAnsi" w:hAnsi="Arial" w:cs="Arial"/>
          <w:sz w:val="24"/>
          <w:szCs w:val="24"/>
        </w:rPr>
        <w:t xml:space="preserve"> (Participant A).</w:t>
      </w:r>
    </w:p>
    <w:p w14:paraId="5A05EF27" w14:textId="77777777" w:rsidR="00CB7166" w:rsidRPr="00BB195C" w:rsidRDefault="00CB7166" w:rsidP="00CB7166">
      <w:pPr>
        <w:spacing w:after="160" w:line="240" w:lineRule="auto"/>
        <w:rPr>
          <w:rFonts w:ascii="Arial" w:eastAsiaTheme="minorHAnsi" w:hAnsi="Arial" w:cs="Arial"/>
          <w:sz w:val="24"/>
          <w:szCs w:val="24"/>
        </w:rPr>
      </w:pPr>
    </w:p>
    <w:p w14:paraId="7F8C26C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Despite the evident apprehension, however, the majority of participants were accepting of the need for service to seek alternative fundraising avenues, and perceived corporate partnerships as a necessary evil. </w:t>
      </w:r>
    </w:p>
    <w:p w14:paraId="3EB7B5D2" w14:textId="59015AD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some extent it seems wrong because we pay our council tax but there again in the current economic climate I suppose if you can get the money”</w:t>
      </w:r>
      <w:r w:rsidRPr="00BB195C">
        <w:rPr>
          <w:rFonts w:ascii="Arial" w:eastAsiaTheme="minorHAnsi" w:hAnsi="Arial" w:cs="Arial"/>
          <w:sz w:val="24"/>
          <w:szCs w:val="24"/>
        </w:rPr>
        <w:t xml:space="preserve"> (Participant D).</w:t>
      </w:r>
    </w:p>
    <w:p w14:paraId="28C70EEF" w14:textId="6B2241E8"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“They’re contributing to a cause so what if I see their name on something. I still my own rights, so if I don’t want to buy something from them, that’s fine. You have to give credit where it’s due – at least they’re giving something to support something important, and unless you have money to contribute, I would zip it!”</w:t>
      </w:r>
      <w:r w:rsidRPr="00BB195C">
        <w:rPr>
          <w:rFonts w:ascii="Arial" w:eastAsiaTheme="minorHAnsi" w:hAnsi="Arial" w:cs="Arial"/>
          <w:sz w:val="24"/>
          <w:szCs w:val="24"/>
        </w:rPr>
        <w:t xml:space="preserve"> (Participant E).</w:t>
      </w:r>
    </w:p>
    <w:p w14:paraId="7794B1E6" w14:textId="77777777" w:rsidR="00BB195C" w:rsidRPr="00BB195C" w:rsidRDefault="00BB195C" w:rsidP="00CB7166">
      <w:pPr>
        <w:spacing w:after="160" w:line="480" w:lineRule="auto"/>
        <w:rPr>
          <w:rFonts w:ascii="Arial" w:eastAsiaTheme="minorHAnsi" w:hAnsi="Arial" w:cs="Arial"/>
          <w:sz w:val="24"/>
          <w:szCs w:val="24"/>
        </w:rPr>
      </w:pPr>
    </w:p>
    <w:p w14:paraId="1E79C4E9" w14:textId="399FF2DB" w:rsidR="00BB195C" w:rsidRDefault="00BB195C" w:rsidP="00553315">
      <w:pPr>
        <w:pStyle w:val="Heading3"/>
        <w:rPr>
          <w:rFonts w:ascii="Arial" w:eastAsiaTheme="minorHAnsi" w:hAnsi="Arial" w:cs="Arial"/>
        </w:rPr>
      </w:pPr>
      <w:bookmarkStart w:id="44" w:name="_Toc123562324"/>
      <w:r w:rsidRPr="00BB195C">
        <w:rPr>
          <w:rFonts w:ascii="Arial" w:eastAsiaTheme="minorHAnsi" w:hAnsi="Arial" w:cs="Arial"/>
        </w:rPr>
        <w:t>Accountability</w:t>
      </w:r>
      <w:bookmarkEnd w:id="44"/>
    </w:p>
    <w:p w14:paraId="4834959F" w14:textId="77777777" w:rsidR="00553315" w:rsidRPr="00BB195C" w:rsidRDefault="00553315" w:rsidP="00553315"/>
    <w:p w14:paraId="4083D7F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subject of accountability was a frequently occurring theme in the interviews. There was a sense of incredulity from some participants, when asked to consider the concept of generating funds for public services. Each of them expressed views at some point during the interview that they expect the council to finance the services.</w:t>
      </w:r>
    </w:p>
    <w:p w14:paraId="1D00F6D9" w14:textId="3178365A"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“How good are our local councils at dealing with their finances in order that we have to do this for libraries? It annoys me a bit. It would be nice to think that we know what’s been done. Not be finding out that a library had closed and wondering what the heck had happened to the money”</w:t>
      </w:r>
      <w:r w:rsidRPr="00BB195C">
        <w:rPr>
          <w:rFonts w:ascii="Arial" w:eastAsiaTheme="minorHAnsi" w:hAnsi="Arial" w:cs="Arial"/>
          <w:sz w:val="24"/>
          <w:szCs w:val="24"/>
        </w:rPr>
        <w:t xml:space="preserve"> (Participant G).</w:t>
      </w:r>
    </w:p>
    <w:p w14:paraId="490AADAF" w14:textId="58863D4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get that you want money, but it feels like it’s all being pushed on to the individual to fund it. I would want this to be the responsibility of the council, or the government and I feel that this gets lost”</w:t>
      </w:r>
      <w:r w:rsidRPr="00BB195C">
        <w:rPr>
          <w:rFonts w:ascii="Arial" w:eastAsiaTheme="minorHAnsi" w:hAnsi="Arial" w:cs="Arial"/>
          <w:sz w:val="24"/>
          <w:szCs w:val="24"/>
        </w:rPr>
        <w:t xml:space="preserve"> (Participant A).</w:t>
      </w:r>
    </w:p>
    <w:p w14:paraId="30EA6FD1" w14:textId="77777777" w:rsidR="00CB7166" w:rsidRPr="00BB195C" w:rsidRDefault="00CB7166" w:rsidP="00CB7166">
      <w:pPr>
        <w:spacing w:after="160" w:line="240" w:lineRule="auto"/>
        <w:rPr>
          <w:rFonts w:ascii="Arial" w:eastAsiaTheme="minorHAnsi" w:hAnsi="Arial" w:cs="Arial"/>
          <w:sz w:val="24"/>
          <w:szCs w:val="24"/>
        </w:rPr>
      </w:pPr>
    </w:p>
    <w:p w14:paraId="39B5FE0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impact of this standpoint led several participants to the conclusion that they would be supportive only of income generation activity that is clearly defined as “extras” and not propping up core services.  </w:t>
      </w:r>
    </w:p>
    <w:p w14:paraId="15DEF1CA" w14:textId="4C0898F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“I don’t think people like to feel that they are giving something which gives established sources of funding an excuse for reducing that element. Donation for a specific thing which you wouldn’t otherwise get is fine, or where the standard service is stretched to accommodate this thing – something you can never find the funding”</w:t>
      </w:r>
      <w:r w:rsidRPr="00BB195C">
        <w:rPr>
          <w:rFonts w:ascii="Arial" w:eastAsiaTheme="minorHAnsi" w:hAnsi="Arial" w:cs="Arial"/>
          <w:sz w:val="24"/>
          <w:szCs w:val="24"/>
        </w:rPr>
        <w:t xml:space="preserve"> (Participant B).</w:t>
      </w:r>
    </w:p>
    <w:p w14:paraId="24EEA269" w14:textId="6F1C065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had extra funding and I knew that £5 or whatever would go to pay for events and stuff, I would be ok with that. I think as soon as it becomes this exclusive arrangement, you’re supporting a weird structure by asking for money for a service that is publicly run”</w:t>
      </w:r>
      <w:r w:rsidRPr="00BB195C">
        <w:rPr>
          <w:rFonts w:ascii="Arial" w:eastAsiaTheme="minorHAnsi" w:hAnsi="Arial" w:cs="Arial"/>
          <w:sz w:val="24"/>
          <w:szCs w:val="24"/>
        </w:rPr>
        <w:t xml:space="preserve"> (Participant A).</w:t>
      </w:r>
    </w:p>
    <w:p w14:paraId="212BDEDF" w14:textId="77777777" w:rsidR="00CB7166" w:rsidRPr="00BB195C" w:rsidRDefault="00CB7166" w:rsidP="00CB7166">
      <w:pPr>
        <w:spacing w:after="160" w:line="240" w:lineRule="auto"/>
        <w:rPr>
          <w:rFonts w:ascii="Arial" w:eastAsiaTheme="minorHAnsi" w:hAnsi="Arial" w:cs="Arial"/>
          <w:sz w:val="24"/>
          <w:szCs w:val="24"/>
        </w:rPr>
      </w:pPr>
    </w:p>
    <w:p w14:paraId="71D9495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Equally as important to participants was the desire to know where and how their donations would be directed. Scepticism about the management of public finances was apparent, with indications that it would be difficult to sustain support for income generation activity in the longer term, and a fear that donations would not be directed to the causes they are intended to support.</w:t>
      </w:r>
    </w:p>
    <w:p w14:paraId="37DEAAF4" w14:textId="53002D7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think there’s a danger, particularly in current financial situation, that you do all these </w:t>
      </w:r>
      <w:r w:rsidR="00387F64" w:rsidRPr="00CB7166">
        <w:rPr>
          <w:rFonts w:ascii="Arial" w:eastAsiaTheme="minorHAnsi" w:hAnsi="Arial" w:cs="Arial"/>
          <w:i/>
          <w:iCs/>
          <w:sz w:val="24"/>
          <w:szCs w:val="24"/>
        </w:rPr>
        <w:t>things,</w:t>
      </w:r>
      <w:r w:rsidRPr="00BB195C">
        <w:rPr>
          <w:rFonts w:ascii="Arial" w:eastAsiaTheme="minorHAnsi" w:hAnsi="Arial" w:cs="Arial"/>
          <w:i/>
          <w:iCs/>
          <w:sz w:val="24"/>
          <w:szCs w:val="24"/>
        </w:rPr>
        <w:t xml:space="preserve"> and it just goes into a pit and after a time you would find less enthusiasm for doing those things if it wasn’t directly ties to the building and the collection” </w:t>
      </w:r>
      <w:r w:rsidRPr="00BB195C">
        <w:rPr>
          <w:rFonts w:ascii="Arial" w:eastAsiaTheme="minorHAnsi" w:hAnsi="Arial" w:cs="Arial"/>
          <w:sz w:val="24"/>
          <w:szCs w:val="24"/>
        </w:rPr>
        <w:t>(Participant F).</w:t>
      </w:r>
    </w:p>
    <w:p w14:paraId="7451164C" w14:textId="0B066C82" w:rsidR="00BB195C" w:rsidRDefault="00BB195C" w:rsidP="00CB716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t xml:space="preserve">“People would want to know how the profits would be ringfenced. I think a question would be about making sure their money wasn’t propping up bin collections” </w:t>
      </w:r>
      <w:r w:rsidRPr="00BB195C">
        <w:rPr>
          <w:rFonts w:ascii="Arial" w:eastAsiaTheme="minorHAnsi" w:hAnsi="Arial" w:cs="Arial"/>
          <w:sz w:val="24"/>
          <w:szCs w:val="24"/>
        </w:rPr>
        <w:t>(Participant I)</w:t>
      </w:r>
      <w:r w:rsidRPr="00BB195C">
        <w:rPr>
          <w:rFonts w:ascii="Arial" w:eastAsiaTheme="minorHAnsi" w:hAnsi="Arial" w:cs="Arial"/>
          <w:i/>
          <w:iCs/>
          <w:sz w:val="24"/>
          <w:szCs w:val="24"/>
        </w:rPr>
        <w:t>.</w:t>
      </w:r>
    </w:p>
    <w:p w14:paraId="107D7C77" w14:textId="77777777" w:rsidR="00CB7166" w:rsidRPr="00BB195C" w:rsidRDefault="00CB7166" w:rsidP="00CB7166">
      <w:pPr>
        <w:spacing w:after="160" w:line="240" w:lineRule="auto"/>
        <w:rPr>
          <w:rFonts w:ascii="Arial" w:eastAsiaTheme="minorHAnsi" w:hAnsi="Arial" w:cs="Arial"/>
          <w:i/>
          <w:iCs/>
          <w:sz w:val="24"/>
          <w:szCs w:val="24"/>
        </w:rPr>
      </w:pPr>
    </w:p>
    <w:p w14:paraId="65D162A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On this matter, the final question concerning development trusts was of particular interest, and an understanding that a trust would help avoid this issue was welcomed. However, questions concerning accountability for managing the trust would also need to be answered.</w:t>
      </w:r>
    </w:p>
    <w:p w14:paraId="2CC1D8F7" w14:textId="64F9072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BB195C">
        <w:rPr>
          <w:rFonts w:ascii="Arial" w:eastAsiaTheme="minorHAnsi" w:hAnsi="Arial" w:cs="Arial"/>
          <w:sz w:val="24"/>
          <w:szCs w:val="24"/>
        </w:rPr>
        <w:t>(Participant G).</w:t>
      </w:r>
    </w:p>
    <w:p w14:paraId="23AD35BA" w14:textId="2B1F6CB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“Be prepared to answer tough questions and don't be secretive. Is it safe in terms of embezzling? Can money go missing? Accountability is important”</w:t>
      </w:r>
      <w:r w:rsidRPr="00BB195C">
        <w:rPr>
          <w:rFonts w:ascii="Arial" w:eastAsiaTheme="minorHAnsi" w:hAnsi="Arial" w:cs="Arial"/>
          <w:sz w:val="24"/>
          <w:szCs w:val="24"/>
        </w:rPr>
        <w:t xml:space="preserve"> (Participant I).</w:t>
      </w:r>
    </w:p>
    <w:p w14:paraId="46F2EAAD" w14:textId="77777777" w:rsidR="00BB195C" w:rsidRPr="00BB195C" w:rsidRDefault="00BB195C" w:rsidP="00CB7166">
      <w:pPr>
        <w:spacing w:after="160" w:line="480" w:lineRule="auto"/>
        <w:rPr>
          <w:rFonts w:ascii="Arial" w:eastAsiaTheme="minorHAnsi" w:hAnsi="Arial" w:cs="Arial"/>
          <w:sz w:val="24"/>
          <w:szCs w:val="24"/>
        </w:rPr>
      </w:pPr>
    </w:p>
    <w:p w14:paraId="7021BAF9" w14:textId="243C0496" w:rsidR="00BB195C" w:rsidRDefault="00BB195C" w:rsidP="00D85079">
      <w:pPr>
        <w:pStyle w:val="Heading2"/>
        <w:rPr>
          <w:rFonts w:ascii="Arial" w:eastAsiaTheme="minorHAnsi" w:hAnsi="Arial" w:cs="Arial"/>
          <w:sz w:val="24"/>
          <w:szCs w:val="24"/>
        </w:rPr>
      </w:pPr>
      <w:bookmarkStart w:id="45" w:name="_Toc123562325"/>
      <w:r w:rsidRPr="00BB195C">
        <w:rPr>
          <w:rFonts w:ascii="Arial" w:eastAsiaTheme="minorHAnsi" w:hAnsi="Arial" w:cs="Arial"/>
          <w:sz w:val="24"/>
          <w:szCs w:val="24"/>
        </w:rPr>
        <w:lastRenderedPageBreak/>
        <w:t>Theme 2</w:t>
      </w:r>
      <w:r w:rsidR="00553315" w:rsidRPr="00D85079">
        <w:rPr>
          <w:rFonts w:ascii="Arial" w:eastAsiaTheme="minorHAnsi" w:hAnsi="Arial" w:cs="Arial"/>
          <w:sz w:val="24"/>
          <w:szCs w:val="24"/>
        </w:rPr>
        <w:t xml:space="preserve">: </w:t>
      </w:r>
      <w:r w:rsidRPr="00BB195C">
        <w:rPr>
          <w:rFonts w:ascii="Arial" w:eastAsiaTheme="minorHAnsi" w:hAnsi="Arial" w:cs="Arial"/>
          <w:sz w:val="24"/>
          <w:szCs w:val="24"/>
        </w:rPr>
        <w:t>Ownership</w:t>
      </w:r>
      <w:bookmarkEnd w:id="45"/>
    </w:p>
    <w:p w14:paraId="2D88AA5D" w14:textId="77777777" w:rsidR="00D85079" w:rsidRPr="00BB195C" w:rsidRDefault="00D85079" w:rsidP="00D85079"/>
    <w:p w14:paraId="590ED14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second predominant theme in the data concerns the notion of ownership. Participants placed particular emphasis on making income generation activity relevant and meaningful, in reference to location and how the offer would fit within the physical space of the museum/library and in the wider locality. Notions of relevance and meaning also in terms of the impact on communities and the importance of connecting activity to people and place. </w:t>
      </w:r>
    </w:p>
    <w:p w14:paraId="287F5D26" w14:textId="64862458" w:rsidR="00BB195C" w:rsidRDefault="00BB195C" w:rsidP="00D85079">
      <w:pPr>
        <w:pStyle w:val="Heading3"/>
        <w:rPr>
          <w:rFonts w:ascii="Arial" w:eastAsiaTheme="minorHAnsi" w:hAnsi="Arial" w:cs="Arial"/>
        </w:rPr>
      </w:pPr>
      <w:bookmarkStart w:id="46" w:name="_Toc123562326"/>
      <w:r w:rsidRPr="00BB195C">
        <w:rPr>
          <w:rFonts w:ascii="Arial" w:eastAsiaTheme="minorHAnsi" w:hAnsi="Arial" w:cs="Arial"/>
        </w:rPr>
        <w:t>Tailoring the offer</w:t>
      </w:r>
      <w:bookmarkEnd w:id="46"/>
    </w:p>
    <w:p w14:paraId="092D3C3B" w14:textId="77777777" w:rsidR="00D85079" w:rsidRPr="00BB195C" w:rsidRDefault="00D85079" w:rsidP="00D85079"/>
    <w:p w14:paraId="392531C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All contributors, at various points during the interviews, queried the relevance of certain income generation activity within their locality. In conversations about physical space, participants were asked about the appetite for cafes, shops and events across StoriPowys, but were largely focused on the feasibility of such initiatives within their immediate area. </w:t>
      </w:r>
    </w:p>
    <w:p w14:paraId="62F46BBF" w14:textId="6E81E1F4"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ability to tailor it to the location is important”</w:t>
      </w:r>
      <w:r w:rsidRPr="00BB195C">
        <w:rPr>
          <w:rFonts w:ascii="Arial" w:eastAsiaTheme="minorHAnsi" w:hAnsi="Arial" w:cs="Arial"/>
          <w:sz w:val="24"/>
          <w:szCs w:val="24"/>
        </w:rPr>
        <w:t xml:space="preserve"> (Participant B).</w:t>
      </w:r>
    </w:p>
    <w:p w14:paraId="55D67C44" w14:textId="59A1BC5E"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you’re going to entertain the idea you need to think about size of space, footfall, etc. Start small and see what happens maybe?”</w:t>
      </w:r>
      <w:r w:rsidRPr="00BB195C">
        <w:rPr>
          <w:rFonts w:ascii="Arial" w:eastAsiaTheme="minorHAnsi" w:hAnsi="Arial" w:cs="Arial"/>
          <w:sz w:val="24"/>
          <w:szCs w:val="24"/>
        </w:rPr>
        <w:t xml:space="preserve"> (Participant G).</w:t>
      </w:r>
    </w:p>
    <w:p w14:paraId="206A1C8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Some participants were conscious of competition from local businesses and were unconvinced about the profitability of StoriPowys-run cafes and shops in areas where there were already a significant number of similar offers. Solutions that were presented highlighted the need to develop niche offers that would set StoriPowys apart from the competition, with an emphasis on selling merchandise and services that either promote museum and library merchandise or by meeting community needs that may be lacking in a particular area.</w:t>
      </w:r>
    </w:p>
    <w:p w14:paraId="21D599D3" w14:textId="5224976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“You’d be on a difficult wicket if you trying to sell things that were markedly different from things that you might associate with a library or museum/art gallery” </w:t>
      </w:r>
      <w:r w:rsidRPr="00BB195C">
        <w:rPr>
          <w:rFonts w:ascii="Arial" w:eastAsiaTheme="minorHAnsi" w:hAnsi="Arial" w:cs="Arial"/>
          <w:sz w:val="24"/>
          <w:szCs w:val="24"/>
        </w:rPr>
        <w:t>(Participant B).</w:t>
      </w:r>
    </w:p>
    <w:p w14:paraId="1A7AF644" w14:textId="324BB6E5"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BB195C">
        <w:rPr>
          <w:rFonts w:ascii="Arial" w:eastAsiaTheme="minorHAnsi" w:hAnsi="Arial" w:cs="Arial"/>
          <w:sz w:val="24"/>
          <w:szCs w:val="24"/>
        </w:rPr>
        <w:t>” (Participant C).</w:t>
      </w:r>
    </w:p>
    <w:p w14:paraId="7A465488" w14:textId="42BF7F8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 need to organise hands on community things, like a writing workshop, and I’d pay for sessions. Or a sewing group – there’s only one person in Brecon who does that”</w:t>
      </w:r>
      <w:r w:rsidRPr="00BB195C">
        <w:rPr>
          <w:rFonts w:ascii="Arial" w:eastAsiaTheme="minorHAnsi" w:hAnsi="Arial" w:cs="Arial"/>
          <w:sz w:val="24"/>
          <w:szCs w:val="24"/>
        </w:rPr>
        <w:t xml:space="preserve"> (Participant E).</w:t>
      </w:r>
    </w:p>
    <w:p w14:paraId="478D08A2" w14:textId="77777777" w:rsidR="00CB7166" w:rsidRPr="00BB195C" w:rsidRDefault="00CB7166" w:rsidP="00CB7166">
      <w:pPr>
        <w:spacing w:after="160" w:line="240" w:lineRule="auto"/>
        <w:rPr>
          <w:rFonts w:ascii="Arial" w:eastAsiaTheme="minorHAnsi" w:hAnsi="Arial" w:cs="Arial"/>
          <w:sz w:val="24"/>
          <w:szCs w:val="24"/>
        </w:rPr>
      </w:pPr>
    </w:p>
    <w:p w14:paraId="7725F0B2" w14:textId="7020463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acknowledgement from several participants about the rurality of Powys, and the viability of sustainable, commercial activity in areas where footfall is likely to be low, or where the distance to travel to a facility may be a disincentive for </w:t>
      </w:r>
      <w:r w:rsidR="009B7677" w:rsidRPr="00BB195C">
        <w:rPr>
          <w:rFonts w:ascii="Arial" w:eastAsiaTheme="minorHAnsi" w:hAnsi="Arial" w:cs="Arial"/>
          <w:sz w:val="24"/>
          <w:szCs w:val="24"/>
        </w:rPr>
        <w:t>residents</w:t>
      </w:r>
      <w:r w:rsidRPr="00BB195C">
        <w:rPr>
          <w:rFonts w:ascii="Arial" w:eastAsiaTheme="minorHAnsi" w:hAnsi="Arial" w:cs="Arial"/>
          <w:sz w:val="24"/>
          <w:szCs w:val="24"/>
        </w:rPr>
        <w:t xml:space="preserve">. </w:t>
      </w:r>
    </w:p>
    <w:p w14:paraId="058FD048" w14:textId="7525F904"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“Some of the rural libraries - how many people would make an effort to drive there just to go to the café?”</w:t>
      </w:r>
      <w:r w:rsidRPr="00BB195C">
        <w:rPr>
          <w:rFonts w:ascii="Arial" w:eastAsiaTheme="minorHAnsi" w:hAnsi="Arial" w:cs="Arial"/>
          <w:sz w:val="24"/>
          <w:szCs w:val="24"/>
        </w:rPr>
        <w:t xml:space="preserve"> (Participant I).</w:t>
      </w:r>
    </w:p>
    <w:p w14:paraId="4CCF031E" w14:textId="77777777" w:rsidR="00CB7166" w:rsidRPr="00BB195C" w:rsidRDefault="00CB7166" w:rsidP="00CB7166">
      <w:pPr>
        <w:spacing w:after="160" w:line="240" w:lineRule="auto"/>
        <w:rPr>
          <w:rFonts w:ascii="Arial" w:eastAsiaTheme="minorHAnsi" w:hAnsi="Arial" w:cs="Arial"/>
          <w:sz w:val="24"/>
          <w:szCs w:val="24"/>
        </w:rPr>
      </w:pPr>
    </w:p>
    <w:p w14:paraId="7936181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same considerations were expressed when participants were asked to consider their preference for countywide versus local friends’ groups and StoriPowys membership.</w:t>
      </w:r>
    </w:p>
    <w:p w14:paraId="2B483F6B" w14:textId="58915310"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want to see that the money I was spending ideally going into the kitty for that library, but it would be acceptable if it went into the kitty for all of Powys libraries. It would be better for me if it stayed local. It’s such a rural area so especially so”</w:t>
      </w:r>
      <w:r w:rsidRPr="00BB195C">
        <w:rPr>
          <w:rFonts w:ascii="Arial" w:eastAsiaTheme="minorHAnsi" w:hAnsi="Arial" w:cs="Arial"/>
          <w:sz w:val="24"/>
          <w:szCs w:val="24"/>
        </w:rPr>
        <w:t xml:space="preserve"> (Participant A).</w:t>
      </w:r>
    </w:p>
    <w:p w14:paraId="0DB5C3EA" w14:textId="7718B3A9"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“A countywide friends would seem more daunting. I would feel like if I'd raised £500, for example, it would mean more to raise for something local as it wouldn’t mean much if going to all those libraries”</w:t>
      </w:r>
      <w:r w:rsidRPr="00BB195C">
        <w:rPr>
          <w:rFonts w:ascii="Arial" w:eastAsiaTheme="minorHAnsi" w:hAnsi="Arial" w:cs="Arial"/>
          <w:sz w:val="24"/>
          <w:szCs w:val="24"/>
        </w:rPr>
        <w:t xml:space="preserve"> (Participant J).</w:t>
      </w:r>
    </w:p>
    <w:p w14:paraId="09B140FA" w14:textId="77777777" w:rsidR="00CB7166" w:rsidRPr="00BB195C" w:rsidRDefault="00CB7166" w:rsidP="00CB7166">
      <w:pPr>
        <w:spacing w:after="160" w:line="240" w:lineRule="auto"/>
        <w:rPr>
          <w:rFonts w:ascii="Arial" w:eastAsiaTheme="minorHAnsi" w:hAnsi="Arial" w:cs="Arial"/>
          <w:sz w:val="24"/>
          <w:szCs w:val="24"/>
        </w:rPr>
      </w:pPr>
    </w:p>
    <w:p w14:paraId="1129ABE5" w14:textId="4BFE3C08" w:rsidR="00BB195C" w:rsidRDefault="00BB195C" w:rsidP="00D85079">
      <w:pPr>
        <w:pStyle w:val="Heading3"/>
        <w:rPr>
          <w:rFonts w:ascii="Arial" w:eastAsiaTheme="minorHAnsi" w:hAnsi="Arial" w:cs="Arial"/>
        </w:rPr>
      </w:pPr>
      <w:bookmarkStart w:id="47" w:name="_Toc123562327"/>
      <w:r w:rsidRPr="00BB195C">
        <w:rPr>
          <w:rFonts w:ascii="Arial" w:eastAsiaTheme="minorHAnsi" w:hAnsi="Arial" w:cs="Arial"/>
        </w:rPr>
        <w:t>Community</w:t>
      </w:r>
      <w:bookmarkEnd w:id="47"/>
    </w:p>
    <w:p w14:paraId="7351EA20" w14:textId="77777777" w:rsidR="00D85079" w:rsidRPr="00BB195C" w:rsidRDefault="00D85079" w:rsidP="00D85079"/>
    <w:p w14:paraId="06B4396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An extension of this local element concerns Community, and this appeared frequently in the data. Interviewees’ language conveyed a sense of ownership about StoriPowys, particularly when conversing about their local facility, with phrases such as “our museum” and “my library” featuring as common occurrences in the transcripts. Community is a strong theme in terms of benefits and impact, which is addressed later in the findings, but its relevance in this section relates specifically to the connection it has for participants with their sense of place.</w:t>
      </w:r>
    </w:p>
    <w:p w14:paraId="4B0AC34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Conversations around both online and in-person fundraising activity highlighted the distinction between benefits to residents as individuals and benefits to them as part of a wider community, with the latter being an essential partnership to guarantee ongoing service sustainability that extends beyond income generation alone.  All participants could see the potential of friends’ groups to raise funds but were mindful also of the need ensure that endeavours have a visible impact on their local communities. </w:t>
      </w:r>
    </w:p>
    <w:p w14:paraId="76F2C16D" w14:textId="13AC552E"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“Yeah, donating to a local library and the way that library operates within that local community, I think that has a chance”</w:t>
      </w:r>
      <w:r w:rsidRPr="00BB195C">
        <w:rPr>
          <w:rFonts w:ascii="Arial" w:eastAsiaTheme="minorHAnsi" w:hAnsi="Arial" w:cs="Arial"/>
          <w:sz w:val="24"/>
          <w:szCs w:val="24"/>
        </w:rPr>
        <w:t xml:space="preserve"> (Participant C).</w:t>
      </w:r>
    </w:p>
    <w:p w14:paraId="59F360BE" w14:textId="0F466026"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“As far as income generation, I think people would be up for that as an interesting thing that they can do without having to go to Cardiff of whatever”</w:t>
      </w:r>
      <w:r w:rsidRPr="00BB195C">
        <w:rPr>
          <w:rFonts w:ascii="Arial" w:eastAsiaTheme="minorHAnsi" w:hAnsi="Arial" w:cs="Arial"/>
          <w:sz w:val="24"/>
          <w:szCs w:val="24"/>
        </w:rPr>
        <w:t xml:space="preserve"> (Participant G).</w:t>
      </w:r>
    </w:p>
    <w:p w14:paraId="68D33376" w14:textId="0ED0AA5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there’s a case for libraries taking on roles of things like post offices so a linked up whole monies piece, particularly as they’re disappearing from their communities”</w:t>
      </w:r>
      <w:r w:rsidRPr="00BB195C">
        <w:rPr>
          <w:rFonts w:ascii="Arial" w:eastAsiaTheme="minorHAnsi" w:hAnsi="Arial" w:cs="Arial"/>
          <w:sz w:val="24"/>
          <w:szCs w:val="24"/>
        </w:rPr>
        <w:t xml:space="preserve"> (Participant C).</w:t>
      </w:r>
    </w:p>
    <w:p w14:paraId="096A18ED" w14:textId="7777777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They also saw value in the importance of the mutual benefits for service and communities, to ensure longevity of libraries and museum services by highlighting the support that each can offer the other. </w:t>
      </w:r>
    </w:p>
    <w:p w14:paraId="464AF485" w14:textId="63A17B0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“You’re looking to attract that element of people who are prepared to be community minded in helping to support a service which is just this little bit better by them being a friend”</w:t>
      </w:r>
      <w:r w:rsidRPr="00BB195C">
        <w:rPr>
          <w:rFonts w:ascii="Arial" w:eastAsiaTheme="minorHAnsi" w:hAnsi="Arial" w:cs="Arial"/>
          <w:sz w:val="24"/>
          <w:szCs w:val="24"/>
        </w:rPr>
        <w:t xml:space="preserve"> (Participant B)</w:t>
      </w:r>
    </w:p>
    <w:p w14:paraId="4493638A" w14:textId="1BF18F0D"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good for the community to see that people want libraries to do well and older people would find it reassuring that younger generations want to support”</w:t>
      </w:r>
      <w:r w:rsidRPr="00BB195C">
        <w:rPr>
          <w:rFonts w:ascii="Arial" w:eastAsiaTheme="minorHAnsi" w:hAnsi="Arial" w:cs="Arial"/>
          <w:sz w:val="24"/>
          <w:szCs w:val="24"/>
        </w:rPr>
        <w:t xml:space="preserve"> (Participant J).</w:t>
      </w:r>
    </w:p>
    <w:p w14:paraId="1D09ADE2" w14:textId="77777777" w:rsidR="00CB7166" w:rsidRPr="00BB195C" w:rsidRDefault="00CB7166" w:rsidP="00CB7166">
      <w:pPr>
        <w:spacing w:after="160" w:line="240" w:lineRule="auto"/>
        <w:rPr>
          <w:rFonts w:ascii="Arial" w:eastAsiaTheme="minorHAnsi" w:hAnsi="Arial" w:cs="Arial"/>
          <w:sz w:val="24"/>
          <w:szCs w:val="24"/>
        </w:rPr>
      </w:pPr>
    </w:p>
    <w:p w14:paraId="655E7B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When considering corporate support of StoriPowys services, more than half of participants were keen that partner companies are either community-based or promote community development as part of their corporate social responsibility.</w:t>
      </w:r>
    </w:p>
    <w:p w14:paraId="74A46EDA" w14:textId="1D7D9448"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appreciate local company more. Knowing that a small business could get their name out there would mean more as they’re investing in their own community, but a big company would have more money to throw around but wouldn’t care”</w:t>
      </w:r>
      <w:r w:rsidRPr="00BB195C">
        <w:rPr>
          <w:rFonts w:ascii="Arial" w:eastAsiaTheme="minorHAnsi" w:hAnsi="Arial" w:cs="Arial"/>
          <w:sz w:val="24"/>
          <w:szCs w:val="24"/>
        </w:rPr>
        <w:t xml:space="preserve"> (Participant A).</w:t>
      </w:r>
    </w:p>
    <w:p w14:paraId="75AE4CDE" w14:textId="77777777" w:rsidR="00C26E73" w:rsidRPr="00BB195C" w:rsidRDefault="00C26E73" w:rsidP="00CB7166">
      <w:pPr>
        <w:spacing w:after="160" w:line="240" w:lineRule="auto"/>
        <w:rPr>
          <w:rFonts w:ascii="Arial" w:eastAsiaTheme="minorHAnsi" w:hAnsi="Arial" w:cs="Arial"/>
          <w:sz w:val="24"/>
          <w:szCs w:val="24"/>
        </w:rPr>
      </w:pPr>
    </w:p>
    <w:p w14:paraId="4BF2F3FE" w14:textId="2F6DB4A0" w:rsidR="00BB195C" w:rsidRDefault="00BB195C" w:rsidP="00D85079">
      <w:pPr>
        <w:pStyle w:val="Heading3"/>
        <w:rPr>
          <w:rFonts w:ascii="Arial" w:eastAsiaTheme="minorHAnsi" w:hAnsi="Arial" w:cs="Arial"/>
        </w:rPr>
      </w:pPr>
      <w:bookmarkStart w:id="48" w:name="_Toc123562328"/>
      <w:r w:rsidRPr="00BB195C">
        <w:rPr>
          <w:rFonts w:ascii="Arial" w:eastAsiaTheme="minorHAnsi" w:hAnsi="Arial" w:cs="Arial"/>
        </w:rPr>
        <w:t>Local culture</w:t>
      </w:r>
      <w:bookmarkEnd w:id="48"/>
    </w:p>
    <w:p w14:paraId="1EB71E1E" w14:textId="77777777" w:rsidR="00D85079" w:rsidRPr="00BB195C" w:rsidRDefault="00D85079" w:rsidP="00D85079"/>
    <w:p w14:paraId="428747A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desire to preserve and promote the history and culture of Powys came through clearly from participants. As Powys is a popular tourist destination, residents are aware of the significant visitor demographic that this brings and evidence of interviewees’ pride in their heritage and their desire to publicize this to the wider world was evident. </w:t>
      </w:r>
    </w:p>
    <w:p w14:paraId="5AD5304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consensus on the need to capitalize on the museum collections to generate income, and to appeal to tourists with merchandise that not only has a unique selling point but promotes the culture of Powys to those from further afield.   </w:t>
      </w:r>
    </w:p>
    <w:p w14:paraId="3FAA06BC" w14:textId="7AD94F7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“People like to take reminders away, of something you’re proud of if you live in Brecon – a reminder of Brecon. It might not be the logo but something more characteristic of Brecon”</w:t>
      </w:r>
      <w:r w:rsidRPr="00BB195C">
        <w:rPr>
          <w:rFonts w:ascii="Arial" w:eastAsiaTheme="minorHAnsi" w:hAnsi="Arial" w:cs="Arial"/>
          <w:sz w:val="24"/>
          <w:szCs w:val="24"/>
        </w:rPr>
        <w:t xml:space="preserve"> (Participant B). </w:t>
      </w:r>
    </w:p>
    <w:p w14:paraId="78D12632" w14:textId="656CBF3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simple logo is fine for pencils or rulers, clean and nice. But museum notebooks having pictures is a good opportunity to have something unique, and a better reminder of the experience”</w:t>
      </w:r>
      <w:r w:rsidRPr="00BB195C">
        <w:rPr>
          <w:rFonts w:ascii="Arial" w:eastAsiaTheme="minorHAnsi" w:hAnsi="Arial" w:cs="Arial"/>
          <w:sz w:val="24"/>
          <w:szCs w:val="24"/>
        </w:rPr>
        <w:t xml:space="preserve"> (Participant J).</w:t>
      </w:r>
    </w:p>
    <w:p w14:paraId="0AB34C7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A passion for locals to learn more about their own culture also featured a great deal in the data, and there was a clear appetite from participants to pay for unique online content or in-person experiences from StoriPowys museum and archive collections that they would not otherwise have access to. </w:t>
      </w:r>
    </w:p>
    <w:p w14:paraId="1B8863B2" w14:textId="616614D4"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you’re up against such a large spectrum of other things that are free online. Something very specific could work – a history of Llandrindod by the local history society”</w:t>
      </w:r>
      <w:r w:rsidRPr="00BB195C">
        <w:rPr>
          <w:rFonts w:ascii="Arial" w:eastAsiaTheme="minorHAnsi" w:hAnsi="Arial" w:cs="Arial"/>
          <w:sz w:val="24"/>
          <w:szCs w:val="24"/>
        </w:rPr>
        <w:t xml:space="preserve"> (Participant B).</w:t>
      </w:r>
    </w:p>
    <w:p w14:paraId="5A655291" w14:textId="1DD0973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BB195C">
        <w:rPr>
          <w:rFonts w:ascii="Arial" w:eastAsiaTheme="minorHAnsi" w:hAnsi="Arial" w:cs="Arial"/>
          <w:sz w:val="24"/>
          <w:szCs w:val="24"/>
        </w:rPr>
        <w:t xml:space="preserve"> (Participant C). </w:t>
      </w:r>
    </w:p>
    <w:p w14:paraId="6645EB66" w14:textId="77777777" w:rsidR="00481076" w:rsidRPr="00BB195C" w:rsidRDefault="00481076" w:rsidP="00481076">
      <w:pPr>
        <w:spacing w:after="160" w:line="240" w:lineRule="auto"/>
        <w:rPr>
          <w:rFonts w:ascii="Arial" w:eastAsiaTheme="minorHAnsi" w:hAnsi="Arial" w:cs="Arial"/>
          <w:sz w:val="24"/>
          <w:szCs w:val="24"/>
        </w:rPr>
      </w:pPr>
    </w:p>
    <w:p w14:paraId="7C1D79A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also recognition of the significant number of creators living in Powys, and the idea of supporting local artists and culture while generating income was a suggestion that several participants put forward.</w:t>
      </w:r>
    </w:p>
    <w:p w14:paraId="11D050D0" w14:textId="5B6D524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“Something from local creators would be good, pop-up shops for local artists. It's important to support local culture in Wales too” </w:t>
      </w:r>
      <w:r w:rsidRPr="00BB195C">
        <w:rPr>
          <w:rFonts w:ascii="Arial" w:eastAsiaTheme="minorHAnsi" w:hAnsi="Arial" w:cs="Arial"/>
          <w:sz w:val="24"/>
          <w:szCs w:val="24"/>
        </w:rPr>
        <w:t>(Participant J).</w:t>
      </w:r>
    </w:p>
    <w:p w14:paraId="7FB8F2EE" w14:textId="2E44062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“Could you get non-branded things from local craftspeople? I’d probably like to see local crafts”</w:t>
      </w:r>
      <w:r w:rsidRPr="00BB195C">
        <w:rPr>
          <w:rFonts w:ascii="Arial" w:eastAsiaTheme="minorHAnsi" w:hAnsi="Arial" w:cs="Arial"/>
          <w:sz w:val="24"/>
          <w:szCs w:val="24"/>
        </w:rPr>
        <w:t xml:space="preserve"> (Participant H). </w:t>
      </w:r>
    </w:p>
    <w:p w14:paraId="02ABC0BC" w14:textId="77777777" w:rsidR="00481076" w:rsidRPr="00BB195C" w:rsidRDefault="00481076" w:rsidP="00481076">
      <w:pPr>
        <w:spacing w:after="160" w:line="240" w:lineRule="auto"/>
        <w:rPr>
          <w:rFonts w:ascii="Arial" w:eastAsiaTheme="minorHAnsi" w:hAnsi="Arial" w:cs="Arial"/>
          <w:sz w:val="24"/>
          <w:szCs w:val="24"/>
        </w:rPr>
      </w:pPr>
    </w:p>
    <w:p w14:paraId="754C9D94" w14:textId="508283AB" w:rsidR="00BB195C" w:rsidRDefault="00BB195C" w:rsidP="00D85079">
      <w:pPr>
        <w:pStyle w:val="Heading2"/>
        <w:rPr>
          <w:rFonts w:ascii="Arial" w:eastAsiaTheme="minorHAnsi" w:hAnsi="Arial" w:cs="Arial"/>
          <w:sz w:val="24"/>
          <w:szCs w:val="24"/>
        </w:rPr>
      </w:pPr>
      <w:bookmarkStart w:id="49" w:name="_Toc123562329"/>
      <w:r w:rsidRPr="00BB195C">
        <w:rPr>
          <w:rFonts w:ascii="Arial" w:eastAsiaTheme="minorHAnsi" w:hAnsi="Arial" w:cs="Arial"/>
          <w:sz w:val="24"/>
          <w:szCs w:val="24"/>
        </w:rPr>
        <w:t>Theme 3</w:t>
      </w:r>
      <w:r w:rsidR="00D85079" w:rsidRPr="00D85079">
        <w:rPr>
          <w:rFonts w:ascii="Arial" w:eastAsiaTheme="minorHAnsi" w:hAnsi="Arial" w:cs="Arial"/>
          <w:sz w:val="24"/>
          <w:szCs w:val="24"/>
        </w:rPr>
        <w:t xml:space="preserve">: </w:t>
      </w:r>
      <w:r w:rsidRPr="00BB195C">
        <w:rPr>
          <w:rFonts w:ascii="Arial" w:eastAsiaTheme="minorHAnsi" w:hAnsi="Arial" w:cs="Arial"/>
          <w:sz w:val="24"/>
          <w:szCs w:val="24"/>
        </w:rPr>
        <w:t>Engagement</w:t>
      </w:r>
      <w:bookmarkEnd w:id="49"/>
    </w:p>
    <w:p w14:paraId="3A021109" w14:textId="77777777" w:rsidR="00D85079" w:rsidRPr="00BB195C" w:rsidRDefault="00D85079" w:rsidP="00D85079"/>
    <w:p w14:paraId="174620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appetite for income generation activity was accompanied by themes around engagement with the public. This is the largest of the three themes, elements of which have already been picked up in other sections of the analysis. However, a substantial amount of data captured in this area warrants further analysis as standalone categories. </w:t>
      </w:r>
    </w:p>
    <w:p w14:paraId="013DB8A6" w14:textId="020E36F7" w:rsidR="00D85079"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Participants were consciously contributing to discussions from the perspective of StoriPowys facilities and services as primarily public services, rather than commercial enterprises, and from that standpoint themes concerning benefits and </w:t>
      </w:r>
      <w:r w:rsidRPr="00BB195C">
        <w:rPr>
          <w:rFonts w:ascii="Arial" w:eastAsiaTheme="minorHAnsi" w:hAnsi="Arial" w:cs="Arial"/>
          <w:sz w:val="24"/>
          <w:szCs w:val="24"/>
        </w:rPr>
        <w:lastRenderedPageBreak/>
        <w:t xml:space="preserve">outcomes for the public and for the service, as well a recognition that the target audience for these benefits, </w:t>
      </w:r>
      <w:r w:rsidRPr="0062051B">
        <w:rPr>
          <w:rFonts w:ascii="Arial" w:eastAsiaTheme="minorHAnsi" w:hAnsi="Arial" w:cs="Arial"/>
          <w:sz w:val="24"/>
          <w:szCs w:val="24"/>
        </w:rPr>
        <w:t>is broad.</w:t>
      </w:r>
      <w:r w:rsidRPr="00BB195C">
        <w:rPr>
          <w:rFonts w:ascii="Arial" w:eastAsiaTheme="minorHAnsi" w:hAnsi="Arial" w:cs="Arial"/>
          <w:sz w:val="24"/>
          <w:szCs w:val="24"/>
        </w:rPr>
        <w:t xml:space="preserve"> Accompanying this were comments and observations around the communication of fundraising initiatives to this audience. </w:t>
      </w:r>
    </w:p>
    <w:p w14:paraId="765F42EC" w14:textId="77777777" w:rsidR="00D85079" w:rsidRPr="00BB195C" w:rsidRDefault="00D85079" w:rsidP="00CB7166">
      <w:pPr>
        <w:spacing w:after="160" w:line="480" w:lineRule="auto"/>
        <w:rPr>
          <w:rFonts w:ascii="Arial" w:eastAsiaTheme="minorHAnsi" w:hAnsi="Arial" w:cs="Arial"/>
          <w:sz w:val="24"/>
          <w:szCs w:val="24"/>
        </w:rPr>
      </w:pPr>
    </w:p>
    <w:p w14:paraId="59F7EEB3" w14:textId="7C545EE8" w:rsidR="00BB195C" w:rsidRDefault="00BB195C" w:rsidP="00D85079">
      <w:pPr>
        <w:pStyle w:val="Heading3"/>
        <w:rPr>
          <w:rFonts w:ascii="Arial" w:eastAsiaTheme="minorHAnsi" w:hAnsi="Arial" w:cs="Arial"/>
        </w:rPr>
      </w:pPr>
      <w:bookmarkStart w:id="50" w:name="_Toc123562330"/>
      <w:r w:rsidRPr="00BB195C">
        <w:rPr>
          <w:rFonts w:ascii="Arial" w:eastAsiaTheme="minorHAnsi" w:hAnsi="Arial" w:cs="Arial"/>
        </w:rPr>
        <w:t>Benefits and Outcomes</w:t>
      </w:r>
      <w:bookmarkEnd w:id="50"/>
    </w:p>
    <w:p w14:paraId="4BC9E5EA" w14:textId="77777777" w:rsidR="00D85079" w:rsidRPr="00BB195C" w:rsidRDefault="00D85079" w:rsidP="00D85079"/>
    <w:p w14:paraId="178D3AD9"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Benefits to the public were high on the agenda for participants</w:t>
      </w:r>
      <w:r w:rsidRPr="00BB195C">
        <w:rPr>
          <w:rFonts w:ascii="Arial" w:eastAsiaTheme="minorHAnsi" w:hAnsi="Arial" w:cs="Arial"/>
          <w:color w:val="FF0000"/>
          <w:sz w:val="24"/>
          <w:szCs w:val="24"/>
        </w:rPr>
        <w:t xml:space="preserve">. </w:t>
      </w:r>
      <w:r w:rsidRPr="00BB195C">
        <w:rPr>
          <w:rFonts w:ascii="Arial" w:eastAsiaTheme="minorHAnsi" w:hAnsi="Arial" w:cs="Arial"/>
          <w:sz w:val="24"/>
          <w:szCs w:val="24"/>
        </w:rPr>
        <w:t xml:space="preserve">Rather than advantages to the individual, it was benefits to the wider community that participants were most interested in, commercial activity that had either the knock-on effect of improving services access to cultural services for communities, or that fundraising would, in some other way, be for the benefit of the greater good. </w:t>
      </w:r>
    </w:p>
    <w:p w14:paraId="201746F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asked discussing the possibility of StoriPowys shops and cafes, what appealed to some participants was the idea that it could be used as a vehicle for meeting a social need. </w:t>
      </w:r>
    </w:p>
    <w:p w14:paraId="38093031" w14:textId="37E6C876"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like the idea that the shop would be giving a certain amount of the spotlight to the pieces that would generate money into funding something. I would like to see the money going somewhere” </w:t>
      </w:r>
      <w:r w:rsidRPr="00BB195C">
        <w:rPr>
          <w:rFonts w:ascii="Arial" w:eastAsiaTheme="minorHAnsi" w:hAnsi="Arial" w:cs="Arial"/>
          <w:sz w:val="24"/>
          <w:szCs w:val="24"/>
        </w:rPr>
        <w:t xml:space="preserve">Participant A). </w:t>
      </w:r>
    </w:p>
    <w:p w14:paraId="2BA518BB" w14:textId="77777777" w:rsidR="00481076" w:rsidRPr="00BB195C" w:rsidRDefault="00481076" w:rsidP="00481076">
      <w:pPr>
        <w:spacing w:after="160" w:line="240" w:lineRule="auto"/>
        <w:rPr>
          <w:rFonts w:ascii="Arial" w:eastAsiaTheme="minorHAnsi" w:hAnsi="Arial" w:cs="Arial"/>
          <w:sz w:val="24"/>
          <w:szCs w:val="24"/>
        </w:rPr>
      </w:pPr>
    </w:p>
    <w:p w14:paraId="538A9AD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current economic cost-of-living crisis was also highlighted.</w:t>
      </w:r>
    </w:p>
    <w:p w14:paraId="07624E06" w14:textId="3157C7B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“Thinking of people who can’t keep their own houses as warm so you’re looking for a comfortable place where people will be for a long period of time, the idea of having a café is important”</w:t>
      </w:r>
      <w:r w:rsidRPr="00BB195C">
        <w:rPr>
          <w:rFonts w:ascii="Arial" w:eastAsiaTheme="minorHAnsi" w:hAnsi="Arial" w:cs="Arial"/>
          <w:sz w:val="24"/>
          <w:szCs w:val="24"/>
        </w:rPr>
        <w:t xml:space="preserve"> (Participant B). </w:t>
      </w:r>
    </w:p>
    <w:p w14:paraId="0F96A6B5" w14:textId="77777777" w:rsidR="00481076" w:rsidRPr="00BB195C" w:rsidRDefault="00481076" w:rsidP="00481076">
      <w:pPr>
        <w:spacing w:after="160" w:line="240" w:lineRule="auto"/>
        <w:rPr>
          <w:rFonts w:ascii="Arial" w:eastAsiaTheme="minorHAnsi" w:hAnsi="Arial" w:cs="Arial"/>
          <w:sz w:val="24"/>
          <w:szCs w:val="24"/>
        </w:rPr>
      </w:pPr>
    </w:p>
    <w:p w14:paraId="6157E69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One participant saw the value in extending the café offer to run paid workshops that would teach people valuable life skills and partnering with local businesses to deliver a viable offer.</w:t>
      </w:r>
    </w:p>
    <w:p w14:paraId="0436015B" w14:textId="3A268037"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“I wouldn’t mind having workshops and paying for those, so I don’t have to travel, as long as it’s not expensive. We need to work together, to give back – work with local bakeries, people. It would be nice to do it in my own community. I would support activities in towns”</w:t>
      </w:r>
      <w:r w:rsidRPr="00BB195C">
        <w:rPr>
          <w:rFonts w:ascii="Arial" w:eastAsiaTheme="minorHAnsi" w:hAnsi="Arial" w:cs="Arial"/>
          <w:sz w:val="24"/>
          <w:szCs w:val="24"/>
        </w:rPr>
        <w:t xml:space="preserve"> (Participant E).</w:t>
      </w:r>
    </w:p>
    <w:p w14:paraId="26DEB30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question concerning charges for online events generated some interesting observations. Most participants were supportive of a flat rate for event tickets, but there were some thoughtful, and varied, comments about the social impact, factoring in the benefits for the consumer, the content creator or service and adopting a pay-it-forward approach.</w:t>
      </w:r>
    </w:p>
    <w:p w14:paraId="48864159" w14:textId="0FF3DD4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it’s something different ‘d pay, like a talk. Reminding the viewer that we should support the struggling artist. E.g., buying a cd is important as it makes a difference, even if you can get it on YouTube”</w:t>
      </w:r>
      <w:r w:rsidRPr="00BB195C">
        <w:rPr>
          <w:rFonts w:ascii="Arial" w:eastAsiaTheme="minorHAnsi" w:hAnsi="Arial" w:cs="Arial"/>
          <w:sz w:val="24"/>
          <w:szCs w:val="24"/>
        </w:rPr>
        <w:t xml:space="preserve"> (Participant A).</w:t>
      </w:r>
    </w:p>
    <w:p w14:paraId="6185C334" w14:textId="2384056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small charge, and anything above would depend on the person. I like the idea of pay what you can. Like pop-up cafes, this is the amount, but pay over or under and if you pay over it will pay for someone else’s dinner</w:t>
      </w:r>
      <w:r w:rsidRPr="00BB195C">
        <w:rPr>
          <w:rFonts w:ascii="Arial" w:eastAsiaTheme="minorHAnsi" w:hAnsi="Arial" w:cs="Arial"/>
          <w:sz w:val="24"/>
          <w:szCs w:val="24"/>
        </w:rPr>
        <w:t>” (Participant A).</w:t>
      </w:r>
    </w:p>
    <w:p w14:paraId="639E93DB" w14:textId="2797621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(it’s cheaper if they collect) and take the opportunity to promote the shop, increase footfall etc.”</w:t>
      </w:r>
      <w:r w:rsidRPr="00BB195C">
        <w:rPr>
          <w:rFonts w:ascii="Arial" w:eastAsiaTheme="minorHAnsi" w:hAnsi="Arial" w:cs="Arial"/>
          <w:sz w:val="24"/>
          <w:szCs w:val="24"/>
        </w:rPr>
        <w:t xml:space="preserve"> (Participant I).</w:t>
      </w:r>
    </w:p>
    <w:p w14:paraId="7599FA18" w14:textId="77777777" w:rsidR="00481076" w:rsidRPr="00BB195C" w:rsidRDefault="00481076" w:rsidP="00481076">
      <w:pPr>
        <w:spacing w:after="160" w:line="240" w:lineRule="auto"/>
        <w:rPr>
          <w:rFonts w:ascii="Arial" w:eastAsiaTheme="minorHAnsi" w:hAnsi="Arial" w:cs="Arial"/>
          <w:sz w:val="24"/>
          <w:szCs w:val="24"/>
        </w:rPr>
      </w:pPr>
    </w:p>
    <w:p w14:paraId="559B1CF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perspective that a few contributors brought, was the potential for improved access to physical spaces. They queried whether events hosted at StoriPowys sites out of hours could provide the opportunity to extend library and museum opening hours, so that at least some services could be available when events were running, and the idea that a paid event may facilitate this was welcomed by participants.</w:t>
      </w:r>
    </w:p>
    <w:p w14:paraId="3AB2F27E" w14:textId="233A07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think some of these buildings that are empty, Powys council should either convert or be used”</w:t>
      </w:r>
      <w:r w:rsidRPr="00BB195C">
        <w:rPr>
          <w:rFonts w:ascii="Arial" w:eastAsiaTheme="minorHAnsi" w:hAnsi="Arial" w:cs="Arial"/>
          <w:sz w:val="24"/>
          <w:szCs w:val="24"/>
        </w:rPr>
        <w:t xml:space="preserve"> (Participant E). </w:t>
      </w:r>
    </w:p>
    <w:p w14:paraId="6BAE742E" w14:textId="77777777" w:rsidR="00BB195C" w:rsidRPr="00BB195C" w:rsidRDefault="00BB195C" w:rsidP="00CB7166">
      <w:pPr>
        <w:spacing w:after="160" w:line="480" w:lineRule="auto"/>
        <w:rPr>
          <w:rFonts w:ascii="Arial" w:eastAsiaTheme="minorHAnsi" w:hAnsi="Arial" w:cs="Arial"/>
          <w:sz w:val="24"/>
          <w:szCs w:val="24"/>
        </w:rPr>
      </w:pPr>
    </w:p>
    <w:p w14:paraId="1EABFD1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recognition from some participants that visible benefits to StoriPowys are vital and understanding that continued and increased use of services is as essential to sustainability as the funds to keep them afloat. The positive impact of online fundraising engagement was mentioned by some participants, who saw the </w:t>
      </w:r>
      <w:r w:rsidRPr="00BB195C">
        <w:rPr>
          <w:rFonts w:ascii="Arial" w:eastAsiaTheme="minorHAnsi" w:hAnsi="Arial" w:cs="Arial"/>
          <w:sz w:val="24"/>
          <w:szCs w:val="24"/>
        </w:rPr>
        <w:lastRenderedPageBreak/>
        <w:t xml:space="preserve">benefits of online engagement not just in terms of generating funds, but also in its capacity to develop relationships and drive in-person visitor numbers. </w:t>
      </w:r>
    </w:p>
    <w:p w14:paraId="47189F30" w14:textId="3490EED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BB195C">
        <w:rPr>
          <w:rFonts w:ascii="Arial" w:eastAsiaTheme="minorHAnsi" w:hAnsi="Arial" w:cs="Arial"/>
          <w:sz w:val="24"/>
          <w:szCs w:val="24"/>
        </w:rPr>
        <w:t xml:space="preserve"> (Participant E).</w:t>
      </w:r>
    </w:p>
    <w:p w14:paraId="169FD3C0" w14:textId="013918D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BB195C">
        <w:rPr>
          <w:rFonts w:ascii="Arial" w:eastAsiaTheme="minorHAnsi" w:hAnsi="Arial" w:cs="Arial"/>
          <w:sz w:val="24"/>
          <w:szCs w:val="24"/>
        </w:rPr>
        <w:t xml:space="preserve"> (Participant I).</w:t>
      </w:r>
    </w:p>
    <w:p w14:paraId="0679F7ED" w14:textId="77777777" w:rsidR="00481076" w:rsidRPr="00BB195C" w:rsidRDefault="00481076" w:rsidP="00481076">
      <w:pPr>
        <w:spacing w:after="160" w:line="240" w:lineRule="auto"/>
        <w:rPr>
          <w:rFonts w:ascii="Arial" w:eastAsiaTheme="minorHAnsi" w:hAnsi="Arial" w:cs="Arial"/>
          <w:sz w:val="24"/>
          <w:szCs w:val="24"/>
        </w:rPr>
      </w:pPr>
    </w:p>
    <w:p w14:paraId="0C8B220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a similar outlook when considering the potential for paid StoriPowys membership packages.</w:t>
      </w:r>
    </w:p>
    <w:p w14:paraId="50A51FA3" w14:textId="79A5D41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 would need to be more than a newsletter. Benefits attract members - not necessarily daily but welcome ones. Some benefits might make you visit the facility, stay longer, spend in the café</w:t>
      </w:r>
      <w:r w:rsidRPr="00BB195C">
        <w:rPr>
          <w:rFonts w:ascii="Arial" w:eastAsiaTheme="minorHAnsi" w:hAnsi="Arial" w:cs="Arial"/>
          <w:sz w:val="24"/>
          <w:szCs w:val="24"/>
        </w:rPr>
        <w:t>” (Participant I)</w:t>
      </w:r>
    </w:p>
    <w:p w14:paraId="69C7AC62" w14:textId="77777777" w:rsidR="00481076" w:rsidRPr="00BB195C" w:rsidRDefault="00481076" w:rsidP="00481076">
      <w:pPr>
        <w:spacing w:after="160" w:line="240" w:lineRule="auto"/>
        <w:rPr>
          <w:rFonts w:ascii="Arial" w:eastAsiaTheme="minorHAnsi" w:hAnsi="Arial" w:cs="Arial"/>
          <w:sz w:val="24"/>
          <w:szCs w:val="24"/>
        </w:rPr>
      </w:pPr>
    </w:p>
    <w:p w14:paraId="69BB99C9"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Some feedback was linked to more strategic thinking about benefits and outcomes, with comments that any fundraising activity should be carefully planned and executed, with full understanding of the risks, the implications, and the desired results, rather than taking a scattergun approach.  </w:t>
      </w:r>
    </w:p>
    <w:p w14:paraId="5D07B199" w14:textId="15A74DAA"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“It’s a conscious decision – we’re doing this because we need the money to keep the lights on, or we need a piece of equipment, or highlighting an aspect of the collection – thinking about benefit, impact, etc” </w:t>
      </w:r>
      <w:r w:rsidRPr="00BB195C">
        <w:rPr>
          <w:rFonts w:ascii="Arial" w:eastAsiaTheme="minorHAnsi" w:hAnsi="Arial" w:cs="Arial"/>
          <w:sz w:val="24"/>
          <w:szCs w:val="24"/>
        </w:rPr>
        <w:t>(Participant F).</w:t>
      </w:r>
    </w:p>
    <w:p w14:paraId="0B3524E9" w14:textId="0E70586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council’s policy is to encourage income generation related to tourism, that’s absolutely important that you’re tying back income generation policies in your libraries and museums to particular elements of the council’s policy”</w:t>
      </w:r>
      <w:r w:rsidRPr="00BB195C">
        <w:rPr>
          <w:rFonts w:ascii="Arial" w:eastAsiaTheme="minorHAnsi" w:hAnsi="Arial" w:cs="Arial"/>
          <w:sz w:val="24"/>
          <w:szCs w:val="24"/>
        </w:rPr>
        <w:t xml:space="preserve"> (Participant B).</w:t>
      </w:r>
    </w:p>
    <w:p w14:paraId="06FCC3A3" w14:textId="77777777" w:rsidR="00481076" w:rsidRPr="00BB195C" w:rsidRDefault="00481076" w:rsidP="00481076">
      <w:pPr>
        <w:spacing w:after="160" w:line="240" w:lineRule="auto"/>
        <w:rPr>
          <w:rFonts w:ascii="Arial" w:eastAsiaTheme="minorHAnsi" w:hAnsi="Arial" w:cs="Arial"/>
          <w:sz w:val="24"/>
          <w:szCs w:val="24"/>
        </w:rPr>
      </w:pPr>
    </w:p>
    <w:p w14:paraId="10D5A875" w14:textId="52F08DFB"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similar perspective was presented during conversations about friends’ groups, and one participant spoke of their previous involvement with a </w:t>
      </w:r>
      <w:r w:rsidR="00170AFE" w:rsidRPr="00CB7166">
        <w:rPr>
          <w:rFonts w:ascii="Arial" w:eastAsiaTheme="minorHAnsi" w:hAnsi="Arial" w:cs="Arial"/>
          <w:sz w:val="24"/>
          <w:szCs w:val="24"/>
        </w:rPr>
        <w:t>friends of a library group</w:t>
      </w:r>
      <w:r w:rsidRPr="00BB195C">
        <w:rPr>
          <w:rFonts w:ascii="Arial" w:eastAsiaTheme="minorHAnsi" w:hAnsi="Arial" w:cs="Arial"/>
          <w:sz w:val="24"/>
          <w:szCs w:val="24"/>
        </w:rPr>
        <w:t>, where the purpose was to raise the library’s profile with local politicians, as well as raising funds.</w:t>
      </w:r>
    </w:p>
    <w:p w14:paraId="6FAC519D" w14:textId="1594647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“There’s a political element to it – we want to save the library and make sure it has a growing future and not a declining one”</w:t>
      </w:r>
      <w:r w:rsidRPr="00BB195C">
        <w:rPr>
          <w:rFonts w:ascii="Arial" w:eastAsiaTheme="minorHAnsi" w:hAnsi="Arial" w:cs="Arial"/>
          <w:sz w:val="24"/>
          <w:szCs w:val="24"/>
        </w:rPr>
        <w:t xml:space="preserve"> (Participant C).</w:t>
      </w:r>
    </w:p>
    <w:p w14:paraId="78DEE758" w14:textId="77777777" w:rsidR="00481076" w:rsidRPr="00BB195C" w:rsidRDefault="00481076" w:rsidP="00481076">
      <w:pPr>
        <w:spacing w:after="160" w:line="240" w:lineRule="auto"/>
        <w:rPr>
          <w:rFonts w:ascii="Arial" w:eastAsiaTheme="minorHAnsi" w:hAnsi="Arial" w:cs="Arial"/>
          <w:sz w:val="24"/>
          <w:szCs w:val="24"/>
        </w:rPr>
      </w:pPr>
    </w:p>
    <w:p w14:paraId="40C3EE5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Within the data, there is also evidence of what participants feel may add very little value. There were mixed views about the appetite for general online fundraising activity, but on the question of crowdfunding, and whether a reward- or donation-based approach would be preferred, 8 of the interviewees agreed that a reward for financial contributions was either unwanted or likely to be too ambitious for staff to manage.</w:t>
      </w:r>
    </w:p>
    <w:p w14:paraId="379A840D" w14:textId="6CE12F2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 feel that something is worth having, you’d need to have a pretty significant reward and a lot of people don’t want the clutter. In general, I’d rather pay for the cause”</w:t>
      </w:r>
      <w:r w:rsidRPr="00BB195C">
        <w:rPr>
          <w:rFonts w:ascii="Arial" w:eastAsiaTheme="minorHAnsi" w:hAnsi="Arial" w:cs="Arial"/>
          <w:sz w:val="24"/>
          <w:szCs w:val="24"/>
        </w:rPr>
        <w:t xml:space="preserve"> (Participant B). </w:t>
      </w:r>
    </w:p>
    <w:p w14:paraId="3DC8AC68" w14:textId="21B0E92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did donate, I wouldn’t want anything in return. If I had something in return, I would be wondering whether I’m doing it for my sake or for theirs. A donation is technically supposed to be a one-way thing, so if you donate and get something in return, you’re technically buying something. Transparency, no strings attached”</w:t>
      </w:r>
      <w:r w:rsidRPr="00BB195C">
        <w:rPr>
          <w:rFonts w:ascii="Arial" w:eastAsiaTheme="minorHAnsi" w:hAnsi="Arial" w:cs="Arial"/>
          <w:sz w:val="24"/>
          <w:szCs w:val="24"/>
        </w:rPr>
        <w:t xml:space="preserve"> (Participant A). </w:t>
      </w:r>
    </w:p>
    <w:p w14:paraId="1AEC3018" w14:textId="77777777" w:rsidR="00481076" w:rsidRPr="00BB195C" w:rsidRDefault="00481076" w:rsidP="00481076">
      <w:pPr>
        <w:spacing w:after="160" w:line="240" w:lineRule="auto"/>
        <w:rPr>
          <w:rFonts w:ascii="Arial" w:eastAsiaTheme="minorHAnsi" w:hAnsi="Arial" w:cs="Arial"/>
          <w:sz w:val="24"/>
          <w:szCs w:val="24"/>
        </w:rPr>
      </w:pPr>
    </w:p>
    <w:p w14:paraId="568AE8C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Important to participants was the cost versus benefits of staff output, linked to previous observations about the impact on service provision when human resources are spread too thin.</w:t>
      </w:r>
    </w:p>
    <w:p w14:paraId="2A10C959" w14:textId="5F80DD8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can’t see myself buying something like that really. I think it’s a waste of resource. What’s it adding rather than taking up someone’s time and creating more waste in the world? No, I don’t understand it”</w:t>
      </w:r>
      <w:r w:rsidRPr="00BB195C">
        <w:rPr>
          <w:rFonts w:ascii="Arial" w:eastAsiaTheme="minorHAnsi" w:hAnsi="Arial" w:cs="Arial"/>
          <w:sz w:val="24"/>
          <w:szCs w:val="24"/>
        </w:rPr>
        <w:t xml:space="preserve"> (Participant I).</w:t>
      </w:r>
    </w:p>
    <w:p w14:paraId="6DBF2815" w14:textId="77777777" w:rsidR="00D85079" w:rsidRDefault="00D85079" w:rsidP="00481076">
      <w:pPr>
        <w:spacing w:after="160" w:line="240" w:lineRule="auto"/>
        <w:rPr>
          <w:rFonts w:ascii="Arial" w:eastAsiaTheme="minorHAnsi" w:hAnsi="Arial" w:cs="Arial"/>
          <w:sz w:val="24"/>
          <w:szCs w:val="24"/>
        </w:rPr>
      </w:pPr>
    </w:p>
    <w:p w14:paraId="4A742EC9" w14:textId="77777777" w:rsidR="00481076" w:rsidRPr="00BB195C" w:rsidRDefault="00481076" w:rsidP="00481076">
      <w:pPr>
        <w:spacing w:after="160" w:line="240" w:lineRule="auto"/>
        <w:rPr>
          <w:rFonts w:ascii="Arial" w:eastAsiaTheme="minorHAnsi" w:hAnsi="Arial" w:cs="Arial"/>
          <w:sz w:val="24"/>
          <w:szCs w:val="24"/>
        </w:rPr>
      </w:pPr>
    </w:p>
    <w:p w14:paraId="610937DE" w14:textId="4BD1F7E8" w:rsidR="00BB195C" w:rsidRDefault="00BB195C" w:rsidP="00D85079">
      <w:pPr>
        <w:pStyle w:val="Heading3"/>
        <w:rPr>
          <w:rFonts w:ascii="Arial" w:eastAsiaTheme="minorHAnsi" w:hAnsi="Arial" w:cs="Arial"/>
        </w:rPr>
      </w:pPr>
      <w:bookmarkStart w:id="51" w:name="_Toc123562331"/>
      <w:r w:rsidRPr="00BB195C">
        <w:rPr>
          <w:rFonts w:ascii="Arial" w:eastAsiaTheme="minorHAnsi" w:hAnsi="Arial" w:cs="Arial"/>
        </w:rPr>
        <w:t>Communication</w:t>
      </w:r>
      <w:bookmarkEnd w:id="51"/>
    </w:p>
    <w:p w14:paraId="51204EEE" w14:textId="77777777" w:rsidR="00D85079" w:rsidRPr="00BB195C" w:rsidRDefault="00D85079" w:rsidP="00D85079"/>
    <w:p w14:paraId="39B1260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Whilst a notional/abstract theme of communication cuts across other themes, analysis of the data has also identified this as a sub-theme in its own right, due to the specific nature of participant feedback. </w:t>
      </w:r>
    </w:p>
    <w:p w14:paraId="5C0BAC7C"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An important point that has been picked up in the section on Accountability addressed the desire for the public to feel confident that any money they choose to invest in the services are spent on the cause at hand. Participants felt that communication of this should go beyond simple assurances, and there was clear evidence in the data that clarity was needed on how, where and why the money would be spent.</w:t>
      </w:r>
    </w:p>
    <w:p w14:paraId="46E4ECC2" w14:textId="7542D29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“This pot of money – it would be a specific thing you’re doing, and I would have no objection. It would be about communicating why you’re charging and where the money is going”</w:t>
      </w:r>
      <w:r w:rsidRPr="00BB195C">
        <w:rPr>
          <w:rFonts w:ascii="Arial" w:eastAsiaTheme="minorHAnsi" w:hAnsi="Arial" w:cs="Arial"/>
          <w:sz w:val="24"/>
          <w:szCs w:val="24"/>
        </w:rPr>
        <w:t xml:space="preserve"> (Participant H).</w:t>
      </w:r>
    </w:p>
    <w:p w14:paraId="575BB4E7" w14:textId="1654E8C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 bit like taxation really. We all pay into general taxation but the bit that we quite like is the bit where we know where the money is actually going. So, if my money can go to that particular service then yeah”</w:t>
      </w:r>
      <w:r w:rsidRPr="00BB195C">
        <w:rPr>
          <w:rFonts w:ascii="Arial" w:eastAsiaTheme="minorHAnsi" w:hAnsi="Arial" w:cs="Arial"/>
          <w:sz w:val="24"/>
          <w:szCs w:val="24"/>
        </w:rPr>
        <w:t xml:space="preserve"> (Participant C).</w:t>
      </w:r>
    </w:p>
    <w:p w14:paraId="5271FB85" w14:textId="77777777" w:rsidR="00481076" w:rsidRPr="00BB195C" w:rsidRDefault="00481076" w:rsidP="00481076">
      <w:pPr>
        <w:spacing w:after="160" w:line="240" w:lineRule="auto"/>
        <w:rPr>
          <w:rFonts w:ascii="Arial" w:eastAsiaTheme="minorHAnsi" w:hAnsi="Arial" w:cs="Arial"/>
          <w:sz w:val="24"/>
          <w:szCs w:val="24"/>
        </w:rPr>
      </w:pPr>
    </w:p>
    <w:p w14:paraId="7437E75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Some participants felt strongly that communication was needed to convey to the public what they are at risk of losing if they choose not to make financial contributions. An absence of understanding of the machinations of local government, and the lack of influence that StoriPowys staff have to garner financial support from senior officials came as a surprise to several interviewees.</w:t>
      </w:r>
    </w:p>
    <w:p w14:paraId="1FB3FF1B" w14:textId="4613FD4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“Instead of donations could you have lists? Campaigns to save the library etc?”</w:t>
      </w:r>
      <w:r w:rsidRPr="00BB195C">
        <w:rPr>
          <w:rFonts w:ascii="Arial" w:eastAsiaTheme="minorHAnsi" w:hAnsi="Arial" w:cs="Arial"/>
          <w:sz w:val="24"/>
          <w:szCs w:val="24"/>
        </w:rPr>
        <w:t xml:space="preserve"> (Participant A).</w:t>
      </w:r>
    </w:p>
    <w:p w14:paraId="07E8121E" w14:textId="77777777" w:rsidR="00481076" w:rsidRPr="00BB195C" w:rsidRDefault="00481076" w:rsidP="00481076">
      <w:pPr>
        <w:spacing w:after="160" w:line="240" w:lineRule="auto"/>
        <w:rPr>
          <w:rFonts w:ascii="Arial" w:eastAsiaTheme="minorHAnsi" w:hAnsi="Arial" w:cs="Arial"/>
          <w:sz w:val="24"/>
          <w:szCs w:val="24"/>
        </w:rPr>
      </w:pPr>
    </w:p>
    <w:p w14:paraId="574E6F52" w14:textId="798AA882"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sz w:val="24"/>
          <w:szCs w:val="24"/>
        </w:rPr>
        <w:t>Those that did have some understanding felt that the service could and should turn it to their advantage when communicating the difficulties.</w:t>
      </w:r>
    </w:p>
    <w:p w14:paraId="576F8C92" w14:textId="77777777" w:rsidR="00481076" w:rsidRPr="00BB195C" w:rsidRDefault="00481076" w:rsidP="00481076">
      <w:pPr>
        <w:spacing w:after="160" w:line="240" w:lineRule="auto"/>
        <w:rPr>
          <w:rFonts w:ascii="Arial" w:eastAsiaTheme="minorHAnsi" w:hAnsi="Arial" w:cs="Arial"/>
          <w:sz w:val="24"/>
          <w:szCs w:val="24"/>
        </w:rPr>
      </w:pPr>
    </w:p>
    <w:p w14:paraId="771185B0" w14:textId="6CE2A75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would imagine there would be people keen to support culture and understand the financial threats, so it would be an important selling point if you could give a guarantee that the money would be ploughed back in” </w:t>
      </w:r>
      <w:r w:rsidRPr="00BB195C">
        <w:rPr>
          <w:rFonts w:ascii="Arial" w:eastAsiaTheme="minorHAnsi" w:hAnsi="Arial" w:cs="Arial"/>
          <w:sz w:val="24"/>
          <w:szCs w:val="24"/>
        </w:rPr>
        <w:t>(Participant J).</w:t>
      </w:r>
    </w:p>
    <w:p w14:paraId="7642962A" w14:textId="29D364F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“Even if some things are a nominal fee, it all helps. It's a bad time to be asking people for money but important to stress that the alternative might be to have nothing, forever</w:t>
      </w:r>
      <w:r w:rsidRPr="00BB195C">
        <w:rPr>
          <w:rFonts w:ascii="Arial" w:eastAsiaTheme="minorHAnsi" w:hAnsi="Arial" w:cs="Arial"/>
          <w:sz w:val="24"/>
          <w:szCs w:val="24"/>
        </w:rPr>
        <w:t>” (Participant J, Q.6).</w:t>
      </w:r>
    </w:p>
    <w:p w14:paraId="2DD5AE40" w14:textId="77777777" w:rsidR="00481076" w:rsidRPr="00BB195C" w:rsidRDefault="00481076" w:rsidP="00481076">
      <w:pPr>
        <w:spacing w:after="160" w:line="240" w:lineRule="auto"/>
        <w:rPr>
          <w:rFonts w:ascii="Arial" w:eastAsiaTheme="minorHAnsi" w:hAnsi="Arial" w:cs="Arial"/>
          <w:sz w:val="24"/>
          <w:szCs w:val="24"/>
        </w:rPr>
      </w:pPr>
    </w:p>
    <w:p w14:paraId="7387B26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When asked about membership and friends’ groups, most were open to the idea, provided there was something to make the commitment worthwhile, but 4 of them expressed confusion about the StoriPowys brand, and the vision, and the broadness of its cultural services offer in both a geographical and theoretical sense.  </w:t>
      </w:r>
    </w:p>
    <w:p w14:paraId="37D32D72" w14:textId="5685A924" w:rsidR="00BB195C" w:rsidRPr="00BB195C" w:rsidRDefault="00BB195C" w:rsidP="00481076">
      <w:pPr>
        <w:spacing w:after="0" w:line="24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“It depends what you're looking for - am I supporting my local library or local history and culture in Powys?”</w:t>
      </w:r>
      <w:r w:rsidRPr="00BB195C">
        <w:rPr>
          <w:rFonts w:ascii="Arial" w:eastAsia="Times New Roman" w:hAnsi="Arial" w:cs="Arial"/>
          <w:color w:val="000000"/>
          <w:sz w:val="24"/>
          <w:szCs w:val="24"/>
          <w:lang w:eastAsia="en-GB"/>
        </w:rPr>
        <w:t xml:space="preserve"> (Participant J). </w:t>
      </w:r>
    </w:p>
    <w:p w14:paraId="3B835225" w14:textId="77777777" w:rsidR="00BB195C" w:rsidRPr="00BB195C" w:rsidRDefault="00BB195C" w:rsidP="00481076">
      <w:pPr>
        <w:spacing w:after="0" w:line="240" w:lineRule="auto"/>
        <w:rPr>
          <w:rFonts w:ascii="Arial" w:eastAsia="Times New Roman" w:hAnsi="Arial" w:cs="Arial"/>
          <w:color w:val="000000"/>
          <w:sz w:val="24"/>
          <w:szCs w:val="24"/>
          <w:lang w:eastAsia="en-GB"/>
        </w:rPr>
      </w:pPr>
    </w:p>
    <w:p w14:paraId="37F32637" w14:textId="307C911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understanding enough about StoriPowys and what it’s saying to people in the county and how easy it is to access, how it engages me. It’s more complicated because it’s Powys”</w:t>
      </w:r>
      <w:r w:rsidRPr="00BB195C">
        <w:rPr>
          <w:rFonts w:ascii="Arial" w:eastAsiaTheme="minorHAnsi" w:hAnsi="Arial" w:cs="Arial"/>
          <w:sz w:val="24"/>
          <w:szCs w:val="24"/>
        </w:rPr>
        <w:t xml:space="preserve"> (Participant </w:t>
      </w:r>
      <w:r w:rsidR="00170AFE" w:rsidRPr="00CB7166">
        <w:rPr>
          <w:rFonts w:ascii="Arial" w:eastAsiaTheme="minorHAnsi" w:hAnsi="Arial" w:cs="Arial"/>
          <w:sz w:val="24"/>
          <w:szCs w:val="24"/>
        </w:rPr>
        <w:t>F</w:t>
      </w:r>
      <w:r w:rsidRPr="00BB195C">
        <w:rPr>
          <w:rFonts w:ascii="Arial" w:eastAsiaTheme="minorHAnsi" w:hAnsi="Arial" w:cs="Arial"/>
          <w:sz w:val="24"/>
          <w:szCs w:val="24"/>
        </w:rPr>
        <w:t>)</w:t>
      </w:r>
    </w:p>
    <w:p w14:paraId="35D6631D" w14:textId="77777777" w:rsidR="00481076" w:rsidRPr="00BB195C" w:rsidRDefault="00481076" w:rsidP="00481076">
      <w:pPr>
        <w:spacing w:after="160" w:line="240" w:lineRule="auto"/>
        <w:rPr>
          <w:rFonts w:ascii="Arial" w:eastAsiaTheme="minorHAnsi" w:hAnsi="Arial" w:cs="Arial"/>
          <w:sz w:val="24"/>
          <w:szCs w:val="24"/>
        </w:rPr>
      </w:pPr>
    </w:p>
    <w:p w14:paraId="060DDE7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similar comment too in relation to branding and general online presence, and the difficulty for cultural organisations such as StoriPowys in making themselves relevant and distinct from the overarching council, where cultural engagement is just one aspect of its broader public communications and therefore somewhat lost.  </w:t>
      </w:r>
    </w:p>
    <w:p w14:paraId="5D1CC7A2" w14:textId="6BEDF706"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about consistency of message and I think you’ve got a challenge because you’re under Powys, you’ve got to go through several layers to find what’s underneath”</w:t>
      </w:r>
      <w:r w:rsidRPr="00BB195C">
        <w:rPr>
          <w:rFonts w:ascii="Arial" w:eastAsiaTheme="minorHAnsi" w:hAnsi="Arial" w:cs="Arial"/>
          <w:sz w:val="24"/>
          <w:szCs w:val="24"/>
        </w:rPr>
        <w:t xml:space="preserve"> (Participant F).</w:t>
      </w:r>
    </w:p>
    <w:p w14:paraId="50DE14D4" w14:textId="77777777" w:rsidR="00BB195C" w:rsidRPr="00BB195C" w:rsidRDefault="00BB195C" w:rsidP="00CB7166">
      <w:pPr>
        <w:spacing w:after="160" w:line="480" w:lineRule="auto"/>
        <w:rPr>
          <w:rFonts w:ascii="Arial" w:eastAsiaTheme="minorHAnsi" w:hAnsi="Arial" w:cs="Arial"/>
          <w:sz w:val="24"/>
          <w:szCs w:val="24"/>
        </w:rPr>
      </w:pPr>
    </w:p>
    <w:p w14:paraId="72D1FAFB" w14:textId="357FAF6E" w:rsidR="00BB195C" w:rsidRDefault="00BB195C" w:rsidP="00D85079">
      <w:pPr>
        <w:pStyle w:val="Heading3"/>
        <w:rPr>
          <w:rFonts w:ascii="Arial" w:eastAsiaTheme="minorHAnsi" w:hAnsi="Arial" w:cs="Arial"/>
        </w:rPr>
      </w:pPr>
      <w:bookmarkStart w:id="52" w:name="_Toc123562332"/>
      <w:r w:rsidRPr="00BB195C">
        <w:rPr>
          <w:rFonts w:ascii="Arial" w:eastAsiaTheme="minorHAnsi" w:hAnsi="Arial" w:cs="Arial"/>
        </w:rPr>
        <w:t>Audience</w:t>
      </w:r>
      <w:bookmarkEnd w:id="52"/>
    </w:p>
    <w:p w14:paraId="7E79D76A" w14:textId="77777777" w:rsidR="00D85079" w:rsidRPr="00BB195C" w:rsidRDefault="00D85079" w:rsidP="00D85079"/>
    <w:p w14:paraId="7C96539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main aspect of this theme is the distinction that participants regularly made between either a local resident and a tourist, or a library customer and a museum visitor. Differences between the museum and library audiences were evident. Participants emphasised the social need that they felt should be met with fundraising activity in a library setting; cafes in particular were imagined very differently in libraries to those in museums, and responses were mindful of the local element and concerned that activity should not impact negatively on the library service offer. </w:t>
      </w:r>
    </w:p>
    <w:p w14:paraId="2E118A9E" w14:textId="5925E481"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“A library café should have again the separation. Consider the quality of the customer experience for those wanting peace”</w:t>
      </w:r>
      <w:r w:rsidRPr="00BB195C">
        <w:rPr>
          <w:rFonts w:ascii="Arial" w:eastAsiaTheme="minorHAnsi" w:hAnsi="Arial" w:cs="Arial"/>
          <w:sz w:val="24"/>
          <w:szCs w:val="24"/>
        </w:rPr>
        <w:t xml:space="preserve"> (Participant J). </w:t>
      </w:r>
    </w:p>
    <w:p w14:paraId="71FFA33E" w14:textId="2050DDB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“A library is somewhere where almost everybody would go at some point and it’s much </w:t>
      </w:r>
      <w:r w:rsidR="0062051B" w:rsidRPr="00BB195C">
        <w:rPr>
          <w:rFonts w:ascii="Arial" w:eastAsiaTheme="minorHAnsi" w:hAnsi="Arial" w:cs="Arial"/>
          <w:i/>
          <w:iCs/>
          <w:sz w:val="24"/>
          <w:szCs w:val="24"/>
        </w:rPr>
        <w:t>more;</w:t>
      </w:r>
      <w:r w:rsidRPr="00BB195C">
        <w:rPr>
          <w:rFonts w:ascii="Arial" w:eastAsiaTheme="minorHAnsi" w:hAnsi="Arial" w:cs="Arial"/>
          <w:i/>
          <w:iCs/>
          <w:sz w:val="24"/>
          <w:szCs w:val="24"/>
        </w:rPr>
        <w:t xml:space="preserve"> it’s</w:t>
      </w:r>
      <w:r w:rsidR="005D1B0C" w:rsidRPr="00CB7166">
        <w:rPr>
          <w:rFonts w:ascii="Arial" w:eastAsiaTheme="minorHAnsi" w:hAnsi="Arial" w:cs="Arial"/>
          <w:i/>
          <w:iCs/>
          <w:sz w:val="24"/>
          <w:szCs w:val="24"/>
        </w:rPr>
        <w:t xml:space="preserve"> </w:t>
      </w:r>
      <w:r w:rsidRPr="00BB195C">
        <w:rPr>
          <w:rFonts w:ascii="Arial" w:eastAsiaTheme="minorHAnsi" w:hAnsi="Arial" w:cs="Arial"/>
          <w:i/>
          <w:iCs/>
          <w:sz w:val="24"/>
          <w:szCs w:val="24"/>
        </w:rPr>
        <w:t>got the opportunity with a café to become a social setting, more casual in a library than a museum”</w:t>
      </w:r>
      <w:r w:rsidRPr="00BB195C">
        <w:rPr>
          <w:rFonts w:ascii="Arial" w:eastAsiaTheme="minorHAnsi" w:hAnsi="Arial" w:cs="Arial"/>
          <w:sz w:val="24"/>
          <w:szCs w:val="24"/>
        </w:rPr>
        <w:t xml:space="preserve"> Participant I).</w:t>
      </w:r>
    </w:p>
    <w:p w14:paraId="617C65AD" w14:textId="77777777" w:rsidR="00481076" w:rsidRPr="00BB195C" w:rsidRDefault="00481076" w:rsidP="00481076">
      <w:pPr>
        <w:spacing w:after="160" w:line="240" w:lineRule="auto"/>
        <w:rPr>
          <w:rFonts w:ascii="Arial" w:eastAsiaTheme="minorHAnsi" w:hAnsi="Arial" w:cs="Arial"/>
          <w:sz w:val="24"/>
          <w:szCs w:val="24"/>
        </w:rPr>
      </w:pPr>
    </w:p>
    <w:p w14:paraId="7726652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were additional observations about the appropriateness of shops in a library-only setting, that there would not be a unique selling point with which to target the library audience. </w:t>
      </w:r>
    </w:p>
    <w:p w14:paraId="17045FAB" w14:textId="0C5DAFFE"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just not sure about the feasibility – people go to browse the books etc and I don’t know whether it would work”</w:t>
      </w:r>
      <w:r w:rsidRPr="00BB195C">
        <w:rPr>
          <w:rFonts w:ascii="Arial" w:eastAsiaTheme="minorHAnsi" w:hAnsi="Arial" w:cs="Arial"/>
          <w:sz w:val="24"/>
          <w:szCs w:val="24"/>
        </w:rPr>
        <w:t xml:space="preserve"> (Participant H).</w:t>
      </w:r>
    </w:p>
    <w:p w14:paraId="013553FB" w14:textId="77777777" w:rsidR="00481076" w:rsidRPr="00BB195C" w:rsidRDefault="00481076" w:rsidP="00481076">
      <w:pPr>
        <w:spacing w:after="160" w:line="240" w:lineRule="auto"/>
        <w:rPr>
          <w:rFonts w:ascii="Arial" w:eastAsiaTheme="minorHAnsi" w:hAnsi="Arial" w:cs="Arial"/>
          <w:sz w:val="24"/>
          <w:szCs w:val="24"/>
        </w:rPr>
      </w:pPr>
    </w:p>
    <w:p w14:paraId="1DD6E16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Other participants saw more potential for shops and cafes meeting the demands of both library customers and museum visitors, provided the product range catered to both audiences. </w:t>
      </w:r>
    </w:p>
    <w:p w14:paraId="57916AA1" w14:textId="49DCAFA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focus a library shop on the types of people using them, so students and pens, stationery”</w:t>
      </w:r>
      <w:r w:rsidRPr="00BB195C">
        <w:rPr>
          <w:rFonts w:ascii="Arial" w:eastAsiaTheme="minorHAnsi" w:hAnsi="Arial" w:cs="Arial"/>
          <w:sz w:val="24"/>
          <w:szCs w:val="24"/>
        </w:rPr>
        <w:t xml:space="preserve"> (Participant I)</w:t>
      </w:r>
    </w:p>
    <w:p w14:paraId="00B49043" w14:textId="7D07087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 can manage both audiences but it’s about quality and display and also about ease of purchase – transaction but also speed of someone taking your money. Invest in the visitor experience”</w:t>
      </w:r>
      <w:r w:rsidRPr="00BB195C">
        <w:rPr>
          <w:rFonts w:ascii="Arial" w:eastAsiaTheme="minorHAnsi" w:hAnsi="Arial" w:cs="Arial"/>
          <w:sz w:val="24"/>
          <w:szCs w:val="24"/>
        </w:rPr>
        <w:t xml:space="preserve"> (Participant F).</w:t>
      </w:r>
    </w:p>
    <w:p w14:paraId="11DBB0AB" w14:textId="77777777" w:rsidR="00481076" w:rsidRPr="00BB195C" w:rsidRDefault="00481076" w:rsidP="00481076">
      <w:pPr>
        <w:spacing w:after="160" w:line="240" w:lineRule="auto"/>
        <w:rPr>
          <w:rFonts w:ascii="Arial" w:eastAsiaTheme="minorHAnsi" w:hAnsi="Arial" w:cs="Arial"/>
          <w:sz w:val="24"/>
          <w:szCs w:val="24"/>
        </w:rPr>
      </w:pPr>
    </w:p>
    <w:p w14:paraId="2A0F11C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considering the out-of-town visitors, participants saw value in capitalizing on the StoriPowys collections. Linking to the sense of place and the story of Powys theme that was covered in a previous section, promotion of the cultural experience was seen as an opportunity not to be missed. </w:t>
      </w:r>
    </w:p>
    <w:p w14:paraId="1F2A35BF" w14:textId="2A31D67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“Just thinking about our area – what Powys is about and what it’s like. Not many of us, so your audience is probably people from away, who love the picture postcard view of Welsh rural life. You might also want to attract the hiraeth bit, the people who have the longing, from the smoke or somewhere – tapping into that visitor experience rather than the locals”</w:t>
      </w:r>
      <w:r w:rsidRPr="00BB195C">
        <w:rPr>
          <w:rFonts w:ascii="Arial" w:eastAsiaTheme="minorHAnsi" w:hAnsi="Arial" w:cs="Arial"/>
          <w:sz w:val="24"/>
          <w:szCs w:val="24"/>
        </w:rPr>
        <w:t xml:space="preserve"> (Participant C).</w:t>
      </w:r>
    </w:p>
    <w:p w14:paraId="54FEA1C6" w14:textId="77777777" w:rsidR="00481076" w:rsidRPr="00BB195C" w:rsidRDefault="00481076" w:rsidP="00481076">
      <w:pPr>
        <w:spacing w:after="160" w:line="240" w:lineRule="auto"/>
        <w:rPr>
          <w:rFonts w:ascii="Arial" w:eastAsiaTheme="minorHAnsi" w:hAnsi="Arial" w:cs="Arial"/>
          <w:sz w:val="24"/>
          <w:szCs w:val="24"/>
        </w:rPr>
      </w:pPr>
    </w:p>
    <w:p w14:paraId="315CAAA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Another angle presented was the element of buy-in to friends’ groups and membership initiatives, activities that required ongoing commitment in terms of time or money. The views presented highlight a challenge for StoriPowys in meeting the needs of a broad audience, and that factors of individuals’ interests and personal circumstances need to be considered when seeking ongoing support.   </w:t>
      </w:r>
    </w:p>
    <w:p w14:paraId="4B0C9F94" w14:textId="57AFAFAB"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feel that libraries are different from archives and museums and wouldn’t be comfortable being a friend of Powys Cultural services</w:t>
      </w:r>
      <w:r w:rsidRPr="00BB195C">
        <w:rPr>
          <w:rFonts w:ascii="Arial" w:eastAsiaTheme="minorHAnsi" w:hAnsi="Arial" w:cs="Arial"/>
          <w:sz w:val="24"/>
          <w:szCs w:val="24"/>
        </w:rPr>
        <w:t>” (Participant B).</w:t>
      </w:r>
    </w:p>
    <w:p w14:paraId="3E52C21A" w14:textId="14973312"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talking as a pensioner. There are people who are happy to help a lot but not want to commit all the time or when it rains, or in winter, etc. You have to know you can give the commitment”</w:t>
      </w:r>
      <w:r w:rsidRPr="00BB195C">
        <w:rPr>
          <w:rFonts w:ascii="Arial" w:eastAsiaTheme="minorHAnsi" w:hAnsi="Arial" w:cs="Arial"/>
          <w:sz w:val="24"/>
          <w:szCs w:val="24"/>
        </w:rPr>
        <w:t xml:space="preserve"> (Participant G).</w:t>
      </w:r>
    </w:p>
    <w:p w14:paraId="07ED2CA0" w14:textId="77777777" w:rsidR="00BB195C" w:rsidRPr="00BB195C" w:rsidRDefault="00BB195C" w:rsidP="00CB7166">
      <w:pPr>
        <w:spacing w:after="160" w:line="480" w:lineRule="auto"/>
        <w:rPr>
          <w:rFonts w:ascii="Arial" w:eastAsiaTheme="minorHAnsi" w:hAnsi="Arial" w:cs="Arial"/>
          <w:sz w:val="24"/>
          <w:szCs w:val="24"/>
        </w:rPr>
      </w:pPr>
    </w:p>
    <w:p w14:paraId="30D5AD0C"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Several comments around affordability showed recognition of the current economic climate. There were general observations that any café in a museum could feasibly charge more by targeting the tourist market, but overall, the contributors were mindful of financial pressures on people and advised caution when setting prices for local audiences, whether on- or offline. </w:t>
      </w:r>
    </w:p>
    <w:p w14:paraId="105C84AC" w14:textId="6840A9E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“You’ve got to be focused on the market which you’re trying to develop. There’s a place for a number of high-quality items but also a place for more affordable items so that’s an important facet to build into your own conclusions”</w:t>
      </w:r>
      <w:r w:rsidRPr="00BB195C">
        <w:rPr>
          <w:rFonts w:ascii="Arial" w:eastAsiaTheme="minorHAnsi" w:hAnsi="Arial" w:cs="Arial"/>
          <w:sz w:val="24"/>
          <w:szCs w:val="24"/>
        </w:rPr>
        <w:t xml:space="preserve"> (Participant B).</w:t>
      </w:r>
    </w:p>
    <w:p w14:paraId="485A6FC2" w14:textId="485C9CEF"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“Whatever we do outside of normal things to live is a luxury, so if people don’t have it to spend on food, they won’t be able to give anything. You have to figure out the market – if it’s a niche group I would just charge a fee”</w:t>
      </w:r>
      <w:r w:rsidRPr="00BB195C">
        <w:rPr>
          <w:rFonts w:ascii="Arial" w:eastAsiaTheme="minorHAnsi" w:hAnsi="Arial" w:cs="Arial"/>
          <w:sz w:val="24"/>
          <w:szCs w:val="24"/>
        </w:rPr>
        <w:t xml:space="preserve"> (Participant E, Q).</w:t>
      </w:r>
    </w:p>
    <w:p w14:paraId="507E44EF" w14:textId="09C8991C"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understand your concepts and in a different time this was possible when money was abundant but now the world has changed; after Covid it crashed the economy. We live in a different time now and we need to adjust”</w:t>
      </w:r>
      <w:r w:rsidRPr="00BB195C">
        <w:rPr>
          <w:rFonts w:ascii="Arial" w:eastAsiaTheme="minorHAnsi" w:hAnsi="Arial" w:cs="Arial"/>
          <w:sz w:val="24"/>
          <w:szCs w:val="24"/>
        </w:rPr>
        <w:t xml:space="preserve"> (Participant E).</w:t>
      </w:r>
    </w:p>
    <w:p w14:paraId="6FA68EE0" w14:textId="77777777" w:rsidR="00481076" w:rsidRPr="00BB195C" w:rsidRDefault="00481076" w:rsidP="00481076">
      <w:pPr>
        <w:spacing w:after="160" w:line="240" w:lineRule="auto"/>
        <w:rPr>
          <w:rFonts w:ascii="Arial" w:eastAsiaTheme="minorHAnsi" w:hAnsi="Arial" w:cs="Arial"/>
          <w:sz w:val="24"/>
          <w:szCs w:val="24"/>
        </w:rPr>
      </w:pPr>
    </w:p>
    <w:p w14:paraId="17276E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In discussions about online income generating activity, the absence of data was equally as telling as that in more detailed transcripts. 4 of the participants were either lacking in confidence with, or not interested in, online participation, which provides a snapshot of a significant, largely older, demographic who would prefer not to engage </w:t>
      </w:r>
      <w:r w:rsidRPr="00BB195C">
        <w:rPr>
          <w:rFonts w:ascii="Arial" w:eastAsiaTheme="minorHAnsi" w:hAnsi="Arial" w:cs="Arial"/>
          <w:sz w:val="24"/>
          <w:szCs w:val="24"/>
        </w:rPr>
        <w:lastRenderedPageBreak/>
        <w:t xml:space="preserve">online. 2 of the participants were reluctant to enter into extended conversations about online fundraising, despite explanations and examples being provided. </w:t>
      </w:r>
    </w:p>
    <w:p w14:paraId="5EC31645" w14:textId="77777777" w:rsidR="00BB195C" w:rsidRPr="00BB195C" w:rsidRDefault="00BB195C" w:rsidP="0048107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t xml:space="preserve">“I don’t engage like that online. I think I’d rather see my attention drawn to it in other ways. Only because I’m old school”. </w:t>
      </w:r>
      <w:r w:rsidRPr="00BB195C">
        <w:rPr>
          <w:rFonts w:ascii="Arial" w:eastAsiaTheme="minorHAnsi" w:hAnsi="Arial" w:cs="Arial"/>
          <w:sz w:val="24"/>
          <w:szCs w:val="24"/>
        </w:rPr>
        <w:t>(Participant G).</w:t>
      </w:r>
    </w:p>
    <w:p w14:paraId="7D3A3F63" w14:textId="1BFD5D9A"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be honest, I’m not a fan of social media, and that’s perhaps an age thing”</w:t>
      </w:r>
      <w:r w:rsidRPr="00BB195C">
        <w:rPr>
          <w:rFonts w:ascii="Arial" w:eastAsiaTheme="minorHAnsi" w:hAnsi="Arial" w:cs="Arial"/>
          <w:sz w:val="24"/>
          <w:szCs w:val="24"/>
        </w:rPr>
        <w:t xml:space="preserve"> (Participant C).</w:t>
      </w:r>
    </w:p>
    <w:p w14:paraId="61FCAFD0" w14:textId="77777777" w:rsidR="00481076" w:rsidRPr="00BB195C" w:rsidRDefault="00481076" w:rsidP="00481076">
      <w:pPr>
        <w:spacing w:after="160" w:line="240" w:lineRule="auto"/>
        <w:rPr>
          <w:rFonts w:ascii="Arial" w:eastAsiaTheme="minorHAnsi" w:hAnsi="Arial" w:cs="Arial"/>
          <w:sz w:val="24"/>
          <w:szCs w:val="24"/>
        </w:rPr>
      </w:pPr>
    </w:p>
    <w:p w14:paraId="3E9EAF8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Others made similar comments but conceded that there was value in pursuing this avenue of enquiry with those that may have more to contribute.</w:t>
      </w:r>
    </w:p>
    <w:p w14:paraId="68BFA920" w14:textId="6202A69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you’d need to research in more depth with the age group that’s more geared up to social media use”</w:t>
      </w:r>
      <w:r w:rsidRPr="00BB195C">
        <w:rPr>
          <w:rFonts w:ascii="Arial" w:eastAsiaTheme="minorHAnsi" w:hAnsi="Arial" w:cs="Arial"/>
          <w:sz w:val="24"/>
          <w:szCs w:val="24"/>
        </w:rPr>
        <w:t xml:space="preserve"> (Participant B). </w:t>
      </w:r>
    </w:p>
    <w:p w14:paraId="1BC8127C" w14:textId="0E4A171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respond but there again someone who’s younger might well do because their phones are like computers in your hands. I wouldn’t but you need to ask people who use it”</w:t>
      </w:r>
      <w:r w:rsidRPr="00BB195C">
        <w:rPr>
          <w:rFonts w:ascii="Arial" w:eastAsiaTheme="minorHAnsi" w:hAnsi="Arial" w:cs="Arial"/>
          <w:sz w:val="24"/>
          <w:szCs w:val="24"/>
        </w:rPr>
        <w:t xml:space="preserve"> (Participant D). </w:t>
      </w:r>
    </w:p>
    <w:p w14:paraId="4B636EF8" w14:textId="77777777" w:rsidR="00481076" w:rsidRPr="00BB195C" w:rsidRDefault="00481076" w:rsidP="00481076">
      <w:pPr>
        <w:spacing w:after="160" w:line="240" w:lineRule="auto"/>
        <w:rPr>
          <w:rFonts w:ascii="Arial" w:eastAsiaTheme="minorHAnsi" w:hAnsi="Arial" w:cs="Arial"/>
          <w:sz w:val="24"/>
          <w:szCs w:val="24"/>
        </w:rPr>
      </w:pPr>
    </w:p>
    <w:p w14:paraId="6579DB1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More than lack of interest, there was clear evidence of a fear of technology, which would pose barriers to online engagement with potentially a significant segment of the audience.  </w:t>
      </w:r>
    </w:p>
    <w:p w14:paraId="0ED5E19D" w14:textId="206EA306"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BB195C">
        <w:rPr>
          <w:rFonts w:ascii="Arial" w:eastAsiaTheme="minorHAnsi" w:hAnsi="Arial" w:cs="Arial"/>
          <w:sz w:val="24"/>
          <w:szCs w:val="24"/>
        </w:rPr>
        <w:t xml:space="preserve"> (Participant E). </w:t>
      </w:r>
    </w:p>
    <w:p w14:paraId="3E3CED9F" w14:textId="2EA0DE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would want to see where the money was going, obviously, and how safe would my account be and how easy would it be for people to access my details, that always worries me” </w:t>
      </w:r>
      <w:r w:rsidRPr="00BB195C">
        <w:rPr>
          <w:rFonts w:ascii="Arial" w:eastAsiaTheme="minorHAnsi" w:hAnsi="Arial" w:cs="Arial"/>
          <w:sz w:val="24"/>
          <w:szCs w:val="24"/>
        </w:rPr>
        <w:t xml:space="preserve">(Participant H). </w:t>
      </w:r>
    </w:p>
    <w:p w14:paraId="4274BF55" w14:textId="77777777" w:rsidR="00BB195C" w:rsidRPr="00BB195C" w:rsidRDefault="00BB195C" w:rsidP="00BB195C">
      <w:pPr>
        <w:spacing w:after="160" w:line="259" w:lineRule="auto"/>
        <w:rPr>
          <w:rFonts w:asciiTheme="minorHAnsi" w:eastAsiaTheme="minorHAnsi" w:hAnsiTheme="minorHAnsi" w:cstheme="minorBidi"/>
        </w:rPr>
      </w:pPr>
    </w:p>
    <w:p w14:paraId="171B1E0E" w14:textId="77777777" w:rsidR="00A95A93" w:rsidRPr="00A95A93" w:rsidRDefault="00A95A93" w:rsidP="001A7489">
      <w:pPr>
        <w:pStyle w:val="Heading1"/>
        <w:rPr>
          <w:rFonts w:ascii="Arial" w:eastAsiaTheme="minorHAnsi" w:hAnsi="Arial" w:cs="Arial"/>
          <w:sz w:val="24"/>
          <w:szCs w:val="24"/>
        </w:rPr>
      </w:pPr>
      <w:bookmarkStart w:id="53" w:name="_Toc123562333"/>
      <w:r w:rsidRPr="00A95A93">
        <w:rPr>
          <w:rFonts w:ascii="Arial" w:eastAsiaTheme="minorHAnsi" w:hAnsi="Arial" w:cs="Arial"/>
          <w:sz w:val="24"/>
          <w:szCs w:val="24"/>
        </w:rPr>
        <w:t>Discussion</w:t>
      </w:r>
      <w:bookmarkEnd w:id="53"/>
    </w:p>
    <w:p w14:paraId="065CB5B6" w14:textId="59572374" w:rsidR="00A95A93" w:rsidRDefault="00A95A93" w:rsidP="001A7489">
      <w:pPr>
        <w:pStyle w:val="Heading2"/>
        <w:rPr>
          <w:rFonts w:ascii="Arial" w:eastAsiaTheme="minorHAnsi" w:hAnsi="Arial" w:cs="Arial"/>
          <w:sz w:val="24"/>
          <w:szCs w:val="24"/>
        </w:rPr>
      </w:pPr>
      <w:r w:rsidRPr="00A95A93">
        <w:rPr>
          <w:rFonts w:ascii="Arial" w:eastAsiaTheme="minorHAnsi" w:hAnsi="Arial" w:cs="Arial"/>
          <w:sz w:val="24"/>
          <w:szCs w:val="24"/>
        </w:rPr>
        <w:br/>
      </w:r>
      <w:bookmarkStart w:id="54" w:name="_Toc123562334"/>
      <w:r w:rsidRPr="00A95A93">
        <w:rPr>
          <w:rFonts w:ascii="Arial" w:eastAsiaTheme="minorHAnsi" w:hAnsi="Arial" w:cs="Arial"/>
          <w:sz w:val="24"/>
          <w:szCs w:val="24"/>
        </w:rPr>
        <w:t>Introduction</w:t>
      </w:r>
      <w:bookmarkEnd w:id="54"/>
    </w:p>
    <w:p w14:paraId="7EF7EEC8" w14:textId="77777777" w:rsidR="0062051B" w:rsidRPr="0062051B" w:rsidRDefault="0062051B" w:rsidP="0062051B"/>
    <w:p w14:paraId="2DB3CA8E" w14:textId="5F2A528E" w:rsidR="00A95A93" w:rsidRDefault="00A95A93" w:rsidP="008915B6">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chapter interprets the themes arising from the results and analysis of the semi-structured interview research and discusses their significance in relation to the literature previously reviewed. The chapter begins with an examination of the overall </w:t>
      </w:r>
      <w:r w:rsidRPr="00A95A93">
        <w:rPr>
          <w:rFonts w:ascii="Arial" w:eastAsiaTheme="minorHAnsi" w:hAnsi="Arial" w:cs="Arial"/>
          <w:sz w:val="24"/>
          <w:szCs w:val="24"/>
        </w:rPr>
        <w:lastRenderedPageBreak/>
        <w:t xml:space="preserve">aim of this research: to investigate how income generating activities in the cultural sector can be used to develop an income generation strategy for Powys County Council’s cultural services. Discussion of the results seeks to answer the research questions posed, which concern the implementation of income generation activities in StoriPowys that have proven successful elsewhere. This is examined in the context of strategic direction, the changing digital landscape, and sustainability. </w:t>
      </w:r>
    </w:p>
    <w:p w14:paraId="4E3D5BC2" w14:textId="0C8F54B7" w:rsidR="00A95A93" w:rsidRPr="00A95A93" w:rsidRDefault="00A95A93" w:rsidP="0058544F">
      <w:pPr>
        <w:pStyle w:val="Heading2"/>
        <w:rPr>
          <w:rFonts w:ascii="Arial" w:eastAsiaTheme="minorHAnsi" w:hAnsi="Arial" w:cs="Arial"/>
          <w:sz w:val="24"/>
          <w:szCs w:val="24"/>
        </w:rPr>
      </w:pPr>
      <w:bookmarkStart w:id="55" w:name="_Hlk122183588"/>
      <w:bookmarkStart w:id="56" w:name="_Toc123562335"/>
      <w:r w:rsidRPr="00A95A93">
        <w:rPr>
          <w:rFonts w:ascii="Arial" w:eastAsiaTheme="minorHAnsi" w:hAnsi="Arial" w:cs="Arial"/>
          <w:sz w:val="24"/>
          <w:szCs w:val="24"/>
        </w:rPr>
        <w:t>Interpretation of results</w:t>
      </w:r>
      <w:bookmarkEnd w:id="56"/>
    </w:p>
    <w:bookmarkEnd w:id="55"/>
    <w:p w14:paraId="2390307F" w14:textId="77777777" w:rsidR="0058544F" w:rsidRDefault="0058544F" w:rsidP="00A95A93">
      <w:pPr>
        <w:spacing w:after="160" w:line="259" w:lineRule="auto"/>
        <w:rPr>
          <w:rFonts w:ascii="Arial" w:eastAsiaTheme="minorHAnsi" w:hAnsi="Arial" w:cs="Arial"/>
          <w:sz w:val="24"/>
          <w:szCs w:val="24"/>
        </w:rPr>
      </w:pPr>
    </w:p>
    <w:p w14:paraId="22F5FE64" w14:textId="1D9F6CAD" w:rsidR="00A95A93" w:rsidRPr="00FB7F1A" w:rsidRDefault="00D05A94" w:rsidP="00FB7F1A">
      <w:pPr>
        <w:pStyle w:val="Heading2"/>
        <w:rPr>
          <w:rFonts w:ascii="Arial" w:eastAsiaTheme="minorHAnsi" w:hAnsi="Arial" w:cs="Arial"/>
          <w:sz w:val="24"/>
          <w:szCs w:val="24"/>
        </w:rPr>
      </w:pPr>
      <w:bookmarkStart w:id="57" w:name="_Toc123562336"/>
      <w:r>
        <w:rPr>
          <w:rFonts w:ascii="Arial" w:eastAsiaTheme="minorHAnsi" w:hAnsi="Arial" w:cs="Arial"/>
          <w:sz w:val="24"/>
          <w:szCs w:val="24"/>
        </w:rPr>
        <w:t xml:space="preserve">Theme 1: </w:t>
      </w:r>
      <w:r w:rsidR="00A95A93" w:rsidRPr="00A95A93">
        <w:rPr>
          <w:rFonts w:ascii="Arial" w:eastAsiaTheme="minorHAnsi" w:hAnsi="Arial" w:cs="Arial"/>
          <w:sz w:val="24"/>
          <w:szCs w:val="24"/>
        </w:rPr>
        <w:t>Service delivery and principles</w:t>
      </w:r>
      <w:bookmarkEnd w:id="57"/>
    </w:p>
    <w:p w14:paraId="2AD92769" w14:textId="77777777" w:rsidR="00FB7F1A" w:rsidRPr="00A95A93" w:rsidRDefault="00FB7F1A" w:rsidP="00FB7F1A"/>
    <w:p w14:paraId="522CFECB"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theme of impact on service delivery was recurrent in interviews, and from both a museum and library perspective there were concerns that commercial activity may reduce access to, and standard of, core public services. Some comments were born out of a misapprehension that commercial endeavours would require facilities completely to shut down to accommodate them, but there were also valid concerns about restricting access to certain spaces and collections, which would need to be carefully managed. Concerns about staff capacity were a big factor in discussions, and participants seemed worried that focusing on raising funds would detract from the main staff objective of delivering an efficient library and museum service. </w:t>
      </w:r>
    </w:p>
    <w:p w14:paraId="2337A1FE" w14:textId="77777777" w:rsidR="00A95A93" w:rsidRPr="00A95A93" w:rsidRDefault="00A95A93" w:rsidP="00A95A93">
      <w:pPr>
        <w:spacing w:after="160" w:line="259" w:lineRule="auto"/>
        <w:rPr>
          <w:rFonts w:ascii="Arial" w:eastAsiaTheme="minorHAnsi" w:hAnsi="Arial" w:cs="Arial"/>
          <w:sz w:val="24"/>
          <w:szCs w:val="24"/>
        </w:rPr>
      </w:pPr>
    </w:p>
    <w:p w14:paraId="284E447F" w14:textId="77777777" w:rsidR="00A95A93" w:rsidRPr="00A95A93" w:rsidRDefault="00A95A93" w:rsidP="00A95A93">
      <w:pPr>
        <w:spacing w:after="0" w:line="240" w:lineRule="auto"/>
        <w:rPr>
          <w:rFonts w:ascii="Arial" w:eastAsia="Times New Roman" w:hAnsi="Arial" w:cs="Arial"/>
          <w:color w:val="000000"/>
          <w:sz w:val="24"/>
          <w:szCs w:val="24"/>
          <w:lang w:eastAsia="en-GB"/>
        </w:rPr>
      </w:pPr>
      <w:r w:rsidRPr="00A95A93">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A95A93">
        <w:rPr>
          <w:rFonts w:ascii="Arial" w:eastAsia="Times New Roman" w:hAnsi="Arial" w:cs="Arial"/>
          <w:color w:val="000000"/>
          <w:sz w:val="24"/>
          <w:szCs w:val="24"/>
          <w:lang w:eastAsia="en-GB"/>
        </w:rPr>
        <w:t xml:space="preserve">(Participant I).      </w:t>
      </w:r>
    </w:p>
    <w:p w14:paraId="5DA690F4" w14:textId="77777777" w:rsidR="00A95A93" w:rsidRPr="00A95A93" w:rsidRDefault="00A95A93" w:rsidP="00A95A93">
      <w:pPr>
        <w:spacing w:after="160" w:line="259" w:lineRule="auto"/>
        <w:rPr>
          <w:rFonts w:ascii="Arial" w:eastAsiaTheme="minorHAnsi" w:hAnsi="Arial" w:cs="Arial"/>
          <w:sz w:val="24"/>
          <w:szCs w:val="24"/>
        </w:rPr>
      </w:pPr>
    </w:p>
    <w:p w14:paraId="5A13D228"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“There is an expectation of a minimum level of service which staff in a public service institution are expected to deliver. Be careful about crowding out their ability to perform that basic service” </w:t>
      </w:r>
      <w:r w:rsidRPr="00A95A93">
        <w:rPr>
          <w:rFonts w:ascii="Arial" w:eastAsiaTheme="minorHAnsi" w:hAnsi="Arial" w:cs="Arial"/>
          <w:sz w:val="24"/>
          <w:szCs w:val="24"/>
        </w:rPr>
        <w:t>(Participant A).</w:t>
      </w:r>
    </w:p>
    <w:p w14:paraId="4572297D" w14:textId="77777777" w:rsidR="00A95A93" w:rsidRPr="00A95A93" w:rsidRDefault="00A95A93" w:rsidP="00A95A93">
      <w:pPr>
        <w:spacing w:after="160" w:line="259" w:lineRule="auto"/>
        <w:rPr>
          <w:rFonts w:ascii="Arial" w:eastAsiaTheme="minorHAnsi" w:hAnsi="Arial" w:cs="Arial"/>
          <w:sz w:val="24"/>
          <w:szCs w:val="24"/>
        </w:rPr>
      </w:pPr>
    </w:p>
    <w:p w14:paraId="47AE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 xml:space="preserve">These concerns were evident in the literature review also, and interview data confirms findings elsewhere that a balance needs to be found with commercial versus service activity, so that the former does not come at the expense of the latter (Miguel, 2022; Share Museums East, 2018). </w:t>
      </w:r>
    </w:p>
    <w:p w14:paraId="0BD3F81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Interestingly, it was only staff capacity, and not capability, which featured in the interviews, whereas academic investigation uncovered themes around staff skills and attitudes (TBR, 2015, p. 26; Museums Association, 2020, pp. 20-21), where it was clear that strategic planning should prioritise the development of an entrepreneurial workforce and culture to ensure sustainable fundraising practice. It is important for strategy planning that the qualitative data captured from StoriPowys customers and supporters is complemented by a staff perspective also, and research in this area will be required. </w:t>
      </w:r>
    </w:p>
    <w:p w14:paraId="5DE0E2B8" w14:textId="7EDB908D"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Another thing that did not appear significantly in the literature, but came up frequently in interviews, was the theme of accountability.</w:t>
      </w:r>
      <w:r w:rsidR="00111EC5">
        <w:rPr>
          <w:rFonts w:ascii="Arial" w:eastAsiaTheme="minorHAnsi" w:hAnsi="Arial" w:cs="Arial"/>
          <w:sz w:val="24"/>
          <w:szCs w:val="24"/>
        </w:rPr>
        <w:t xml:space="preserve"> Existing literature is largely focused on the </w:t>
      </w:r>
      <w:r w:rsidR="00936478">
        <w:rPr>
          <w:rFonts w:ascii="Arial" w:eastAsiaTheme="minorHAnsi" w:hAnsi="Arial" w:cs="Arial"/>
          <w:sz w:val="24"/>
          <w:szCs w:val="24"/>
        </w:rPr>
        <w:t xml:space="preserve">service </w:t>
      </w:r>
      <w:r w:rsidR="00B21818">
        <w:rPr>
          <w:rFonts w:ascii="Arial" w:eastAsiaTheme="minorHAnsi" w:hAnsi="Arial" w:cs="Arial"/>
          <w:sz w:val="24"/>
          <w:szCs w:val="24"/>
        </w:rPr>
        <w:t>perspective and</w:t>
      </w:r>
      <w:r w:rsidR="00936478">
        <w:rPr>
          <w:rFonts w:ascii="Arial" w:eastAsiaTheme="minorHAnsi" w:hAnsi="Arial" w:cs="Arial"/>
          <w:sz w:val="24"/>
          <w:szCs w:val="24"/>
        </w:rPr>
        <w:t xml:space="preserve"> lacks the consumer viewpoint.</w:t>
      </w:r>
      <w:r w:rsidRPr="00A95A93">
        <w:rPr>
          <w:rFonts w:ascii="Arial" w:eastAsiaTheme="minorHAnsi" w:hAnsi="Arial" w:cs="Arial"/>
          <w:sz w:val="24"/>
          <w:szCs w:val="24"/>
        </w:rPr>
        <w:t xml:space="preserve"> An aspect that did feature in the literature was surrounding the topic of corporate sponsorship, which highlighted the ethical considerations of entering into corporate partnerships (Biraglia &amp; Gerrath, 2021, Wang &amp; Holznagel, 2021). Participants shared these views, citing the need to preserve the library ethos of fairness and impartiality, but they could also see that it was necessary for the service to consider alternative fundraising models. </w:t>
      </w:r>
    </w:p>
    <w:p w14:paraId="17668350" w14:textId="3595E7D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 guess a lot will be out for what they can get. It’s just what you have to do these days. It would need to be ethical”</w:t>
      </w:r>
      <w:r w:rsidRPr="00A95A93">
        <w:rPr>
          <w:rFonts w:ascii="Arial" w:eastAsiaTheme="minorHAnsi" w:hAnsi="Arial" w:cs="Arial"/>
          <w:sz w:val="24"/>
          <w:szCs w:val="24"/>
        </w:rPr>
        <w:t xml:space="preserve"> (Participant G, Q.4).</w:t>
      </w:r>
    </w:p>
    <w:p w14:paraId="52EB2394" w14:textId="77777777" w:rsidR="00FB7F1A" w:rsidRPr="00A95A93" w:rsidRDefault="00FB7F1A" w:rsidP="00A95A93">
      <w:pPr>
        <w:spacing w:after="160" w:line="259" w:lineRule="auto"/>
        <w:rPr>
          <w:rFonts w:ascii="Arial" w:eastAsiaTheme="minorHAnsi" w:hAnsi="Arial" w:cs="Arial"/>
          <w:sz w:val="24"/>
          <w:szCs w:val="24"/>
        </w:rPr>
      </w:pPr>
    </w:p>
    <w:p w14:paraId="52C85F11"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Accountability was a clearly apparent theme in interviews, primarily concerning questions of how, or whether, raised funds would be used. As taxpaying residents of Powys, participants were understandably preoccupied with questions about why the council was adequately financing cultural services and what guarantees could be given about the reinvestments of funds back into the services the money is being raised for.</w:t>
      </w:r>
    </w:p>
    <w:p w14:paraId="6BF3E232" w14:textId="78E77D9B" w:rsidR="00A95A93" w:rsidRDefault="00A95A93" w:rsidP="00A95A93">
      <w:pPr>
        <w:spacing w:after="160" w:line="259" w:lineRule="auto"/>
        <w:rPr>
          <w:rFonts w:ascii="Arial" w:eastAsiaTheme="minorHAnsi" w:hAnsi="Arial" w:cs="Arial"/>
          <w:i/>
          <w:iCs/>
          <w:sz w:val="24"/>
          <w:szCs w:val="24"/>
        </w:rPr>
      </w:pPr>
      <w:r w:rsidRPr="00A95A93">
        <w:rPr>
          <w:rFonts w:ascii="Arial" w:eastAsiaTheme="minorHAnsi" w:hAnsi="Arial" w:cs="Arial"/>
          <w:i/>
          <w:iCs/>
          <w:sz w:val="24"/>
          <w:szCs w:val="24"/>
        </w:rPr>
        <w:t xml:space="preserve">“People would want to know how the profits would be ringfenced. I think a question would be about making sure their money wasn’t propping up bin collections” </w:t>
      </w:r>
      <w:r w:rsidRPr="00A95A93">
        <w:rPr>
          <w:rFonts w:ascii="Arial" w:eastAsiaTheme="minorHAnsi" w:hAnsi="Arial" w:cs="Arial"/>
          <w:sz w:val="24"/>
          <w:szCs w:val="24"/>
        </w:rPr>
        <w:t>(Participant I)</w:t>
      </w:r>
      <w:r w:rsidRPr="00A95A93">
        <w:rPr>
          <w:rFonts w:ascii="Arial" w:eastAsiaTheme="minorHAnsi" w:hAnsi="Arial" w:cs="Arial"/>
          <w:i/>
          <w:iCs/>
          <w:sz w:val="24"/>
          <w:szCs w:val="24"/>
        </w:rPr>
        <w:t>.</w:t>
      </w:r>
    </w:p>
    <w:p w14:paraId="63CA8DDB" w14:textId="77777777" w:rsidR="00FB7F1A" w:rsidRPr="00A95A93" w:rsidRDefault="00FB7F1A" w:rsidP="00A95A93">
      <w:pPr>
        <w:spacing w:after="160" w:line="259" w:lineRule="auto"/>
        <w:rPr>
          <w:rFonts w:ascii="Arial" w:eastAsiaTheme="minorHAnsi" w:hAnsi="Arial" w:cs="Arial"/>
          <w:i/>
          <w:iCs/>
          <w:sz w:val="24"/>
          <w:szCs w:val="24"/>
        </w:rPr>
      </w:pPr>
    </w:p>
    <w:p w14:paraId="0639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Discussions about Development Trusts were of interest in this regard, and participants were keen to support this development if it allowed for the ringfencing of income, provided that there was accountability with the trust too. Academic literature supports this viewpoint (Wilcox, 1998) although information is scarce.</w:t>
      </w:r>
    </w:p>
    <w:p w14:paraId="6652D109" w14:textId="51B45D6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A95A93">
        <w:rPr>
          <w:rFonts w:ascii="Arial" w:eastAsiaTheme="minorHAnsi" w:hAnsi="Arial" w:cs="Arial"/>
          <w:sz w:val="24"/>
          <w:szCs w:val="24"/>
        </w:rPr>
        <w:t>(Participant G).</w:t>
      </w:r>
    </w:p>
    <w:p w14:paraId="0F6F4E53" w14:textId="77777777" w:rsidR="00FB7F1A" w:rsidRPr="00A95A93" w:rsidRDefault="00FB7F1A" w:rsidP="00A95A93">
      <w:pPr>
        <w:spacing w:after="160" w:line="259" w:lineRule="auto"/>
        <w:rPr>
          <w:rFonts w:ascii="Arial" w:eastAsiaTheme="minorHAnsi" w:hAnsi="Arial" w:cs="Arial"/>
          <w:sz w:val="24"/>
          <w:szCs w:val="24"/>
        </w:rPr>
      </w:pPr>
    </w:p>
    <w:p w14:paraId="122A461A"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It is possible that a fear of the unknown is a so a contributing factor to any resistance to ideas of commercial activity, as partnering with business, for example, is not commonplace in public cultural services. It may also tie in with the challenges that appeared in the data, that that there is a lack of understanding of how public finances are managed. Successful, sustainable commercial endeavours of any sort would need to provide clarity on why there would be a need for them, and to ensure that the protection of core services remained central to service objectives.</w:t>
      </w:r>
    </w:p>
    <w:p w14:paraId="20532FC3" w14:textId="07BA5505" w:rsidR="00E817D9" w:rsidRPr="00A95A93" w:rsidRDefault="00E817D9" w:rsidP="00E817D9">
      <w:pPr>
        <w:pStyle w:val="Heading2"/>
        <w:rPr>
          <w:rFonts w:ascii="Arial" w:eastAsiaTheme="minorHAnsi" w:hAnsi="Arial" w:cs="Arial"/>
          <w:sz w:val="24"/>
          <w:szCs w:val="24"/>
        </w:rPr>
      </w:pPr>
    </w:p>
    <w:p w14:paraId="566C5D29" w14:textId="321080E2" w:rsidR="00E817D9" w:rsidRPr="00A95A93" w:rsidRDefault="00D05A94" w:rsidP="00E817D9">
      <w:pPr>
        <w:pStyle w:val="Heading2"/>
        <w:rPr>
          <w:rFonts w:ascii="Arial" w:eastAsiaTheme="minorHAnsi" w:hAnsi="Arial" w:cs="Arial"/>
          <w:sz w:val="24"/>
          <w:szCs w:val="24"/>
        </w:rPr>
      </w:pPr>
      <w:bookmarkStart w:id="58" w:name="_Toc123562337"/>
      <w:r>
        <w:rPr>
          <w:rFonts w:ascii="Arial" w:eastAsiaTheme="minorHAnsi" w:hAnsi="Arial" w:cs="Arial"/>
          <w:sz w:val="24"/>
          <w:szCs w:val="24"/>
        </w:rPr>
        <w:t xml:space="preserve">Theme 2: </w:t>
      </w:r>
      <w:r w:rsidR="00E817D9">
        <w:rPr>
          <w:rFonts w:ascii="Arial" w:eastAsiaTheme="minorHAnsi" w:hAnsi="Arial" w:cs="Arial"/>
          <w:sz w:val="24"/>
          <w:szCs w:val="24"/>
        </w:rPr>
        <w:t>Ownership</w:t>
      </w:r>
      <w:bookmarkEnd w:id="58"/>
    </w:p>
    <w:p w14:paraId="7B2F5DF0" w14:textId="77777777" w:rsidR="00FB7F1A" w:rsidRPr="00A95A93" w:rsidRDefault="00FB7F1A" w:rsidP="00FB7F1A"/>
    <w:p w14:paraId="694C92F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lastRenderedPageBreak/>
        <w:t>A sense of place and ownership emerged from the data. Participants were all from around Powys, each a regular supporter of their nearest library, museum or both, and each brought a somewhat different perspective based on their own interests and their community. There were those that observed the practical, logistical aspects of introducing income generation activity in their local facility and that there is no one-size-fits all approach to the introduction of cafes, shops and the like.</w:t>
      </w:r>
    </w:p>
    <w:p w14:paraId="39AE51A4"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“If you’re going to entertain the idea you need to think about size of space, footfall, etc. Start small and see what happens maybe?”</w:t>
      </w:r>
      <w:r w:rsidRPr="00A95A93">
        <w:rPr>
          <w:rFonts w:ascii="Arial" w:eastAsiaTheme="minorHAnsi" w:hAnsi="Arial" w:cs="Arial"/>
          <w:sz w:val="24"/>
          <w:szCs w:val="24"/>
        </w:rPr>
        <w:t xml:space="preserve"> (Participant G).</w:t>
      </w:r>
    </w:p>
    <w:p w14:paraId="6F7EC07D"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This goes some way to explaining the predominance of grassroots activities in libraries that was discovered in the literature, where library staff have learned to be creative with the resources they have within their community setting, as in some places a more sophisticated commercial offer may just not be viable.</w:t>
      </w:r>
    </w:p>
    <w:p w14:paraId="6CAB794A" w14:textId="427E027B"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Those that lived in more rural locations near libraries with relatively low footfall were more sceptical about feasibility of shops, </w:t>
      </w:r>
      <w:r w:rsidR="009B7677" w:rsidRPr="00A95A93">
        <w:rPr>
          <w:rFonts w:ascii="Arial" w:eastAsiaTheme="minorHAnsi" w:hAnsi="Arial" w:cs="Arial"/>
          <w:sz w:val="24"/>
          <w:szCs w:val="24"/>
        </w:rPr>
        <w:t>cafes,</w:t>
      </w:r>
      <w:r w:rsidRPr="00A95A93">
        <w:rPr>
          <w:rFonts w:ascii="Arial" w:eastAsiaTheme="minorHAnsi" w:hAnsi="Arial" w:cs="Arial"/>
          <w:sz w:val="24"/>
          <w:szCs w:val="24"/>
        </w:rPr>
        <w:t xml:space="preserve"> and events than those in busy towns, or where museums were concerned. However, the consensus was to support such activity, as long it is manageable, and the advantages of adapting unique spaces for these purposes was recognised. This fits with the myriad examples of events and cafes hosted at museum and library facilities that can be found in the literature review (Australian National Maritime Museum, 2022; Kitchener Public Library, 2022).   </w:t>
      </w:r>
    </w:p>
    <w:p w14:paraId="0958EBB8"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 focus for participants was also very much on community, and participants were thoughtful about what was needed in their local area and meeting those needs by creating relevant and meaningful opportunity.</w:t>
      </w:r>
    </w:p>
    <w:p w14:paraId="3357B19C"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A95A93">
        <w:rPr>
          <w:rFonts w:ascii="Arial" w:eastAsiaTheme="minorHAnsi" w:hAnsi="Arial" w:cs="Arial"/>
          <w:sz w:val="24"/>
          <w:szCs w:val="24"/>
        </w:rPr>
        <w:t>” (Participant C).</w:t>
      </w:r>
    </w:p>
    <w:p w14:paraId="46457740"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lastRenderedPageBreak/>
        <w:t>“They need to organise hands on community things, like a writing workshop, and I’d pay for sessions. Or a sewing group – there’s only one person in Brecon who does that”</w:t>
      </w:r>
      <w:r w:rsidRPr="00A95A93">
        <w:rPr>
          <w:rFonts w:ascii="Arial" w:eastAsiaTheme="minorHAnsi" w:hAnsi="Arial" w:cs="Arial"/>
          <w:sz w:val="24"/>
          <w:szCs w:val="24"/>
        </w:rPr>
        <w:t xml:space="preserve"> (Participant E).</w:t>
      </w:r>
    </w:p>
    <w:p w14:paraId="71FCBA5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aligns with literature review findings, and the argument for councils aligning entrepreneurial activity with local value creation (Mills et al., 2021).  </w:t>
      </w:r>
    </w:p>
    <w:p w14:paraId="0784E77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community thread carried through other aspects of the interview discussion. There was a clear appetite for creating synergy between the organisation and the community, and a sense that cocreation and collaboration could bring benefits for both. This was notable in discussions about friends groups. Some participants had experience of such groups and were able to bring a first-hand perspective to the conversation. </w:t>
      </w:r>
    </w:p>
    <w:p w14:paraId="10B03D29"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sz w:val="24"/>
          <w:szCs w:val="24"/>
        </w:rPr>
        <w:t xml:space="preserve"> </w:t>
      </w:r>
      <w:r w:rsidRPr="00A95A93">
        <w:rPr>
          <w:rFonts w:ascii="Arial" w:eastAsiaTheme="minorHAnsi" w:hAnsi="Arial" w:cs="Arial"/>
          <w:i/>
          <w:iCs/>
          <w:sz w:val="24"/>
          <w:szCs w:val="24"/>
        </w:rPr>
        <w:t>“You’re looking to attract that element of people who are prepared to be community minded in helping to support a service which is just this little bit better by them being a friend”</w:t>
      </w:r>
      <w:r w:rsidRPr="00A95A93">
        <w:rPr>
          <w:rFonts w:ascii="Arial" w:eastAsiaTheme="minorHAnsi" w:hAnsi="Arial" w:cs="Arial"/>
          <w:sz w:val="24"/>
          <w:szCs w:val="24"/>
        </w:rPr>
        <w:t xml:space="preserve"> (Participant B)</w:t>
      </w:r>
    </w:p>
    <w:p w14:paraId="5427169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There was also a demand for alignment when considering corporate support, and the impression was given that supporting a business partnership would be more palatable if that company were to be working in the community, be evidencing benefits on a local level. Academic literature supports this approach Tysiac (2016, p. 36), as do the examples detailed in the literature review, however, due to limited research in this area a cautious approach with corporate partnerships is warranted. A wariness expressed by participants may extend to the wider community and next steps for StoriPowys would need to be carefully considered. </w:t>
      </w:r>
    </w:p>
    <w:p w14:paraId="7A99E69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Another aspect to the theme of ownership addresses the story of Powys, and participants demonstrated an understanding of the rich culture of Powys and the meaning that both residents and tourists attach to it. They showed a desire to learn more about the history and heritage of the county and saw the potential in </w:t>
      </w:r>
      <w:r w:rsidRPr="00A95A93">
        <w:rPr>
          <w:rFonts w:ascii="Arial" w:eastAsiaTheme="minorHAnsi" w:hAnsi="Arial" w:cs="Arial"/>
          <w:sz w:val="24"/>
          <w:szCs w:val="24"/>
        </w:rPr>
        <w:lastRenderedPageBreak/>
        <w:t xml:space="preserve">showcasing it to the wider world. Importantly for the research, there was a shared view that this story of Powys was something that could be monetised. </w:t>
      </w:r>
    </w:p>
    <w:p w14:paraId="7D2FD285"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A95A93">
        <w:rPr>
          <w:rFonts w:ascii="Arial" w:eastAsiaTheme="minorHAnsi" w:hAnsi="Arial" w:cs="Arial"/>
          <w:sz w:val="24"/>
          <w:szCs w:val="24"/>
        </w:rPr>
        <w:t xml:space="preserve"> (Participant C). </w:t>
      </w:r>
    </w:p>
    <w:p w14:paraId="2EAC23D7" w14:textId="77777777" w:rsidR="00A95A93" w:rsidRPr="00A95A93" w:rsidRDefault="00A95A93" w:rsidP="00FB7F1A">
      <w:pPr>
        <w:spacing w:after="160" w:line="480" w:lineRule="auto"/>
        <w:rPr>
          <w:rFonts w:ascii="Arial" w:eastAsiaTheme="minorHAnsi" w:hAnsi="Arial" w:cs="Arial"/>
          <w:strike/>
          <w:sz w:val="24"/>
          <w:szCs w:val="24"/>
        </w:rPr>
      </w:pPr>
      <w:r w:rsidRPr="00A95A93">
        <w:rPr>
          <w:rFonts w:ascii="Arial" w:eastAsiaTheme="minorHAnsi" w:hAnsi="Arial" w:cs="Arial"/>
          <w:sz w:val="24"/>
          <w:szCs w:val="24"/>
        </w:rPr>
        <w:t xml:space="preserve">The value in promoting Powys’ culture was prevalent in discussion about online activity, where the benefits to both tourists and locals could be seen and the uniqueness of the StoriPowys collections could provide an edge when competing with other online content. The same was true of merchandising, and a unique offer with a local flavour was suggested as something that would have a broad appeal. The advantages of having a unique selling point (USP) appears frequently in the literature, from driving online engagement (American Alliance of Museums, 2020; Jin and Min, 2021, pp. 35-36) to development of a commercial brand identity (Mitsitam Café, 2022). The appeal of Powys as a tourist destination is something that could be developed, however the development of well-researched content for an online audience is likely to be labour intensive, and the cost-benefit of undertaking this as an income generator would need to be carefully calculated. </w:t>
      </w:r>
    </w:p>
    <w:p w14:paraId="1CE7BBC2" w14:textId="77777777" w:rsidR="00A95A93" w:rsidRPr="00A95A93" w:rsidRDefault="00A95A93" w:rsidP="00A95A93">
      <w:pPr>
        <w:spacing w:after="160" w:line="259" w:lineRule="auto"/>
        <w:rPr>
          <w:rFonts w:ascii="Arial" w:eastAsiaTheme="minorHAnsi" w:hAnsi="Arial" w:cs="Arial"/>
          <w:sz w:val="24"/>
          <w:szCs w:val="24"/>
        </w:rPr>
      </w:pPr>
    </w:p>
    <w:p w14:paraId="78A733F9" w14:textId="41BBCC78" w:rsidR="00E817D9" w:rsidRPr="00A95A93" w:rsidRDefault="00D05A94" w:rsidP="00E817D9">
      <w:pPr>
        <w:pStyle w:val="Heading2"/>
        <w:rPr>
          <w:rFonts w:ascii="Arial" w:eastAsiaTheme="minorHAnsi" w:hAnsi="Arial" w:cs="Arial"/>
          <w:sz w:val="24"/>
          <w:szCs w:val="24"/>
        </w:rPr>
      </w:pPr>
      <w:bookmarkStart w:id="59" w:name="_Toc123562338"/>
      <w:r>
        <w:rPr>
          <w:rFonts w:ascii="Arial" w:eastAsiaTheme="minorHAnsi" w:hAnsi="Arial" w:cs="Arial"/>
          <w:sz w:val="24"/>
          <w:szCs w:val="24"/>
        </w:rPr>
        <w:t xml:space="preserve">Theme 3: </w:t>
      </w:r>
      <w:r w:rsidR="00E817D9">
        <w:rPr>
          <w:rFonts w:ascii="Arial" w:eastAsiaTheme="minorHAnsi" w:hAnsi="Arial" w:cs="Arial"/>
          <w:sz w:val="24"/>
          <w:szCs w:val="24"/>
        </w:rPr>
        <w:t>Engagement</w:t>
      </w:r>
      <w:bookmarkEnd w:id="59"/>
    </w:p>
    <w:p w14:paraId="011AD45A" w14:textId="4181D809" w:rsidR="00A95A93" w:rsidRPr="00A95A93" w:rsidRDefault="00A95A93" w:rsidP="00FB7F1A">
      <w:pPr>
        <w:pStyle w:val="Heading3"/>
        <w:rPr>
          <w:rFonts w:ascii="Arial" w:eastAsiaTheme="minorHAnsi" w:hAnsi="Arial" w:cs="Arial"/>
        </w:rPr>
      </w:pPr>
    </w:p>
    <w:p w14:paraId="49456AD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Engagement was a theme that featured significantly in the data, particularly concerning the perceived benefits to the community. Whist the appetite for income generation activity was largely positive, all participants were keen that such activity should provide tangible benefits to the community. It is important to acknowledge that interviews were conducted against a backdrop of enormous cost-of-living pressures, coupled with an uncertainty about how communities would recover from the social and economic impact of the Covid-19 pandemic. Participants were mindful </w:t>
      </w:r>
      <w:r w:rsidRPr="006B5614">
        <w:rPr>
          <w:rFonts w:ascii="Arial" w:eastAsiaTheme="minorHAnsi" w:hAnsi="Arial" w:cs="Arial"/>
          <w:sz w:val="24"/>
          <w:szCs w:val="24"/>
        </w:rPr>
        <w:lastRenderedPageBreak/>
        <w:t xml:space="preserve">of this when considering commercial pursuits, as is evident in the transcripts, with an emphasis placed on initiatives that meet a social need, as well as supporting local economies.  </w:t>
      </w:r>
    </w:p>
    <w:p w14:paraId="072027E7"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“We need to work together, to give back – work with local bakeries, people. It would be nice to do it in my own community. I would support activities in towns”</w:t>
      </w:r>
      <w:r w:rsidRPr="006B5614">
        <w:rPr>
          <w:rFonts w:ascii="Arial" w:eastAsiaTheme="minorHAnsi" w:hAnsi="Arial" w:cs="Arial"/>
          <w:sz w:val="24"/>
          <w:szCs w:val="24"/>
        </w:rPr>
        <w:t xml:space="preserve"> (Participant E).</w:t>
      </w:r>
    </w:p>
    <w:p w14:paraId="77A77712"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It accords with evidence in the professional literature, which highlights the potential for cafes and shops in rural, cultural settings as vehicles for the regeneration of these local economies post-pandemic as drivers of footfall to towns and villages (Arts Council England, 2020). The social value created when income generation activity is coupled with meeting a community need encourages advocacy for services, which is essential to sustainable practice (Peet, 2016). It all suggests that a symbiosis between social value creation and fundraising is critical when responding to research questions concerning service strategy and sustainability, signifying that StoriPowys should not be looking at a traditional retail business models when considering future developments.</w:t>
      </w:r>
    </w:p>
    <w:p w14:paraId="6E8FE98B"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Most respondents were keen that a StoriPowys membership should come with benefits, provided that added meaningful value, but with successful models focused on larger organisations, and concerns about staff capacity highlighted in the literature (Miguel, 2022), more research would be needed to determine the feasibility of this in Powys.</w:t>
      </w:r>
    </w:p>
    <w:p w14:paraId="21FF6B0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Participants could see the value in online activity to further drive in-person footfall, which supports the literature findings that online campaigns are an essential communication tool in fundraising strategy (Museum Next, 2022), and even participants who showed more reluctance to engage online could see the value in it as a way of reaching a wider audience.</w:t>
      </w:r>
    </w:p>
    <w:p w14:paraId="5EB9331F"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sz w:val="24"/>
          <w:szCs w:val="24"/>
        </w:rPr>
        <w:lastRenderedPageBreak/>
        <w:t xml:space="preserve"> </w:t>
      </w:r>
      <w:r w:rsidRPr="006B5614">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6B5614">
        <w:rPr>
          <w:rFonts w:ascii="Arial" w:eastAsiaTheme="minorHAnsi" w:hAnsi="Arial" w:cs="Arial"/>
          <w:sz w:val="24"/>
          <w:szCs w:val="24"/>
        </w:rPr>
        <w:t xml:space="preserve"> (Participant E, Q.5).</w:t>
      </w:r>
    </w:p>
    <w:p w14:paraId="01EB0EB9"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6B5614">
        <w:rPr>
          <w:rFonts w:ascii="Arial" w:eastAsiaTheme="minorHAnsi" w:hAnsi="Arial" w:cs="Arial"/>
          <w:sz w:val="24"/>
          <w:szCs w:val="24"/>
        </w:rPr>
        <w:t xml:space="preserve"> (Participant I, Q.6).</w:t>
      </w:r>
    </w:p>
    <w:p w14:paraId="31A0763F"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On the theme of communication, there was some cynicism from participants regarding the accountability of funds, as identified in a previous section. It is conceivable that a history of well-documented reductions in public library and museum services across the UK has led to a degree of scepticism and distrust where the funding of cultural services is concerned, and a strong desire for not only assurances, but also communication of clear objectives for reinvestment of funds raised. </w:t>
      </w:r>
    </w:p>
    <w:p w14:paraId="73E51AB7"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An interesting observation from one participant about making “conscious decisions” (Participant F) as opposed to a scattergun approach when fundraising, has been picked up in the literature review, yet mostly in reference so low-key grassroots activity (GoFundMe, 2021), and it is conceivable that a strategic decision to deliver sustained income raising activity with SMART (Specific, Measurable, Achievable, Relevant and Time-bound) is more likely to achieve financial sustainability than ad hoc activity.  </w:t>
      </w:r>
    </w:p>
    <w:p w14:paraId="373EC86E"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 potential challenge to fundraising that emerged from interview data was the distinction that participants made between the library customer and museum visitor. Academic and professional literature reviewed considers either library or museum settings, rather than both, and findings from organisations that successfully navigate both audiences would be welcome. It is evident in participation feedback that catering to each audience would be different, with an emphasis on social value </w:t>
      </w:r>
      <w:r w:rsidRPr="006B5614">
        <w:rPr>
          <w:rFonts w:ascii="Arial" w:eastAsiaTheme="minorHAnsi" w:hAnsi="Arial" w:cs="Arial"/>
          <w:sz w:val="24"/>
          <w:szCs w:val="24"/>
        </w:rPr>
        <w:lastRenderedPageBreak/>
        <w:t>creation for the local customer, and a more directly commercial offer for the visitor market.</w:t>
      </w:r>
    </w:p>
    <w:p w14:paraId="7E9BF7CD"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“A library café should have again the separation. Consider the quality of the customer experience for those wanting peace”</w:t>
      </w:r>
      <w:r w:rsidRPr="006B5614">
        <w:rPr>
          <w:rFonts w:ascii="Arial" w:eastAsiaTheme="minorHAnsi" w:hAnsi="Arial" w:cs="Arial"/>
          <w:sz w:val="24"/>
          <w:szCs w:val="24"/>
        </w:rPr>
        <w:t xml:space="preserve"> (Participant J). </w:t>
      </w:r>
    </w:p>
    <w:p w14:paraId="407E7D7E"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“You might also want to attract the hiraeth bit, the people who have the longing, from the smoke or somewhere – tapping into that visitor experience rather than the locals”</w:t>
      </w:r>
      <w:r w:rsidRPr="006B5614">
        <w:rPr>
          <w:rFonts w:ascii="Arial" w:eastAsiaTheme="minorHAnsi" w:hAnsi="Arial" w:cs="Arial"/>
          <w:sz w:val="24"/>
          <w:szCs w:val="24"/>
        </w:rPr>
        <w:t xml:space="preserve"> (Participant C).</w:t>
      </w:r>
    </w:p>
    <w:p w14:paraId="4FA114BA"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Participants were more protective of the library environment, keen to preserve the status quo and not lose sight of its core purpose, and a more cautious approach to the introduction and communication of income generation initiatives in a library environment would be warranted. A StoriPowys income generation strategy will need to incorporate plans that cater to both audiences, which might consider different marketing and pricing models. Current financial pressures highlighted by participants makes a pricing strategy something that must be carefully mapped out to avoid alienating the local audience whilst catering to the tourist market.</w:t>
      </w:r>
    </w:p>
    <w:p w14:paraId="71A5081F"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There were areas, however, where both audiences could be catered to, particularly in the arena of online activity, and interviewees could see value in the use of virtual experiences to share the culture of Powys with locals and tourists alike. The local Powys audience has challenges shared with most rural areas, where availability of public transport, access to culture and social activity is more restricted than in urban areas, and there was a willingness from participants to pay for online cultural experiences where distance to physical locations prohibits easy access. Academic literature on the benefits on the use of technology to promote culture during Covid lockdown correlates with the views of participants (Jin and Min, 2021, pp. 35-36).</w:t>
      </w:r>
    </w:p>
    <w:p w14:paraId="63358452"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lastRenderedPageBreak/>
        <w:t xml:space="preserve">Notwithstanding the potential that could be seen in digital developments, the reluctance that some participants displayed when discussing online engagement cannot be downplayed. </w:t>
      </w:r>
    </w:p>
    <w:p w14:paraId="17222FC2" w14:textId="77777777" w:rsidR="006B5614" w:rsidRPr="006B5614" w:rsidRDefault="006B5614" w:rsidP="006B5614">
      <w:pPr>
        <w:spacing w:after="160" w:line="259" w:lineRule="auto"/>
        <w:rPr>
          <w:rFonts w:ascii="Arial" w:eastAsiaTheme="minorHAnsi" w:hAnsi="Arial" w:cs="Arial"/>
          <w:i/>
          <w:iCs/>
          <w:sz w:val="24"/>
          <w:szCs w:val="24"/>
        </w:rPr>
      </w:pPr>
      <w:r w:rsidRPr="006B5614">
        <w:rPr>
          <w:rFonts w:ascii="Arial" w:eastAsiaTheme="minorHAnsi" w:hAnsi="Arial" w:cs="Arial"/>
          <w:i/>
          <w:iCs/>
          <w:sz w:val="24"/>
          <w:szCs w:val="24"/>
        </w:rPr>
        <w:t xml:space="preserve">“I don’t engage like that online. I think I’d rather see my attention drawn to it in other ways. Only because I’m old school”. </w:t>
      </w:r>
      <w:r w:rsidRPr="006B5614">
        <w:rPr>
          <w:rFonts w:ascii="Arial" w:eastAsiaTheme="minorHAnsi" w:hAnsi="Arial" w:cs="Arial"/>
          <w:sz w:val="24"/>
          <w:szCs w:val="24"/>
        </w:rPr>
        <w:t>(Participant G).</w:t>
      </w:r>
    </w:p>
    <w:p w14:paraId="158EE385"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6B5614">
        <w:rPr>
          <w:rFonts w:ascii="Arial" w:eastAsiaTheme="minorHAnsi" w:hAnsi="Arial" w:cs="Arial"/>
          <w:sz w:val="24"/>
          <w:szCs w:val="24"/>
        </w:rPr>
        <w:t xml:space="preserve"> (Participant E). </w:t>
      </w:r>
    </w:p>
    <w:p w14:paraId="25BB2814"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 significant number of StoriPowys library customers are not confident with emerging technologies, and future, sustainable developments must consider how it caters to an audience that lacks IT literacy and meets their needs as technology continues to rapidly evolve. </w:t>
      </w:r>
    </w:p>
    <w:p w14:paraId="4C03585D" w14:textId="35A0D2CF" w:rsidR="00C8654F" w:rsidRDefault="00C8654F" w:rsidP="00C8654F">
      <w:pPr>
        <w:pStyle w:val="Heading1"/>
        <w:rPr>
          <w:rFonts w:ascii="Arial" w:eastAsiaTheme="minorHAnsi" w:hAnsi="Arial" w:cs="Arial"/>
          <w:sz w:val="24"/>
          <w:szCs w:val="24"/>
        </w:rPr>
      </w:pPr>
      <w:bookmarkStart w:id="60" w:name="_Toc123562339"/>
      <w:r w:rsidRPr="00C8654F">
        <w:rPr>
          <w:rFonts w:ascii="Arial" w:eastAsiaTheme="minorHAnsi" w:hAnsi="Arial" w:cs="Arial"/>
          <w:sz w:val="24"/>
          <w:szCs w:val="24"/>
        </w:rPr>
        <w:t>Conclusion</w:t>
      </w:r>
      <w:bookmarkEnd w:id="60"/>
    </w:p>
    <w:p w14:paraId="75C4249D" w14:textId="77777777" w:rsidR="007545B3" w:rsidRPr="007545B3" w:rsidRDefault="007545B3" w:rsidP="007545B3"/>
    <w:p w14:paraId="3761BFC0" w14:textId="00BD9DF0" w:rsidR="00C8654F" w:rsidRDefault="00C8654F" w:rsidP="007545B3">
      <w:pPr>
        <w:pStyle w:val="Heading2"/>
        <w:rPr>
          <w:rFonts w:ascii="Arial" w:eastAsiaTheme="minorHAnsi" w:hAnsi="Arial" w:cs="Arial"/>
          <w:sz w:val="24"/>
          <w:szCs w:val="24"/>
        </w:rPr>
      </w:pPr>
      <w:bookmarkStart w:id="61" w:name="_Toc123562340"/>
      <w:r w:rsidRPr="00C8654F">
        <w:rPr>
          <w:rFonts w:ascii="Arial" w:eastAsiaTheme="minorHAnsi" w:hAnsi="Arial" w:cs="Arial"/>
          <w:sz w:val="24"/>
          <w:szCs w:val="24"/>
        </w:rPr>
        <w:t>Introduction</w:t>
      </w:r>
      <w:bookmarkEnd w:id="61"/>
    </w:p>
    <w:p w14:paraId="0560C041" w14:textId="77777777" w:rsidR="007545B3" w:rsidRPr="007545B3" w:rsidRDefault="007545B3" w:rsidP="007545B3"/>
    <w:p w14:paraId="3C060C08"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This chapter will conclude the investigation by summarising the key research findings in relation to the research aims and questions and discussing the value and contribution thereof. A reflection on limitations of the study will follow, and proposed opportunities for future research.</w:t>
      </w:r>
    </w:p>
    <w:p w14:paraId="4F085C3B" w14:textId="6BBC3CB4" w:rsidR="00C8654F" w:rsidRDefault="00C8654F" w:rsidP="007545B3">
      <w:pPr>
        <w:pStyle w:val="Heading2"/>
        <w:rPr>
          <w:rFonts w:ascii="Arial" w:eastAsiaTheme="minorHAnsi" w:hAnsi="Arial" w:cs="Arial"/>
          <w:sz w:val="24"/>
          <w:szCs w:val="24"/>
        </w:rPr>
      </w:pPr>
      <w:bookmarkStart w:id="62" w:name="_Toc123562341"/>
      <w:r w:rsidRPr="00C8654F">
        <w:rPr>
          <w:rFonts w:ascii="Arial" w:eastAsiaTheme="minorHAnsi" w:hAnsi="Arial" w:cs="Arial"/>
          <w:sz w:val="24"/>
          <w:szCs w:val="24"/>
        </w:rPr>
        <w:t>Key Findings</w:t>
      </w:r>
      <w:bookmarkEnd w:id="62"/>
    </w:p>
    <w:p w14:paraId="2F71A87B" w14:textId="77777777" w:rsidR="007545B3" w:rsidRPr="007545B3" w:rsidRDefault="007545B3" w:rsidP="007545B3"/>
    <w:p w14:paraId="0EC72EA9"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The main purpose of this study was to investigate income generation activity in cultural services worldwide, with aim of research findings informing an income generation strategy for StoriPowys. A review of academic and professional literature, coupled with data from semi-structured interviews, has been used to respond to the research questions posed. </w:t>
      </w:r>
    </w:p>
    <w:p w14:paraId="0A55BA1A" w14:textId="36593E3E" w:rsidR="00C8654F" w:rsidRDefault="00C8654F" w:rsidP="007545B3">
      <w:pPr>
        <w:pStyle w:val="Heading3"/>
        <w:rPr>
          <w:rFonts w:ascii="Arial" w:eastAsiaTheme="minorHAnsi" w:hAnsi="Arial" w:cs="Arial"/>
        </w:rPr>
      </w:pPr>
      <w:bookmarkStart w:id="63" w:name="_Toc123562342"/>
      <w:r w:rsidRPr="00C8654F">
        <w:rPr>
          <w:rFonts w:ascii="Arial" w:eastAsiaTheme="minorHAnsi" w:hAnsi="Arial" w:cs="Arial"/>
        </w:rPr>
        <w:lastRenderedPageBreak/>
        <w:t>RQ1 What strategies are implemented by local government and not for profit organisations that fundraise successfully?</w:t>
      </w:r>
      <w:bookmarkEnd w:id="63"/>
    </w:p>
    <w:p w14:paraId="18B595E9" w14:textId="77777777" w:rsidR="007545B3" w:rsidRPr="007545B3" w:rsidRDefault="007545B3" w:rsidP="007545B3"/>
    <w:p w14:paraId="15D12D79" w14:textId="026239B1"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identified </w:t>
      </w:r>
      <w:r w:rsidR="00697BE5" w:rsidRPr="00C8654F">
        <w:rPr>
          <w:rFonts w:ascii="Arial" w:eastAsiaTheme="minorHAnsi" w:hAnsi="Arial" w:cs="Arial"/>
          <w:sz w:val="24"/>
          <w:szCs w:val="24"/>
        </w:rPr>
        <w:t>several</w:t>
      </w:r>
      <w:r w:rsidRPr="00C8654F">
        <w:rPr>
          <w:rFonts w:ascii="Arial" w:eastAsiaTheme="minorHAnsi" w:hAnsi="Arial" w:cs="Arial"/>
          <w:sz w:val="24"/>
          <w:szCs w:val="24"/>
        </w:rPr>
        <w:t xml:space="preserve"> strategies that were deemed essential to success, focusing primarily on the development of an entrepreneurial workforce, with adequate skills and capacity to deliver new innovations, although it was acknowledged that a lack of capacity was not so easily overcome. Case studies reviewed pointed to success by means of a holistic approach to fundraising, working with communities and volunteer groups to obtain buy-in, and achieve financial success alongside public value creation.  </w:t>
      </w:r>
    </w:p>
    <w:p w14:paraId="14CA2D03" w14:textId="04CA23E4" w:rsidR="00C8654F" w:rsidRDefault="00C8654F" w:rsidP="007545B3">
      <w:pPr>
        <w:pStyle w:val="Heading3"/>
        <w:rPr>
          <w:rFonts w:ascii="Arial" w:eastAsiaTheme="minorHAnsi" w:hAnsi="Arial" w:cs="Arial"/>
        </w:rPr>
      </w:pPr>
      <w:bookmarkStart w:id="64" w:name="_Toc123562343"/>
      <w:r w:rsidRPr="00C8654F">
        <w:rPr>
          <w:rFonts w:ascii="Arial" w:eastAsiaTheme="minorHAnsi" w:hAnsi="Arial" w:cs="Arial"/>
        </w:rPr>
        <w:t>RQ2 How are new technologies altering the fundraising landscape?</w:t>
      </w:r>
      <w:bookmarkEnd w:id="64"/>
    </w:p>
    <w:p w14:paraId="59CF9FA5" w14:textId="77777777" w:rsidR="007545B3" w:rsidRPr="007545B3" w:rsidRDefault="007545B3" w:rsidP="007545B3"/>
    <w:p w14:paraId="2B2D8C74"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indicates that online engagement with audiences in the cultural sector increased rapidly in response to the Covid-19 pandemic, and evidence has yet to emerge on the long-term impact of this on donor-giving habits. Examples of monetised content, online events and crowdfunding suggest that the public are willing to engage with, and pay for, unique online content. However, as it is the younger generation that engages more in this way, the online approach needs to be balanced with in-person experiences.  </w:t>
      </w:r>
    </w:p>
    <w:p w14:paraId="0D72191B" w14:textId="0D2C5CA9" w:rsidR="00C8654F" w:rsidRDefault="00C8654F" w:rsidP="007545B3">
      <w:pPr>
        <w:pStyle w:val="Heading3"/>
        <w:rPr>
          <w:rFonts w:ascii="Arial" w:eastAsiaTheme="minorHAnsi" w:hAnsi="Arial" w:cs="Arial"/>
        </w:rPr>
      </w:pPr>
      <w:bookmarkStart w:id="65" w:name="_Toc123562344"/>
      <w:r w:rsidRPr="00C8654F">
        <w:rPr>
          <w:rFonts w:ascii="Arial" w:eastAsiaTheme="minorHAnsi" w:hAnsi="Arial" w:cs="Arial"/>
        </w:rPr>
        <w:t>RQ3 How sustainable are these successful models?</w:t>
      </w:r>
      <w:bookmarkEnd w:id="65"/>
    </w:p>
    <w:p w14:paraId="79EB8034" w14:textId="77777777" w:rsidR="007545B3" w:rsidRPr="007545B3" w:rsidRDefault="007545B3" w:rsidP="007545B3"/>
    <w:p w14:paraId="6D39E7EA"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Linking back to strategy, research suggests that sustainability depends on an innovative and entrepreneurial workforce, with the skills and the means to deliver on the ambition. In the current economic climate, there is no guarantee of continued funding for public sector libraries and museums, so an agile, adaptive workforce is more important than ever. Further evidence ties back to the idea of public value </w:t>
      </w:r>
      <w:r w:rsidRPr="00C8654F">
        <w:rPr>
          <w:rFonts w:ascii="Arial" w:eastAsiaTheme="minorHAnsi" w:hAnsi="Arial" w:cs="Arial"/>
          <w:sz w:val="24"/>
          <w:szCs w:val="24"/>
        </w:rPr>
        <w:lastRenderedPageBreak/>
        <w:t xml:space="preserve">creation, and sustainability through community collaboration, strategic partnerships and generating social benefit as well as financial gain. </w:t>
      </w:r>
    </w:p>
    <w:p w14:paraId="6182E44E" w14:textId="77777777" w:rsidR="00C8654F" w:rsidRPr="00C8654F" w:rsidRDefault="00C8654F" w:rsidP="00C8654F">
      <w:pPr>
        <w:spacing w:after="160" w:line="480" w:lineRule="auto"/>
        <w:rPr>
          <w:rFonts w:ascii="Arial" w:eastAsiaTheme="minorHAnsi" w:hAnsi="Arial" w:cs="Arial"/>
          <w:sz w:val="24"/>
          <w:szCs w:val="24"/>
        </w:rPr>
      </w:pPr>
    </w:p>
    <w:p w14:paraId="757D7E8B" w14:textId="5AA24FAA" w:rsidR="00C8654F" w:rsidRDefault="00C8654F" w:rsidP="007545B3">
      <w:pPr>
        <w:pStyle w:val="Heading3"/>
        <w:rPr>
          <w:rFonts w:ascii="Arial" w:eastAsiaTheme="minorHAnsi" w:hAnsi="Arial" w:cs="Arial"/>
        </w:rPr>
      </w:pPr>
      <w:bookmarkStart w:id="66" w:name="_Toc123562345"/>
      <w:r w:rsidRPr="00C8654F">
        <w:rPr>
          <w:rFonts w:ascii="Arial" w:eastAsiaTheme="minorHAnsi" w:hAnsi="Arial" w:cs="Arial"/>
        </w:rPr>
        <w:t>RQ4 What is the appetite for, and feasibility of, implementing these successful initiatives in Powys?</w:t>
      </w:r>
      <w:bookmarkEnd w:id="66"/>
    </w:p>
    <w:p w14:paraId="1FD70181" w14:textId="77777777" w:rsidR="007545B3" w:rsidRPr="007545B3" w:rsidRDefault="007545B3" w:rsidP="007545B3"/>
    <w:p w14:paraId="6A6C7E26"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Interview respondents were largely supportive of the income generation initiatives discussed and recognised the need to explore these options. However, there were doubts about staff’s capacity to implement them, and concerns that core service provision would be reduced in the process. There were also concerns about accountability for funds raised, and solutions that allowed for the ringfencing of income was welcomed.</w:t>
      </w:r>
    </w:p>
    <w:p w14:paraId="5F30681F"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The idea of public value creation was felt keenly by interview participants, and the appetite for investing in new initiatives was welcomed, provided it met with a social return on their investment. Commercial offers such as cafes and shops were viewed in the context of locality, rurality, and community, where a tailored approach was deemed appropriate.</w:t>
      </w:r>
    </w:p>
    <w:p w14:paraId="5F1751D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There were mixed views from participants regarding interaction with online activity, and although all could see the benefits for those that were comfortable with digital engagement, the data suggests that the StoriPowys consumer demographic is skewed to the older, less digitally savvy, audience, and for StoriPowys to invest in developing online fundraising initiatives, it would need to weigh up the cost versus benefit of doing so.</w:t>
      </w:r>
    </w:p>
    <w:p w14:paraId="1CAA8FA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Interview data highlighted the distinct customer and visitor audiences that StoriPowys caters to, and evidence suggested that the service should be giving </w:t>
      </w:r>
      <w:r w:rsidRPr="00C8654F">
        <w:rPr>
          <w:rFonts w:ascii="Arial" w:eastAsiaTheme="minorHAnsi" w:hAnsi="Arial" w:cs="Arial"/>
          <w:sz w:val="24"/>
          <w:szCs w:val="24"/>
        </w:rPr>
        <w:lastRenderedPageBreak/>
        <w:t xml:space="preserve">equal weight to both audiences if sustainable, effective fundraising were to be achieved. The potential for catering to tourists both on- and offline was viewed as an income generator by respondents. In addition, the uniqueness of Powys’ heritage, culture and museum/archive collections were seen as a unique selling point to be capitalised on.  </w:t>
      </w:r>
    </w:p>
    <w:p w14:paraId="00E054DD" w14:textId="5654B8A7" w:rsidR="00BB195C" w:rsidRPr="006B5614"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Finally, the theme of communication underpinned much of the discussion, and appeared frequently in the interview data, indicating that whatever approach to developments is taken, a well-executed communication plan should be integral.</w:t>
      </w:r>
    </w:p>
    <w:p w14:paraId="1B47FD5D" w14:textId="102AF883" w:rsidR="00CF19E2" w:rsidRDefault="00CF19E2" w:rsidP="00CF19E2">
      <w:pPr>
        <w:pStyle w:val="Heading2"/>
        <w:rPr>
          <w:rFonts w:ascii="Arial" w:hAnsi="Arial" w:cs="Arial"/>
          <w:sz w:val="24"/>
          <w:szCs w:val="24"/>
        </w:rPr>
      </w:pPr>
      <w:bookmarkStart w:id="67" w:name="_Toc123562346"/>
      <w:r w:rsidRPr="00CF19E2">
        <w:rPr>
          <w:rFonts w:ascii="Arial" w:hAnsi="Arial" w:cs="Arial"/>
          <w:sz w:val="24"/>
          <w:szCs w:val="24"/>
        </w:rPr>
        <w:t>Contribution to existing research</w:t>
      </w:r>
      <w:bookmarkEnd w:id="67"/>
    </w:p>
    <w:p w14:paraId="5B8C7562" w14:textId="77777777" w:rsidR="00CF19E2" w:rsidRPr="00CF19E2" w:rsidRDefault="00CF19E2" w:rsidP="00CF19E2"/>
    <w:p w14:paraId="33CF96E7" w14:textId="0AA11CE9" w:rsidR="00CF19E2" w:rsidRPr="00CF19E2" w:rsidRDefault="00CF19E2" w:rsidP="00CF19E2">
      <w:pPr>
        <w:spacing w:line="480" w:lineRule="auto"/>
        <w:rPr>
          <w:rFonts w:ascii="Arial" w:hAnsi="Arial" w:cs="Arial"/>
          <w:sz w:val="24"/>
          <w:szCs w:val="24"/>
        </w:rPr>
      </w:pPr>
      <w:r w:rsidRPr="00CF19E2">
        <w:rPr>
          <w:rFonts w:ascii="Arial" w:hAnsi="Arial" w:cs="Arial"/>
          <w:sz w:val="24"/>
          <w:szCs w:val="24"/>
        </w:rPr>
        <w:t xml:space="preserve">This research contributes to existing literature on the topic of income generation in local government cultural services. The study pulls together existing research across libraries, </w:t>
      </w:r>
      <w:r w:rsidR="00697BE5" w:rsidRPr="00CF19E2">
        <w:rPr>
          <w:rFonts w:ascii="Arial" w:hAnsi="Arial" w:cs="Arial"/>
          <w:sz w:val="24"/>
          <w:szCs w:val="24"/>
        </w:rPr>
        <w:t>museums,</w:t>
      </w:r>
      <w:r w:rsidRPr="00CF19E2">
        <w:rPr>
          <w:rFonts w:ascii="Arial" w:hAnsi="Arial" w:cs="Arial"/>
          <w:sz w:val="24"/>
          <w:szCs w:val="24"/>
        </w:rPr>
        <w:t xml:space="preserve"> and archives, and presents a structured response to the question of strategy development in this area. It also presents a perspective from a rural Welsh authority and considers a consumer viewpoint which is currently lacking in existing research. Input from StoriPowys consumers highlights aspects of fundraising in public run cultural services from a customer standpoint. Their knowledge of Powys also provided information-rich data concerning audience participation, which will make a valuable contribution to local authorities exploring responses to similar challenges.</w:t>
      </w:r>
    </w:p>
    <w:p w14:paraId="15FEE6A2" w14:textId="3DDCE5A6" w:rsidR="003604B7" w:rsidRDefault="00CF19E2" w:rsidP="00CF19E2">
      <w:pPr>
        <w:spacing w:line="480" w:lineRule="auto"/>
        <w:rPr>
          <w:rFonts w:ascii="Arial" w:hAnsi="Arial" w:cs="Arial"/>
          <w:sz w:val="24"/>
          <w:szCs w:val="24"/>
        </w:rPr>
      </w:pPr>
      <w:r w:rsidRPr="00CF19E2">
        <w:rPr>
          <w:rFonts w:ascii="Arial" w:hAnsi="Arial" w:cs="Arial"/>
          <w:sz w:val="24"/>
          <w:szCs w:val="24"/>
        </w:rPr>
        <w:t xml:space="preserve">Primary data largely agrees with existing research in the field, although absence of academic and professional literature with which to compare it makes it difficult to draw firm conclusions. The consumer perspective, whilst addressing a gap, does not consider other viewpoints which would provide a more well-rounded study, such as opinion from frontline staff and managers.   </w:t>
      </w:r>
    </w:p>
    <w:p w14:paraId="2AF2FD8C" w14:textId="396DA83B" w:rsidR="00ED6524" w:rsidRDefault="00ED6524" w:rsidP="00ED6524">
      <w:pPr>
        <w:pStyle w:val="Heading2"/>
        <w:rPr>
          <w:rFonts w:ascii="Arial" w:hAnsi="Arial" w:cs="Arial"/>
          <w:sz w:val="24"/>
          <w:szCs w:val="24"/>
        </w:rPr>
      </w:pPr>
      <w:bookmarkStart w:id="68" w:name="_Toc123562347"/>
      <w:r w:rsidRPr="00ED6524">
        <w:rPr>
          <w:rFonts w:ascii="Arial" w:hAnsi="Arial" w:cs="Arial"/>
          <w:sz w:val="24"/>
          <w:szCs w:val="24"/>
        </w:rPr>
        <w:lastRenderedPageBreak/>
        <w:t>Limitations</w:t>
      </w:r>
      <w:bookmarkEnd w:id="68"/>
    </w:p>
    <w:p w14:paraId="3EDB9F0C" w14:textId="77777777" w:rsidR="00ED6524" w:rsidRPr="00ED6524" w:rsidRDefault="00ED6524" w:rsidP="00ED6524"/>
    <w:p w14:paraId="46F5A35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Limitations of the study were highlighted in an earlier chapter, and addressed issues of samples, researcher bias and time constraints. A further reflection considers the absence of Welsh-speaking participants, largely due to geographical constraints, and the unique perspective that could be sought from consumers based in far-North communities of Powys, where Welsh identity and language feature highly. Study of a larger sample would better capture the broad range of StoriPowys consumer, and a longer-term investigation may bring new insights from a customer base that is still adapting to life post-Covid.  </w:t>
      </w:r>
    </w:p>
    <w:p w14:paraId="58877B39"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 </w:t>
      </w:r>
    </w:p>
    <w:p w14:paraId="608F0BE7" w14:textId="0A71715F" w:rsidR="00ED6524" w:rsidRDefault="00ED6524" w:rsidP="00ED6524">
      <w:pPr>
        <w:pStyle w:val="Heading2"/>
        <w:rPr>
          <w:rFonts w:ascii="Arial" w:hAnsi="Arial" w:cs="Arial"/>
          <w:sz w:val="24"/>
          <w:szCs w:val="24"/>
        </w:rPr>
      </w:pPr>
      <w:bookmarkStart w:id="69" w:name="_Toc123562348"/>
      <w:r w:rsidRPr="00ED6524">
        <w:rPr>
          <w:rFonts w:ascii="Arial" w:hAnsi="Arial" w:cs="Arial"/>
          <w:sz w:val="24"/>
          <w:szCs w:val="24"/>
        </w:rPr>
        <w:t>Future Research</w:t>
      </w:r>
      <w:bookmarkEnd w:id="69"/>
    </w:p>
    <w:p w14:paraId="3D16ED1A" w14:textId="77777777" w:rsidR="00ED6524" w:rsidRPr="00ED6524" w:rsidRDefault="00ED6524" w:rsidP="00ED6524"/>
    <w:p w14:paraId="6AC880B8"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Key challenges within the research relate primarily to the significant gaps in the literature and the newness of the concept of income generation in publicly run cultural services, and more general research is needed to explore this phenomenon.  Future research could also narrow the focus of areas of income generation activity, to offer more detailed investigation into each. Areas of priority may be the influence of changing technologies, particularly in the context of post-pandemic audience engagement and its impact on the fundraising landscape. As participant sample was largely skewed to the existing, largely older, customer base, a younger, newer audience may provide more information-rich data regarding online innovations.</w:t>
      </w:r>
    </w:p>
    <w:p w14:paraId="28FF10F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The impact of Covid on visitor expectations and library customer needs is still to be determined, and future research should consider the customer and visitor experience, and how current fundraising activity may need to be adapted. Case </w:t>
      </w:r>
      <w:r w:rsidRPr="00ED6524">
        <w:rPr>
          <w:rFonts w:ascii="Arial" w:hAnsi="Arial" w:cs="Arial"/>
          <w:sz w:val="24"/>
          <w:szCs w:val="24"/>
        </w:rPr>
        <w:lastRenderedPageBreak/>
        <w:t>studies of income generation activity may also warrant a review, to assess their relevance in current times.</w:t>
      </w:r>
    </w:p>
    <w:p w14:paraId="05FBF484" w14:textId="40FD3BFC" w:rsidR="003604B7" w:rsidRDefault="00ED6524" w:rsidP="00ED6524">
      <w:pPr>
        <w:spacing w:line="480" w:lineRule="auto"/>
        <w:rPr>
          <w:rFonts w:ascii="Arial" w:hAnsi="Arial" w:cs="Arial"/>
          <w:sz w:val="24"/>
          <w:szCs w:val="24"/>
        </w:rPr>
      </w:pPr>
      <w:r w:rsidRPr="00ED6524">
        <w:rPr>
          <w:rFonts w:ascii="Arial" w:hAnsi="Arial" w:cs="Arial"/>
          <w:sz w:val="24"/>
          <w:szCs w:val="24"/>
        </w:rPr>
        <w:t>Finally, an absence of longer-term success of commercial fundraising activity, including an evaluation of financial data, would be a suggestion for future research.</w:t>
      </w:r>
    </w:p>
    <w:p w14:paraId="51494884" w14:textId="6C069610" w:rsidR="005E7010" w:rsidRDefault="005E7010" w:rsidP="005E7010">
      <w:pPr>
        <w:pStyle w:val="Heading2"/>
        <w:rPr>
          <w:rFonts w:ascii="Arial" w:hAnsi="Arial" w:cs="Arial"/>
          <w:sz w:val="24"/>
          <w:szCs w:val="24"/>
        </w:rPr>
      </w:pPr>
      <w:bookmarkStart w:id="70" w:name="_Toc123562349"/>
      <w:r w:rsidRPr="005E7010">
        <w:rPr>
          <w:rFonts w:ascii="Arial" w:hAnsi="Arial" w:cs="Arial"/>
          <w:sz w:val="24"/>
          <w:szCs w:val="24"/>
        </w:rPr>
        <w:t>Conclusion</w:t>
      </w:r>
      <w:bookmarkEnd w:id="70"/>
    </w:p>
    <w:p w14:paraId="53B7C3F2" w14:textId="77777777" w:rsidR="005E7010" w:rsidRPr="005E7010" w:rsidRDefault="005E7010" w:rsidP="005E7010"/>
    <w:p w14:paraId="4DF3123B" w14:textId="36B2CE53" w:rsidR="005E7010" w:rsidRDefault="005E7010" w:rsidP="005E7010">
      <w:pPr>
        <w:spacing w:line="480" w:lineRule="auto"/>
        <w:rPr>
          <w:rFonts w:ascii="Arial" w:hAnsi="Arial" w:cs="Arial"/>
          <w:sz w:val="24"/>
          <w:szCs w:val="24"/>
        </w:rPr>
      </w:pPr>
      <w:r w:rsidRPr="005E7010">
        <w:rPr>
          <w:rFonts w:ascii="Arial" w:hAnsi="Arial" w:cs="Arial"/>
          <w:sz w:val="24"/>
          <w:szCs w:val="24"/>
        </w:rPr>
        <w:t>Professional and academic literature, though scarce, provides evidence of an increasing need for publicly run cultural services to diversify their income streams. Examples of innovative fundraising activity in cultural institutions, coupled with evidence of trends in strategy and sustainable practice, suggests that, whilst challenges exist, the workforce is likely to be increasingly dependent on seeking other sources of income to stay afloat. Advancements in technology will no doubt continue to influence how this will be achieved. For StoriPowys, the contribution to research from consumer interviews will allow the service to develop a sustainable income generation strategy that is tailored to its audience and locality.</w:t>
      </w:r>
    </w:p>
    <w:p w14:paraId="666C24E6" w14:textId="34883D01" w:rsidR="00E96730" w:rsidRDefault="00E96730" w:rsidP="00E96730">
      <w:pPr>
        <w:pStyle w:val="Heading2"/>
        <w:rPr>
          <w:rFonts w:ascii="Arial" w:hAnsi="Arial" w:cs="Arial"/>
          <w:sz w:val="24"/>
          <w:szCs w:val="24"/>
        </w:rPr>
      </w:pPr>
      <w:bookmarkStart w:id="71" w:name="_Toc123562350"/>
      <w:r w:rsidRPr="00E96730">
        <w:rPr>
          <w:rFonts w:ascii="Arial" w:hAnsi="Arial" w:cs="Arial"/>
          <w:sz w:val="24"/>
          <w:szCs w:val="24"/>
        </w:rPr>
        <w:t>Recommendations for Income Generation Strategy</w:t>
      </w:r>
      <w:bookmarkEnd w:id="71"/>
    </w:p>
    <w:p w14:paraId="69992035" w14:textId="77777777" w:rsidR="00E96730" w:rsidRPr="00E96730" w:rsidRDefault="00E96730" w:rsidP="00E96730"/>
    <w:p w14:paraId="5DD0865C"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The following key objectives for strategy development are recommended. Actions within each objective are not exhaustive but highlight the key priorities.</w:t>
      </w:r>
    </w:p>
    <w:p w14:paraId="23BF6C76"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1: Investigation of opportunities for ringfencing earned income. </w:t>
      </w:r>
    </w:p>
    <w:p w14:paraId="01B0BA12"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Consider the establishment of a service-run Development Trust as an option to achieve this. </w:t>
      </w:r>
    </w:p>
    <w:p w14:paraId="73DEF7CA" w14:textId="59E2318E"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2</w:t>
      </w:r>
      <w:r w:rsidRPr="00E96730">
        <w:rPr>
          <w:rFonts w:ascii="Arial" w:hAnsi="Arial" w:cs="Arial"/>
          <w:sz w:val="24"/>
          <w:szCs w:val="24"/>
        </w:rPr>
        <w:t>: Communication Strategy</w:t>
      </w:r>
    </w:p>
    <w:p w14:paraId="4BD4E384"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lastRenderedPageBreak/>
        <w:t>•</w:t>
      </w:r>
      <w:r w:rsidRPr="00E96730">
        <w:rPr>
          <w:rFonts w:ascii="Arial" w:hAnsi="Arial" w:cs="Arial"/>
          <w:sz w:val="24"/>
          <w:szCs w:val="24"/>
        </w:rPr>
        <w:tab/>
        <w:t xml:space="preserve">Audience market research, to engage a broad spectrum of service users with potential future plans </w:t>
      </w:r>
    </w:p>
    <w:p w14:paraId="41291558"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marketing and communications plan for customers and visitors</w:t>
      </w:r>
    </w:p>
    <w:p w14:paraId="6024BB5E"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digital marketing plan (as above)</w:t>
      </w:r>
    </w:p>
    <w:p w14:paraId="7C34DC49" w14:textId="284290DB"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3</w:t>
      </w:r>
      <w:r w:rsidRPr="00E96730">
        <w:rPr>
          <w:rFonts w:ascii="Arial" w:hAnsi="Arial" w:cs="Arial"/>
          <w:sz w:val="24"/>
          <w:szCs w:val="24"/>
        </w:rPr>
        <w:t>: Digital Strategy</w:t>
      </w:r>
    </w:p>
    <w:p w14:paraId="12F3E63E"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Digital infrastructure developments. Seek opportunities for grant funding to improve user digital experience (to include the acquisition of digital equipment, wireless payment systems)</w:t>
      </w:r>
    </w:p>
    <w:p w14:paraId="31D4869B"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an online StoriPowys presence (website, social media channels, access to collections, online shop)</w:t>
      </w:r>
    </w:p>
    <w:p w14:paraId="413CB6FC" w14:textId="77777777" w:rsidR="00E96730" w:rsidRPr="00E96730" w:rsidRDefault="00E96730" w:rsidP="00E96730">
      <w:pPr>
        <w:spacing w:line="480" w:lineRule="auto"/>
        <w:rPr>
          <w:rFonts w:ascii="Arial" w:hAnsi="Arial" w:cs="Arial"/>
          <w:sz w:val="24"/>
          <w:szCs w:val="24"/>
        </w:rPr>
      </w:pPr>
    </w:p>
    <w:p w14:paraId="5144B0BF"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Objective 4: Development of a Workforce Strategy</w:t>
      </w:r>
    </w:p>
    <w:p w14:paraId="533D6900"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Programme of leadership capability development, to drive a culture of innovation and adaptability</w:t>
      </w:r>
    </w:p>
    <w:p w14:paraId="75F20821"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staff entrepreneurial and commercial skills</w:t>
      </w:r>
    </w:p>
    <w:p w14:paraId="612EBFBD"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staff media technology skills (use of digital equipment)</w:t>
      </w:r>
    </w:p>
    <w:p w14:paraId="04A20F83" w14:textId="3E42D448" w:rsidR="00FA3354"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marketing skills, to include digital marketing and social media</w:t>
      </w:r>
    </w:p>
    <w:p w14:paraId="24D6A91F" w14:textId="5E436E9F" w:rsidR="009E147D" w:rsidRDefault="009E147D" w:rsidP="00E96730">
      <w:pPr>
        <w:spacing w:line="480" w:lineRule="auto"/>
        <w:rPr>
          <w:rFonts w:ascii="Arial" w:hAnsi="Arial" w:cs="Arial"/>
          <w:sz w:val="24"/>
          <w:szCs w:val="24"/>
        </w:rPr>
      </w:pPr>
    </w:p>
    <w:p w14:paraId="5BF7AD6A" w14:textId="77777777" w:rsidR="009E147D" w:rsidRDefault="009E147D" w:rsidP="00E96730">
      <w:pPr>
        <w:spacing w:line="480" w:lineRule="auto"/>
        <w:rPr>
          <w:rFonts w:ascii="Arial" w:hAnsi="Arial" w:cs="Arial"/>
          <w:sz w:val="24"/>
          <w:szCs w:val="24"/>
        </w:rPr>
      </w:pPr>
    </w:p>
    <w:p w14:paraId="1D7A7009" w14:textId="5B5BD23C" w:rsidR="00544AB0" w:rsidRDefault="002B6842" w:rsidP="002B6842">
      <w:pPr>
        <w:pStyle w:val="Heading1"/>
        <w:rPr>
          <w:rFonts w:ascii="Arial" w:hAnsi="Arial" w:cs="Arial"/>
          <w:sz w:val="24"/>
          <w:szCs w:val="24"/>
        </w:rPr>
      </w:pPr>
      <w:bookmarkStart w:id="72" w:name="_Toc123562351"/>
      <w:r>
        <w:rPr>
          <w:rFonts w:ascii="Arial" w:hAnsi="Arial" w:cs="Arial"/>
          <w:sz w:val="24"/>
          <w:szCs w:val="24"/>
        </w:rPr>
        <w:lastRenderedPageBreak/>
        <w:t>References</w:t>
      </w:r>
      <w:bookmarkEnd w:id="72"/>
    </w:p>
    <w:p w14:paraId="0B591226" w14:textId="77777777" w:rsidR="00424A6D" w:rsidRPr="00424A6D" w:rsidRDefault="00424A6D" w:rsidP="00424A6D"/>
    <w:p w14:paraId="3A9277BB" w14:textId="3C847A87" w:rsidR="00597F86" w:rsidRPr="00630DCA" w:rsidRDefault="00597F86" w:rsidP="00597F86">
      <w:pPr>
        <w:spacing w:after="160" w:line="259" w:lineRule="auto"/>
        <w:rPr>
          <w:rFonts w:ascii="Arial" w:eastAsiaTheme="minorHAnsi" w:hAnsi="Arial" w:cs="Arial"/>
          <w:sz w:val="24"/>
          <w:szCs w:val="24"/>
        </w:rPr>
      </w:pPr>
      <w:r w:rsidRPr="00597F86">
        <w:rPr>
          <w:rFonts w:ascii="Arial" w:eastAsiaTheme="minorHAnsi" w:hAnsi="Arial" w:cs="Arial"/>
          <w:sz w:val="24"/>
          <w:szCs w:val="24"/>
        </w:rPr>
        <w:t xml:space="preserve">Adams, J. et al. (2007) </w:t>
      </w:r>
      <w:r w:rsidRPr="00597F86">
        <w:rPr>
          <w:rFonts w:ascii="Arial" w:eastAsiaTheme="minorHAnsi" w:hAnsi="Arial" w:cs="Arial"/>
          <w:i/>
          <w:iCs/>
          <w:sz w:val="24"/>
          <w:szCs w:val="24"/>
        </w:rPr>
        <w:t>Research methods for business and social science students</w:t>
      </w:r>
      <w:r w:rsidRPr="00597F86">
        <w:rPr>
          <w:rFonts w:ascii="Arial" w:eastAsiaTheme="minorHAnsi" w:hAnsi="Arial" w:cs="Arial"/>
          <w:sz w:val="24"/>
          <w:szCs w:val="24"/>
        </w:rPr>
        <w:t>. 2nd ed. New Delhi, India: Sage Publications</w:t>
      </w:r>
      <w:r w:rsidRPr="00630DCA">
        <w:rPr>
          <w:rFonts w:ascii="Arial" w:eastAsiaTheme="minorHAnsi" w:hAnsi="Arial" w:cs="Arial"/>
          <w:sz w:val="24"/>
          <w:szCs w:val="24"/>
        </w:rPr>
        <w:t>.</w:t>
      </w:r>
    </w:p>
    <w:p w14:paraId="3C14FD55" w14:textId="641FFF4F"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AIM (2013) </w:t>
      </w:r>
      <w:r w:rsidRPr="00424A6D">
        <w:rPr>
          <w:rFonts w:ascii="Arial" w:eastAsiaTheme="minorHAnsi" w:hAnsi="Arial" w:cs="Arial"/>
          <w:i/>
          <w:iCs/>
          <w:sz w:val="24"/>
          <w:szCs w:val="24"/>
        </w:rPr>
        <w:t>Success guides: successful fundraising at museums</w:t>
      </w:r>
      <w:r w:rsidRPr="00424A6D">
        <w:rPr>
          <w:rFonts w:ascii="Arial" w:eastAsiaTheme="minorHAnsi" w:hAnsi="Arial" w:cs="Arial"/>
          <w:sz w:val="24"/>
          <w:szCs w:val="24"/>
        </w:rPr>
        <w:t xml:space="preserve">. Available at: </w:t>
      </w:r>
      <w:hyperlink r:id="rId14" w:history="1">
        <w:r w:rsidRPr="00424A6D">
          <w:rPr>
            <w:rFonts w:ascii="Arial" w:eastAsiaTheme="minorHAnsi" w:hAnsi="Arial" w:cs="Arial"/>
            <w:color w:val="0563C1" w:themeColor="hyperlink"/>
            <w:sz w:val="24"/>
            <w:szCs w:val="24"/>
            <w:u w:val="single"/>
          </w:rPr>
          <w:t>https://www.aim-museums.co.uk/wp-content/uploads/2017/03/Successful-Fundraising-at-Museums-2017.pdf</w:t>
        </w:r>
      </w:hyperlink>
      <w:r w:rsidRPr="00424A6D">
        <w:rPr>
          <w:rFonts w:ascii="Arial" w:eastAsiaTheme="minorHAnsi" w:hAnsi="Arial" w:cs="Arial"/>
          <w:sz w:val="24"/>
          <w:szCs w:val="24"/>
        </w:rPr>
        <w:t xml:space="preserve"> (Accessed: 23rd September 2022).</w:t>
      </w:r>
    </w:p>
    <w:p w14:paraId="0C4777C7"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Alfilo (2022) </w:t>
      </w:r>
      <w:r w:rsidRPr="00424A6D">
        <w:rPr>
          <w:rFonts w:ascii="Arial" w:eastAsiaTheme="minorHAnsi" w:hAnsi="Arial" w:cs="Arial"/>
          <w:i/>
          <w:iCs/>
          <w:sz w:val="24"/>
          <w:szCs w:val="24"/>
        </w:rPr>
        <w:t xml:space="preserve">Alfilo. </w:t>
      </w:r>
      <w:r w:rsidRPr="00424A6D">
        <w:rPr>
          <w:rFonts w:ascii="Arial" w:eastAsiaTheme="minorHAnsi" w:hAnsi="Arial" w:cs="Arial"/>
          <w:sz w:val="24"/>
          <w:szCs w:val="24"/>
        </w:rPr>
        <w:t xml:space="preserve">Available at: </w:t>
      </w:r>
      <w:hyperlink r:id="rId15" w:history="1">
        <w:r w:rsidRPr="00424A6D">
          <w:rPr>
            <w:rFonts w:ascii="Arial" w:eastAsiaTheme="minorHAnsi" w:hAnsi="Arial" w:cs="Arial"/>
            <w:color w:val="0563C1" w:themeColor="hyperlink"/>
            <w:sz w:val="24"/>
            <w:szCs w:val="24"/>
            <w:u w:val="single"/>
          </w:rPr>
          <w:t>http://en.alfilo.com/</w:t>
        </w:r>
      </w:hyperlink>
      <w:r w:rsidRPr="00424A6D">
        <w:rPr>
          <w:rFonts w:ascii="Arial" w:eastAsiaTheme="minorHAnsi" w:hAnsi="Arial" w:cs="Arial"/>
          <w:sz w:val="24"/>
          <w:szCs w:val="24"/>
        </w:rPr>
        <w:t xml:space="preserve"> (Accessed: 29th September 2022).</w:t>
      </w:r>
    </w:p>
    <w:p w14:paraId="2CCAD53A"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Alliance of Museums (2020) How museums can generate revenue through digital content and virtual experiences. Available at: </w:t>
      </w:r>
      <w:hyperlink r:id="rId16" w:history="1">
        <w:r w:rsidRPr="00424A6D">
          <w:rPr>
            <w:rFonts w:ascii="Arial" w:eastAsiaTheme="minorHAnsi" w:hAnsi="Arial" w:cs="Arial"/>
            <w:color w:val="0563C1" w:themeColor="hyperlink"/>
            <w:sz w:val="24"/>
            <w:szCs w:val="24"/>
            <w:u w:val="single"/>
          </w:rPr>
          <w:t>https://www.aam-us.org/2020/07/22/how-museums-can-generate-revenue-through-digital-content-and-virtual-experiences/</w:t>
        </w:r>
      </w:hyperlink>
      <w:r w:rsidRPr="00424A6D">
        <w:rPr>
          <w:rFonts w:ascii="Arial" w:eastAsiaTheme="minorHAnsi" w:hAnsi="Arial" w:cs="Arial"/>
          <w:sz w:val="24"/>
          <w:szCs w:val="24"/>
        </w:rPr>
        <w:t xml:space="preserve"> (Accessed: 30th September 2022).</w:t>
      </w:r>
    </w:p>
    <w:p w14:paraId="7C62D3EE"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Libraries (2019) ‘Tailor-Made Fundraising’, </w:t>
      </w:r>
      <w:r w:rsidRPr="00424A6D">
        <w:rPr>
          <w:rFonts w:ascii="Arial" w:eastAsiaTheme="minorHAnsi" w:hAnsi="Arial" w:cs="Arial"/>
          <w:i/>
          <w:iCs/>
          <w:sz w:val="24"/>
          <w:szCs w:val="24"/>
        </w:rPr>
        <w:t>American Library Association, 50(5)</w:t>
      </w:r>
      <w:r w:rsidRPr="00424A6D">
        <w:rPr>
          <w:rFonts w:ascii="Arial" w:eastAsiaTheme="minorHAnsi" w:hAnsi="Arial" w:cs="Arial"/>
          <w:sz w:val="24"/>
          <w:szCs w:val="24"/>
        </w:rPr>
        <w:t>, pp. 56–56.</w:t>
      </w:r>
    </w:p>
    <w:p w14:paraId="766944B3"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American Library Association (2022) </w:t>
      </w:r>
      <w:r w:rsidRPr="00424A6D">
        <w:rPr>
          <w:rFonts w:ascii="Arial" w:eastAsiaTheme="minorHAnsi" w:hAnsi="Arial" w:cs="Arial"/>
          <w:i/>
          <w:iCs/>
          <w:sz w:val="24"/>
          <w:szCs w:val="24"/>
        </w:rPr>
        <w:t xml:space="preserve">Friend your library. </w:t>
      </w:r>
      <w:r w:rsidRPr="00424A6D">
        <w:rPr>
          <w:rFonts w:ascii="Arial" w:eastAsiaTheme="minorHAnsi" w:hAnsi="Arial" w:cs="Arial"/>
          <w:sz w:val="24"/>
          <w:szCs w:val="24"/>
        </w:rPr>
        <w:t xml:space="preserve">Available at: </w:t>
      </w:r>
      <w:hyperlink r:id="rId17" w:history="1">
        <w:r w:rsidRPr="00424A6D">
          <w:rPr>
            <w:rFonts w:ascii="Arial" w:eastAsiaTheme="minorHAnsi" w:hAnsi="Arial" w:cs="Arial"/>
            <w:color w:val="0563C1" w:themeColor="hyperlink"/>
            <w:sz w:val="24"/>
            <w:szCs w:val="24"/>
            <w:u w:val="single"/>
          </w:rPr>
          <w:t>https://www.ala.org/united/altaff/friends/friend-your-library</w:t>
        </w:r>
      </w:hyperlink>
      <w:r w:rsidRPr="00424A6D">
        <w:rPr>
          <w:rFonts w:ascii="Arial" w:eastAsiaTheme="minorHAnsi" w:hAnsi="Arial" w:cs="Arial"/>
          <w:sz w:val="24"/>
          <w:szCs w:val="24"/>
        </w:rPr>
        <w:t xml:space="preserve"> (Accessed: 9th July 2022).</w:t>
      </w:r>
    </w:p>
    <w:p w14:paraId="3F7D6EF4" w14:textId="77777777" w:rsidR="00424A6D" w:rsidRPr="00424A6D" w:rsidRDefault="00424A6D" w:rsidP="00FA35E4">
      <w:pPr>
        <w:spacing w:after="160" w:line="240" w:lineRule="auto"/>
        <w:rPr>
          <w:rFonts w:ascii="Arial" w:eastAsiaTheme="minorHAnsi" w:hAnsi="Arial" w:cs="Arial"/>
          <w:color w:val="3A3A3A"/>
          <w:sz w:val="24"/>
          <w:szCs w:val="24"/>
          <w:shd w:val="clear" w:color="auto" w:fill="FFFFFF"/>
        </w:rPr>
      </w:pPr>
      <w:r w:rsidRPr="00424A6D">
        <w:rPr>
          <w:rFonts w:ascii="Arial" w:eastAsiaTheme="minorHAnsi" w:hAnsi="Arial" w:cs="Arial"/>
          <w:color w:val="3A3A3A"/>
          <w:sz w:val="24"/>
          <w:szCs w:val="24"/>
          <w:shd w:val="clear" w:color="auto" w:fill="FFFFFF"/>
        </w:rPr>
        <w:t xml:space="preserve">Amgueddfa Cymru (2022) </w:t>
      </w:r>
      <w:r w:rsidRPr="00424A6D">
        <w:rPr>
          <w:rFonts w:ascii="Arial" w:eastAsiaTheme="minorHAnsi" w:hAnsi="Arial" w:cs="Arial"/>
          <w:i/>
          <w:iCs/>
          <w:color w:val="3A3A3A"/>
          <w:sz w:val="24"/>
          <w:szCs w:val="24"/>
          <w:shd w:val="clear" w:color="auto" w:fill="FFFFFF"/>
        </w:rPr>
        <w:t xml:space="preserve">Corporate partnerships. </w:t>
      </w:r>
      <w:r w:rsidRPr="00424A6D">
        <w:rPr>
          <w:rFonts w:ascii="Arial" w:eastAsiaTheme="minorHAnsi" w:hAnsi="Arial" w:cs="Arial"/>
          <w:color w:val="3A3A3A"/>
          <w:sz w:val="24"/>
          <w:szCs w:val="24"/>
          <w:shd w:val="clear" w:color="auto" w:fill="FFFFFF"/>
        </w:rPr>
        <w:t xml:space="preserve">Available at: </w:t>
      </w:r>
      <w:hyperlink r:id="rId18" w:history="1">
        <w:r w:rsidRPr="00424A6D">
          <w:rPr>
            <w:rFonts w:ascii="Arial" w:eastAsiaTheme="minorHAnsi" w:hAnsi="Arial" w:cs="Arial"/>
            <w:color w:val="0563C1" w:themeColor="hyperlink"/>
            <w:sz w:val="24"/>
            <w:szCs w:val="24"/>
            <w:u w:val="single"/>
            <w:shd w:val="clear" w:color="auto" w:fill="FFFFFF"/>
          </w:rPr>
          <w:t>https://museum.wales/donate/corporate/</w:t>
        </w:r>
      </w:hyperlink>
      <w:r w:rsidRPr="00424A6D">
        <w:rPr>
          <w:rFonts w:ascii="Arial" w:eastAsiaTheme="minorHAnsi" w:hAnsi="Arial" w:cs="Arial"/>
          <w:color w:val="3A3A3A"/>
          <w:sz w:val="24"/>
          <w:szCs w:val="24"/>
          <w:shd w:val="clear" w:color="auto" w:fill="FFFFFF"/>
        </w:rPr>
        <w:t xml:space="preserve"> (Accessed: 20th September 2022).</w:t>
      </w:r>
    </w:p>
    <w:p w14:paraId="4A165E15"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 Fund (2022) </w:t>
      </w:r>
      <w:r w:rsidRPr="00424A6D">
        <w:rPr>
          <w:rFonts w:ascii="Arial" w:eastAsiaTheme="minorHAnsi" w:hAnsi="Arial" w:cs="Arial"/>
          <w:i/>
          <w:iCs/>
          <w:sz w:val="24"/>
          <w:szCs w:val="24"/>
        </w:rPr>
        <w:t>Art Happens</w:t>
      </w:r>
      <w:r w:rsidRPr="00424A6D">
        <w:rPr>
          <w:rFonts w:ascii="Arial" w:eastAsiaTheme="minorHAnsi" w:hAnsi="Arial" w:cs="Arial"/>
          <w:sz w:val="24"/>
          <w:szCs w:val="24"/>
        </w:rPr>
        <w:t xml:space="preserve">. Available at: </w:t>
      </w:r>
      <w:hyperlink r:id="rId19" w:history="1">
        <w:r w:rsidRPr="00424A6D">
          <w:rPr>
            <w:rFonts w:ascii="Arial" w:eastAsiaTheme="minorHAnsi" w:hAnsi="Arial" w:cs="Arial"/>
            <w:color w:val="0563C1" w:themeColor="hyperlink"/>
            <w:sz w:val="24"/>
            <w:szCs w:val="24"/>
            <w:u w:val="single"/>
          </w:rPr>
          <w:t>https://www.artfund.org/supporting-museums/programmes/art-happens</w:t>
        </w:r>
      </w:hyperlink>
      <w:r w:rsidRPr="00424A6D">
        <w:rPr>
          <w:rFonts w:ascii="Arial" w:eastAsiaTheme="minorHAnsi" w:hAnsi="Arial" w:cs="Arial"/>
          <w:sz w:val="24"/>
          <w:szCs w:val="24"/>
        </w:rPr>
        <w:t xml:space="preserve"> (Accessed: 29th September 2022).</w:t>
      </w:r>
    </w:p>
    <w:p w14:paraId="5724247E"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 Fund (2022) </w:t>
      </w:r>
      <w:r w:rsidRPr="00424A6D">
        <w:rPr>
          <w:rFonts w:ascii="Arial" w:eastAsiaTheme="minorHAnsi" w:hAnsi="Arial" w:cs="Arial"/>
          <w:i/>
          <w:iCs/>
          <w:sz w:val="24"/>
          <w:szCs w:val="24"/>
        </w:rPr>
        <w:t xml:space="preserve">Recently funded through Art Happens. </w:t>
      </w:r>
      <w:r w:rsidRPr="00424A6D">
        <w:rPr>
          <w:rFonts w:ascii="Arial" w:eastAsiaTheme="minorHAnsi" w:hAnsi="Arial" w:cs="Arial"/>
          <w:sz w:val="24"/>
          <w:szCs w:val="24"/>
        </w:rPr>
        <w:t xml:space="preserve">Available at: </w:t>
      </w:r>
      <w:hyperlink r:id="rId20" w:anchor="past" w:history="1">
        <w:r w:rsidRPr="00424A6D">
          <w:rPr>
            <w:rFonts w:ascii="Arial" w:eastAsiaTheme="minorHAnsi" w:hAnsi="Arial" w:cs="Arial"/>
            <w:color w:val="0563C1" w:themeColor="hyperlink"/>
            <w:sz w:val="24"/>
            <w:szCs w:val="24"/>
            <w:u w:val="single"/>
          </w:rPr>
          <w:t>https://www.artfund.org/donate/art-happens#past</w:t>
        </w:r>
      </w:hyperlink>
      <w:r w:rsidRPr="00424A6D">
        <w:rPr>
          <w:rFonts w:ascii="Arial" w:eastAsiaTheme="minorHAnsi" w:hAnsi="Arial" w:cs="Arial"/>
          <w:sz w:val="24"/>
          <w:szCs w:val="24"/>
        </w:rPr>
        <w:t xml:space="preserve"> (Accessed: 29th September 2022).</w:t>
      </w:r>
    </w:p>
    <w:p w14:paraId="2098DFF3" w14:textId="1F25749F" w:rsid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Artistory (2022) </w:t>
      </w:r>
      <w:r w:rsidRPr="00424A6D">
        <w:rPr>
          <w:rFonts w:ascii="Arial" w:eastAsiaTheme="minorHAnsi" w:hAnsi="Arial" w:cs="Arial"/>
          <w:i/>
          <w:iCs/>
          <w:sz w:val="24"/>
          <w:szCs w:val="24"/>
        </w:rPr>
        <w:t xml:space="preserve">View our clients and past journeys. </w:t>
      </w:r>
      <w:r w:rsidRPr="00424A6D">
        <w:rPr>
          <w:rFonts w:ascii="Arial" w:eastAsiaTheme="minorHAnsi" w:hAnsi="Arial" w:cs="Arial"/>
          <w:sz w:val="24"/>
          <w:szCs w:val="24"/>
        </w:rPr>
        <w:t xml:space="preserve">Available at: </w:t>
      </w:r>
      <w:hyperlink r:id="rId21" w:history="1">
        <w:r w:rsidRPr="00424A6D">
          <w:rPr>
            <w:rFonts w:ascii="Arial" w:eastAsiaTheme="minorHAnsi" w:hAnsi="Arial" w:cs="Arial"/>
            <w:color w:val="0563C1" w:themeColor="hyperlink"/>
            <w:sz w:val="24"/>
            <w:szCs w:val="24"/>
            <w:u w:val="single"/>
          </w:rPr>
          <w:t>https://www.artistorybrands.net/cases</w:t>
        </w:r>
      </w:hyperlink>
      <w:r w:rsidRPr="00424A6D">
        <w:rPr>
          <w:rFonts w:ascii="Arial" w:eastAsiaTheme="minorHAnsi" w:hAnsi="Arial" w:cs="Arial"/>
          <w:sz w:val="24"/>
          <w:szCs w:val="24"/>
        </w:rPr>
        <w:t xml:space="preserve"> (Accessed: 29th September 2022). </w:t>
      </w:r>
    </w:p>
    <w:p w14:paraId="7AF7B919" w14:textId="5DA70EDF" w:rsidR="00DC571B" w:rsidRPr="00CA5927" w:rsidRDefault="00DC571B" w:rsidP="00FA35E4">
      <w:pPr>
        <w:spacing w:after="160" w:line="240" w:lineRule="auto"/>
        <w:rPr>
          <w:rFonts w:ascii="Arial" w:eastAsiaTheme="minorHAnsi" w:hAnsi="Arial" w:cs="Arial"/>
          <w:sz w:val="24"/>
          <w:szCs w:val="24"/>
        </w:rPr>
      </w:pPr>
      <w:r>
        <w:rPr>
          <w:rFonts w:ascii="Arial" w:eastAsiaTheme="minorHAnsi" w:hAnsi="Arial" w:cs="Arial"/>
          <w:sz w:val="24"/>
          <w:szCs w:val="24"/>
        </w:rPr>
        <w:t xml:space="preserve">Arts and Business Scotland (2018) </w:t>
      </w:r>
      <w:r w:rsidR="00CA5927">
        <w:rPr>
          <w:rFonts w:ascii="Arial" w:eastAsiaTheme="minorHAnsi" w:hAnsi="Arial" w:cs="Arial"/>
          <w:i/>
          <w:iCs/>
          <w:sz w:val="24"/>
          <w:szCs w:val="24"/>
        </w:rPr>
        <w:t xml:space="preserve">The state of heritage funding now. </w:t>
      </w:r>
      <w:r w:rsidR="00CA5927">
        <w:rPr>
          <w:rFonts w:ascii="Arial" w:eastAsiaTheme="minorHAnsi" w:hAnsi="Arial" w:cs="Arial"/>
          <w:sz w:val="24"/>
          <w:szCs w:val="24"/>
        </w:rPr>
        <w:t xml:space="preserve">Available at: </w:t>
      </w:r>
      <w:hyperlink r:id="rId22" w:history="1">
        <w:r w:rsidR="00CA5927" w:rsidRPr="00804365">
          <w:rPr>
            <w:rStyle w:val="Hyperlink"/>
            <w:rFonts w:ascii="Arial" w:eastAsiaTheme="minorHAnsi" w:hAnsi="Arial" w:cs="Arial"/>
            <w:sz w:val="24"/>
            <w:szCs w:val="24"/>
          </w:rPr>
          <w:t>https://www.aandbscotland.org.uk/the-state-of-heritage-funding-now/</w:t>
        </w:r>
      </w:hyperlink>
      <w:r w:rsidR="00CA5927">
        <w:rPr>
          <w:rFonts w:ascii="Arial" w:eastAsiaTheme="minorHAnsi" w:hAnsi="Arial" w:cs="Arial"/>
          <w:sz w:val="24"/>
          <w:szCs w:val="24"/>
        </w:rPr>
        <w:t xml:space="preserve"> (Accessed: </w:t>
      </w:r>
      <w:r w:rsidR="00FD5BAF">
        <w:rPr>
          <w:rFonts w:ascii="Arial" w:eastAsiaTheme="minorHAnsi" w:hAnsi="Arial" w:cs="Arial"/>
          <w:sz w:val="24"/>
          <w:szCs w:val="24"/>
        </w:rPr>
        <w:t>2nd October 2022).</w:t>
      </w:r>
    </w:p>
    <w:p w14:paraId="23D42F84"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Arts Council England (2020) </w:t>
      </w:r>
      <w:r w:rsidRPr="00424A6D">
        <w:rPr>
          <w:rFonts w:ascii="Arial" w:eastAsiaTheme="minorHAnsi" w:hAnsi="Arial" w:cs="Arial"/>
          <w:i/>
          <w:iCs/>
          <w:sz w:val="24"/>
          <w:szCs w:val="24"/>
        </w:rPr>
        <w:t xml:space="preserve">Data Report: Arts Council funded cultural infrastructure. </w:t>
      </w:r>
      <w:r w:rsidRPr="00424A6D">
        <w:rPr>
          <w:rFonts w:ascii="Arial" w:eastAsiaTheme="minorHAnsi" w:hAnsi="Arial" w:cs="Arial"/>
          <w:sz w:val="24"/>
          <w:szCs w:val="24"/>
        </w:rPr>
        <w:t xml:space="preserve">Available at: </w:t>
      </w:r>
      <w:hyperlink r:id="rId23" w:history="1">
        <w:r w:rsidRPr="00424A6D">
          <w:rPr>
            <w:rFonts w:ascii="Arial" w:eastAsiaTheme="minorHAnsi" w:hAnsi="Arial" w:cs="Arial"/>
            <w:color w:val="0563C1" w:themeColor="hyperlink"/>
            <w:sz w:val="24"/>
            <w:szCs w:val="24"/>
            <w:u w:val="single"/>
          </w:rPr>
          <w:t>https://www.artscouncil.org.uk/publication/arts-council-funded-cultural-infrastructure</w:t>
        </w:r>
      </w:hyperlink>
      <w:r w:rsidRPr="00424A6D">
        <w:rPr>
          <w:rFonts w:ascii="Arial" w:eastAsiaTheme="minorHAnsi" w:hAnsi="Arial" w:cs="Arial"/>
          <w:sz w:val="24"/>
          <w:szCs w:val="24"/>
        </w:rPr>
        <w:t xml:space="preserve"> (Accessed: 16th July 2022).</w:t>
      </w:r>
    </w:p>
    <w:p w14:paraId="1E2FA44F"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Ashman, A. B. (2002) A Comparative Examination of Public Library Fundraising, </w:t>
      </w:r>
      <w:r w:rsidRPr="00424A6D">
        <w:rPr>
          <w:rFonts w:ascii="Arial" w:eastAsiaTheme="minorHAnsi" w:hAnsi="Arial" w:cs="Arial"/>
          <w:i/>
          <w:iCs/>
          <w:sz w:val="24"/>
          <w:szCs w:val="24"/>
        </w:rPr>
        <w:t>Public Library Quarterly, 21:2</w:t>
      </w:r>
      <w:r w:rsidRPr="00424A6D">
        <w:rPr>
          <w:rFonts w:ascii="Arial" w:eastAsiaTheme="minorHAnsi" w:hAnsi="Arial" w:cs="Arial"/>
          <w:sz w:val="24"/>
          <w:szCs w:val="24"/>
        </w:rPr>
        <w:t xml:space="preserve">, 47-57, DOI: 10.1300/J118v21n02_07. </w:t>
      </w:r>
    </w:p>
    <w:p w14:paraId="24BF3DDF" w14:textId="77777777" w:rsidR="00424A6D" w:rsidRPr="00424A6D" w:rsidRDefault="00424A6D" w:rsidP="00FA35E4">
      <w:pPr>
        <w:spacing w:after="160" w:line="240" w:lineRule="auto"/>
        <w:rPr>
          <w:rFonts w:ascii="Arial" w:eastAsiaTheme="minorHAnsi" w:hAnsi="Arial" w:cs="Arial"/>
          <w:sz w:val="24"/>
          <w:szCs w:val="24"/>
        </w:rPr>
      </w:pPr>
      <w:r w:rsidRPr="00424A6D">
        <w:rPr>
          <w:rFonts w:ascii="Arial" w:eastAsiaTheme="minorHAnsi" w:hAnsi="Arial" w:cs="Arial"/>
          <w:sz w:val="24"/>
          <w:szCs w:val="24"/>
        </w:rPr>
        <w:t xml:space="preserve">Australian National Maritime Museum (2022). </w:t>
      </w:r>
      <w:r w:rsidRPr="00424A6D">
        <w:rPr>
          <w:rFonts w:ascii="Arial" w:eastAsiaTheme="minorHAnsi" w:hAnsi="Arial" w:cs="Arial"/>
          <w:i/>
          <w:iCs/>
          <w:sz w:val="24"/>
          <w:szCs w:val="24"/>
        </w:rPr>
        <w:t xml:space="preserve">Swashbuckling birthday parties. </w:t>
      </w:r>
      <w:r w:rsidRPr="00424A6D">
        <w:rPr>
          <w:rFonts w:ascii="Arial" w:eastAsiaTheme="minorHAnsi" w:hAnsi="Arial" w:cs="Arial"/>
          <w:sz w:val="24"/>
          <w:szCs w:val="24"/>
        </w:rPr>
        <w:t xml:space="preserve">Available at: </w:t>
      </w:r>
      <w:hyperlink r:id="rId24" w:history="1">
        <w:r w:rsidRPr="00424A6D">
          <w:rPr>
            <w:rFonts w:ascii="Arial" w:eastAsiaTheme="minorHAnsi" w:hAnsi="Arial" w:cs="Arial"/>
            <w:color w:val="0563C1" w:themeColor="hyperlink"/>
            <w:sz w:val="24"/>
            <w:szCs w:val="24"/>
            <w:u w:val="single"/>
          </w:rPr>
          <w:t>https://www.sea.museum/whats-on/events/swashbuckling-birthday-parties</w:t>
        </w:r>
      </w:hyperlink>
      <w:r w:rsidRPr="00424A6D">
        <w:rPr>
          <w:rFonts w:ascii="Arial" w:eastAsiaTheme="minorHAnsi" w:hAnsi="Arial" w:cs="Arial"/>
          <w:sz w:val="24"/>
          <w:szCs w:val="24"/>
        </w:rPr>
        <w:t xml:space="preserve"> (Accessed: 16th July 2022). </w:t>
      </w:r>
    </w:p>
    <w:p w14:paraId="6A766F87" w14:textId="77777777" w:rsidR="005E2922" w:rsidRPr="005E2922" w:rsidRDefault="005E2922" w:rsidP="00FA35E4">
      <w:pPr>
        <w:spacing w:after="160" w:line="240" w:lineRule="auto"/>
        <w:rPr>
          <w:rFonts w:ascii="Arial" w:eastAsiaTheme="minorHAnsi" w:hAnsi="Arial" w:cs="Arial"/>
          <w:sz w:val="24"/>
          <w:szCs w:val="24"/>
        </w:rPr>
      </w:pPr>
      <w:r w:rsidRPr="005E2922">
        <w:rPr>
          <w:rFonts w:ascii="Arial" w:eastAsiaTheme="minorHAnsi" w:hAnsi="Arial" w:cs="Arial"/>
          <w:sz w:val="24"/>
          <w:szCs w:val="24"/>
        </w:rPr>
        <w:t xml:space="preserve">Barnsley Museums &amp; Heritage Trust (2022) </w:t>
      </w:r>
      <w:r w:rsidRPr="005E2922">
        <w:rPr>
          <w:rFonts w:ascii="Arial" w:eastAsiaTheme="minorHAnsi" w:hAnsi="Arial" w:cs="Arial"/>
          <w:i/>
          <w:iCs/>
          <w:sz w:val="24"/>
          <w:szCs w:val="24"/>
        </w:rPr>
        <w:t>Make a donation</w:t>
      </w:r>
      <w:r w:rsidRPr="005E2922">
        <w:rPr>
          <w:rFonts w:ascii="Arial" w:eastAsiaTheme="minorHAnsi" w:hAnsi="Arial" w:cs="Arial"/>
          <w:sz w:val="24"/>
          <w:szCs w:val="24"/>
        </w:rPr>
        <w:t xml:space="preserve">. Available at: </w:t>
      </w:r>
      <w:hyperlink r:id="rId25" w:history="1">
        <w:r w:rsidRPr="005E2922">
          <w:rPr>
            <w:rFonts w:ascii="Arial" w:eastAsiaTheme="minorHAnsi" w:hAnsi="Arial" w:cs="Arial"/>
            <w:color w:val="0563C1" w:themeColor="hyperlink"/>
            <w:sz w:val="24"/>
            <w:szCs w:val="24"/>
            <w:u w:val="single"/>
          </w:rPr>
          <w:t>https://www.bmht.org/make-a-donation/</w:t>
        </w:r>
      </w:hyperlink>
      <w:r w:rsidRPr="005E2922">
        <w:rPr>
          <w:rFonts w:ascii="Arial" w:eastAsiaTheme="minorHAnsi" w:hAnsi="Arial" w:cs="Arial"/>
          <w:sz w:val="24"/>
          <w:szCs w:val="24"/>
        </w:rPr>
        <w:t xml:space="preserve"> (Accessed: 30th September 2022).</w:t>
      </w:r>
    </w:p>
    <w:p w14:paraId="4683C770" w14:textId="4E7F8965" w:rsidR="002B6842" w:rsidRPr="00630DCA" w:rsidRDefault="005E2922" w:rsidP="00FA35E4">
      <w:pPr>
        <w:spacing w:after="160" w:line="240" w:lineRule="auto"/>
        <w:rPr>
          <w:rFonts w:ascii="Arial" w:eastAsiaTheme="minorHAnsi" w:hAnsi="Arial" w:cs="Arial"/>
          <w:sz w:val="24"/>
          <w:szCs w:val="24"/>
        </w:rPr>
      </w:pPr>
      <w:r w:rsidRPr="005E2922">
        <w:rPr>
          <w:rFonts w:ascii="Arial" w:eastAsiaTheme="minorHAnsi" w:hAnsi="Arial" w:cs="Arial"/>
          <w:sz w:val="24"/>
          <w:szCs w:val="24"/>
        </w:rPr>
        <w:t xml:space="preserve">Beloit Public Library (2022) </w:t>
      </w:r>
      <w:r w:rsidRPr="005E2922">
        <w:rPr>
          <w:rFonts w:ascii="Arial" w:eastAsiaTheme="minorHAnsi" w:hAnsi="Arial" w:cs="Arial"/>
          <w:i/>
          <w:iCs/>
          <w:sz w:val="24"/>
          <w:szCs w:val="24"/>
        </w:rPr>
        <w:t xml:space="preserve">Blender Café. </w:t>
      </w:r>
      <w:r w:rsidRPr="005E2922">
        <w:rPr>
          <w:rFonts w:ascii="Arial" w:eastAsiaTheme="minorHAnsi" w:hAnsi="Arial" w:cs="Arial"/>
          <w:sz w:val="24"/>
          <w:szCs w:val="24"/>
        </w:rPr>
        <w:t xml:space="preserve">Available at: </w:t>
      </w:r>
      <w:hyperlink r:id="rId26" w:history="1">
        <w:r w:rsidRPr="005E2922">
          <w:rPr>
            <w:rFonts w:ascii="Arial" w:eastAsiaTheme="minorHAnsi" w:hAnsi="Arial" w:cs="Arial"/>
            <w:color w:val="0563C1" w:themeColor="hyperlink"/>
            <w:sz w:val="24"/>
            <w:szCs w:val="24"/>
            <w:u w:val="single"/>
          </w:rPr>
          <w:t>https://beloitlibrary.org/about-us/blender-cafe/</w:t>
        </w:r>
      </w:hyperlink>
      <w:r w:rsidRPr="005E2922">
        <w:rPr>
          <w:rFonts w:ascii="Arial" w:eastAsiaTheme="minorHAnsi" w:hAnsi="Arial" w:cs="Arial"/>
          <w:sz w:val="24"/>
          <w:szCs w:val="24"/>
        </w:rPr>
        <w:t xml:space="preserve"> (Accessed: 16th July 2022). </w:t>
      </w:r>
    </w:p>
    <w:p w14:paraId="0DC6C2BC" w14:textId="58E342EA" w:rsidR="00E74BD5" w:rsidRPr="00630DCA" w:rsidRDefault="00E74BD5" w:rsidP="00E74BD5">
      <w:pPr>
        <w:spacing w:after="160" w:line="259" w:lineRule="auto"/>
        <w:rPr>
          <w:rFonts w:ascii="Arial" w:eastAsiaTheme="minorHAnsi" w:hAnsi="Arial" w:cs="Arial"/>
          <w:sz w:val="24"/>
          <w:szCs w:val="24"/>
        </w:rPr>
      </w:pPr>
      <w:r w:rsidRPr="00E74BD5">
        <w:rPr>
          <w:rFonts w:ascii="Arial" w:eastAsiaTheme="minorHAnsi" w:hAnsi="Arial" w:cs="Arial"/>
          <w:sz w:val="24"/>
          <w:szCs w:val="24"/>
        </w:rPr>
        <w:lastRenderedPageBreak/>
        <w:t xml:space="preserve">Berryman, D.R. (2019) ‘Ontology, Epistemology, Methodology, and Methods: Information for Librarian Researchers’, </w:t>
      </w:r>
      <w:r w:rsidRPr="00E74BD5">
        <w:rPr>
          <w:rFonts w:ascii="Arial" w:eastAsiaTheme="minorHAnsi" w:hAnsi="Arial" w:cs="Arial"/>
          <w:i/>
          <w:iCs/>
          <w:sz w:val="24"/>
          <w:szCs w:val="24"/>
        </w:rPr>
        <w:t>Medical reference services quarterly</w:t>
      </w:r>
      <w:r w:rsidRPr="00E74BD5">
        <w:rPr>
          <w:rFonts w:ascii="Arial" w:eastAsiaTheme="minorHAnsi" w:hAnsi="Arial" w:cs="Arial"/>
          <w:sz w:val="24"/>
          <w:szCs w:val="24"/>
        </w:rPr>
        <w:t>, 38(3), pp. 271–279. doi:10.1080/02763869.2019.1623614.</w:t>
      </w:r>
    </w:p>
    <w:p w14:paraId="0A96BF23" w14:textId="47390FFF"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Bhati, A. &amp; McDonnell, D. (2020) Success in an Online Giving Day: The Role of Social Media in Fundraising, </w:t>
      </w:r>
      <w:r w:rsidRPr="002B6842">
        <w:rPr>
          <w:rFonts w:ascii="Arial" w:eastAsiaTheme="minorHAnsi" w:hAnsi="Arial" w:cs="Arial"/>
          <w:i/>
          <w:iCs/>
          <w:sz w:val="24"/>
          <w:szCs w:val="24"/>
        </w:rPr>
        <w:t>Nonprofit and Voluntary Sector Quarterly, 49(1), pp. 74–92</w:t>
      </w:r>
      <w:r w:rsidRPr="002B6842">
        <w:rPr>
          <w:rFonts w:ascii="Arial" w:eastAsiaTheme="minorHAnsi" w:hAnsi="Arial" w:cs="Arial"/>
          <w:sz w:val="24"/>
          <w:szCs w:val="24"/>
        </w:rPr>
        <w:t xml:space="preserve">. </w:t>
      </w:r>
    </w:p>
    <w:p w14:paraId="732775E9" w14:textId="6C397533" w:rsidR="003D316B" w:rsidRPr="002B6842" w:rsidRDefault="003D316B" w:rsidP="00FA35E4">
      <w:pPr>
        <w:spacing w:after="160" w:line="240" w:lineRule="auto"/>
        <w:rPr>
          <w:rFonts w:ascii="Arial" w:eastAsiaTheme="minorHAnsi" w:hAnsi="Arial" w:cs="Arial"/>
          <w:color w:val="3A3A3A"/>
          <w:sz w:val="24"/>
          <w:szCs w:val="24"/>
          <w:shd w:val="clear" w:color="auto" w:fill="FFFFFF"/>
        </w:rPr>
      </w:pPr>
      <w:r w:rsidRPr="003D316B">
        <w:rPr>
          <w:rFonts w:ascii="Arial" w:eastAsiaTheme="minorHAnsi" w:hAnsi="Arial" w:cs="Arial"/>
          <w:color w:val="3A3A3A"/>
          <w:sz w:val="24"/>
          <w:szCs w:val="24"/>
          <w:shd w:val="clear" w:color="auto" w:fill="FFFFFF"/>
        </w:rPr>
        <w:t>Biraglia, A. and Gerrath, M.H.E.E. (2021) ‘Corporate sponsorship for museums in times of crisis’, </w:t>
      </w:r>
      <w:r w:rsidRPr="003D316B">
        <w:rPr>
          <w:rFonts w:ascii="Arial" w:eastAsiaTheme="minorHAnsi" w:hAnsi="Arial" w:cs="Arial"/>
          <w:i/>
          <w:iCs/>
          <w:color w:val="3A3A3A"/>
          <w:sz w:val="24"/>
          <w:szCs w:val="24"/>
          <w:shd w:val="clear" w:color="auto" w:fill="FFFFFF"/>
        </w:rPr>
        <w:t>Annals of tourism research</w:t>
      </w:r>
      <w:r w:rsidRPr="003D316B">
        <w:rPr>
          <w:rFonts w:ascii="Arial" w:eastAsiaTheme="minorHAnsi" w:hAnsi="Arial" w:cs="Arial"/>
          <w:color w:val="3A3A3A"/>
          <w:sz w:val="24"/>
          <w:szCs w:val="24"/>
          <w:shd w:val="clear" w:color="auto" w:fill="FFFFFF"/>
        </w:rPr>
        <w:t xml:space="preserve">, 88, pp. 103056–103056. Available at: </w:t>
      </w:r>
      <w:hyperlink r:id="rId27" w:history="1">
        <w:r w:rsidRPr="003D316B">
          <w:rPr>
            <w:rFonts w:ascii="Arial" w:eastAsiaTheme="minorHAnsi" w:hAnsi="Arial" w:cs="Arial"/>
            <w:color w:val="0563C1" w:themeColor="hyperlink"/>
            <w:sz w:val="24"/>
            <w:szCs w:val="24"/>
            <w:u w:val="single"/>
            <w:shd w:val="clear" w:color="auto" w:fill="FFFFFF"/>
          </w:rPr>
          <w:t>https://doi.org/10.1016/j.annals.2020.103056</w:t>
        </w:r>
      </w:hyperlink>
      <w:r w:rsidRPr="003D316B">
        <w:rPr>
          <w:rFonts w:ascii="Arial" w:eastAsiaTheme="minorHAnsi" w:hAnsi="Arial" w:cs="Arial"/>
          <w:color w:val="3A3A3A"/>
          <w:sz w:val="24"/>
          <w:szCs w:val="24"/>
          <w:shd w:val="clear" w:color="auto" w:fill="FFFFFF"/>
        </w:rPr>
        <w:t>.</w:t>
      </w:r>
    </w:p>
    <w:p w14:paraId="542F5FD4" w14:textId="218AFDF3"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Blackbaud (2021) </w:t>
      </w:r>
      <w:r w:rsidRPr="002B6842">
        <w:rPr>
          <w:rFonts w:ascii="Arial" w:eastAsiaTheme="minorHAnsi" w:hAnsi="Arial" w:cs="Arial"/>
          <w:i/>
          <w:iCs/>
          <w:sz w:val="24"/>
          <w:szCs w:val="24"/>
        </w:rPr>
        <w:t xml:space="preserve">The Status of UK Fundraising: 2021 Benchmark Report. </w:t>
      </w:r>
      <w:r w:rsidRPr="002B6842">
        <w:rPr>
          <w:rFonts w:ascii="Arial" w:eastAsiaTheme="minorHAnsi" w:hAnsi="Arial" w:cs="Arial"/>
          <w:sz w:val="24"/>
          <w:szCs w:val="24"/>
        </w:rPr>
        <w:t xml:space="preserve">Available at: </w:t>
      </w:r>
      <w:hyperlink r:id="rId28" w:history="1">
        <w:r w:rsidRPr="002B6842">
          <w:rPr>
            <w:rFonts w:ascii="Arial" w:eastAsiaTheme="minorHAnsi" w:hAnsi="Arial" w:cs="Arial"/>
            <w:color w:val="0563C1" w:themeColor="hyperlink"/>
            <w:sz w:val="24"/>
            <w:szCs w:val="24"/>
            <w:u w:val="single"/>
          </w:rPr>
          <w:t>https://www.blackbaud.co.uk/industry-insights/resources/ebook-the-status-of-uk-fundraising-2021-benchmark-report</w:t>
        </w:r>
      </w:hyperlink>
      <w:r w:rsidRPr="002B6842">
        <w:rPr>
          <w:rFonts w:ascii="Arial" w:eastAsiaTheme="minorHAnsi" w:hAnsi="Arial" w:cs="Arial"/>
          <w:sz w:val="24"/>
          <w:szCs w:val="24"/>
        </w:rPr>
        <w:t xml:space="preserve"> (Accessed 10 March 2022). </w:t>
      </w:r>
    </w:p>
    <w:p w14:paraId="5954A5A7" w14:textId="77777777" w:rsidR="00C972C3" w:rsidRPr="00C972C3" w:rsidRDefault="00C972C3" w:rsidP="00C972C3">
      <w:pPr>
        <w:spacing w:after="160" w:line="259" w:lineRule="auto"/>
        <w:rPr>
          <w:rFonts w:ascii="Arial" w:eastAsiaTheme="minorHAnsi" w:hAnsi="Arial" w:cs="Arial"/>
          <w:sz w:val="24"/>
          <w:szCs w:val="24"/>
        </w:rPr>
      </w:pPr>
      <w:r w:rsidRPr="00C972C3">
        <w:rPr>
          <w:rFonts w:ascii="Arial" w:eastAsiaTheme="minorHAnsi" w:hAnsi="Arial" w:cs="Arial"/>
          <w:sz w:val="24"/>
          <w:szCs w:val="24"/>
        </w:rPr>
        <w:t xml:space="preserve">Braun, V. and Clarke, V. (2006) ‘Using thematic analysis in psychology’, </w:t>
      </w:r>
      <w:r w:rsidRPr="00C972C3">
        <w:rPr>
          <w:rFonts w:ascii="Arial" w:eastAsiaTheme="minorHAnsi" w:hAnsi="Arial" w:cs="Arial"/>
          <w:i/>
          <w:iCs/>
          <w:sz w:val="24"/>
          <w:szCs w:val="24"/>
        </w:rPr>
        <w:t>Qualitative research in psychology</w:t>
      </w:r>
      <w:r w:rsidRPr="00C972C3">
        <w:rPr>
          <w:rFonts w:ascii="Arial" w:eastAsiaTheme="minorHAnsi" w:hAnsi="Arial" w:cs="Arial"/>
          <w:sz w:val="24"/>
          <w:szCs w:val="24"/>
        </w:rPr>
        <w:t>, 3(2), pp. 77–101. doi:10.1191/1478088706qp063oa.</w:t>
      </w:r>
    </w:p>
    <w:p w14:paraId="6C3D1F2D" w14:textId="49AE73C5" w:rsidR="00E74BD5" w:rsidRPr="00630DCA" w:rsidRDefault="00C972C3" w:rsidP="00C972C3">
      <w:pPr>
        <w:spacing w:after="160" w:line="259" w:lineRule="auto"/>
        <w:rPr>
          <w:rFonts w:ascii="Arial" w:eastAsiaTheme="minorHAnsi" w:hAnsi="Arial" w:cs="Arial"/>
          <w:sz w:val="24"/>
          <w:szCs w:val="24"/>
        </w:rPr>
      </w:pPr>
      <w:r w:rsidRPr="00C972C3">
        <w:rPr>
          <w:rFonts w:ascii="Arial" w:eastAsiaTheme="minorHAnsi" w:hAnsi="Arial" w:cs="Arial"/>
          <w:sz w:val="24"/>
          <w:szCs w:val="24"/>
        </w:rPr>
        <w:t xml:space="preserve">Brinkmann, S. (2017) </w:t>
      </w:r>
      <w:r w:rsidRPr="00C972C3">
        <w:rPr>
          <w:rFonts w:ascii="Arial" w:eastAsiaTheme="minorHAnsi" w:hAnsi="Arial" w:cs="Arial"/>
          <w:i/>
          <w:iCs/>
          <w:sz w:val="24"/>
          <w:szCs w:val="24"/>
        </w:rPr>
        <w:t>Philosophies of qualitative research</w:t>
      </w:r>
      <w:r w:rsidRPr="00C972C3">
        <w:rPr>
          <w:rFonts w:ascii="Arial" w:eastAsiaTheme="minorHAnsi" w:hAnsi="Arial" w:cs="Arial"/>
          <w:sz w:val="24"/>
          <w:szCs w:val="24"/>
        </w:rPr>
        <w:t>. New York, NY: Oxford University Press.</w:t>
      </w:r>
    </w:p>
    <w:p w14:paraId="2EB2644B" w14:textId="77777777" w:rsidR="008C0DAB" w:rsidRPr="008C0DAB" w:rsidRDefault="008C0DAB" w:rsidP="00FA35E4">
      <w:pPr>
        <w:spacing w:after="160" w:line="240" w:lineRule="auto"/>
        <w:rPr>
          <w:rFonts w:ascii="Arial" w:eastAsiaTheme="minorHAnsi" w:hAnsi="Arial" w:cs="Arial"/>
          <w:sz w:val="24"/>
          <w:szCs w:val="24"/>
        </w:rPr>
      </w:pPr>
      <w:r w:rsidRPr="008C0DAB">
        <w:rPr>
          <w:rFonts w:ascii="Arial" w:eastAsiaTheme="minorHAnsi" w:hAnsi="Arial" w:cs="Arial"/>
          <w:sz w:val="24"/>
          <w:szCs w:val="24"/>
        </w:rPr>
        <w:t xml:space="preserve">British Association of Friends of Museums (2022) </w:t>
      </w:r>
      <w:r w:rsidRPr="008C0DAB">
        <w:rPr>
          <w:rFonts w:ascii="Arial" w:eastAsiaTheme="minorHAnsi" w:hAnsi="Arial" w:cs="Arial"/>
          <w:i/>
          <w:iCs/>
          <w:sz w:val="24"/>
          <w:szCs w:val="24"/>
        </w:rPr>
        <w:t xml:space="preserve">BAFM members links. </w:t>
      </w:r>
      <w:r w:rsidRPr="008C0DAB">
        <w:rPr>
          <w:rFonts w:ascii="Arial" w:eastAsiaTheme="minorHAnsi" w:hAnsi="Arial" w:cs="Arial"/>
          <w:sz w:val="24"/>
          <w:szCs w:val="24"/>
        </w:rPr>
        <w:t xml:space="preserve">Available at: </w:t>
      </w:r>
      <w:hyperlink r:id="rId29" w:history="1">
        <w:r w:rsidRPr="008C0DAB">
          <w:rPr>
            <w:rFonts w:ascii="Arial" w:eastAsiaTheme="minorHAnsi" w:hAnsi="Arial" w:cs="Arial"/>
            <w:color w:val="0563C1" w:themeColor="hyperlink"/>
            <w:sz w:val="24"/>
            <w:szCs w:val="24"/>
            <w:u w:val="single"/>
          </w:rPr>
          <w:t>https://www.bafm.co.uk/members-links/</w:t>
        </w:r>
      </w:hyperlink>
      <w:r w:rsidRPr="008C0DAB">
        <w:rPr>
          <w:rFonts w:ascii="Arial" w:eastAsiaTheme="minorHAnsi" w:hAnsi="Arial" w:cs="Arial"/>
          <w:sz w:val="24"/>
          <w:szCs w:val="24"/>
        </w:rPr>
        <w:t xml:space="preserve"> (Accessed: 9th July 2022).</w:t>
      </w:r>
    </w:p>
    <w:p w14:paraId="0CBE5E5A" w14:textId="77777777" w:rsidR="008C0DAB" w:rsidRPr="008C0DAB" w:rsidRDefault="008C0DAB" w:rsidP="00FA35E4">
      <w:pPr>
        <w:spacing w:after="160" w:line="240" w:lineRule="auto"/>
        <w:rPr>
          <w:rFonts w:ascii="Arial" w:eastAsiaTheme="minorHAnsi" w:hAnsi="Arial" w:cs="Arial"/>
          <w:sz w:val="24"/>
          <w:szCs w:val="24"/>
        </w:rPr>
      </w:pPr>
      <w:r w:rsidRPr="008C0DAB">
        <w:rPr>
          <w:rFonts w:ascii="Arial" w:eastAsiaTheme="minorHAnsi" w:hAnsi="Arial" w:cs="Arial"/>
          <w:sz w:val="24"/>
          <w:szCs w:val="24"/>
        </w:rPr>
        <w:t xml:space="preserve">British Library (2022) </w:t>
      </w:r>
      <w:r w:rsidRPr="008C0DAB">
        <w:rPr>
          <w:rFonts w:ascii="Arial" w:eastAsiaTheme="minorHAnsi" w:hAnsi="Arial" w:cs="Arial"/>
          <w:i/>
          <w:iCs/>
          <w:sz w:val="24"/>
          <w:szCs w:val="24"/>
        </w:rPr>
        <w:t>Corporate sponsorship</w:t>
      </w:r>
      <w:r w:rsidRPr="008C0DAB">
        <w:rPr>
          <w:rFonts w:ascii="Arial" w:eastAsiaTheme="minorHAnsi" w:hAnsi="Arial" w:cs="Arial"/>
          <w:sz w:val="24"/>
          <w:szCs w:val="24"/>
        </w:rPr>
        <w:t>. Available at: https://www.britishmuseum.org/support-us/corporate-support/corporate-sponsorship (Accessed: 30th September 2022).</w:t>
      </w:r>
    </w:p>
    <w:p w14:paraId="7E3652A5" w14:textId="77777777" w:rsidR="008C0DAB" w:rsidRPr="008C0DAB"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Children’s Museum (2022) </w:t>
      </w:r>
      <w:r w:rsidRPr="008C0DAB">
        <w:rPr>
          <w:rFonts w:ascii="Arial" w:eastAsiaTheme="minorHAnsi" w:hAnsi="Arial" w:cs="Arial"/>
          <w:i/>
          <w:iCs/>
          <w:color w:val="3A3A3A"/>
          <w:sz w:val="24"/>
          <w:szCs w:val="24"/>
          <w:shd w:val="clear" w:color="auto" w:fill="FFFFFF"/>
        </w:rPr>
        <w:t>How your support makes an impact</w:t>
      </w:r>
      <w:r w:rsidRPr="008C0DAB">
        <w:rPr>
          <w:rFonts w:ascii="Arial" w:eastAsiaTheme="minorHAnsi" w:hAnsi="Arial" w:cs="Arial"/>
          <w:color w:val="3A3A3A"/>
          <w:sz w:val="24"/>
          <w:szCs w:val="24"/>
          <w:shd w:val="clear" w:color="auto" w:fill="FFFFFF"/>
        </w:rPr>
        <w:t xml:space="preserve">. Available at: </w:t>
      </w:r>
      <w:hyperlink r:id="rId30" w:history="1">
        <w:r w:rsidRPr="008C0DAB">
          <w:rPr>
            <w:rFonts w:ascii="Arial" w:eastAsiaTheme="minorHAnsi" w:hAnsi="Arial" w:cs="Arial"/>
            <w:color w:val="0563C1" w:themeColor="hyperlink"/>
            <w:sz w:val="24"/>
            <w:szCs w:val="24"/>
            <w:u w:val="single"/>
            <w:shd w:val="clear" w:color="auto" w:fill="FFFFFF"/>
          </w:rPr>
          <w:t>https://www.brooklynkids.org/give/</w:t>
        </w:r>
      </w:hyperlink>
      <w:r w:rsidRPr="008C0DAB">
        <w:rPr>
          <w:rFonts w:ascii="Arial" w:eastAsiaTheme="minorHAnsi" w:hAnsi="Arial" w:cs="Arial"/>
          <w:color w:val="3A3A3A"/>
          <w:sz w:val="24"/>
          <w:szCs w:val="24"/>
          <w:shd w:val="clear" w:color="auto" w:fill="FFFFFF"/>
        </w:rPr>
        <w:t xml:space="preserve"> (Accessed: 30th September 2022).</w:t>
      </w:r>
    </w:p>
    <w:p w14:paraId="050D8DBD" w14:textId="77777777" w:rsidR="008C0DAB" w:rsidRPr="008C0DAB"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Museum (2022) </w:t>
      </w:r>
      <w:r w:rsidRPr="008C0DAB">
        <w:rPr>
          <w:rFonts w:ascii="Arial" w:eastAsiaTheme="minorHAnsi" w:hAnsi="Arial" w:cs="Arial"/>
          <w:i/>
          <w:iCs/>
          <w:color w:val="3A3A3A"/>
          <w:sz w:val="24"/>
          <w:szCs w:val="24"/>
          <w:shd w:val="clear" w:color="auto" w:fill="FFFFFF"/>
        </w:rPr>
        <w:t xml:space="preserve">Corporate Sponsorship. </w:t>
      </w:r>
      <w:r w:rsidRPr="008C0DAB">
        <w:rPr>
          <w:rFonts w:ascii="Arial" w:eastAsiaTheme="minorHAnsi" w:hAnsi="Arial" w:cs="Arial"/>
          <w:color w:val="3A3A3A"/>
          <w:sz w:val="24"/>
          <w:szCs w:val="24"/>
          <w:shd w:val="clear" w:color="auto" w:fill="FFFFFF"/>
        </w:rPr>
        <w:t xml:space="preserve">Available at: </w:t>
      </w:r>
      <w:hyperlink r:id="rId31" w:history="1">
        <w:r w:rsidRPr="008C0DAB">
          <w:rPr>
            <w:rFonts w:ascii="Arial" w:eastAsiaTheme="minorHAnsi" w:hAnsi="Arial" w:cs="Arial"/>
            <w:color w:val="0563C1" w:themeColor="hyperlink"/>
            <w:sz w:val="24"/>
            <w:szCs w:val="24"/>
            <w:u w:val="single"/>
            <w:shd w:val="clear" w:color="auto" w:fill="FFFFFF"/>
          </w:rPr>
          <w:t>https://www.brooklynmuseum.org/support/corporate_support/corporate_sponsorship/</w:t>
        </w:r>
      </w:hyperlink>
      <w:r w:rsidRPr="008C0DAB">
        <w:rPr>
          <w:rFonts w:ascii="Arial" w:eastAsiaTheme="minorHAnsi" w:hAnsi="Arial" w:cs="Arial"/>
          <w:color w:val="3A3A3A"/>
          <w:sz w:val="24"/>
          <w:szCs w:val="24"/>
          <w:shd w:val="clear" w:color="auto" w:fill="FFFFFF"/>
        </w:rPr>
        <w:t xml:space="preserve"> (Accessed: 30th September 2022).</w:t>
      </w:r>
    </w:p>
    <w:p w14:paraId="740340A2" w14:textId="449C2214" w:rsidR="008C0DAB" w:rsidRPr="00630DCA" w:rsidRDefault="008C0DAB" w:rsidP="00FA35E4">
      <w:pPr>
        <w:spacing w:after="160" w:line="240" w:lineRule="auto"/>
        <w:rPr>
          <w:rFonts w:ascii="Arial" w:eastAsiaTheme="minorHAnsi" w:hAnsi="Arial" w:cs="Arial"/>
          <w:color w:val="3A3A3A"/>
          <w:sz w:val="24"/>
          <w:szCs w:val="24"/>
          <w:shd w:val="clear" w:color="auto" w:fill="FFFFFF"/>
        </w:rPr>
      </w:pPr>
      <w:r w:rsidRPr="008C0DAB">
        <w:rPr>
          <w:rFonts w:ascii="Arial" w:eastAsiaTheme="minorHAnsi" w:hAnsi="Arial" w:cs="Arial"/>
          <w:color w:val="3A3A3A"/>
          <w:sz w:val="24"/>
          <w:szCs w:val="24"/>
          <w:shd w:val="clear" w:color="auto" w:fill="FFFFFF"/>
        </w:rPr>
        <w:t xml:space="preserve">Brooklyn Public Library (2022) </w:t>
      </w:r>
      <w:r w:rsidRPr="008C0DAB">
        <w:rPr>
          <w:rFonts w:ascii="Arial" w:eastAsiaTheme="minorHAnsi" w:hAnsi="Arial" w:cs="Arial"/>
          <w:i/>
          <w:iCs/>
          <w:color w:val="3A3A3A"/>
          <w:sz w:val="24"/>
          <w:szCs w:val="24"/>
          <w:shd w:val="clear" w:color="auto" w:fill="FFFFFF"/>
        </w:rPr>
        <w:t xml:space="preserve">Corporate support. </w:t>
      </w:r>
      <w:r w:rsidRPr="008C0DAB">
        <w:rPr>
          <w:rFonts w:ascii="Arial" w:eastAsiaTheme="minorHAnsi" w:hAnsi="Arial" w:cs="Arial"/>
          <w:color w:val="3A3A3A"/>
          <w:sz w:val="24"/>
          <w:szCs w:val="24"/>
          <w:shd w:val="clear" w:color="auto" w:fill="FFFFFF"/>
        </w:rPr>
        <w:t xml:space="preserve">Available at: </w:t>
      </w:r>
      <w:hyperlink r:id="rId32" w:history="1">
        <w:r w:rsidRPr="008C0DAB">
          <w:rPr>
            <w:rFonts w:ascii="Arial" w:eastAsiaTheme="minorHAnsi" w:hAnsi="Arial" w:cs="Arial"/>
            <w:color w:val="0563C1" w:themeColor="hyperlink"/>
            <w:sz w:val="24"/>
            <w:szCs w:val="24"/>
            <w:u w:val="single"/>
            <w:shd w:val="clear" w:color="auto" w:fill="FFFFFF"/>
          </w:rPr>
          <w:t>https://www.bklynlibrary.org/support/corporate-sponsors</w:t>
        </w:r>
      </w:hyperlink>
      <w:r w:rsidRPr="008C0DAB">
        <w:rPr>
          <w:rFonts w:ascii="Arial" w:eastAsiaTheme="minorHAnsi" w:hAnsi="Arial" w:cs="Arial"/>
          <w:color w:val="3A3A3A"/>
          <w:sz w:val="24"/>
          <w:szCs w:val="24"/>
          <w:shd w:val="clear" w:color="auto" w:fill="FFFFFF"/>
        </w:rPr>
        <w:t xml:space="preserve"> (Accessed: 30th September 2022).</w:t>
      </w:r>
    </w:p>
    <w:p w14:paraId="34D434E7" w14:textId="0822A8DE" w:rsidR="00C972C3" w:rsidRPr="008C0DAB" w:rsidRDefault="00E947A4" w:rsidP="00E947A4">
      <w:pPr>
        <w:spacing w:after="160" w:line="259" w:lineRule="auto"/>
        <w:rPr>
          <w:rFonts w:ascii="Arial" w:eastAsiaTheme="minorHAnsi" w:hAnsi="Arial" w:cs="Arial"/>
          <w:sz w:val="24"/>
          <w:szCs w:val="24"/>
        </w:rPr>
      </w:pPr>
      <w:r w:rsidRPr="00E947A4">
        <w:rPr>
          <w:rFonts w:ascii="Arial" w:eastAsiaTheme="minorHAnsi" w:hAnsi="Arial" w:cs="Arial"/>
          <w:sz w:val="24"/>
          <w:szCs w:val="24"/>
        </w:rPr>
        <w:t xml:space="preserve">Burrell, G. and Morgan, G. (2016) </w:t>
      </w:r>
      <w:r w:rsidRPr="00E947A4">
        <w:rPr>
          <w:rFonts w:ascii="Arial" w:eastAsiaTheme="minorHAnsi" w:hAnsi="Arial" w:cs="Arial"/>
          <w:i/>
          <w:iCs/>
          <w:sz w:val="24"/>
          <w:szCs w:val="24"/>
        </w:rPr>
        <w:t>Sociological paradigms and organisational analysis: elements of the sociology of corporate life</w:t>
      </w:r>
      <w:r w:rsidRPr="00E947A4">
        <w:rPr>
          <w:rFonts w:ascii="Arial" w:eastAsiaTheme="minorHAnsi" w:hAnsi="Arial" w:cs="Arial"/>
          <w:sz w:val="24"/>
          <w:szCs w:val="24"/>
        </w:rPr>
        <w:t>. Abingdon, Oxon: Routledge. doi:10.4324/9781315242804.</w:t>
      </w:r>
    </w:p>
    <w:p w14:paraId="30D7902F" w14:textId="1980FF7E" w:rsidR="004D6EE9" w:rsidRPr="00630DCA" w:rsidRDefault="008C0DAB" w:rsidP="00FA35E4">
      <w:pPr>
        <w:spacing w:after="160" w:line="240" w:lineRule="auto"/>
        <w:rPr>
          <w:rFonts w:ascii="Arial" w:eastAsiaTheme="minorHAnsi" w:hAnsi="Arial" w:cs="Arial"/>
          <w:sz w:val="24"/>
          <w:szCs w:val="24"/>
        </w:rPr>
      </w:pPr>
      <w:bookmarkStart w:id="73" w:name="_Hlk115434878"/>
      <w:r w:rsidRPr="008C0DAB">
        <w:rPr>
          <w:rFonts w:ascii="Arial" w:eastAsiaTheme="minorHAnsi" w:hAnsi="Arial" w:cs="Arial"/>
          <w:sz w:val="24"/>
          <w:szCs w:val="24"/>
        </w:rPr>
        <w:t xml:space="preserve">Camarero, C., Garrido, M.-J. and Vicente, E. (2021) </w:t>
      </w:r>
      <w:bookmarkEnd w:id="73"/>
      <w:r w:rsidRPr="008C0DAB">
        <w:rPr>
          <w:rFonts w:ascii="Arial" w:eastAsiaTheme="minorHAnsi" w:hAnsi="Arial" w:cs="Arial"/>
          <w:sz w:val="24"/>
          <w:szCs w:val="24"/>
        </w:rPr>
        <w:t xml:space="preserve">‘Social and Financial Signalling to Increase Fundraising Revenue in Museums’, </w:t>
      </w:r>
      <w:r w:rsidRPr="008C0DAB">
        <w:rPr>
          <w:rFonts w:ascii="Arial" w:eastAsiaTheme="minorHAnsi" w:hAnsi="Arial" w:cs="Arial"/>
          <w:i/>
          <w:iCs/>
          <w:sz w:val="24"/>
          <w:szCs w:val="24"/>
        </w:rPr>
        <w:t>Journal of nonprofit &amp; public sector marketing</w:t>
      </w:r>
      <w:r w:rsidRPr="008C0DAB">
        <w:rPr>
          <w:rFonts w:ascii="Arial" w:eastAsiaTheme="minorHAnsi" w:hAnsi="Arial" w:cs="Arial"/>
          <w:sz w:val="24"/>
          <w:szCs w:val="24"/>
        </w:rPr>
        <w:t xml:space="preserve">, ahead-of-print(ahead-of-print), pp. 1–21. Available at: </w:t>
      </w:r>
      <w:hyperlink r:id="rId33" w:history="1">
        <w:r w:rsidRPr="008C0DAB">
          <w:rPr>
            <w:rFonts w:ascii="Arial" w:eastAsiaTheme="minorHAnsi" w:hAnsi="Arial" w:cs="Arial"/>
            <w:color w:val="0563C1" w:themeColor="hyperlink"/>
            <w:sz w:val="24"/>
            <w:szCs w:val="24"/>
            <w:u w:val="single"/>
          </w:rPr>
          <w:t>https://doi.org/10.1080/10495142.2021.1953669</w:t>
        </w:r>
      </w:hyperlink>
      <w:r w:rsidRPr="008C0DAB">
        <w:rPr>
          <w:rFonts w:ascii="Arial" w:eastAsiaTheme="minorHAnsi" w:hAnsi="Arial" w:cs="Arial"/>
          <w:sz w:val="24"/>
          <w:szCs w:val="24"/>
        </w:rPr>
        <w:t>.</w:t>
      </w:r>
    </w:p>
    <w:p w14:paraId="563A31C3" w14:textId="77777777" w:rsidR="007F19AC" w:rsidRPr="007F19AC"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t xml:space="preserve">Campbell, A., Taylor, B.J. and McGlade, A. (2017) </w:t>
      </w:r>
      <w:r w:rsidRPr="007F19AC">
        <w:rPr>
          <w:rFonts w:ascii="Arial" w:eastAsiaTheme="minorHAnsi" w:hAnsi="Arial" w:cs="Arial"/>
          <w:i/>
          <w:iCs/>
          <w:sz w:val="24"/>
          <w:szCs w:val="24"/>
        </w:rPr>
        <w:t>Research design in social work: qualitative, quantitative &amp; mixed methods</w:t>
      </w:r>
      <w:r w:rsidRPr="007F19AC">
        <w:rPr>
          <w:rFonts w:ascii="Arial" w:eastAsiaTheme="minorHAnsi" w:hAnsi="Arial" w:cs="Arial"/>
          <w:sz w:val="24"/>
          <w:szCs w:val="24"/>
        </w:rPr>
        <w:t>. 1st ed. Los Angeles, CA: SAGE Publications, Inc.</w:t>
      </w:r>
    </w:p>
    <w:p w14:paraId="1193EA19" w14:textId="77777777" w:rsidR="007F19AC" w:rsidRPr="007F19AC"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lastRenderedPageBreak/>
        <w:t xml:space="preserve">Campbell, S. et al. (2020) ‘Purposive sampling: complex or simple? Research case examples’, </w:t>
      </w:r>
      <w:r w:rsidRPr="007F19AC">
        <w:rPr>
          <w:rFonts w:ascii="Arial" w:eastAsiaTheme="minorHAnsi" w:hAnsi="Arial" w:cs="Arial"/>
          <w:i/>
          <w:iCs/>
          <w:sz w:val="24"/>
          <w:szCs w:val="24"/>
        </w:rPr>
        <w:t>Journal of research in nursing</w:t>
      </w:r>
      <w:r w:rsidRPr="007F19AC">
        <w:rPr>
          <w:rFonts w:ascii="Arial" w:eastAsiaTheme="minorHAnsi" w:hAnsi="Arial" w:cs="Arial"/>
          <w:sz w:val="24"/>
          <w:szCs w:val="24"/>
        </w:rPr>
        <w:t xml:space="preserve">, 25(8), pp. 652–661. doi:10.1177/1744987120927206. </w:t>
      </w:r>
    </w:p>
    <w:p w14:paraId="04D634F5" w14:textId="1158F6B0" w:rsidR="00E947A4" w:rsidRPr="00630DCA" w:rsidRDefault="007F19AC" w:rsidP="007F19AC">
      <w:pPr>
        <w:spacing w:after="160" w:line="259" w:lineRule="auto"/>
        <w:rPr>
          <w:rFonts w:ascii="Arial" w:eastAsiaTheme="minorHAnsi" w:hAnsi="Arial" w:cs="Arial"/>
          <w:sz w:val="24"/>
          <w:szCs w:val="24"/>
        </w:rPr>
      </w:pPr>
      <w:r w:rsidRPr="007F19AC">
        <w:rPr>
          <w:rFonts w:ascii="Arial" w:eastAsiaTheme="minorHAnsi" w:hAnsi="Arial" w:cs="Arial"/>
          <w:sz w:val="24"/>
          <w:szCs w:val="24"/>
        </w:rPr>
        <w:t xml:space="preserve">Cassell, C., Cunliffe, A.L. and Grandy, G. (2018) </w:t>
      </w:r>
      <w:r w:rsidRPr="007F19AC">
        <w:rPr>
          <w:rFonts w:ascii="Arial" w:eastAsiaTheme="minorHAnsi" w:hAnsi="Arial" w:cs="Arial"/>
          <w:i/>
          <w:iCs/>
          <w:sz w:val="24"/>
          <w:szCs w:val="24"/>
        </w:rPr>
        <w:t>The SAGE handbook of qualitative business and management research methods: methods and challenges</w:t>
      </w:r>
      <w:r w:rsidRPr="007F19AC">
        <w:rPr>
          <w:rFonts w:ascii="Arial" w:eastAsiaTheme="minorHAnsi" w:hAnsi="Arial" w:cs="Arial"/>
          <w:sz w:val="24"/>
          <w:szCs w:val="24"/>
        </w:rPr>
        <w:t>. London: SAGE Publications Ltd.</w:t>
      </w:r>
    </w:p>
    <w:p w14:paraId="421C1D74" w14:textId="7D0A919C" w:rsidR="008118AF" w:rsidRPr="002B6842" w:rsidRDefault="008118AF" w:rsidP="00FA35E4">
      <w:pPr>
        <w:spacing w:after="160" w:line="240" w:lineRule="auto"/>
        <w:rPr>
          <w:rFonts w:ascii="Arial" w:eastAsiaTheme="minorHAnsi" w:hAnsi="Arial" w:cs="Arial"/>
          <w:sz w:val="24"/>
          <w:szCs w:val="24"/>
        </w:rPr>
      </w:pPr>
      <w:r w:rsidRPr="008118AF">
        <w:rPr>
          <w:rFonts w:ascii="Arial" w:eastAsiaTheme="minorHAnsi" w:hAnsi="Arial" w:cs="Arial"/>
          <w:sz w:val="24"/>
          <w:szCs w:val="24"/>
        </w:rPr>
        <w:t xml:space="preserve">Charities Aid Foundation (2022) </w:t>
      </w:r>
      <w:r w:rsidRPr="008118AF">
        <w:rPr>
          <w:rFonts w:ascii="Arial" w:eastAsiaTheme="minorHAnsi" w:hAnsi="Arial" w:cs="Arial"/>
          <w:i/>
          <w:iCs/>
          <w:sz w:val="24"/>
          <w:szCs w:val="24"/>
        </w:rPr>
        <w:t>Charities Aid Foundation UK Giving Report 2022</w:t>
      </w:r>
      <w:r w:rsidRPr="008118AF">
        <w:rPr>
          <w:rFonts w:ascii="Arial" w:eastAsiaTheme="minorHAnsi" w:hAnsi="Arial" w:cs="Arial"/>
          <w:sz w:val="24"/>
          <w:szCs w:val="24"/>
        </w:rPr>
        <w:t xml:space="preserve">. Available at: </w:t>
      </w:r>
      <w:hyperlink r:id="rId34" w:history="1">
        <w:r w:rsidRPr="008118AF">
          <w:rPr>
            <w:rFonts w:ascii="Arial" w:eastAsiaTheme="minorHAnsi" w:hAnsi="Arial" w:cs="Arial"/>
            <w:color w:val="0563C1" w:themeColor="hyperlink"/>
            <w:sz w:val="24"/>
            <w:szCs w:val="24"/>
            <w:u w:val="single"/>
          </w:rPr>
          <w:t>https://www.cafonline.org/docs/default-source/about-us-research/uk_giving_2022.pdf</w:t>
        </w:r>
      </w:hyperlink>
      <w:r w:rsidRPr="008118AF">
        <w:rPr>
          <w:rFonts w:ascii="Arial" w:eastAsiaTheme="minorHAnsi" w:hAnsi="Arial" w:cs="Arial"/>
          <w:sz w:val="24"/>
          <w:szCs w:val="24"/>
        </w:rPr>
        <w:t xml:space="preserve">  (Accessed: 30th September 2022). </w:t>
      </w:r>
    </w:p>
    <w:p w14:paraId="387C381C" w14:textId="044CF38C"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Charities Aid Foundation (2022) </w:t>
      </w:r>
      <w:r w:rsidRPr="002B6842">
        <w:rPr>
          <w:rFonts w:ascii="Arial" w:eastAsiaTheme="minorHAnsi" w:hAnsi="Arial" w:cs="Arial"/>
          <w:i/>
          <w:iCs/>
          <w:sz w:val="24"/>
          <w:szCs w:val="24"/>
        </w:rPr>
        <w:t>Charity Landscape 2022</w:t>
      </w:r>
      <w:r w:rsidRPr="002B6842">
        <w:rPr>
          <w:rFonts w:ascii="Arial" w:eastAsiaTheme="minorHAnsi" w:hAnsi="Arial" w:cs="Arial"/>
          <w:sz w:val="24"/>
          <w:szCs w:val="24"/>
        </w:rPr>
        <w:t xml:space="preserve">. Available at: </w:t>
      </w:r>
      <w:hyperlink r:id="rId35" w:history="1">
        <w:r w:rsidRPr="002B6842">
          <w:rPr>
            <w:rFonts w:ascii="Arial" w:eastAsiaTheme="minorHAnsi" w:hAnsi="Arial" w:cs="Arial"/>
            <w:color w:val="0563C1" w:themeColor="hyperlink"/>
            <w:sz w:val="24"/>
            <w:szCs w:val="24"/>
            <w:u w:val="single"/>
          </w:rPr>
          <w:t>https://www.cafonline.org/docs/default-source/about-us-research/charity_landscape_report_2022.pdf</w:t>
        </w:r>
      </w:hyperlink>
      <w:r w:rsidRPr="002B6842">
        <w:rPr>
          <w:rFonts w:ascii="Arial" w:eastAsiaTheme="minorHAnsi" w:hAnsi="Arial" w:cs="Arial"/>
          <w:sz w:val="24"/>
          <w:szCs w:val="24"/>
        </w:rPr>
        <w:t xml:space="preserve"> (Accessed 11 March 2022).</w:t>
      </w:r>
    </w:p>
    <w:p w14:paraId="70B1504B"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Charity Commission for England and Wales (2022) </w:t>
      </w:r>
      <w:r w:rsidRPr="00CF2243">
        <w:rPr>
          <w:rFonts w:ascii="Arial" w:eastAsiaTheme="minorHAnsi" w:hAnsi="Arial" w:cs="Arial"/>
          <w:i/>
          <w:iCs/>
          <w:sz w:val="24"/>
          <w:szCs w:val="24"/>
        </w:rPr>
        <w:t>Manchester Central Library Development Trust: Financial History.</w:t>
      </w:r>
      <w:r w:rsidRPr="00CF2243">
        <w:rPr>
          <w:rFonts w:ascii="Arial" w:eastAsiaTheme="minorHAnsi" w:hAnsi="Arial" w:cs="Arial"/>
          <w:sz w:val="24"/>
          <w:szCs w:val="24"/>
        </w:rPr>
        <w:t xml:space="preserve"> Available at: </w:t>
      </w:r>
      <w:hyperlink r:id="rId36" w:history="1">
        <w:r w:rsidRPr="00CF2243">
          <w:rPr>
            <w:rFonts w:ascii="Arial" w:eastAsiaTheme="minorHAnsi" w:hAnsi="Arial" w:cs="Arial"/>
            <w:color w:val="0563C1" w:themeColor="hyperlink"/>
            <w:sz w:val="24"/>
            <w:szCs w:val="24"/>
            <w:u w:val="single"/>
          </w:rPr>
          <w:t>https://register-of-charities.charitycommission.gov.uk/charity-search/-/charity-details/5033549/financial-history</w:t>
        </w:r>
      </w:hyperlink>
      <w:r w:rsidRPr="00CF2243">
        <w:rPr>
          <w:rFonts w:ascii="Arial" w:eastAsiaTheme="minorHAnsi" w:hAnsi="Arial" w:cs="Arial"/>
          <w:sz w:val="24"/>
          <w:szCs w:val="24"/>
        </w:rPr>
        <w:t xml:space="preserve"> (Accessed: 2nd July 2022).</w:t>
      </w:r>
    </w:p>
    <w:p w14:paraId="5D6249B3"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Charity Commission for England and Wales (2022) </w:t>
      </w:r>
      <w:r w:rsidRPr="00CF2243">
        <w:rPr>
          <w:rFonts w:ascii="Arial" w:eastAsiaTheme="minorHAnsi" w:hAnsi="Arial" w:cs="Arial"/>
          <w:i/>
          <w:iCs/>
          <w:sz w:val="24"/>
          <w:szCs w:val="24"/>
        </w:rPr>
        <w:t>Norfolk Museums Development Foundation: Financial History</w:t>
      </w:r>
      <w:r w:rsidRPr="00CF2243">
        <w:rPr>
          <w:rFonts w:ascii="Arial" w:eastAsiaTheme="minorHAnsi" w:hAnsi="Arial" w:cs="Arial"/>
          <w:sz w:val="24"/>
          <w:szCs w:val="24"/>
        </w:rPr>
        <w:t xml:space="preserve">. Available at: </w:t>
      </w:r>
      <w:hyperlink r:id="rId37" w:history="1">
        <w:r w:rsidRPr="00CF2243">
          <w:rPr>
            <w:rFonts w:ascii="Arial" w:eastAsiaTheme="minorHAnsi" w:hAnsi="Arial" w:cs="Arial"/>
            <w:color w:val="0563C1" w:themeColor="hyperlink"/>
            <w:sz w:val="24"/>
            <w:szCs w:val="24"/>
            <w:u w:val="single"/>
          </w:rPr>
          <w:t>https://register-of-charities.charitycommission.gov.uk/charity-search/-/charity-details/5048155/financial-history</w:t>
        </w:r>
      </w:hyperlink>
      <w:r w:rsidRPr="00CF2243">
        <w:rPr>
          <w:rFonts w:ascii="Arial" w:eastAsiaTheme="minorHAnsi" w:hAnsi="Arial" w:cs="Arial"/>
          <w:sz w:val="24"/>
          <w:szCs w:val="24"/>
        </w:rPr>
        <w:t xml:space="preserve"> (Accessed: 2nd July 2022).</w:t>
      </w:r>
    </w:p>
    <w:p w14:paraId="1EB24CFE"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City Museum (2022) </w:t>
      </w:r>
      <w:r w:rsidRPr="00CF2243">
        <w:rPr>
          <w:rFonts w:ascii="Arial" w:eastAsiaTheme="minorHAnsi" w:hAnsi="Arial" w:cs="Arial"/>
          <w:i/>
          <w:iCs/>
          <w:sz w:val="24"/>
          <w:szCs w:val="24"/>
        </w:rPr>
        <w:t xml:space="preserve">Tickets and memberships: prepare to play. </w:t>
      </w:r>
      <w:r w:rsidRPr="00CF2243">
        <w:rPr>
          <w:rFonts w:ascii="Arial" w:eastAsiaTheme="minorHAnsi" w:hAnsi="Arial" w:cs="Arial"/>
          <w:sz w:val="24"/>
          <w:szCs w:val="24"/>
        </w:rPr>
        <w:t xml:space="preserve">Available at: </w:t>
      </w:r>
      <w:hyperlink r:id="rId38" w:history="1">
        <w:r w:rsidRPr="00CF2243">
          <w:rPr>
            <w:rFonts w:ascii="Arial" w:eastAsiaTheme="minorHAnsi" w:hAnsi="Arial" w:cs="Arial"/>
            <w:color w:val="0563C1" w:themeColor="hyperlink"/>
            <w:sz w:val="24"/>
            <w:szCs w:val="24"/>
            <w:u w:val="single"/>
          </w:rPr>
          <w:t>https://www.citymuseum.org/tickets-memberships/</w:t>
        </w:r>
      </w:hyperlink>
      <w:r w:rsidRPr="00CF2243">
        <w:rPr>
          <w:rFonts w:ascii="Arial" w:eastAsiaTheme="minorHAnsi" w:hAnsi="Arial" w:cs="Arial"/>
          <w:sz w:val="24"/>
          <w:szCs w:val="24"/>
        </w:rPr>
        <w:t xml:space="preserve"> (Accessed: 2nd October 2022). </w:t>
      </w:r>
    </w:p>
    <w:p w14:paraId="39407481"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Civitello, A. (2017) ‘Fundraising for the future: best practices focuses on innovative ideas from libraries nationwide’, </w:t>
      </w:r>
      <w:r w:rsidRPr="00CF2243">
        <w:rPr>
          <w:rFonts w:ascii="Arial" w:eastAsiaTheme="minorHAnsi" w:hAnsi="Arial" w:cs="Arial"/>
          <w:i/>
          <w:iCs/>
          <w:sz w:val="24"/>
          <w:szCs w:val="24"/>
        </w:rPr>
        <w:t>Public libraries. American Library Association</w:t>
      </w:r>
      <w:r w:rsidRPr="00CF2243">
        <w:rPr>
          <w:rFonts w:ascii="Arial" w:eastAsiaTheme="minorHAnsi" w:hAnsi="Arial" w:cs="Arial"/>
          <w:sz w:val="24"/>
          <w:szCs w:val="24"/>
        </w:rPr>
        <w:t>, 56(2), p. 11–.</w:t>
      </w:r>
    </w:p>
    <w:p w14:paraId="78C25698" w14:textId="503DB286" w:rsidR="00CF2243" w:rsidRPr="00630DCA"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Civitello, A. (2017) ‘Library Cafés’, </w:t>
      </w:r>
      <w:r w:rsidRPr="00CF2243">
        <w:rPr>
          <w:rFonts w:ascii="Arial" w:eastAsiaTheme="minorHAnsi" w:hAnsi="Arial" w:cs="Arial"/>
          <w:i/>
          <w:iCs/>
          <w:sz w:val="24"/>
          <w:szCs w:val="24"/>
        </w:rPr>
        <w:t>Public libraries</w:t>
      </w:r>
      <w:r w:rsidRPr="00CF2243">
        <w:rPr>
          <w:rFonts w:ascii="Arial" w:eastAsiaTheme="minorHAnsi" w:hAnsi="Arial" w:cs="Arial"/>
          <w:sz w:val="24"/>
          <w:szCs w:val="24"/>
        </w:rPr>
        <w:t>. Chicago: American Library Association, 56(4), p. 11–.</w:t>
      </w:r>
    </w:p>
    <w:p w14:paraId="69F69DFC" w14:textId="0390111A" w:rsidR="00695DE5" w:rsidRPr="00630DCA" w:rsidRDefault="001477B3" w:rsidP="001477B3">
      <w:pPr>
        <w:spacing w:after="160" w:line="259" w:lineRule="auto"/>
        <w:rPr>
          <w:rFonts w:ascii="Arial" w:eastAsiaTheme="minorHAnsi" w:hAnsi="Arial" w:cs="Arial"/>
          <w:sz w:val="24"/>
          <w:szCs w:val="24"/>
        </w:rPr>
      </w:pPr>
      <w:r w:rsidRPr="001477B3">
        <w:rPr>
          <w:rFonts w:ascii="Arial" w:eastAsiaTheme="minorHAnsi" w:hAnsi="Arial" w:cs="Arial"/>
          <w:sz w:val="24"/>
          <w:szCs w:val="24"/>
        </w:rPr>
        <w:t xml:space="preserve">Clarke, V. and Braun, V. (2017) ‘Thematic analysis’, </w:t>
      </w:r>
      <w:r w:rsidRPr="001477B3">
        <w:rPr>
          <w:rFonts w:ascii="Arial" w:eastAsiaTheme="minorHAnsi" w:hAnsi="Arial" w:cs="Arial"/>
          <w:i/>
          <w:iCs/>
          <w:sz w:val="24"/>
          <w:szCs w:val="24"/>
        </w:rPr>
        <w:t>The journal of positive psychology</w:t>
      </w:r>
      <w:r w:rsidRPr="001477B3">
        <w:rPr>
          <w:rFonts w:ascii="Arial" w:eastAsiaTheme="minorHAnsi" w:hAnsi="Arial" w:cs="Arial"/>
          <w:sz w:val="24"/>
          <w:szCs w:val="24"/>
        </w:rPr>
        <w:t>, 12(3), pp. 297–298. doi:10.1080/17439760.2016.1262613.</w:t>
      </w:r>
    </w:p>
    <w:p w14:paraId="39594C82" w14:textId="7422B161" w:rsidR="00695DE5" w:rsidRPr="00630DCA" w:rsidRDefault="00695DE5" w:rsidP="00695DE5">
      <w:pPr>
        <w:spacing w:after="160" w:line="259" w:lineRule="auto"/>
        <w:rPr>
          <w:rFonts w:ascii="Arial" w:eastAsiaTheme="minorHAnsi" w:hAnsi="Arial" w:cs="Arial"/>
          <w:sz w:val="24"/>
          <w:szCs w:val="24"/>
        </w:rPr>
      </w:pPr>
      <w:r w:rsidRPr="00695DE5">
        <w:rPr>
          <w:rFonts w:ascii="Arial" w:eastAsiaTheme="minorHAnsi" w:hAnsi="Arial" w:cs="Arial"/>
          <w:sz w:val="24"/>
          <w:szCs w:val="24"/>
        </w:rPr>
        <w:t xml:space="preserve">Collis, J. and Hussey, R. (2014) </w:t>
      </w:r>
      <w:r w:rsidRPr="00695DE5">
        <w:rPr>
          <w:rFonts w:ascii="Arial" w:eastAsiaTheme="minorHAnsi" w:hAnsi="Arial" w:cs="Arial"/>
          <w:i/>
          <w:iCs/>
          <w:sz w:val="24"/>
          <w:szCs w:val="24"/>
        </w:rPr>
        <w:t>Business research: a practical guide for undergraduate &amp; postgraduate students</w:t>
      </w:r>
      <w:r w:rsidRPr="00695DE5">
        <w:rPr>
          <w:rFonts w:ascii="Arial" w:eastAsiaTheme="minorHAnsi" w:hAnsi="Arial" w:cs="Arial"/>
          <w:sz w:val="24"/>
          <w:szCs w:val="24"/>
        </w:rPr>
        <w:t xml:space="preserve">. 4th ed. Houndmills: Palgrave Macmillan. </w:t>
      </w:r>
    </w:p>
    <w:p w14:paraId="71FBDE75" w14:textId="57CD7722" w:rsidR="00347283" w:rsidRPr="00630DCA" w:rsidRDefault="00347283" w:rsidP="00695DE5">
      <w:pPr>
        <w:spacing w:after="160" w:line="259" w:lineRule="auto"/>
        <w:rPr>
          <w:rFonts w:ascii="Arial" w:eastAsiaTheme="minorHAnsi" w:hAnsi="Arial" w:cs="Arial"/>
          <w:sz w:val="24"/>
          <w:szCs w:val="24"/>
        </w:rPr>
      </w:pPr>
      <w:r w:rsidRPr="00347283">
        <w:rPr>
          <w:rFonts w:ascii="Arial" w:eastAsiaTheme="minorHAnsi" w:hAnsi="Arial" w:cs="Arial"/>
          <w:sz w:val="24"/>
          <w:szCs w:val="24"/>
        </w:rPr>
        <w:t xml:space="preserve">Cottrell, S. (2014) </w:t>
      </w:r>
      <w:r w:rsidRPr="00347283">
        <w:rPr>
          <w:rFonts w:ascii="Arial" w:eastAsiaTheme="minorHAnsi" w:hAnsi="Arial" w:cs="Arial"/>
          <w:i/>
          <w:iCs/>
          <w:sz w:val="24"/>
          <w:szCs w:val="24"/>
        </w:rPr>
        <w:t>Dissertations and project reports: a step-by-step guide</w:t>
      </w:r>
      <w:r w:rsidRPr="00347283">
        <w:rPr>
          <w:rFonts w:ascii="Arial" w:eastAsiaTheme="minorHAnsi" w:hAnsi="Arial" w:cs="Arial"/>
          <w:sz w:val="24"/>
          <w:szCs w:val="24"/>
        </w:rPr>
        <w:t>. Palgrave Macmillan.</w:t>
      </w:r>
    </w:p>
    <w:p w14:paraId="00604360" w14:textId="57092387" w:rsidR="00B35E4D" w:rsidRPr="00CF2243" w:rsidRDefault="00B35E4D" w:rsidP="00695DE5">
      <w:pPr>
        <w:spacing w:after="160" w:line="259" w:lineRule="auto"/>
        <w:rPr>
          <w:rFonts w:ascii="Arial" w:eastAsiaTheme="minorHAnsi" w:hAnsi="Arial" w:cs="Arial"/>
          <w:sz w:val="24"/>
          <w:szCs w:val="24"/>
        </w:rPr>
      </w:pPr>
      <w:r w:rsidRPr="00B35E4D">
        <w:rPr>
          <w:rFonts w:ascii="Arial" w:eastAsiaTheme="minorHAnsi" w:hAnsi="Arial" w:cs="Arial"/>
          <w:sz w:val="24"/>
          <w:szCs w:val="24"/>
        </w:rPr>
        <w:t xml:space="preserve">Crotty, M. (1998) </w:t>
      </w:r>
      <w:r w:rsidRPr="00B35E4D">
        <w:rPr>
          <w:rFonts w:ascii="Arial" w:eastAsiaTheme="minorHAnsi" w:hAnsi="Arial" w:cs="Arial"/>
          <w:i/>
          <w:iCs/>
          <w:sz w:val="24"/>
          <w:szCs w:val="24"/>
        </w:rPr>
        <w:t>The foundations of social research: meaning and perspective in the research process</w:t>
      </w:r>
      <w:r w:rsidRPr="00B35E4D">
        <w:rPr>
          <w:rFonts w:ascii="Arial" w:eastAsiaTheme="minorHAnsi" w:hAnsi="Arial" w:cs="Arial"/>
          <w:sz w:val="24"/>
          <w:szCs w:val="24"/>
        </w:rPr>
        <w:t>. London UK: Sage Publications.</w:t>
      </w:r>
    </w:p>
    <w:p w14:paraId="52810E56"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Crowdfunder (2022) </w:t>
      </w:r>
      <w:r w:rsidRPr="00CF2243">
        <w:rPr>
          <w:rFonts w:ascii="Arial" w:eastAsiaTheme="minorHAnsi" w:hAnsi="Arial" w:cs="Arial"/>
          <w:i/>
          <w:iCs/>
          <w:sz w:val="24"/>
          <w:szCs w:val="24"/>
        </w:rPr>
        <w:t xml:space="preserve">#fashionandtextilesforever. </w:t>
      </w:r>
      <w:r w:rsidRPr="00CF2243">
        <w:rPr>
          <w:rFonts w:ascii="Arial" w:eastAsiaTheme="minorHAnsi" w:hAnsi="Arial" w:cs="Arial"/>
          <w:sz w:val="24"/>
          <w:szCs w:val="24"/>
        </w:rPr>
        <w:t xml:space="preserve">Available at: </w:t>
      </w:r>
      <w:hyperlink r:id="rId39" w:history="1">
        <w:r w:rsidRPr="00CF2243">
          <w:rPr>
            <w:rFonts w:ascii="Arial" w:eastAsiaTheme="minorHAnsi" w:hAnsi="Arial" w:cs="Arial"/>
            <w:color w:val="0000FF"/>
            <w:sz w:val="24"/>
            <w:szCs w:val="24"/>
            <w:u w:val="single"/>
          </w:rPr>
          <w:t>https://www.crowdfunder.co.uk/p/fashionandtextilesforever</w:t>
        </w:r>
      </w:hyperlink>
      <w:r w:rsidRPr="00CF2243">
        <w:rPr>
          <w:rFonts w:ascii="Arial" w:eastAsiaTheme="minorHAnsi" w:hAnsi="Arial" w:cs="Arial"/>
          <w:sz w:val="24"/>
          <w:szCs w:val="24"/>
        </w:rPr>
        <w:t xml:space="preserve"> (Accessed: 29th September 2022).</w:t>
      </w:r>
    </w:p>
    <w:p w14:paraId="3C0FE2AB" w14:textId="77777777" w:rsidR="00CF2243" w:rsidRPr="00CF2243"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t xml:space="preserve">Crowdfunder (2022) National Museums Liverpool needs your help. Available at: </w:t>
      </w:r>
      <w:hyperlink r:id="rId40" w:history="1">
        <w:r w:rsidRPr="00CF2243">
          <w:rPr>
            <w:rFonts w:ascii="Arial" w:eastAsiaTheme="minorHAnsi" w:hAnsi="Arial" w:cs="Arial"/>
            <w:color w:val="0563C1" w:themeColor="hyperlink"/>
            <w:sz w:val="24"/>
            <w:szCs w:val="24"/>
            <w:u w:val="single"/>
          </w:rPr>
          <w:t>https://www.crowdfunder.co.uk/p/national-museums-liverpool-needs-your-help</w:t>
        </w:r>
      </w:hyperlink>
      <w:r w:rsidRPr="00CF2243">
        <w:rPr>
          <w:rFonts w:ascii="Arial" w:eastAsiaTheme="minorHAnsi" w:hAnsi="Arial" w:cs="Arial"/>
          <w:sz w:val="24"/>
          <w:szCs w:val="24"/>
        </w:rPr>
        <w:t xml:space="preserve"> (Accessed: 29th September 2022).</w:t>
      </w:r>
    </w:p>
    <w:p w14:paraId="48778367" w14:textId="14A4E67C" w:rsidR="00CF2243" w:rsidRPr="00630DCA" w:rsidRDefault="00CF2243" w:rsidP="00FA35E4">
      <w:pPr>
        <w:spacing w:after="160" w:line="240" w:lineRule="auto"/>
        <w:rPr>
          <w:rFonts w:ascii="Arial" w:eastAsiaTheme="minorHAnsi" w:hAnsi="Arial" w:cs="Arial"/>
          <w:sz w:val="24"/>
          <w:szCs w:val="24"/>
        </w:rPr>
      </w:pPr>
      <w:r w:rsidRPr="00CF2243">
        <w:rPr>
          <w:rFonts w:ascii="Arial" w:eastAsiaTheme="minorHAnsi" w:hAnsi="Arial" w:cs="Arial"/>
          <w:sz w:val="24"/>
          <w:szCs w:val="24"/>
        </w:rPr>
        <w:lastRenderedPageBreak/>
        <w:t xml:space="preserve">Custom Ink (2022) </w:t>
      </w:r>
      <w:r w:rsidRPr="00CF2243">
        <w:rPr>
          <w:rFonts w:ascii="Arial" w:eastAsiaTheme="minorHAnsi" w:hAnsi="Arial" w:cs="Arial"/>
          <w:i/>
          <w:iCs/>
          <w:sz w:val="24"/>
          <w:szCs w:val="24"/>
        </w:rPr>
        <w:t xml:space="preserve">Support Summer Reading at the Wharton Public Library. </w:t>
      </w:r>
      <w:r w:rsidRPr="00CF2243">
        <w:rPr>
          <w:rFonts w:ascii="Arial" w:eastAsiaTheme="minorHAnsi" w:hAnsi="Arial" w:cs="Arial"/>
          <w:sz w:val="24"/>
          <w:szCs w:val="24"/>
        </w:rPr>
        <w:t xml:space="preserve">Available at: </w:t>
      </w:r>
      <w:hyperlink r:id="rId41" w:history="1">
        <w:r w:rsidRPr="00CF2243">
          <w:rPr>
            <w:rFonts w:ascii="Arial" w:eastAsiaTheme="minorHAnsi" w:hAnsi="Arial" w:cs="Arial"/>
            <w:color w:val="0563C1" w:themeColor="hyperlink"/>
            <w:sz w:val="24"/>
            <w:szCs w:val="24"/>
            <w:u w:val="single"/>
          </w:rPr>
          <w:t>https://www.customink.com/fundraising/whartonsummerreading</w:t>
        </w:r>
      </w:hyperlink>
      <w:r w:rsidRPr="00CF2243">
        <w:rPr>
          <w:rFonts w:ascii="Arial" w:eastAsiaTheme="minorHAnsi" w:hAnsi="Arial" w:cs="Arial"/>
          <w:sz w:val="24"/>
          <w:szCs w:val="24"/>
        </w:rPr>
        <w:t xml:space="preserve"> (Accessed: 16th July 2022).</w:t>
      </w:r>
    </w:p>
    <w:p w14:paraId="152AE0DE" w14:textId="19D6D74B" w:rsidR="00B35E4D" w:rsidRPr="00CF2243" w:rsidRDefault="00A67F12" w:rsidP="00A67F12">
      <w:pPr>
        <w:spacing w:after="160" w:line="259" w:lineRule="auto"/>
        <w:rPr>
          <w:rFonts w:ascii="Arial" w:eastAsiaTheme="minorHAnsi" w:hAnsi="Arial" w:cs="Arial"/>
          <w:sz w:val="24"/>
          <w:szCs w:val="24"/>
        </w:rPr>
      </w:pPr>
      <w:r w:rsidRPr="00A67F12">
        <w:rPr>
          <w:rFonts w:ascii="Arial" w:eastAsiaTheme="minorHAnsi" w:hAnsi="Arial" w:cs="Arial"/>
          <w:sz w:val="24"/>
          <w:szCs w:val="24"/>
        </w:rPr>
        <w:t xml:space="preserve">Dawson, C. (2009) </w:t>
      </w:r>
      <w:r w:rsidRPr="00A67F12">
        <w:rPr>
          <w:rFonts w:ascii="Arial" w:eastAsiaTheme="minorHAnsi" w:hAnsi="Arial" w:cs="Arial"/>
          <w:i/>
          <w:iCs/>
          <w:sz w:val="24"/>
          <w:szCs w:val="24"/>
        </w:rPr>
        <w:t>Introduction to Research Methods: A Practical Guide for Anyone Undertaking a Research Project</w:t>
      </w:r>
      <w:r w:rsidRPr="00A67F12">
        <w:rPr>
          <w:rFonts w:ascii="Arial" w:eastAsiaTheme="minorHAnsi" w:hAnsi="Arial" w:cs="Arial"/>
          <w:sz w:val="24"/>
          <w:szCs w:val="24"/>
        </w:rPr>
        <w:t>. 4th ed. New York: Constable &amp; Robinson.</w:t>
      </w:r>
    </w:p>
    <w:p w14:paraId="50A13CC7" w14:textId="620E0C05"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Dempsey, B. (2010) ‘For Love or Money’, </w:t>
      </w:r>
      <w:r w:rsidRPr="006050A9">
        <w:rPr>
          <w:rFonts w:ascii="Arial" w:eastAsiaTheme="minorHAnsi" w:hAnsi="Arial" w:cs="Arial"/>
          <w:i/>
          <w:iCs/>
          <w:sz w:val="24"/>
          <w:szCs w:val="24"/>
        </w:rPr>
        <w:t>Library Journal</w:t>
      </w:r>
      <w:r w:rsidRPr="006050A9">
        <w:rPr>
          <w:rFonts w:ascii="Arial" w:eastAsiaTheme="minorHAnsi" w:hAnsi="Arial" w:cs="Arial"/>
          <w:sz w:val="24"/>
          <w:szCs w:val="24"/>
        </w:rPr>
        <w:t>. New York: MSI Information Services, 135(15), p. 20–.</w:t>
      </w:r>
    </w:p>
    <w:p w14:paraId="4FF0095C" w14:textId="4F1A51E5" w:rsidR="00A67F12" w:rsidRPr="006050A9" w:rsidRDefault="00AE2B37" w:rsidP="00AE2B37">
      <w:pPr>
        <w:spacing w:after="160" w:line="259" w:lineRule="auto"/>
        <w:rPr>
          <w:rFonts w:ascii="Arial" w:eastAsiaTheme="minorHAnsi" w:hAnsi="Arial" w:cs="Arial"/>
          <w:sz w:val="24"/>
          <w:szCs w:val="24"/>
        </w:rPr>
      </w:pPr>
      <w:r w:rsidRPr="00AE2B37">
        <w:rPr>
          <w:rFonts w:ascii="Arial" w:eastAsiaTheme="minorHAnsi" w:hAnsi="Arial" w:cs="Arial"/>
          <w:sz w:val="24"/>
          <w:szCs w:val="24"/>
        </w:rPr>
        <w:t xml:space="preserve">Denscombe, M. (2014) </w:t>
      </w:r>
      <w:r w:rsidRPr="00AE2B37">
        <w:rPr>
          <w:rFonts w:ascii="Arial" w:eastAsiaTheme="minorHAnsi" w:hAnsi="Arial" w:cs="Arial"/>
          <w:i/>
          <w:iCs/>
          <w:sz w:val="24"/>
          <w:szCs w:val="24"/>
        </w:rPr>
        <w:t>Good Research Guide for Small-Scale Social Research Projects</w:t>
      </w:r>
      <w:r w:rsidRPr="00AE2B37">
        <w:rPr>
          <w:rFonts w:ascii="Arial" w:eastAsiaTheme="minorHAnsi" w:hAnsi="Arial" w:cs="Arial"/>
          <w:sz w:val="24"/>
          <w:szCs w:val="24"/>
        </w:rPr>
        <w:t xml:space="preserve">. 5th ed. McGraw-Hill Education. </w:t>
      </w:r>
    </w:p>
    <w:p w14:paraId="54A579DB"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Culture, Media &amp; Sport (2016) </w:t>
      </w:r>
      <w:r w:rsidRPr="006050A9">
        <w:rPr>
          <w:rFonts w:ascii="Arial" w:eastAsiaTheme="minorHAnsi" w:hAnsi="Arial" w:cs="Arial"/>
          <w:i/>
          <w:iCs/>
          <w:sz w:val="24"/>
          <w:szCs w:val="24"/>
        </w:rPr>
        <w:t>Amazon lockers in libraries.</w:t>
      </w:r>
      <w:r w:rsidRPr="006050A9">
        <w:rPr>
          <w:rFonts w:ascii="Arial" w:eastAsiaTheme="minorHAnsi" w:hAnsi="Arial" w:cs="Arial"/>
          <w:sz w:val="24"/>
          <w:szCs w:val="24"/>
        </w:rPr>
        <w:t xml:space="preserve"> Available at: </w:t>
      </w:r>
      <w:hyperlink r:id="rId42" w:history="1">
        <w:r w:rsidRPr="006050A9">
          <w:rPr>
            <w:rFonts w:ascii="Arial" w:eastAsiaTheme="minorHAnsi" w:hAnsi="Arial" w:cs="Arial"/>
            <w:color w:val="0563C1" w:themeColor="hyperlink"/>
            <w:sz w:val="24"/>
            <w:szCs w:val="24"/>
            <w:u w:val="single"/>
          </w:rPr>
          <w:t>https://www.gov.uk/government/case-studies/amazon-lockers-in-libraries</w:t>
        </w:r>
      </w:hyperlink>
      <w:r w:rsidRPr="006050A9">
        <w:rPr>
          <w:rFonts w:ascii="Arial" w:eastAsiaTheme="minorHAnsi" w:hAnsi="Arial" w:cs="Arial"/>
          <w:sz w:val="24"/>
          <w:szCs w:val="24"/>
        </w:rPr>
        <w:t xml:space="preserve"> (Accessed: 16th July 2022). </w:t>
      </w:r>
    </w:p>
    <w:p w14:paraId="6B409F0C"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Media, Culture &amp; Sport (2016) </w:t>
      </w:r>
      <w:r w:rsidRPr="006050A9">
        <w:rPr>
          <w:rFonts w:ascii="Arial" w:eastAsiaTheme="minorHAnsi" w:hAnsi="Arial" w:cs="Arial"/>
          <w:i/>
          <w:iCs/>
          <w:sz w:val="24"/>
          <w:szCs w:val="24"/>
        </w:rPr>
        <w:t>Case study: Manchester Central Library Development Trust</w:t>
      </w:r>
      <w:r w:rsidRPr="006050A9">
        <w:rPr>
          <w:rFonts w:ascii="Arial" w:eastAsiaTheme="minorHAnsi" w:hAnsi="Arial" w:cs="Arial"/>
          <w:sz w:val="24"/>
          <w:szCs w:val="24"/>
        </w:rPr>
        <w:t xml:space="preserve">. Available at: </w:t>
      </w:r>
      <w:hyperlink r:id="rId43" w:history="1">
        <w:r w:rsidRPr="006050A9">
          <w:rPr>
            <w:rFonts w:ascii="Arial" w:eastAsiaTheme="minorHAnsi" w:hAnsi="Arial" w:cs="Arial"/>
            <w:color w:val="0563C1" w:themeColor="hyperlink"/>
            <w:sz w:val="24"/>
            <w:szCs w:val="24"/>
            <w:u w:val="single"/>
          </w:rPr>
          <w:t>https://www.gov.uk/government/case-studies/manchester-central-library-development-trust</w:t>
        </w:r>
      </w:hyperlink>
      <w:r w:rsidRPr="006050A9">
        <w:rPr>
          <w:rFonts w:ascii="Arial" w:eastAsiaTheme="minorHAnsi" w:hAnsi="Arial" w:cs="Arial"/>
          <w:sz w:val="24"/>
          <w:szCs w:val="24"/>
        </w:rPr>
        <w:t xml:space="preserve"> (Accessed: 9th July 2022).</w:t>
      </w:r>
    </w:p>
    <w:p w14:paraId="29227D0E"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Department for Digital, Culture, Media &amp; Sport (2019) </w:t>
      </w:r>
      <w:r w:rsidRPr="006050A9">
        <w:rPr>
          <w:rFonts w:ascii="Arial" w:eastAsiaTheme="minorHAnsi" w:hAnsi="Arial" w:cs="Arial"/>
          <w:i/>
          <w:iCs/>
          <w:sz w:val="24"/>
          <w:szCs w:val="24"/>
        </w:rPr>
        <w:t xml:space="preserve">Culture is digital. </w:t>
      </w:r>
      <w:r w:rsidRPr="006050A9">
        <w:rPr>
          <w:rFonts w:ascii="Arial" w:eastAsiaTheme="minorHAnsi" w:hAnsi="Arial" w:cs="Arial"/>
          <w:sz w:val="24"/>
          <w:szCs w:val="24"/>
        </w:rPr>
        <w:t xml:space="preserve">Available at: </w:t>
      </w:r>
      <w:hyperlink r:id="rId44" w:history="1">
        <w:r w:rsidRPr="006050A9">
          <w:rPr>
            <w:rFonts w:ascii="Arial" w:eastAsiaTheme="minorHAnsi" w:hAnsi="Arial" w:cs="Arial"/>
            <w:color w:val="0563C1" w:themeColor="hyperlink"/>
            <w:sz w:val="24"/>
            <w:szCs w:val="24"/>
            <w:u w:val="single"/>
          </w:rPr>
          <w:t>https://assets.publishing.service.gov.uk/government/uploads/system/uploads/attachment_data/file/687519/TT_v4.pdf</w:t>
        </w:r>
      </w:hyperlink>
      <w:r w:rsidRPr="006050A9">
        <w:rPr>
          <w:rFonts w:ascii="Arial" w:eastAsiaTheme="minorHAnsi" w:hAnsi="Arial" w:cs="Arial"/>
          <w:sz w:val="24"/>
          <w:szCs w:val="24"/>
        </w:rPr>
        <w:t xml:space="preserve"> (Accessed: 30th September 2022). </w:t>
      </w:r>
    </w:p>
    <w:p w14:paraId="2B2458EE"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Development Trusts Association Wales (2022) </w:t>
      </w:r>
      <w:r w:rsidRPr="006050A9">
        <w:rPr>
          <w:rFonts w:ascii="Arial" w:eastAsiaTheme="minorHAnsi" w:hAnsi="Arial" w:cs="Arial"/>
          <w:i/>
          <w:iCs/>
          <w:sz w:val="24"/>
          <w:szCs w:val="24"/>
        </w:rPr>
        <w:t xml:space="preserve">Welcome to the Development Trusts Association Wales. </w:t>
      </w:r>
      <w:r w:rsidRPr="006050A9">
        <w:rPr>
          <w:rFonts w:ascii="Arial" w:eastAsiaTheme="minorHAnsi" w:hAnsi="Arial" w:cs="Arial"/>
          <w:sz w:val="24"/>
          <w:szCs w:val="24"/>
        </w:rPr>
        <w:t xml:space="preserve">Available at: </w:t>
      </w:r>
      <w:hyperlink r:id="rId45" w:history="1">
        <w:r w:rsidRPr="006050A9">
          <w:rPr>
            <w:rFonts w:ascii="Arial" w:eastAsiaTheme="minorHAnsi" w:hAnsi="Arial" w:cs="Arial"/>
            <w:color w:val="0563C1" w:themeColor="hyperlink"/>
            <w:sz w:val="24"/>
            <w:szCs w:val="24"/>
            <w:u w:val="single"/>
          </w:rPr>
          <w:t>https://dtawales.org.uk/</w:t>
        </w:r>
      </w:hyperlink>
      <w:r w:rsidRPr="006050A9">
        <w:rPr>
          <w:rFonts w:ascii="Arial" w:eastAsiaTheme="minorHAnsi" w:hAnsi="Arial" w:cs="Arial"/>
          <w:sz w:val="24"/>
          <w:szCs w:val="24"/>
        </w:rPr>
        <w:t xml:space="preserve"> (Accessed: 2nd July 2022).</w:t>
      </w:r>
    </w:p>
    <w:p w14:paraId="2C7469F2"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Development Trusts Association Wales (2022) </w:t>
      </w:r>
      <w:r w:rsidRPr="006050A9">
        <w:rPr>
          <w:rFonts w:ascii="Arial" w:eastAsiaTheme="minorHAnsi" w:hAnsi="Arial" w:cs="Arial"/>
          <w:i/>
          <w:iCs/>
          <w:sz w:val="24"/>
          <w:szCs w:val="24"/>
        </w:rPr>
        <w:t xml:space="preserve">What is a development trust? </w:t>
      </w:r>
      <w:r w:rsidRPr="006050A9">
        <w:rPr>
          <w:rFonts w:ascii="Arial" w:eastAsiaTheme="minorHAnsi" w:hAnsi="Arial" w:cs="Arial"/>
          <w:sz w:val="24"/>
          <w:szCs w:val="24"/>
        </w:rPr>
        <w:t xml:space="preserve">Available at: </w:t>
      </w:r>
      <w:hyperlink r:id="rId46" w:history="1">
        <w:r w:rsidRPr="006050A9">
          <w:rPr>
            <w:rFonts w:ascii="Arial" w:eastAsiaTheme="minorHAnsi" w:hAnsi="Arial" w:cs="Arial"/>
            <w:color w:val="0563C1" w:themeColor="hyperlink"/>
            <w:sz w:val="24"/>
            <w:szCs w:val="24"/>
            <w:u w:val="single"/>
          </w:rPr>
          <w:t>https://dtawales.org.uk/about-us/what-is-a-development-trust/</w:t>
        </w:r>
      </w:hyperlink>
      <w:r w:rsidRPr="006050A9">
        <w:rPr>
          <w:rFonts w:ascii="Arial" w:eastAsiaTheme="minorHAnsi" w:hAnsi="Arial" w:cs="Arial"/>
          <w:sz w:val="24"/>
          <w:szCs w:val="24"/>
        </w:rPr>
        <w:t xml:space="preserve"> (Accessed: 2nd July 2022).</w:t>
      </w:r>
    </w:p>
    <w:p w14:paraId="09112755"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Donelli, C. et al. (2022) ‘Financing Sustainability in the Arts Sector: The Case of the Art Bonus Public Crowdfunding Campaign in Italy’, </w:t>
      </w:r>
      <w:r w:rsidRPr="006050A9">
        <w:rPr>
          <w:rFonts w:ascii="Arial" w:eastAsiaTheme="minorHAnsi" w:hAnsi="Arial" w:cs="Arial"/>
          <w:i/>
          <w:iCs/>
          <w:sz w:val="24"/>
          <w:szCs w:val="24"/>
        </w:rPr>
        <w:t>Sustainability</w:t>
      </w:r>
      <w:r w:rsidRPr="006050A9">
        <w:rPr>
          <w:rFonts w:ascii="Arial" w:eastAsiaTheme="minorHAnsi" w:hAnsi="Arial" w:cs="Arial"/>
          <w:sz w:val="24"/>
          <w:szCs w:val="24"/>
        </w:rPr>
        <w:t xml:space="preserve"> (Basel, Switzerland), 14(3), p. 1641–. doi:10.3390/su14031641.</w:t>
      </w:r>
    </w:p>
    <w:p w14:paraId="721EA71E" w14:textId="5A50D38F"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Douglas County Libraries (2022) </w:t>
      </w:r>
      <w:r w:rsidRPr="006050A9">
        <w:rPr>
          <w:rFonts w:ascii="Arial" w:eastAsiaTheme="minorHAnsi" w:hAnsi="Arial" w:cs="Arial"/>
          <w:i/>
          <w:iCs/>
          <w:sz w:val="24"/>
          <w:szCs w:val="24"/>
        </w:rPr>
        <w:t xml:space="preserve">Birthday parties at DCL. </w:t>
      </w:r>
      <w:r w:rsidRPr="006050A9">
        <w:rPr>
          <w:rFonts w:ascii="Arial" w:eastAsiaTheme="minorHAnsi" w:hAnsi="Arial" w:cs="Arial"/>
          <w:sz w:val="24"/>
          <w:szCs w:val="24"/>
        </w:rPr>
        <w:t xml:space="preserve">Available at: </w:t>
      </w:r>
      <w:hyperlink r:id="rId47" w:history="1">
        <w:r w:rsidRPr="006050A9">
          <w:rPr>
            <w:rFonts w:ascii="Arial" w:eastAsiaTheme="minorHAnsi" w:hAnsi="Arial" w:cs="Arial"/>
            <w:color w:val="0563C1" w:themeColor="hyperlink"/>
            <w:sz w:val="24"/>
            <w:szCs w:val="24"/>
            <w:u w:val="single"/>
          </w:rPr>
          <w:t>https://www.dcl.org/birthday-parties/</w:t>
        </w:r>
      </w:hyperlink>
      <w:r w:rsidRPr="006050A9">
        <w:rPr>
          <w:rFonts w:ascii="Arial" w:eastAsiaTheme="minorHAnsi" w:hAnsi="Arial" w:cs="Arial"/>
          <w:sz w:val="24"/>
          <w:szCs w:val="24"/>
        </w:rPr>
        <w:t xml:space="preserve"> (Accessed: 16th July 2022). </w:t>
      </w:r>
    </w:p>
    <w:p w14:paraId="69D10736" w14:textId="25569873" w:rsidR="003D2155" w:rsidRPr="006050A9" w:rsidRDefault="003D2155" w:rsidP="003D2155">
      <w:pPr>
        <w:spacing w:after="160" w:line="259" w:lineRule="auto"/>
        <w:rPr>
          <w:rFonts w:ascii="Arial" w:eastAsiaTheme="minorHAnsi" w:hAnsi="Arial" w:cs="Arial"/>
          <w:sz w:val="24"/>
          <w:szCs w:val="24"/>
        </w:rPr>
      </w:pPr>
      <w:r w:rsidRPr="003D2155">
        <w:rPr>
          <w:rFonts w:ascii="Arial" w:eastAsiaTheme="minorHAnsi" w:hAnsi="Arial" w:cs="Arial"/>
          <w:sz w:val="24"/>
          <w:szCs w:val="24"/>
        </w:rPr>
        <w:t xml:space="preserve">Ebrahimi, M. (2020) </w:t>
      </w:r>
      <w:r w:rsidRPr="003D2155">
        <w:rPr>
          <w:rFonts w:ascii="Arial" w:eastAsiaTheme="minorHAnsi" w:hAnsi="Arial" w:cs="Arial"/>
          <w:i/>
          <w:iCs/>
          <w:sz w:val="24"/>
          <w:szCs w:val="24"/>
        </w:rPr>
        <w:t>Qualitative exploration of grounded theory in organizational research</w:t>
      </w:r>
      <w:r w:rsidRPr="003D2155">
        <w:rPr>
          <w:rFonts w:ascii="Arial" w:eastAsiaTheme="minorHAnsi" w:hAnsi="Arial" w:cs="Arial"/>
          <w:sz w:val="24"/>
          <w:szCs w:val="24"/>
        </w:rPr>
        <w:t>. Hershey, PA: Information Science Reference.</w:t>
      </w:r>
    </w:p>
    <w:p w14:paraId="1CFE0F6E" w14:textId="738781F2" w:rsidR="006050A9" w:rsidRPr="00630DCA" w:rsidRDefault="006050A9" w:rsidP="00FA35E4">
      <w:pPr>
        <w:spacing w:after="160" w:line="240" w:lineRule="auto"/>
        <w:rPr>
          <w:rFonts w:ascii="Arial" w:eastAsiaTheme="minorHAnsi" w:hAnsi="Arial" w:cs="Arial"/>
          <w:sz w:val="24"/>
          <w:szCs w:val="24"/>
        </w:rPr>
      </w:pPr>
      <w:bookmarkStart w:id="74" w:name="_Hlk107741928"/>
      <w:r w:rsidRPr="006050A9">
        <w:rPr>
          <w:rFonts w:ascii="Arial" w:eastAsiaTheme="minorHAnsi" w:hAnsi="Arial" w:cs="Arial"/>
          <w:sz w:val="24"/>
          <w:szCs w:val="24"/>
        </w:rPr>
        <w:t xml:space="preserve">Education Scotland and Development Trusts Association Scotland </w:t>
      </w:r>
      <w:bookmarkEnd w:id="74"/>
      <w:r w:rsidRPr="006050A9">
        <w:rPr>
          <w:rFonts w:ascii="Arial" w:eastAsiaTheme="minorHAnsi" w:hAnsi="Arial" w:cs="Arial"/>
          <w:sz w:val="24"/>
          <w:szCs w:val="24"/>
        </w:rPr>
        <w:t xml:space="preserve">(2018) </w:t>
      </w:r>
      <w:r w:rsidRPr="006050A9">
        <w:rPr>
          <w:rFonts w:ascii="Arial" w:eastAsiaTheme="minorHAnsi" w:hAnsi="Arial" w:cs="Arial"/>
          <w:i/>
          <w:iCs/>
          <w:sz w:val="24"/>
          <w:szCs w:val="24"/>
        </w:rPr>
        <w:t>Measuring development trust impact</w:t>
      </w:r>
      <w:r w:rsidRPr="006050A9">
        <w:rPr>
          <w:rFonts w:ascii="Arial" w:eastAsiaTheme="minorHAnsi" w:hAnsi="Arial" w:cs="Arial"/>
          <w:sz w:val="24"/>
          <w:szCs w:val="24"/>
        </w:rPr>
        <w:t xml:space="preserve">. Available at: </w:t>
      </w:r>
      <w:hyperlink r:id="rId48" w:history="1">
        <w:r w:rsidRPr="006050A9">
          <w:rPr>
            <w:rFonts w:ascii="Arial" w:eastAsiaTheme="minorHAnsi" w:hAnsi="Arial" w:cs="Arial"/>
            <w:color w:val="0563C1" w:themeColor="hyperlink"/>
            <w:sz w:val="24"/>
            <w:szCs w:val="24"/>
            <w:u w:val="single"/>
          </w:rPr>
          <w:t>https://dtawales.org.uk/resouces/</w:t>
        </w:r>
      </w:hyperlink>
      <w:r w:rsidRPr="006050A9">
        <w:rPr>
          <w:rFonts w:ascii="Arial" w:eastAsiaTheme="minorHAnsi" w:hAnsi="Arial" w:cs="Arial"/>
          <w:sz w:val="24"/>
          <w:szCs w:val="24"/>
        </w:rPr>
        <w:t xml:space="preserve"> (Accessed: 2nd July 2022).</w:t>
      </w:r>
    </w:p>
    <w:p w14:paraId="309112E2" w14:textId="33E8FBAE" w:rsidR="00E256D4" w:rsidRPr="006050A9" w:rsidRDefault="00E256D4" w:rsidP="00E256D4">
      <w:pPr>
        <w:spacing w:after="160" w:line="259" w:lineRule="auto"/>
        <w:rPr>
          <w:rFonts w:ascii="Arial" w:eastAsiaTheme="minorHAnsi" w:hAnsi="Arial" w:cs="Arial"/>
          <w:sz w:val="24"/>
          <w:szCs w:val="24"/>
        </w:rPr>
      </w:pPr>
      <w:r w:rsidRPr="00E256D4">
        <w:rPr>
          <w:rFonts w:ascii="Arial" w:eastAsiaTheme="minorHAnsi" w:hAnsi="Arial" w:cs="Arial"/>
          <w:sz w:val="24"/>
          <w:szCs w:val="24"/>
        </w:rPr>
        <w:t xml:space="preserve">Dudovskiy, J (2022) </w:t>
      </w:r>
      <w:r w:rsidRPr="00E256D4">
        <w:rPr>
          <w:rFonts w:ascii="Arial" w:eastAsiaTheme="minorHAnsi" w:hAnsi="Arial" w:cs="Arial"/>
          <w:i/>
          <w:iCs/>
          <w:sz w:val="24"/>
          <w:szCs w:val="24"/>
        </w:rPr>
        <w:t>Purposive sampling</w:t>
      </w:r>
      <w:r w:rsidRPr="00E256D4">
        <w:rPr>
          <w:rFonts w:ascii="Arial" w:eastAsiaTheme="minorHAnsi" w:hAnsi="Arial" w:cs="Arial"/>
          <w:sz w:val="24"/>
          <w:szCs w:val="24"/>
        </w:rPr>
        <w:t xml:space="preserve">. Available at: </w:t>
      </w:r>
      <w:hyperlink r:id="rId49" w:history="1">
        <w:r w:rsidRPr="00E256D4">
          <w:rPr>
            <w:rFonts w:ascii="Arial" w:eastAsiaTheme="minorHAnsi" w:hAnsi="Arial" w:cs="Arial"/>
            <w:color w:val="0563C1"/>
            <w:sz w:val="24"/>
            <w:szCs w:val="24"/>
            <w:u w:val="single"/>
          </w:rPr>
          <w:t>https://research-methodology.net/sampling-in-primary-data-collection/purposive-sampling/</w:t>
        </w:r>
      </w:hyperlink>
      <w:r w:rsidRPr="00E256D4">
        <w:rPr>
          <w:rFonts w:ascii="Arial" w:eastAsiaTheme="minorHAnsi" w:hAnsi="Arial" w:cs="Arial"/>
          <w:sz w:val="24"/>
          <w:szCs w:val="24"/>
        </w:rPr>
        <w:t xml:space="preserve"> (Accessed 12 June 2022).</w:t>
      </w:r>
    </w:p>
    <w:p w14:paraId="59A2A73B"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Eiteljorg Museum (2022) </w:t>
      </w:r>
      <w:r w:rsidRPr="006050A9">
        <w:rPr>
          <w:rFonts w:ascii="Arial" w:eastAsiaTheme="minorHAnsi" w:hAnsi="Arial" w:cs="Arial"/>
          <w:i/>
          <w:iCs/>
          <w:sz w:val="24"/>
          <w:szCs w:val="24"/>
        </w:rPr>
        <w:t xml:space="preserve">Quest for the West. </w:t>
      </w:r>
      <w:r w:rsidRPr="006050A9">
        <w:rPr>
          <w:rFonts w:ascii="Arial" w:eastAsiaTheme="minorHAnsi" w:hAnsi="Arial" w:cs="Arial"/>
          <w:sz w:val="24"/>
          <w:szCs w:val="24"/>
        </w:rPr>
        <w:t xml:space="preserve">Available at: </w:t>
      </w:r>
      <w:hyperlink r:id="rId50" w:history="1">
        <w:r w:rsidRPr="006050A9">
          <w:rPr>
            <w:rFonts w:ascii="Arial" w:eastAsiaTheme="minorHAnsi" w:hAnsi="Arial" w:cs="Arial"/>
            <w:color w:val="0563C1" w:themeColor="hyperlink"/>
            <w:sz w:val="24"/>
            <w:szCs w:val="24"/>
            <w:u w:val="single"/>
          </w:rPr>
          <w:t>https://eiteljorg.org/quest-for-the-west/</w:t>
        </w:r>
      </w:hyperlink>
      <w:r w:rsidRPr="006050A9">
        <w:rPr>
          <w:rFonts w:ascii="Arial" w:eastAsiaTheme="minorHAnsi" w:hAnsi="Arial" w:cs="Arial"/>
          <w:sz w:val="24"/>
          <w:szCs w:val="24"/>
        </w:rPr>
        <w:t xml:space="preserve"> (Accessed: 9th July 2022).</w:t>
      </w:r>
    </w:p>
    <w:p w14:paraId="4FF66C15"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lastRenderedPageBreak/>
        <w:t xml:space="preserve">Evergreen Park Library (2021) </w:t>
      </w:r>
      <w:r w:rsidRPr="006050A9">
        <w:rPr>
          <w:rFonts w:ascii="Arial" w:eastAsiaTheme="minorHAnsi" w:hAnsi="Arial" w:cs="Arial"/>
          <w:i/>
          <w:iCs/>
          <w:sz w:val="24"/>
          <w:szCs w:val="24"/>
        </w:rPr>
        <w:t xml:space="preserve">Ready for Summer Reading fundraiser basket. </w:t>
      </w:r>
      <w:r w:rsidRPr="006050A9">
        <w:rPr>
          <w:rFonts w:ascii="Arial" w:eastAsiaTheme="minorHAnsi" w:hAnsi="Arial" w:cs="Arial"/>
          <w:sz w:val="24"/>
          <w:szCs w:val="24"/>
        </w:rPr>
        <w:t xml:space="preserve">Available at: </w:t>
      </w:r>
      <w:hyperlink r:id="rId51" w:history="1">
        <w:r w:rsidRPr="006050A9">
          <w:rPr>
            <w:rFonts w:ascii="Arial" w:eastAsiaTheme="minorHAnsi" w:hAnsi="Arial" w:cs="Arial"/>
            <w:color w:val="0563C1" w:themeColor="hyperlink"/>
            <w:sz w:val="24"/>
            <w:szCs w:val="24"/>
            <w:u w:val="single"/>
          </w:rPr>
          <w:t>https://evergreenparklibrary.librarymarket.com/events/ready-summer-reading-fundraiser-basket</w:t>
        </w:r>
      </w:hyperlink>
      <w:r w:rsidRPr="006050A9">
        <w:rPr>
          <w:rFonts w:ascii="Arial" w:eastAsiaTheme="minorHAnsi" w:hAnsi="Arial" w:cs="Arial"/>
          <w:sz w:val="24"/>
          <w:szCs w:val="24"/>
        </w:rPr>
        <w:t xml:space="preserve"> (Accessed: 16th July 2022).</w:t>
      </w:r>
    </w:p>
    <w:p w14:paraId="3B9D3FD0"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EveryLibrary Institute (2019) </w:t>
      </w:r>
      <w:r w:rsidRPr="006050A9">
        <w:rPr>
          <w:rFonts w:ascii="Arial" w:eastAsiaTheme="minorHAnsi" w:hAnsi="Arial" w:cs="Arial"/>
          <w:i/>
          <w:iCs/>
          <w:sz w:val="24"/>
          <w:szCs w:val="24"/>
        </w:rPr>
        <w:t>EveryLibrary Institute launches crowdfunding platform for libraries and literacy projects</w:t>
      </w:r>
      <w:r w:rsidRPr="006050A9">
        <w:rPr>
          <w:rFonts w:ascii="Arial" w:eastAsiaTheme="minorHAnsi" w:hAnsi="Arial" w:cs="Arial"/>
          <w:sz w:val="24"/>
          <w:szCs w:val="24"/>
        </w:rPr>
        <w:t xml:space="preserve">. Available at: </w:t>
      </w:r>
      <w:hyperlink r:id="rId52" w:history="1">
        <w:r w:rsidRPr="006050A9">
          <w:rPr>
            <w:rFonts w:ascii="Arial" w:eastAsiaTheme="minorHAnsi" w:hAnsi="Arial" w:cs="Arial"/>
            <w:color w:val="0563C1" w:themeColor="hyperlink"/>
            <w:sz w:val="24"/>
            <w:szCs w:val="24"/>
            <w:u w:val="single"/>
          </w:rPr>
          <w:t>https://www.everylibraryinstitute.org/launch_fundlibraries?_gl=1*1tqf68o*_ga*MTQ4MTA0ODcyMi4xNjU4MDgxODI2*_ga_VZK93MLXT3*MTY2NTE0NjcwMi4yLjEuMTY2NTE0Njc5OS4wLjAuMA</w:t>
        </w:r>
      </w:hyperlink>
      <w:r w:rsidRPr="006050A9">
        <w:rPr>
          <w:rFonts w:ascii="Arial" w:eastAsiaTheme="minorHAnsi" w:hAnsi="Arial" w:cs="Arial"/>
          <w:sz w:val="24"/>
          <w:szCs w:val="24"/>
        </w:rPr>
        <w:t xml:space="preserve"> (Accessed: 29th September 2022).</w:t>
      </w:r>
    </w:p>
    <w:p w14:paraId="1AA5F4C4" w14:textId="7DD51208"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Fidelity Charitable (2020) </w:t>
      </w:r>
      <w:r w:rsidRPr="006050A9">
        <w:rPr>
          <w:rFonts w:ascii="Arial" w:eastAsiaTheme="minorHAnsi" w:hAnsi="Arial" w:cs="Arial"/>
          <w:i/>
          <w:iCs/>
          <w:sz w:val="24"/>
          <w:szCs w:val="24"/>
        </w:rPr>
        <w:t xml:space="preserve">The role of volunteering in philanthropy. </w:t>
      </w:r>
      <w:r w:rsidRPr="006050A9">
        <w:rPr>
          <w:rFonts w:ascii="Arial" w:eastAsiaTheme="minorHAnsi" w:hAnsi="Arial" w:cs="Arial"/>
          <w:sz w:val="24"/>
          <w:szCs w:val="24"/>
        </w:rPr>
        <w:t xml:space="preserve">Available at: </w:t>
      </w:r>
      <w:hyperlink r:id="rId53" w:history="1">
        <w:r w:rsidRPr="006050A9">
          <w:rPr>
            <w:rFonts w:ascii="Arial" w:eastAsiaTheme="minorHAnsi" w:hAnsi="Arial" w:cs="Arial"/>
            <w:color w:val="0563C1" w:themeColor="hyperlink"/>
            <w:sz w:val="24"/>
            <w:szCs w:val="24"/>
            <w:u w:val="single"/>
          </w:rPr>
          <w:t>https://www.fidelitycharitable.org/content/dam/fc-public/docs/resources/the-role-of-volunteering-in-philanthropy.pdf</w:t>
        </w:r>
      </w:hyperlink>
      <w:r w:rsidRPr="006050A9">
        <w:rPr>
          <w:rFonts w:ascii="Arial" w:eastAsiaTheme="minorHAnsi" w:hAnsi="Arial" w:cs="Arial"/>
          <w:sz w:val="24"/>
          <w:szCs w:val="24"/>
        </w:rPr>
        <w:t xml:space="preserve"> (Accessed: 16th July 2022).</w:t>
      </w:r>
    </w:p>
    <w:p w14:paraId="7221A5F5" w14:textId="31168AF3" w:rsidR="00351C47" w:rsidRPr="006050A9" w:rsidRDefault="00351C47" w:rsidP="00351C47">
      <w:pPr>
        <w:spacing w:after="160" w:line="259" w:lineRule="auto"/>
        <w:rPr>
          <w:rFonts w:ascii="Arial" w:eastAsiaTheme="minorHAnsi" w:hAnsi="Arial" w:cs="Arial"/>
          <w:sz w:val="24"/>
          <w:szCs w:val="24"/>
        </w:rPr>
      </w:pPr>
      <w:r w:rsidRPr="00351C47">
        <w:rPr>
          <w:rFonts w:ascii="Arial" w:eastAsiaTheme="minorHAnsi" w:hAnsi="Arial" w:cs="Arial"/>
          <w:sz w:val="24"/>
          <w:szCs w:val="24"/>
        </w:rPr>
        <w:t xml:space="preserve">Flick, U. (2018) </w:t>
      </w:r>
      <w:r w:rsidRPr="00351C47">
        <w:rPr>
          <w:rFonts w:ascii="Arial" w:eastAsiaTheme="minorHAnsi" w:hAnsi="Arial" w:cs="Arial"/>
          <w:i/>
          <w:iCs/>
          <w:sz w:val="24"/>
          <w:szCs w:val="24"/>
        </w:rPr>
        <w:t>The Sage handbook of qualitative data collection</w:t>
      </w:r>
      <w:r w:rsidRPr="00351C47">
        <w:rPr>
          <w:rFonts w:ascii="Arial" w:eastAsiaTheme="minorHAnsi" w:hAnsi="Arial" w:cs="Arial"/>
          <w:sz w:val="24"/>
          <w:szCs w:val="24"/>
        </w:rPr>
        <w:t>. London: SAGE Publications Ltd.</w:t>
      </w:r>
    </w:p>
    <w:p w14:paraId="6BABD3C0"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Fulham Public Library (2022) </w:t>
      </w:r>
      <w:r w:rsidRPr="006050A9">
        <w:rPr>
          <w:rFonts w:ascii="Arial" w:eastAsiaTheme="minorHAnsi" w:hAnsi="Arial" w:cs="Arial"/>
          <w:i/>
          <w:iCs/>
          <w:sz w:val="24"/>
          <w:szCs w:val="24"/>
        </w:rPr>
        <w:t xml:space="preserve">Have your ceremony in Fulham Library. </w:t>
      </w:r>
      <w:r w:rsidRPr="006050A9">
        <w:rPr>
          <w:rFonts w:ascii="Arial" w:eastAsiaTheme="minorHAnsi" w:hAnsi="Arial" w:cs="Arial"/>
          <w:sz w:val="24"/>
          <w:szCs w:val="24"/>
        </w:rPr>
        <w:t xml:space="preserve">Available at: </w:t>
      </w:r>
      <w:hyperlink r:id="rId54" w:history="1">
        <w:r w:rsidRPr="006050A9">
          <w:rPr>
            <w:rFonts w:ascii="Arial" w:eastAsiaTheme="minorHAnsi" w:hAnsi="Arial" w:cs="Arial"/>
            <w:color w:val="0563C1" w:themeColor="hyperlink"/>
            <w:sz w:val="24"/>
            <w:szCs w:val="24"/>
            <w:u w:val="single"/>
          </w:rPr>
          <w:t>https://www.lbhf.gov.uk/libraries/find-your-library/fulham-library/have-your-ceremony-fulham-library</w:t>
        </w:r>
      </w:hyperlink>
      <w:r w:rsidRPr="006050A9">
        <w:rPr>
          <w:rFonts w:ascii="Arial" w:eastAsiaTheme="minorHAnsi" w:hAnsi="Arial" w:cs="Arial"/>
          <w:sz w:val="24"/>
          <w:szCs w:val="24"/>
        </w:rPr>
        <w:t xml:space="preserve"> (Accessed: 16th July 2022).</w:t>
      </w:r>
    </w:p>
    <w:p w14:paraId="39E750B4"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Fund Libraries (2022) </w:t>
      </w:r>
      <w:r w:rsidRPr="006050A9">
        <w:rPr>
          <w:rFonts w:ascii="Arial" w:eastAsiaTheme="minorHAnsi" w:hAnsi="Arial" w:cs="Arial"/>
          <w:i/>
          <w:iCs/>
          <w:sz w:val="24"/>
          <w:szCs w:val="24"/>
        </w:rPr>
        <w:t xml:space="preserve">Fund Libraries. </w:t>
      </w:r>
      <w:r w:rsidRPr="006050A9">
        <w:rPr>
          <w:rFonts w:ascii="Arial" w:eastAsiaTheme="minorHAnsi" w:hAnsi="Arial" w:cs="Arial"/>
          <w:sz w:val="24"/>
          <w:szCs w:val="24"/>
        </w:rPr>
        <w:t xml:space="preserve">Available at: </w:t>
      </w:r>
      <w:hyperlink r:id="rId55" w:history="1">
        <w:r w:rsidRPr="006050A9">
          <w:rPr>
            <w:rFonts w:ascii="Arial" w:eastAsiaTheme="minorHAnsi" w:hAnsi="Arial" w:cs="Arial"/>
            <w:color w:val="0563C1" w:themeColor="hyperlink"/>
            <w:sz w:val="24"/>
            <w:szCs w:val="24"/>
            <w:u w:val="single"/>
          </w:rPr>
          <w:t>https://www.fundlibraries.org/</w:t>
        </w:r>
      </w:hyperlink>
      <w:r w:rsidRPr="006050A9">
        <w:rPr>
          <w:rFonts w:ascii="Arial" w:eastAsiaTheme="minorHAnsi" w:hAnsi="Arial" w:cs="Arial"/>
          <w:sz w:val="24"/>
          <w:szCs w:val="24"/>
        </w:rPr>
        <w:t xml:space="preserve"> (Accessed: 29th September 2022). </w:t>
      </w:r>
    </w:p>
    <w:p w14:paraId="7A0FEF37" w14:textId="3E2044CA" w:rsidR="006050A9" w:rsidRPr="00630DCA"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Gerber, A. (2022) ‘Business As Unusual: LJ Survey Shows How Public Libraries Met The Pandemic’</w:t>
      </w:r>
      <w:r w:rsidR="00697BE5">
        <w:rPr>
          <w:rFonts w:ascii="Arial" w:eastAsiaTheme="minorHAnsi" w:hAnsi="Arial" w:cs="Arial"/>
          <w:sz w:val="24"/>
          <w:szCs w:val="24"/>
        </w:rPr>
        <w:t>s</w:t>
      </w:r>
      <w:r w:rsidRPr="006050A9">
        <w:rPr>
          <w:rFonts w:ascii="Arial" w:eastAsiaTheme="minorHAnsi" w:hAnsi="Arial" w:cs="Arial"/>
          <w:sz w:val="24"/>
          <w:szCs w:val="24"/>
        </w:rPr>
        <w:t xml:space="preserve"> Challenges To Fundraising’, </w:t>
      </w:r>
      <w:r w:rsidRPr="006050A9">
        <w:rPr>
          <w:rFonts w:ascii="Arial" w:eastAsiaTheme="minorHAnsi" w:hAnsi="Arial" w:cs="Arial"/>
          <w:i/>
          <w:iCs/>
          <w:sz w:val="24"/>
          <w:szCs w:val="24"/>
        </w:rPr>
        <w:t>Library Journal.</w:t>
      </w:r>
      <w:r w:rsidRPr="006050A9">
        <w:rPr>
          <w:rFonts w:ascii="Arial" w:eastAsiaTheme="minorHAnsi" w:hAnsi="Arial" w:cs="Arial"/>
          <w:sz w:val="24"/>
          <w:szCs w:val="24"/>
        </w:rPr>
        <w:t xml:space="preserve"> New York: MSI Information Services, 147(4), p. 30–.</w:t>
      </w:r>
    </w:p>
    <w:p w14:paraId="316C52C3" w14:textId="62728892" w:rsidR="00AD348C" w:rsidRPr="006050A9" w:rsidRDefault="00AD348C" w:rsidP="00AD348C">
      <w:pPr>
        <w:spacing w:after="160" w:line="259" w:lineRule="auto"/>
        <w:rPr>
          <w:rFonts w:ascii="Arial" w:eastAsiaTheme="minorHAnsi" w:hAnsi="Arial" w:cs="Arial"/>
          <w:sz w:val="24"/>
          <w:szCs w:val="24"/>
        </w:rPr>
      </w:pPr>
      <w:r w:rsidRPr="00AD348C">
        <w:rPr>
          <w:rFonts w:ascii="Arial" w:eastAsiaTheme="minorHAnsi" w:hAnsi="Arial" w:cs="Arial"/>
          <w:sz w:val="24"/>
          <w:szCs w:val="24"/>
        </w:rPr>
        <w:t xml:space="preserve">Given, L. (2008) ‘Purposive Sampling’ in Given, L. (ed), </w:t>
      </w:r>
      <w:r w:rsidRPr="00AD348C">
        <w:rPr>
          <w:rFonts w:ascii="Arial" w:eastAsiaTheme="minorHAnsi" w:hAnsi="Arial" w:cs="Arial"/>
          <w:i/>
          <w:iCs/>
          <w:sz w:val="24"/>
          <w:szCs w:val="24"/>
        </w:rPr>
        <w:t>The SAGE Encyclopedia of Qualitative Research Methods</w:t>
      </w:r>
      <w:r w:rsidRPr="00AD348C">
        <w:rPr>
          <w:rFonts w:ascii="Arial" w:eastAsiaTheme="minorHAnsi" w:hAnsi="Arial" w:cs="Arial"/>
          <w:sz w:val="24"/>
          <w:szCs w:val="24"/>
        </w:rPr>
        <w:t xml:space="preserve">. Thousand Oaks, CA: SAGE Publications, Inc. pp. 698 Available at: &lt;https://dx.doi.org/10.4135/9781412963909.n349&gt; (Accessed 12 Jun 2022). </w:t>
      </w:r>
    </w:p>
    <w:p w14:paraId="50590B6A"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GoFundMe (2021) </w:t>
      </w:r>
      <w:r w:rsidRPr="006050A9">
        <w:rPr>
          <w:rFonts w:ascii="Arial" w:eastAsiaTheme="minorHAnsi" w:hAnsi="Arial" w:cs="Arial"/>
          <w:i/>
          <w:iCs/>
          <w:sz w:val="24"/>
          <w:szCs w:val="24"/>
        </w:rPr>
        <w:t xml:space="preserve">2021 summer reading program “Tails &amp; Tales”. </w:t>
      </w:r>
      <w:r w:rsidRPr="006050A9">
        <w:rPr>
          <w:rFonts w:ascii="Arial" w:eastAsiaTheme="minorHAnsi" w:hAnsi="Arial" w:cs="Arial"/>
          <w:sz w:val="24"/>
          <w:szCs w:val="24"/>
        </w:rPr>
        <w:t xml:space="preserve">Available at: </w:t>
      </w:r>
      <w:hyperlink r:id="rId56" w:history="1">
        <w:r w:rsidRPr="006050A9">
          <w:rPr>
            <w:rFonts w:ascii="Arial" w:eastAsiaTheme="minorHAnsi" w:hAnsi="Arial" w:cs="Arial"/>
            <w:color w:val="0563C1" w:themeColor="hyperlink"/>
            <w:sz w:val="24"/>
            <w:szCs w:val="24"/>
            <w:u w:val="single"/>
          </w:rPr>
          <w:t>https://www.gofundme.com/f/2021-summer-reading-program-tails-tales</w:t>
        </w:r>
      </w:hyperlink>
      <w:r w:rsidRPr="006050A9">
        <w:rPr>
          <w:rFonts w:ascii="Arial" w:eastAsiaTheme="minorHAnsi" w:hAnsi="Arial" w:cs="Arial"/>
          <w:sz w:val="24"/>
          <w:szCs w:val="24"/>
        </w:rPr>
        <w:t xml:space="preserve"> (Accessed: 16th July 2022).</w:t>
      </w:r>
    </w:p>
    <w:p w14:paraId="0317B3DC"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 xml:space="preserve">Goodbox (2021) </w:t>
      </w:r>
      <w:r w:rsidRPr="006050A9">
        <w:rPr>
          <w:rFonts w:ascii="Arial" w:eastAsiaTheme="minorHAnsi" w:hAnsi="Arial" w:cs="Arial"/>
          <w:i/>
          <w:iCs/>
          <w:sz w:val="24"/>
          <w:szCs w:val="24"/>
        </w:rPr>
        <w:t xml:space="preserve">Our guide to social media for fundraising campaigns. </w:t>
      </w:r>
      <w:r w:rsidRPr="006050A9">
        <w:rPr>
          <w:rFonts w:ascii="Arial" w:eastAsiaTheme="minorHAnsi" w:hAnsi="Arial" w:cs="Arial"/>
          <w:sz w:val="24"/>
          <w:szCs w:val="24"/>
        </w:rPr>
        <w:t xml:space="preserve">Available at: </w:t>
      </w:r>
      <w:hyperlink r:id="rId57" w:history="1">
        <w:r w:rsidRPr="006050A9">
          <w:rPr>
            <w:rFonts w:ascii="Arial" w:eastAsiaTheme="minorHAnsi" w:hAnsi="Arial" w:cs="Arial"/>
            <w:color w:val="0563C1" w:themeColor="hyperlink"/>
            <w:sz w:val="24"/>
            <w:szCs w:val="24"/>
            <w:u w:val="single"/>
          </w:rPr>
          <w:t>https://www.goodbox.com/2021/10/the-best-social-media-fundraising-campaigns/</w:t>
        </w:r>
      </w:hyperlink>
      <w:r w:rsidRPr="006050A9">
        <w:rPr>
          <w:rFonts w:ascii="Arial" w:eastAsiaTheme="minorHAnsi" w:hAnsi="Arial" w:cs="Arial"/>
          <w:sz w:val="24"/>
          <w:szCs w:val="24"/>
        </w:rPr>
        <w:t xml:space="preserve"> (Accessed: 30th September 2022).</w:t>
      </w:r>
    </w:p>
    <w:p w14:paraId="3F5BA3F0" w14:textId="77777777" w:rsidR="006050A9" w:rsidRPr="006050A9" w:rsidRDefault="006050A9" w:rsidP="00FA35E4">
      <w:pPr>
        <w:spacing w:after="160" w:line="240" w:lineRule="auto"/>
        <w:rPr>
          <w:rFonts w:ascii="Arial" w:eastAsiaTheme="minorHAnsi" w:hAnsi="Arial" w:cs="Arial"/>
          <w:sz w:val="24"/>
          <w:szCs w:val="24"/>
        </w:rPr>
      </w:pPr>
      <w:r w:rsidRPr="006050A9">
        <w:rPr>
          <w:rFonts w:ascii="Arial" w:eastAsiaTheme="minorHAnsi" w:hAnsi="Arial" w:cs="Arial"/>
          <w:sz w:val="24"/>
          <w:szCs w:val="24"/>
        </w:rPr>
        <w:t>Goodbox (2022</w:t>
      </w:r>
      <w:r w:rsidRPr="006050A9">
        <w:rPr>
          <w:rFonts w:ascii="Arial" w:eastAsiaTheme="minorHAnsi" w:hAnsi="Arial" w:cs="Arial"/>
          <w:i/>
          <w:iCs/>
          <w:sz w:val="24"/>
          <w:szCs w:val="24"/>
        </w:rPr>
        <w:t xml:space="preserve">) Case studies. </w:t>
      </w:r>
      <w:r w:rsidRPr="006050A9">
        <w:rPr>
          <w:rFonts w:ascii="Arial" w:eastAsiaTheme="minorHAnsi" w:hAnsi="Arial" w:cs="Arial"/>
          <w:sz w:val="24"/>
          <w:szCs w:val="24"/>
        </w:rPr>
        <w:t xml:space="preserve">Available at: </w:t>
      </w:r>
      <w:hyperlink r:id="rId58" w:history="1">
        <w:r w:rsidRPr="006050A9">
          <w:rPr>
            <w:rFonts w:ascii="Arial" w:eastAsiaTheme="minorHAnsi" w:hAnsi="Arial" w:cs="Arial"/>
            <w:color w:val="0563C1" w:themeColor="hyperlink"/>
            <w:sz w:val="24"/>
            <w:szCs w:val="24"/>
            <w:u w:val="single"/>
          </w:rPr>
          <w:t>https://www.goodbox.com/category/case-studies/</w:t>
        </w:r>
      </w:hyperlink>
      <w:r w:rsidRPr="006050A9">
        <w:rPr>
          <w:rFonts w:ascii="Arial" w:eastAsiaTheme="minorHAnsi" w:hAnsi="Arial" w:cs="Arial"/>
          <w:sz w:val="24"/>
          <w:szCs w:val="24"/>
        </w:rPr>
        <w:t xml:space="preserve"> (Accessed: 30th September 2022).</w:t>
      </w:r>
    </w:p>
    <w:p w14:paraId="6859E63B" w14:textId="77777777" w:rsidR="000C4DCF" w:rsidRPr="000C4DCF" w:rsidRDefault="000C4DCF" w:rsidP="000C4DCF">
      <w:pPr>
        <w:spacing w:after="160" w:line="259" w:lineRule="auto"/>
        <w:rPr>
          <w:rFonts w:ascii="Arial" w:eastAsiaTheme="minorHAnsi" w:hAnsi="Arial" w:cs="Arial"/>
          <w:sz w:val="24"/>
          <w:szCs w:val="24"/>
        </w:rPr>
      </w:pPr>
      <w:r w:rsidRPr="000C4DCF">
        <w:rPr>
          <w:rFonts w:ascii="Arial" w:eastAsiaTheme="minorHAnsi" w:hAnsi="Arial" w:cs="Arial"/>
          <w:sz w:val="24"/>
          <w:szCs w:val="24"/>
        </w:rPr>
        <w:t xml:space="preserve">Gorman, G.E. et al. (2005) </w:t>
      </w:r>
      <w:r w:rsidRPr="000C4DCF">
        <w:rPr>
          <w:rFonts w:ascii="Arial" w:eastAsiaTheme="minorHAnsi" w:hAnsi="Arial" w:cs="Arial"/>
          <w:i/>
          <w:iCs/>
          <w:sz w:val="24"/>
          <w:szCs w:val="24"/>
        </w:rPr>
        <w:t>Qualitative research for the information professional: a practical handbook</w:t>
      </w:r>
      <w:r w:rsidRPr="000C4DCF">
        <w:rPr>
          <w:rFonts w:ascii="Arial" w:eastAsiaTheme="minorHAnsi" w:hAnsi="Arial" w:cs="Arial"/>
          <w:sz w:val="24"/>
          <w:szCs w:val="24"/>
        </w:rPr>
        <w:t>. 2nd ed. London: Facet.</w:t>
      </w:r>
    </w:p>
    <w:p w14:paraId="5BE25C58" w14:textId="77777777" w:rsidR="000C4DCF" w:rsidRPr="000C4DCF" w:rsidRDefault="000C4DCF" w:rsidP="000C4DCF">
      <w:pPr>
        <w:spacing w:after="160" w:line="259" w:lineRule="auto"/>
        <w:rPr>
          <w:rFonts w:ascii="Arial" w:eastAsiaTheme="minorHAnsi" w:hAnsi="Arial" w:cs="Arial"/>
          <w:sz w:val="24"/>
          <w:szCs w:val="24"/>
        </w:rPr>
      </w:pPr>
      <w:r w:rsidRPr="000C4DCF">
        <w:rPr>
          <w:rFonts w:ascii="Arial" w:eastAsiaTheme="minorHAnsi" w:hAnsi="Arial" w:cs="Arial"/>
          <w:sz w:val="24"/>
          <w:szCs w:val="24"/>
        </w:rPr>
        <w:t xml:space="preserve">Grix, J. (2004) </w:t>
      </w:r>
      <w:r w:rsidRPr="000C4DCF">
        <w:rPr>
          <w:rFonts w:ascii="Arial" w:eastAsiaTheme="minorHAnsi" w:hAnsi="Arial" w:cs="Arial"/>
          <w:i/>
          <w:iCs/>
          <w:sz w:val="24"/>
          <w:szCs w:val="24"/>
        </w:rPr>
        <w:t>The Foundations of Research</w:t>
      </w:r>
      <w:r w:rsidRPr="000C4DCF">
        <w:rPr>
          <w:rFonts w:ascii="Arial" w:eastAsiaTheme="minorHAnsi" w:hAnsi="Arial" w:cs="Arial"/>
          <w:sz w:val="24"/>
          <w:szCs w:val="24"/>
        </w:rPr>
        <w:t>. New York: Palgrave Macmillan Ltd.</w:t>
      </w:r>
    </w:p>
    <w:p w14:paraId="1727E60D" w14:textId="52552996" w:rsidR="00CF2243" w:rsidRPr="002B6842" w:rsidRDefault="000C4DCF" w:rsidP="000C4DCF">
      <w:pPr>
        <w:spacing w:after="160" w:line="259" w:lineRule="auto"/>
        <w:rPr>
          <w:rFonts w:ascii="Arial" w:eastAsiaTheme="minorHAnsi" w:hAnsi="Arial" w:cs="Arial"/>
          <w:sz w:val="24"/>
          <w:szCs w:val="24"/>
        </w:rPr>
      </w:pPr>
      <w:r w:rsidRPr="000C4DCF">
        <w:rPr>
          <w:rFonts w:ascii="Arial" w:eastAsiaTheme="minorHAnsi" w:hAnsi="Arial" w:cs="Arial"/>
          <w:sz w:val="24"/>
          <w:szCs w:val="24"/>
        </w:rPr>
        <w:t xml:space="preserve">Hackett, P.M.W., Schwarzenbach, J. and Jürgens, U.M. (2016) </w:t>
      </w:r>
      <w:r w:rsidRPr="000C4DCF">
        <w:rPr>
          <w:rFonts w:ascii="Arial" w:eastAsiaTheme="minorHAnsi" w:hAnsi="Arial" w:cs="Arial"/>
          <w:i/>
          <w:iCs/>
          <w:sz w:val="24"/>
          <w:szCs w:val="24"/>
        </w:rPr>
        <w:t>Consumer Psychology: A Study Guide to Qualitative Research Methods</w:t>
      </w:r>
      <w:r w:rsidRPr="000C4DCF">
        <w:rPr>
          <w:rFonts w:ascii="Arial" w:eastAsiaTheme="minorHAnsi" w:hAnsi="Arial" w:cs="Arial"/>
          <w:sz w:val="24"/>
          <w:szCs w:val="24"/>
        </w:rPr>
        <w:t>. 1st ed. Leverkusen: Verlag Barbara Budrich.</w:t>
      </w:r>
    </w:p>
    <w:p w14:paraId="108159D3" w14:textId="28294D90"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Harvey, A. (2018) </w:t>
      </w:r>
      <w:r w:rsidRPr="002B6842">
        <w:rPr>
          <w:rFonts w:ascii="Arial" w:eastAsiaTheme="minorHAnsi" w:hAnsi="Arial" w:cs="Arial"/>
          <w:i/>
          <w:iCs/>
          <w:sz w:val="24"/>
          <w:szCs w:val="24"/>
        </w:rPr>
        <w:t>Funding arts and culture in a time of austerity</w:t>
      </w:r>
      <w:r w:rsidRPr="002B6842">
        <w:rPr>
          <w:rFonts w:ascii="Arial" w:eastAsiaTheme="minorHAnsi" w:hAnsi="Arial" w:cs="Arial"/>
          <w:sz w:val="24"/>
          <w:szCs w:val="24"/>
        </w:rPr>
        <w:t xml:space="preserve">. Available at: </w:t>
      </w:r>
      <w:hyperlink r:id="rId59" w:history="1">
        <w:r w:rsidRPr="002B6842">
          <w:rPr>
            <w:rFonts w:ascii="Arial" w:eastAsiaTheme="minorHAnsi" w:hAnsi="Arial" w:cs="Arial"/>
            <w:color w:val="0563C1" w:themeColor="hyperlink"/>
            <w:sz w:val="24"/>
            <w:szCs w:val="24"/>
            <w:u w:val="single"/>
          </w:rPr>
          <w:t>https://en.powys.gov.uk/article/7469/Council-Accounts</w:t>
        </w:r>
      </w:hyperlink>
      <w:r w:rsidRPr="002B6842">
        <w:rPr>
          <w:rFonts w:ascii="Arial" w:eastAsiaTheme="minorHAnsi" w:hAnsi="Arial" w:cs="Arial"/>
          <w:sz w:val="24"/>
          <w:szCs w:val="24"/>
        </w:rPr>
        <w:t xml:space="preserve"> (Accessed: 11 March 2022).</w:t>
      </w:r>
    </w:p>
    <w:p w14:paraId="539160A2" w14:textId="62D532FF" w:rsidR="000C4DCF" w:rsidRPr="00630DCA" w:rsidRDefault="001E3481" w:rsidP="001E3481">
      <w:pPr>
        <w:spacing w:after="160" w:line="259" w:lineRule="auto"/>
        <w:rPr>
          <w:rFonts w:ascii="Arial" w:eastAsiaTheme="minorHAnsi" w:hAnsi="Arial" w:cs="Arial"/>
          <w:sz w:val="24"/>
          <w:szCs w:val="24"/>
        </w:rPr>
      </w:pPr>
      <w:r w:rsidRPr="001E3481">
        <w:rPr>
          <w:rFonts w:ascii="Arial" w:eastAsiaTheme="minorHAnsi" w:hAnsi="Arial" w:cs="Arial"/>
          <w:sz w:val="24"/>
          <w:szCs w:val="24"/>
        </w:rPr>
        <w:lastRenderedPageBreak/>
        <w:t xml:space="preserve">Iphofen, R. (2011) ‘Ethical decision making in qualitative research’, </w:t>
      </w:r>
      <w:r w:rsidRPr="001E3481">
        <w:rPr>
          <w:rFonts w:ascii="Arial" w:eastAsiaTheme="minorHAnsi" w:hAnsi="Arial" w:cs="Arial"/>
          <w:i/>
          <w:iCs/>
          <w:sz w:val="24"/>
          <w:szCs w:val="24"/>
        </w:rPr>
        <w:t>Qualitative research</w:t>
      </w:r>
      <w:r w:rsidRPr="001E3481">
        <w:rPr>
          <w:rFonts w:ascii="Arial" w:eastAsiaTheme="minorHAnsi" w:hAnsi="Arial" w:cs="Arial"/>
          <w:sz w:val="24"/>
          <w:szCs w:val="24"/>
        </w:rPr>
        <w:t>: QR, 11(4), pp. 443–446. doi:10.1177/1468794111404330.</w:t>
      </w:r>
    </w:p>
    <w:p w14:paraId="2E1F14C2" w14:textId="77777777" w:rsidR="00E53F3A" w:rsidRPr="00E53F3A" w:rsidRDefault="00E53F3A" w:rsidP="00FA35E4">
      <w:pPr>
        <w:spacing w:after="160" w:line="240" w:lineRule="auto"/>
        <w:rPr>
          <w:rFonts w:ascii="Arial" w:eastAsiaTheme="minorHAnsi" w:hAnsi="Arial" w:cs="Arial"/>
          <w:sz w:val="24"/>
          <w:szCs w:val="24"/>
        </w:rPr>
      </w:pPr>
      <w:r w:rsidRPr="00E53F3A">
        <w:rPr>
          <w:rFonts w:ascii="Arial" w:eastAsiaTheme="minorHAnsi" w:hAnsi="Arial" w:cs="Arial"/>
          <w:sz w:val="24"/>
          <w:szCs w:val="24"/>
        </w:rPr>
        <w:t xml:space="preserve">Jin, Y. and Min, L. (2021) ‘Public Benefits or Commercial Gains: Chinese Museums’ Online Activities in the Covid-19 Age’, </w:t>
      </w:r>
      <w:r w:rsidRPr="00E53F3A">
        <w:rPr>
          <w:rFonts w:ascii="Arial" w:eastAsiaTheme="minorHAnsi" w:hAnsi="Arial" w:cs="Arial"/>
          <w:i/>
          <w:iCs/>
          <w:sz w:val="24"/>
          <w:szCs w:val="24"/>
        </w:rPr>
        <w:t>Museum international</w:t>
      </w:r>
      <w:r w:rsidRPr="00E53F3A">
        <w:rPr>
          <w:rFonts w:ascii="Arial" w:eastAsiaTheme="minorHAnsi" w:hAnsi="Arial" w:cs="Arial"/>
          <w:sz w:val="24"/>
          <w:szCs w:val="24"/>
        </w:rPr>
        <w:t>. English ed. Oxford: Routledge, 73(3-4), pp. 32–43. DOI: 10.1080/13500775.2021.2016273.</w:t>
      </w:r>
    </w:p>
    <w:p w14:paraId="796C2C0B" w14:textId="5A66E24C" w:rsidR="00E53F3A" w:rsidRPr="00630DCA" w:rsidRDefault="00E53F3A" w:rsidP="00FA35E4">
      <w:pPr>
        <w:spacing w:after="160" w:line="240" w:lineRule="auto"/>
        <w:rPr>
          <w:rFonts w:ascii="Arial" w:eastAsiaTheme="minorHAnsi" w:hAnsi="Arial" w:cs="Arial"/>
          <w:sz w:val="24"/>
          <w:szCs w:val="24"/>
        </w:rPr>
      </w:pPr>
      <w:r w:rsidRPr="00E53F3A">
        <w:rPr>
          <w:rFonts w:ascii="Arial" w:eastAsiaTheme="minorHAnsi" w:hAnsi="Arial" w:cs="Arial"/>
          <w:sz w:val="24"/>
          <w:szCs w:val="24"/>
        </w:rPr>
        <w:t xml:space="preserve">Kernochan, R. (2016) Fundraising in American Public Libraries: An Overview, </w:t>
      </w:r>
      <w:r w:rsidRPr="00E53F3A">
        <w:rPr>
          <w:rFonts w:ascii="Arial" w:eastAsiaTheme="minorHAnsi" w:hAnsi="Arial" w:cs="Arial"/>
          <w:i/>
          <w:iCs/>
          <w:sz w:val="24"/>
          <w:szCs w:val="24"/>
        </w:rPr>
        <w:t>The Serials Librarian, 71:2</w:t>
      </w:r>
      <w:r w:rsidRPr="00E53F3A">
        <w:rPr>
          <w:rFonts w:ascii="Arial" w:eastAsiaTheme="minorHAnsi" w:hAnsi="Arial" w:cs="Arial"/>
          <w:sz w:val="24"/>
          <w:szCs w:val="24"/>
        </w:rPr>
        <w:t>, 132-137, DOI: 10.1080/0361526X.2016.1186580.</w:t>
      </w:r>
    </w:p>
    <w:p w14:paraId="380453B4" w14:textId="3AC92C29" w:rsidR="00B652F5" w:rsidRPr="00E53F3A" w:rsidRDefault="00B652F5" w:rsidP="00B652F5">
      <w:pPr>
        <w:spacing w:after="160" w:line="259" w:lineRule="auto"/>
        <w:rPr>
          <w:rFonts w:ascii="Arial" w:eastAsiaTheme="minorHAnsi" w:hAnsi="Arial" w:cs="Arial"/>
          <w:sz w:val="24"/>
          <w:szCs w:val="24"/>
        </w:rPr>
      </w:pPr>
      <w:r w:rsidRPr="00B652F5">
        <w:rPr>
          <w:rFonts w:ascii="Arial" w:eastAsiaTheme="minorHAnsi" w:hAnsi="Arial" w:cs="Arial"/>
          <w:sz w:val="24"/>
          <w:szCs w:val="24"/>
        </w:rPr>
        <w:t xml:space="preserve">Kiger, M. E., and Varpio, L. (2020): Thematic analysis of qualitative data: AMEE Guide No. 131, </w:t>
      </w:r>
      <w:r w:rsidRPr="00B652F5">
        <w:rPr>
          <w:rFonts w:ascii="Arial" w:eastAsiaTheme="minorHAnsi" w:hAnsi="Arial" w:cs="Arial"/>
          <w:i/>
          <w:iCs/>
          <w:sz w:val="24"/>
          <w:szCs w:val="24"/>
        </w:rPr>
        <w:t>Medical Teacher</w:t>
      </w:r>
      <w:r w:rsidRPr="00B652F5">
        <w:rPr>
          <w:rFonts w:ascii="Arial" w:eastAsiaTheme="minorHAnsi" w:hAnsi="Arial" w:cs="Arial"/>
          <w:sz w:val="24"/>
          <w:szCs w:val="24"/>
        </w:rPr>
        <w:t>, DOI: 10.1080/0142159X.2020.1755030.</w:t>
      </w:r>
    </w:p>
    <w:p w14:paraId="06C98EE6" w14:textId="52B0048C" w:rsidR="00E53F3A" w:rsidRPr="00630DCA" w:rsidRDefault="00E53F3A" w:rsidP="00FA35E4">
      <w:pPr>
        <w:spacing w:after="160" w:line="240" w:lineRule="auto"/>
        <w:rPr>
          <w:rFonts w:ascii="Arial" w:eastAsiaTheme="minorHAnsi" w:hAnsi="Arial" w:cs="Arial"/>
          <w:sz w:val="24"/>
          <w:szCs w:val="24"/>
        </w:rPr>
      </w:pPr>
      <w:r w:rsidRPr="00E53F3A">
        <w:rPr>
          <w:rFonts w:ascii="Arial" w:eastAsiaTheme="minorHAnsi" w:hAnsi="Arial" w:cs="Arial"/>
          <w:sz w:val="24"/>
          <w:szCs w:val="24"/>
        </w:rPr>
        <w:t xml:space="preserve">Kitchener Public Library (2022) </w:t>
      </w:r>
      <w:r w:rsidRPr="00E53F3A">
        <w:rPr>
          <w:rFonts w:ascii="Arial" w:eastAsiaTheme="minorHAnsi" w:hAnsi="Arial" w:cs="Arial"/>
          <w:i/>
          <w:iCs/>
          <w:sz w:val="24"/>
          <w:szCs w:val="24"/>
        </w:rPr>
        <w:t xml:space="preserve">Ceremonies in the Stacks. </w:t>
      </w:r>
      <w:r w:rsidRPr="00E53F3A">
        <w:rPr>
          <w:rFonts w:ascii="Arial" w:eastAsiaTheme="minorHAnsi" w:hAnsi="Arial" w:cs="Arial"/>
          <w:sz w:val="24"/>
          <w:szCs w:val="24"/>
        </w:rPr>
        <w:t xml:space="preserve">Available at: </w:t>
      </w:r>
      <w:hyperlink r:id="rId60" w:history="1">
        <w:r w:rsidRPr="00E53F3A">
          <w:rPr>
            <w:rFonts w:ascii="Arial" w:eastAsiaTheme="minorHAnsi" w:hAnsi="Arial" w:cs="Arial"/>
            <w:color w:val="0563C1" w:themeColor="hyperlink"/>
            <w:sz w:val="24"/>
            <w:szCs w:val="24"/>
            <w:u w:val="single"/>
          </w:rPr>
          <w:t>https://www.kpl.org/cits</w:t>
        </w:r>
      </w:hyperlink>
      <w:r w:rsidRPr="00E53F3A">
        <w:rPr>
          <w:rFonts w:ascii="Arial" w:eastAsiaTheme="minorHAnsi" w:hAnsi="Arial" w:cs="Arial"/>
          <w:sz w:val="24"/>
          <w:szCs w:val="24"/>
        </w:rPr>
        <w:t xml:space="preserve">. (Accessed: 16th July 2022). </w:t>
      </w:r>
    </w:p>
    <w:p w14:paraId="45AB5F07" w14:textId="0DC8F57A" w:rsidR="00B652F5" w:rsidRPr="00630DCA" w:rsidRDefault="00564252" w:rsidP="00564252">
      <w:pPr>
        <w:spacing w:after="160" w:line="259" w:lineRule="auto"/>
        <w:rPr>
          <w:rFonts w:ascii="Arial" w:eastAsiaTheme="minorHAnsi" w:hAnsi="Arial" w:cs="Arial"/>
          <w:sz w:val="24"/>
          <w:szCs w:val="24"/>
        </w:rPr>
      </w:pPr>
      <w:r w:rsidRPr="00564252">
        <w:rPr>
          <w:rFonts w:ascii="Arial" w:eastAsiaTheme="minorHAnsi" w:hAnsi="Arial" w:cs="Arial"/>
          <w:sz w:val="24"/>
          <w:szCs w:val="24"/>
        </w:rPr>
        <w:t xml:space="preserve">Kumar, R. (2014). </w:t>
      </w:r>
      <w:r w:rsidRPr="00564252">
        <w:rPr>
          <w:rFonts w:ascii="Arial" w:eastAsiaTheme="minorHAnsi" w:hAnsi="Arial" w:cs="Arial"/>
          <w:i/>
          <w:iCs/>
          <w:sz w:val="24"/>
          <w:szCs w:val="24"/>
        </w:rPr>
        <w:t>Research Methodology</w:t>
      </w:r>
      <w:r w:rsidRPr="00564252">
        <w:rPr>
          <w:rFonts w:ascii="Arial" w:eastAsiaTheme="minorHAnsi" w:hAnsi="Arial" w:cs="Arial"/>
          <w:sz w:val="24"/>
          <w:szCs w:val="24"/>
        </w:rPr>
        <w:t xml:space="preserve">. 4th ed. London: Sage Publications Ltd. Available at: </w:t>
      </w:r>
      <w:hyperlink r:id="rId61" w:history="1">
        <w:r w:rsidRPr="00564252">
          <w:rPr>
            <w:rFonts w:ascii="Arial" w:eastAsiaTheme="minorHAnsi" w:hAnsi="Arial" w:cs="Arial"/>
            <w:color w:val="0563C1" w:themeColor="hyperlink"/>
            <w:sz w:val="24"/>
            <w:szCs w:val="24"/>
            <w:u w:val="single"/>
          </w:rPr>
          <w:t>https://www.academia.edu/33999877/Ranjit_Kumar_Research_Methodology_A_Step_by_Step_G?msclkid=9f7ce0cbbd8011ec8f63ea867933bd26</w:t>
        </w:r>
      </w:hyperlink>
      <w:r w:rsidRPr="00564252">
        <w:rPr>
          <w:rFonts w:ascii="Arial" w:eastAsiaTheme="minorHAnsi" w:hAnsi="Arial" w:cs="Arial"/>
          <w:sz w:val="24"/>
          <w:szCs w:val="24"/>
        </w:rPr>
        <w:t xml:space="preserve"> (Accessed 16 April 2022).</w:t>
      </w:r>
    </w:p>
    <w:p w14:paraId="640DC227" w14:textId="77777777" w:rsidR="002D1356" w:rsidRPr="002D1356" w:rsidRDefault="002D1356" w:rsidP="002D1356">
      <w:pPr>
        <w:spacing w:after="160" w:line="259" w:lineRule="auto"/>
        <w:rPr>
          <w:rFonts w:ascii="Arial" w:eastAsiaTheme="minorHAnsi" w:hAnsi="Arial" w:cs="Arial"/>
          <w:sz w:val="24"/>
          <w:szCs w:val="24"/>
        </w:rPr>
      </w:pPr>
      <w:r w:rsidRPr="002D1356">
        <w:rPr>
          <w:rFonts w:ascii="Arial" w:eastAsiaTheme="minorHAnsi" w:hAnsi="Arial" w:cs="Arial"/>
          <w:sz w:val="24"/>
          <w:szCs w:val="24"/>
        </w:rPr>
        <w:t>Lewis-Beck, M. S., Bryman, A. and Liao, T. F. (2004) ‘Philosophy of Social Research’ in Lewis-Beck, M.S., Bryman, A.  and Liao, T.  (eds). </w:t>
      </w:r>
      <w:r w:rsidRPr="002D1356">
        <w:rPr>
          <w:rFonts w:ascii="Arial" w:eastAsiaTheme="minorHAnsi" w:hAnsi="Arial" w:cs="Arial"/>
          <w:i/>
          <w:iCs/>
          <w:sz w:val="24"/>
          <w:szCs w:val="24"/>
        </w:rPr>
        <w:t>The SAGE Encyclopedia of Social Science Research Methods</w:t>
      </w:r>
      <w:r w:rsidRPr="002D1356">
        <w:rPr>
          <w:rFonts w:ascii="Arial" w:eastAsiaTheme="minorHAnsi" w:hAnsi="Arial" w:cs="Arial"/>
          <w:sz w:val="24"/>
          <w:szCs w:val="24"/>
        </w:rPr>
        <w:t xml:space="preserve">, Thousand Oaks, CA: SAGE Publications, Inc. pp. 817-820 Available at: </w:t>
      </w:r>
      <w:hyperlink r:id="rId62" w:history="1">
        <w:r w:rsidRPr="002D1356">
          <w:rPr>
            <w:rFonts w:ascii="Arial" w:eastAsiaTheme="minorHAnsi" w:hAnsi="Arial" w:cs="Arial"/>
            <w:color w:val="0563C1" w:themeColor="hyperlink"/>
            <w:sz w:val="24"/>
            <w:szCs w:val="24"/>
            <w:u w:val="single"/>
          </w:rPr>
          <w:t>https://dx.doi.org/10.4135/9781412950589.n710</w:t>
        </w:r>
      </w:hyperlink>
      <w:r w:rsidRPr="002D1356">
        <w:rPr>
          <w:rFonts w:ascii="Arial" w:eastAsiaTheme="minorHAnsi" w:hAnsi="Arial" w:cs="Arial"/>
          <w:sz w:val="24"/>
          <w:szCs w:val="24"/>
        </w:rPr>
        <w:t xml:space="preserve"> (Accessed 16 Apr 2022).</w:t>
      </w:r>
    </w:p>
    <w:p w14:paraId="717E0988" w14:textId="5D8A413B" w:rsidR="00564252" w:rsidRPr="002B6842" w:rsidRDefault="002D1356" w:rsidP="00564252">
      <w:pPr>
        <w:spacing w:after="160" w:line="259" w:lineRule="auto"/>
        <w:rPr>
          <w:rFonts w:ascii="Arial" w:eastAsiaTheme="minorHAnsi" w:hAnsi="Arial" w:cs="Arial"/>
          <w:sz w:val="24"/>
          <w:szCs w:val="24"/>
        </w:rPr>
      </w:pPr>
      <w:r w:rsidRPr="002D1356">
        <w:rPr>
          <w:rFonts w:ascii="Arial" w:eastAsiaTheme="minorHAnsi" w:hAnsi="Arial" w:cs="Arial"/>
          <w:sz w:val="24"/>
          <w:szCs w:val="24"/>
        </w:rPr>
        <w:t xml:space="preserve">Lewis-Beck, M. S., Bryman, A. and Liao, T. F. (2004) ‘Semistructured Interview’, Lewis-Beck, M.S., Bryman, A. and Liao, T. (eds). </w:t>
      </w:r>
      <w:r w:rsidRPr="002D1356">
        <w:rPr>
          <w:rFonts w:ascii="Arial" w:eastAsiaTheme="minorHAnsi" w:hAnsi="Arial" w:cs="Arial"/>
          <w:i/>
          <w:iCs/>
          <w:sz w:val="24"/>
          <w:szCs w:val="24"/>
        </w:rPr>
        <w:t>The SAGE Encyclopedia of Social Science Research Methods</w:t>
      </w:r>
      <w:r w:rsidRPr="002D1356">
        <w:rPr>
          <w:rFonts w:ascii="Arial" w:eastAsiaTheme="minorHAnsi" w:hAnsi="Arial" w:cs="Arial"/>
          <w:sz w:val="24"/>
          <w:szCs w:val="24"/>
        </w:rPr>
        <w:t xml:space="preserve">, Thousand Oaks, CA: SAGE Publications, Inc. pp. 1021 Available at: </w:t>
      </w:r>
      <w:hyperlink r:id="rId63" w:history="1">
        <w:r w:rsidRPr="002D1356">
          <w:rPr>
            <w:rFonts w:ascii="Arial" w:eastAsiaTheme="minorHAnsi" w:hAnsi="Arial" w:cs="Arial"/>
            <w:color w:val="0563C1" w:themeColor="hyperlink"/>
            <w:sz w:val="24"/>
            <w:szCs w:val="24"/>
            <w:u w:val="single"/>
          </w:rPr>
          <w:t>https://dx.doi.org/10.4135/9781412950589.n909</w:t>
        </w:r>
      </w:hyperlink>
      <w:r w:rsidRPr="002D1356">
        <w:rPr>
          <w:rFonts w:ascii="Arial" w:eastAsiaTheme="minorHAnsi" w:hAnsi="Arial" w:cs="Arial"/>
          <w:sz w:val="24"/>
          <w:szCs w:val="24"/>
        </w:rPr>
        <w:t xml:space="preserve"> (Accessed 12 Jun 2022).</w:t>
      </w:r>
    </w:p>
    <w:p w14:paraId="4D5FAA59" w14:textId="21F3A85E"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Libraries Connected (2022) </w:t>
      </w:r>
      <w:r w:rsidRPr="002B6842">
        <w:rPr>
          <w:rFonts w:ascii="Arial" w:eastAsiaTheme="minorHAnsi" w:hAnsi="Arial" w:cs="Arial"/>
          <w:i/>
          <w:iCs/>
          <w:sz w:val="24"/>
          <w:szCs w:val="24"/>
        </w:rPr>
        <w:t xml:space="preserve">Future Funding programme. </w:t>
      </w:r>
      <w:r w:rsidRPr="002B6842">
        <w:rPr>
          <w:rFonts w:ascii="Arial" w:eastAsiaTheme="minorHAnsi" w:hAnsi="Arial" w:cs="Arial"/>
          <w:sz w:val="24"/>
          <w:szCs w:val="24"/>
        </w:rPr>
        <w:t xml:space="preserve">Available at: </w:t>
      </w:r>
      <w:hyperlink r:id="rId64" w:history="1">
        <w:r w:rsidRPr="002B6842">
          <w:rPr>
            <w:rFonts w:ascii="Arial" w:eastAsiaTheme="minorHAnsi" w:hAnsi="Arial" w:cs="Arial"/>
            <w:color w:val="0563C1" w:themeColor="hyperlink"/>
            <w:sz w:val="24"/>
            <w:szCs w:val="24"/>
            <w:u w:val="single"/>
          </w:rPr>
          <w:t>https://www.librariesconnected.org.uk/page/future-funding-programme</w:t>
        </w:r>
      </w:hyperlink>
      <w:r w:rsidRPr="002B6842">
        <w:rPr>
          <w:rFonts w:ascii="Arial" w:eastAsiaTheme="minorHAnsi" w:hAnsi="Arial" w:cs="Arial"/>
          <w:sz w:val="24"/>
          <w:szCs w:val="24"/>
        </w:rPr>
        <w:t xml:space="preserve"> (Accessed 12 March 2022).</w:t>
      </w:r>
    </w:p>
    <w:p w14:paraId="32249CDD"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Libraries Unlimited (2022) </w:t>
      </w:r>
      <w:r w:rsidRPr="00785958">
        <w:rPr>
          <w:rFonts w:ascii="Arial" w:eastAsiaTheme="minorHAnsi" w:hAnsi="Arial" w:cs="Arial"/>
          <w:i/>
          <w:iCs/>
          <w:sz w:val="24"/>
          <w:szCs w:val="24"/>
        </w:rPr>
        <w:t xml:space="preserve">Leave a legacy. </w:t>
      </w:r>
      <w:r w:rsidRPr="00785958">
        <w:rPr>
          <w:rFonts w:ascii="Arial" w:eastAsiaTheme="minorHAnsi" w:hAnsi="Arial" w:cs="Arial"/>
          <w:sz w:val="24"/>
          <w:szCs w:val="24"/>
        </w:rPr>
        <w:t xml:space="preserve">Available at: </w:t>
      </w:r>
      <w:hyperlink r:id="rId65" w:history="1">
        <w:r w:rsidRPr="00785958">
          <w:rPr>
            <w:rFonts w:ascii="Arial" w:eastAsiaTheme="minorHAnsi" w:hAnsi="Arial" w:cs="Arial"/>
            <w:color w:val="0563C1" w:themeColor="hyperlink"/>
            <w:sz w:val="24"/>
            <w:szCs w:val="24"/>
            <w:u w:val="single"/>
          </w:rPr>
          <w:t>https://www.librariesunlimited.org.uk/support-us/legacy/</w:t>
        </w:r>
      </w:hyperlink>
      <w:r w:rsidRPr="00785958">
        <w:rPr>
          <w:rFonts w:ascii="Arial" w:eastAsiaTheme="minorHAnsi" w:hAnsi="Arial" w:cs="Arial"/>
          <w:sz w:val="24"/>
          <w:szCs w:val="24"/>
        </w:rPr>
        <w:t xml:space="preserve"> (Accessed: 2nd October 2022).</w:t>
      </w:r>
    </w:p>
    <w:p w14:paraId="41A2A433"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Library Campaign (2022) </w:t>
      </w:r>
      <w:r w:rsidRPr="00785958">
        <w:rPr>
          <w:rFonts w:ascii="Arial" w:eastAsiaTheme="minorHAnsi" w:hAnsi="Arial" w:cs="Arial"/>
          <w:i/>
          <w:iCs/>
          <w:sz w:val="24"/>
          <w:szCs w:val="24"/>
        </w:rPr>
        <w:t xml:space="preserve">Library Groups and Campaigns. </w:t>
      </w:r>
      <w:r w:rsidRPr="00785958">
        <w:rPr>
          <w:rFonts w:ascii="Arial" w:eastAsiaTheme="minorHAnsi" w:hAnsi="Arial" w:cs="Arial"/>
          <w:sz w:val="24"/>
          <w:szCs w:val="24"/>
        </w:rPr>
        <w:t xml:space="preserve">Available at: </w:t>
      </w:r>
      <w:hyperlink r:id="rId66" w:history="1">
        <w:r w:rsidRPr="00785958">
          <w:rPr>
            <w:rFonts w:ascii="Arial" w:eastAsiaTheme="minorHAnsi" w:hAnsi="Arial" w:cs="Arial"/>
            <w:color w:val="0563C1" w:themeColor="hyperlink"/>
            <w:sz w:val="24"/>
            <w:szCs w:val="24"/>
            <w:u w:val="single"/>
          </w:rPr>
          <w:t>https://librarycampaign.com/friends-groups/</w:t>
        </w:r>
      </w:hyperlink>
      <w:r w:rsidRPr="00785958">
        <w:rPr>
          <w:rFonts w:ascii="Arial" w:eastAsiaTheme="minorHAnsi" w:hAnsi="Arial" w:cs="Arial"/>
          <w:sz w:val="24"/>
          <w:szCs w:val="24"/>
        </w:rPr>
        <w:t xml:space="preserve"> (Accessed: 9th July 2022).</w:t>
      </w:r>
    </w:p>
    <w:p w14:paraId="1782112C" w14:textId="77777777" w:rsidR="00785958" w:rsidRPr="00785958" w:rsidRDefault="00785958" w:rsidP="00FA35E4">
      <w:pPr>
        <w:spacing w:after="160" w:line="240" w:lineRule="auto"/>
        <w:rPr>
          <w:rFonts w:ascii="Arial" w:eastAsiaTheme="minorHAnsi" w:hAnsi="Arial" w:cs="Arial"/>
          <w:sz w:val="24"/>
          <w:szCs w:val="24"/>
        </w:rPr>
      </w:pPr>
      <w:r w:rsidRPr="00785958">
        <w:rPr>
          <w:rFonts w:ascii="Arial" w:eastAsiaTheme="minorHAnsi" w:hAnsi="Arial" w:cs="Arial"/>
          <w:sz w:val="24"/>
          <w:szCs w:val="24"/>
        </w:rPr>
        <w:t xml:space="preserve">Library Giving Day (2022) </w:t>
      </w:r>
      <w:r w:rsidRPr="00785958">
        <w:rPr>
          <w:rFonts w:ascii="Arial" w:eastAsiaTheme="minorHAnsi" w:hAnsi="Arial" w:cs="Arial"/>
          <w:i/>
          <w:iCs/>
          <w:sz w:val="24"/>
          <w:szCs w:val="24"/>
        </w:rPr>
        <w:t xml:space="preserve">Library Giving Day. </w:t>
      </w:r>
      <w:r w:rsidRPr="00785958">
        <w:rPr>
          <w:rFonts w:ascii="Arial" w:eastAsiaTheme="minorHAnsi" w:hAnsi="Arial" w:cs="Arial"/>
          <w:sz w:val="24"/>
          <w:szCs w:val="24"/>
        </w:rPr>
        <w:t xml:space="preserve">Available at: </w:t>
      </w:r>
      <w:hyperlink r:id="rId67" w:history="1">
        <w:r w:rsidRPr="00785958">
          <w:rPr>
            <w:rFonts w:ascii="Arial" w:eastAsiaTheme="minorHAnsi" w:hAnsi="Arial" w:cs="Arial"/>
            <w:color w:val="0563C1" w:themeColor="hyperlink"/>
            <w:sz w:val="24"/>
            <w:szCs w:val="24"/>
            <w:u w:val="single"/>
          </w:rPr>
          <w:t>https://librarygivingday.org/</w:t>
        </w:r>
      </w:hyperlink>
      <w:r w:rsidRPr="00785958">
        <w:rPr>
          <w:rFonts w:ascii="Arial" w:eastAsiaTheme="minorHAnsi" w:hAnsi="Arial" w:cs="Arial"/>
          <w:sz w:val="24"/>
          <w:szCs w:val="24"/>
        </w:rPr>
        <w:t xml:space="preserve"> (Accessed: 30th September 2022).</w:t>
      </w:r>
    </w:p>
    <w:p w14:paraId="1B8EE64F" w14:textId="1B67D15B" w:rsidR="00E53F3A" w:rsidRPr="002B6842" w:rsidRDefault="00785958" w:rsidP="00FA35E4">
      <w:pPr>
        <w:spacing w:after="160" w:line="240" w:lineRule="auto"/>
        <w:rPr>
          <w:rFonts w:ascii="Arial" w:eastAsiaTheme="minorHAnsi" w:hAnsi="Arial" w:cs="Arial"/>
          <w:sz w:val="24"/>
          <w:szCs w:val="24"/>
        </w:rPr>
      </w:pPr>
      <w:bookmarkStart w:id="75" w:name="_Hlk116130885"/>
      <w:r w:rsidRPr="00785958">
        <w:rPr>
          <w:rFonts w:ascii="Arial" w:eastAsiaTheme="minorHAnsi" w:hAnsi="Arial" w:cs="Arial"/>
          <w:sz w:val="24"/>
          <w:szCs w:val="24"/>
        </w:rPr>
        <w:t xml:space="preserve">Liu, L., Suh, A. and Wagner, C. </w:t>
      </w:r>
      <w:bookmarkEnd w:id="75"/>
      <w:r w:rsidRPr="00785958">
        <w:rPr>
          <w:rFonts w:ascii="Arial" w:eastAsiaTheme="minorHAnsi" w:hAnsi="Arial" w:cs="Arial"/>
          <w:sz w:val="24"/>
          <w:szCs w:val="24"/>
        </w:rPr>
        <w:t>(2018) ‘Empathy or perceived credibility? An empirical study on individual donation behavior in charitable crowdfunding’, Internet research, 28(3), pp. 623–651. Available at: https://doi.org/10.1108/IntR-06-2017-0240.</w:t>
      </w:r>
    </w:p>
    <w:p w14:paraId="6A170919" w14:textId="06624721"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lastRenderedPageBreak/>
        <w:t xml:space="preserve">Locality (2015) </w:t>
      </w:r>
      <w:r w:rsidRPr="002B6842">
        <w:rPr>
          <w:rFonts w:ascii="Arial" w:eastAsiaTheme="minorHAnsi" w:hAnsi="Arial" w:cs="Arial"/>
          <w:i/>
          <w:iCs/>
          <w:sz w:val="24"/>
          <w:szCs w:val="24"/>
        </w:rPr>
        <w:t>Income Generation for Public Libraries: A Practical Guide for Library Service Commissioners and Providers in England</w:t>
      </w:r>
      <w:r w:rsidRPr="002B6842">
        <w:rPr>
          <w:rFonts w:ascii="Arial" w:eastAsiaTheme="minorHAnsi" w:hAnsi="Arial" w:cs="Arial"/>
          <w:sz w:val="24"/>
          <w:szCs w:val="24"/>
        </w:rPr>
        <w:t xml:space="preserve">. Available at: </w:t>
      </w:r>
      <w:hyperlink r:id="rId68" w:history="1">
        <w:r w:rsidRPr="002B6842">
          <w:rPr>
            <w:rFonts w:ascii="Arial" w:eastAsiaTheme="minorHAnsi" w:hAnsi="Arial" w:cs="Arial"/>
            <w:color w:val="0563C1" w:themeColor="hyperlink"/>
            <w:sz w:val="24"/>
            <w:szCs w:val="24"/>
            <w:u w:val="single"/>
          </w:rPr>
          <w:t>https://locality.org.uk/wp-content/uploads/2018/10/Income-Generation-for-Public-Libraries-Feb-2017.pdf</w:t>
        </w:r>
      </w:hyperlink>
      <w:r w:rsidRPr="002B6842">
        <w:rPr>
          <w:rFonts w:ascii="Arial" w:eastAsiaTheme="minorHAnsi" w:hAnsi="Arial" w:cs="Arial"/>
          <w:sz w:val="24"/>
          <w:szCs w:val="24"/>
        </w:rPr>
        <w:t xml:space="preserve"> (Accessed 12 February 2022)</w:t>
      </w:r>
    </w:p>
    <w:p w14:paraId="6EFDEB60" w14:textId="68EB35DD"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Madison Public Library (2022) </w:t>
      </w:r>
      <w:r w:rsidRPr="009279E9">
        <w:rPr>
          <w:rFonts w:ascii="Arial" w:eastAsiaTheme="minorHAnsi" w:hAnsi="Arial" w:cs="Arial"/>
          <w:i/>
          <w:iCs/>
          <w:sz w:val="24"/>
          <w:szCs w:val="24"/>
        </w:rPr>
        <w:t xml:space="preserve">Weddings at Central Library. </w:t>
      </w:r>
      <w:r w:rsidRPr="009279E9">
        <w:rPr>
          <w:rFonts w:ascii="Arial" w:eastAsiaTheme="minorHAnsi" w:hAnsi="Arial" w:cs="Arial"/>
          <w:sz w:val="24"/>
          <w:szCs w:val="24"/>
        </w:rPr>
        <w:t xml:space="preserve">Available at: </w:t>
      </w:r>
      <w:hyperlink r:id="rId69" w:history="1">
        <w:r w:rsidRPr="009279E9">
          <w:rPr>
            <w:rFonts w:ascii="Arial" w:eastAsiaTheme="minorHAnsi" w:hAnsi="Arial" w:cs="Arial"/>
            <w:color w:val="0563C1" w:themeColor="hyperlink"/>
            <w:sz w:val="24"/>
            <w:szCs w:val="24"/>
            <w:u w:val="single"/>
          </w:rPr>
          <w:t>https://www.madisonpubliclibrary.org/special-events/weddings</w:t>
        </w:r>
      </w:hyperlink>
      <w:r w:rsidRPr="009279E9">
        <w:rPr>
          <w:rFonts w:ascii="Arial" w:eastAsiaTheme="minorHAnsi" w:hAnsi="Arial" w:cs="Arial"/>
          <w:sz w:val="24"/>
          <w:szCs w:val="24"/>
        </w:rPr>
        <w:t xml:space="preserve"> (Accessed: 16th July 2022). </w:t>
      </w:r>
    </w:p>
    <w:p w14:paraId="227E3CA6" w14:textId="2E1FB037" w:rsidR="00BD3C13" w:rsidRPr="009279E9" w:rsidRDefault="003F4D59" w:rsidP="003F4D59">
      <w:pPr>
        <w:spacing w:after="160" w:line="259" w:lineRule="auto"/>
        <w:rPr>
          <w:rFonts w:ascii="Arial" w:eastAsiaTheme="minorHAnsi" w:hAnsi="Arial" w:cs="Arial"/>
          <w:sz w:val="24"/>
          <w:szCs w:val="24"/>
        </w:rPr>
      </w:pPr>
      <w:r w:rsidRPr="003F4D59">
        <w:rPr>
          <w:rFonts w:ascii="Arial" w:eastAsiaTheme="minorHAnsi" w:hAnsi="Arial" w:cs="Arial"/>
          <w:sz w:val="24"/>
          <w:szCs w:val="24"/>
        </w:rPr>
        <w:t xml:space="preserve">Magnusson, E. and Marecek, J. (2015) </w:t>
      </w:r>
      <w:r w:rsidRPr="003F4D59">
        <w:rPr>
          <w:rFonts w:ascii="Arial" w:eastAsiaTheme="minorHAnsi" w:hAnsi="Arial" w:cs="Arial"/>
          <w:i/>
          <w:iCs/>
          <w:sz w:val="24"/>
          <w:szCs w:val="24"/>
        </w:rPr>
        <w:t>Doing interview-based qualitative research: a learner’s guide</w:t>
      </w:r>
      <w:r w:rsidRPr="003F4D59">
        <w:rPr>
          <w:rFonts w:ascii="Arial" w:eastAsiaTheme="minorHAnsi" w:hAnsi="Arial" w:cs="Arial"/>
          <w:sz w:val="24"/>
          <w:szCs w:val="24"/>
        </w:rPr>
        <w:t>. 1st ed. Cambridge: Cambridge University Press.</w:t>
      </w:r>
    </w:p>
    <w:p w14:paraId="1E3BBF15" w14:textId="10B7F52A"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Manchester Central Library Development Trust (2022) </w:t>
      </w:r>
      <w:r w:rsidRPr="009279E9">
        <w:rPr>
          <w:rFonts w:ascii="Arial" w:eastAsiaTheme="minorHAnsi" w:hAnsi="Arial" w:cs="Arial"/>
          <w:i/>
          <w:iCs/>
          <w:sz w:val="24"/>
          <w:szCs w:val="24"/>
        </w:rPr>
        <w:t>Manchester Central Library Development Trust</w:t>
      </w:r>
      <w:r w:rsidRPr="009279E9">
        <w:rPr>
          <w:rFonts w:ascii="Arial" w:eastAsiaTheme="minorHAnsi" w:hAnsi="Arial" w:cs="Arial"/>
          <w:sz w:val="24"/>
          <w:szCs w:val="24"/>
        </w:rPr>
        <w:t xml:space="preserve">. Available at: </w:t>
      </w:r>
      <w:hyperlink r:id="rId70" w:history="1">
        <w:r w:rsidRPr="009279E9">
          <w:rPr>
            <w:rFonts w:ascii="Arial" w:eastAsiaTheme="minorHAnsi" w:hAnsi="Arial" w:cs="Arial"/>
            <w:color w:val="0563C1" w:themeColor="hyperlink"/>
            <w:sz w:val="24"/>
            <w:szCs w:val="24"/>
            <w:u w:val="single"/>
          </w:rPr>
          <w:t>https://www.manchesterlibrarytrust.org/</w:t>
        </w:r>
      </w:hyperlink>
      <w:r w:rsidRPr="009279E9">
        <w:rPr>
          <w:rFonts w:ascii="Arial" w:eastAsiaTheme="minorHAnsi" w:hAnsi="Arial" w:cs="Arial"/>
          <w:sz w:val="24"/>
          <w:szCs w:val="24"/>
        </w:rPr>
        <w:t xml:space="preserve"> (Accessed: 2nd July 2022). </w:t>
      </w:r>
    </w:p>
    <w:p w14:paraId="3A490A24" w14:textId="77777777" w:rsidR="007600F2" w:rsidRPr="007600F2" w:rsidRDefault="007600F2" w:rsidP="007600F2">
      <w:pPr>
        <w:spacing w:after="160" w:line="259" w:lineRule="auto"/>
        <w:rPr>
          <w:rFonts w:ascii="Arial" w:eastAsiaTheme="minorHAnsi" w:hAnsi="Arial" w:cs="Arial"/>
          <w:sz w:val="24"/>
          <w:szCs w:val="24"/>
        </w:rPr>
      </w:pPr>
      <w:r w:rsidRPr="007600F2">
        <w:rPr>
          <w:rFonts w:ascii="Arial" w:eastAsiaTheme="minorHAnsi" w:hAnsi="Arial" w:cs="Arial"/>
          <w:sz w:val="24"/>
          <w:szCs w:val="24"/>
        </w:rPr>
        <w:t xml:space="preserve">Matthews, B. and Ross, L. (2010) </w:t>
      </w:r>
      <w:r w:rsidRPr="007600F2">
        <w:rPr>
          <w:rFonts w:ascii="Arial" w:eastAsiaTheme="minorHAnsi" w:hAnsi="Arial" w:cs="Arial"/>
          <w:i/>
          <w:iCs/>
          <w:sz w:val="24"/>
          <w:szCs w:val="24"/>
        </w:rPr>
        <w:t>Research methods: a practical guide for the social sciences</w:t>
      </w:r>
      <w:r w:rsidRPr="007600F2">
        <w:rPr>
          <w:rFonts w:ascii="Arial" w:eastAsiaTheme="minorHAnsi" w:hAnsi="Arial" w:cs="Arial"/>
          <w:sz w:val="24"/>
          <w:szCs w:val="24"/>
        </w:rPr>
        <w:t>. 1st ed. Harlow, England: Longman.</w:t>
      </w:r>
    </w:p>
    <w:p w14:paraId="7C451529" w14:textId="00F63ACC" w:rsidR="003F4D59" w:rsidRPr="009279E9" w:rsidRDefault="007600F2" w:rsidP="007600F2">
      <w:pPr>
        <w:spacing w:after="160" w:line="259" w:lineRule="auto"/>
        <w:rPr>
          <w:rFonts w:ascii="Arial" w:eastAsiaTheme="minorHAnsi" w:hAnsi="Arial" w:cs="Arial"/>
          <w:sz w:val="24"/>
          <w:szCs w:val="24"/>
        </w:rPr>
      </w:pPr>
      <w:r w:rsidRPr="007600F2">
        <w:rPr>
          <w:rFonts w:ascii="Arial" w:eastAsiaTheme="minorHAnsi" w:hAnsi="Arial" w:cs="Arial"/>
          <w:sz w:val="24"/>
          <w:szCs w:val="24"/>
        </w:rPr>
        <w:t>Maykut, P.S. and Morehouse, R. (1994</w:t>
      </w:r>
      <w:r w:rsidRPr="007600F2">
        <w:rPr>
          <w:rFonts w:ascii="Arial" w:eastAsiaTheme="minorHAnsi" w:hAnsi="Arial" w:cs="Arial"/>
          <w:i/>
          <w:iCs/>
          <w:sz w:val="24"/>
          <w:szCs w:val="24"/>
        </w:rPr>
        <w:t>) Beginning qualitative research: a philosophic and practical guide</w:t>
      </w:r>
      <w:r w:rsidRPr="007600F2">
        <w:rPr>
          <w:rFonts w:ascii="Arial" w:eastAsiaTheme="minorHAnsi" w:hAnsi="Arial" w:cs="Arial"/>
          <w:sz w:val="24"/>
          <w:szCs w:val="24"/>
        </w:rPr>
        <w:t>. London: Falmer Press. doi:10.4324/9780203485781.</w:t>
      </w:r>
    </w:p>
    <w:p w14:paraId="751E502F"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Miguel, S. (2022) Following Fundraising Fellows: Why donor retention should be top of your list. Available at: </w:t>
      </w:r>
      <w:hyperlink r:id="rId71" w:history="1">
        <w:r w:rsidRPr="009279E9">
          <w:rPr>
            <w:rFonts w:ascii="Arial" w:eastAsiaTheme="minorHAnsi" w:hAnsi="Arial" w:cs="Arial"/>
            <w:color w:val="0563C1" w:themeColor="hyperlink"/>
            <w:sz w:val="24"/>
            <w:szCs w:val="24"/>
            <w:u w:val="single"/>
          </w:rPr>
          <w:t>https://www.culturehive.co.uk/resources/why-donor-retention-should-be-top-of-your-list/</w:t>
        </w:r>
      </w:hyperlink>
      <w:r w:rsidRPr="009279E9">
        <w:rPr>
          <w:rFonts w:ascii="Arial" w:eastAsiaTheme="minorHAnsi" w:hAnsi="Arial" w:cs="Arial"/>
          <w:sz w:val="24"/>
          <w:szCs w:val="24"/>
        </w:rPr>
        <w:t xml:space="preserve"> (Accessed: 2nd October 2022).</w:t>
      </w:r>
    </w:p>
    <w:p w14:paraId="26F706D3"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Mills, T. </w:t>
      </w:r>
      <w:r w:rsidRPr="009279E9">
        <w:rPr>
          <w:rFonts w:ascii="Arial" w:eastAsiaTheme="minorHAnsi" w:hAnsi="Arial" w:cs="Arial"/>
          <w:i/>
          <w:iCs/>
          <w:sz w:val="24"/>
          <w:szCs w:val="24"/>
        </w:rPr>
        <w:t>et al.</w:t>
      </w:r>
      <w:r w:rsidRPr="009279E9">
        <w:rPr>
          <w:rFonts w:ascii="Arial" w:eastAsiaTheme="minorHAnsi" w:hAnsi="Arial" w:cs="Arial"/>
          <w:sz w:val="24"/>
          <w:szCs w:val="24"/>
        </w:rPr>
        <w:t xml:space="preserve"> (2021) </w:t>
      </w:r>
      <w:r w:rsidRPr="009279E9">
        <w:rPr>
          <w:rFonts w:ascii="Arial" w:eastAsiaTheme="minorHAnsi" w:hAnsi="Arial" w:cs="Arial"/>
          <w:i/>
          <w:iCs/>
          <w:sz w:val="24"/>
          <w:szCs w:val="24"/>
        </w:rPr>
        <w:t xml:space="preserve">The commercial edge: renewing the case for the local investment state. </w:t>
      </w:r>
      <w:r w:rsidRPr="009279E9">
        <w:rPr>
          <w:rFonts w:ascii="Arial" w:eastAsiaTheme="minorHAnsi" w:hAnsi="Arial" w:cs="Arial"/>
          <w:sz w:val="24"/>
          <w:szCs w:val="24"/>
        </w:rPr>
        <w:t xml:space="preserve">Available at: </w:t>
      </w:r>
      <w:hyperlink r:id="rId72" w:history="1">
        <w:r w:rsidRPr="009279E9">
          <w:rPr>
            <w:rFonts w:ascii="Arial" w:eastAsiaTheme="minorHAnsi" w:hAnsi="Arial" w:cs="Arial"/>
            <w:color w:val="0563C1" w:themeColor="hyperlink"/>
            <w:sz w:val="24"/>
            <w:szCs w:val="24"/>
            <w:u w:val="single"/>
          </w:rPr>
          <w:t>https://www.localis.org.uk/wp-content/uploads/2021/06/Commercial-Edge-Full.pdf</w:t>
        </w:r>
      </w:hyperlink>
      <w:r w:rsidRPr="009279E9">
        <w:rPr>
          <w:rFonts w:ascii="Arial" w:eastAsiaTheme="minorHAnsi" w:hAnsi="Arial" w:cs="Arial"/>
          <w:sz w:val="24"/>
          <w:szCs w:val="24"/>
        </w:rPr>
        <w:t xml:space="preserve"> (Accessed: 9th July 2022).</w:t>
      </w:r>
    </w:p>
    <w:p w14:paraId="6DCD87E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Milwaukee Art Museum (2022) </w:t>
      </w:r>
      <w:r w:rsidRPr="009279E9">
        <w:rPr>
          <w:rFonts w:ascii="Arial" w:eastAsiaTheme="minorHAnsi" w:hAnsi="Arial" w:cs="Arial"/>
          <w:i/>
          <w:iCs/>
          <w:sz w:val="24"/>
          <w:szCs w:val="24"/>
        </w:rPr>
        <w:t xml:space="preserve">Museum Membership. </w:t>
      </w:r>
      <w:r w:rsidRPr="009279E9">
        <w:rPr>
          <w:rFonts w:ascii="Arial" w:eastAsiaTheme="minorHAnsi" w:hAnsi="Arial" w:cs="Arial"/>
          <w:sz w:val="24"/>
          <w:szCs w:val="24"/>
        </w:rPr>
        <w:t xml:space="preserve">Available at: </w:t>
      </w:r>
      <w:hyperlink r:id="rId73" w:history="1">
        <w:r w:rsidRPr="009279E9">
          <w:rPr>
            <w:rFonts w:ascii="Arial" w:eastAsiaTheme="minorHAnsi" w:hAnsi="Arial" w:cs="Arial"/>
            <w:color w:val="0563C1" w:themeColor="hyperlink"/>
            <w:sz w:val="24"/>
            <w:szCs w:val="24"/>
            <w:u w:val="single"/>
          </w:rPr>
          <w:t>https://mam.org/membership/</w:t>
        </w:r>
      </w:hyperlink>
      <w:r w:rsidRPr="009279E9">
        <w:rPr>
          <w:rFonts w:ascii="Arial" w:eastAsiaTheme="minorHAnsi" w:hAnsi="Arial" w:cs="Arial"/>
          <w:sz w:val="24"/>
          <w:szCs w:val="24"/>
        </w:rPr>
        <w:t xml:space="preserve"> (Accessed: 2nd October 2022).</w:t>
      </w:r>
    </w:p>
    <w:p w14:paraId="00E43637"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Mitsitam Café (2022) </w:t>
      </w:r>
      <w:r w:rsidRPr="009279E9">
        <w:rPr>
          <w:rFonts w:ascii="Arial" w:eastAsiaTheme="minorHAnsi" w:hAnsi="Arial" w:cs="Arial"/>
          <w:i/>
          <w:iCs/>
          <w:sz w:val="24"/>
          <w:szCs w:val="24"/>
        </w:rPr>
        <w:t xml:space="preserve">Mitsitam native foods café. </w:t>
      </w:r>
      <w:r w:rsidRPr="009279E9">
        <w:rPr>
          <w:rFonts w:ascii="Arial" w:eastAsiaTheme="minorHAnsi" w:hAnsi="Arial" w:cs="Arial"/>
          <w:sz w:val="24"/>
          <w:szCs w:val="24"/>
        </w:rPr>
        <w:t xml:space="preserve">Available at: </w:t>
      </w:r>
      <w:hyperlink r:id="rId74" w:history="1">
        <w:r w:rsidRPr="009279E9">
          <w:rPr>
            <w:rFonts w:ascii="Arial" w:eastAsiaTheme="minorHAnsi" w:hAnsi="Arial" w:cs="Arial"/>
            <w:color w:val="0563C1" w:themeColor="hyperlink"/>
            <w:sz w:val="24"/>
            <w:szCs w:val="24"/>
            <w:u w:val="single"/>
          </w:rPr>
          <w:t>http://www.mitsitamcafe.com/</w:t>
        </w:r>
      </w:hyperlink>
      <w:r w:rsidRPr="009279E9">
        <w:rPr>
          <w:rFonts w:ascii="Arial" w:eastAsiaTheme="minorHAnsi" w:hAnsi="Arial" w:cs="Arial"/>
          <w:sz w:val="24"/>
          <w:szCs w:val="24"/>
        </w:rPr>
        <w:t xml:space="preserve"> (Accessed: 16th July 2022).</w:t>
      </w:r>
    </w:p>
    <w:p w14:paraId="4E008890"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MLA (2011) </w:t>
      </w:r>
      <w:r w:rsidRPr="009279E9">
        <w:rPr>
          <w:rFonts w:ascii="Arial" w:eastAsiaTheme="minorHAnsi" w:hAnsi="Arial" w:cs="Arial"/>
          <w:i/>
          <w:iCs/>
          <w:sz w:val="24"/>
          <w:szCs w:val="24"/>
        </w:rPr>
        <w:t>Capturing the outcomes of hub museums’ sustainability: MLA final report</w:t>
      </w:r>
      <w:r w:rsidRPr="009279E9">
        <w:rPr>
          <w:rFonts w:ascii="Arial" w:eastAsiaTheme="minorHAnsi" w:hAnsi="Arial" w:cs="Arial"/>
          <w:sz w:val="24"/>
          <w:szCs w:val="24"/>
        </w:rPr>
        <w:t xml:space="preserve">. Available at: </w:t>
      </w:r>
      <w:hyperlink r:id="rId75" w:history="1">
        <w:r w:rsidRPr="009279E9">
          <w:rPr>
            <w:rFonts w:ascii="Arial" w:eastAsiaTheme="minorHAnsi" w:hAnsi="Arial" w:cs="Arial"/>
            <w:color w:val="0563C1" w:themeColor="hyperlink"/>
            <w:sz w:val="24"/>
            <w:szCs w:val="24"/>
            <w:u w:val="single"/>
          </w:rPr>
          <w:t>https://www.artscouncil.org.uk/sites/default/files/download-file/Capturing_outcomes_hub_museums_sustainability_final_report.pdf</w:t>
        </w:r>
      </w:hyperlink>
      <w:r w:rsidRPr="009279E9">
        <w:rPr>
          <w:rFonts w:ascii="Arial" w:eastAsiaTheme="minorHAnsi" w:hAnsi="Arial" w:cs="Arial"/>
          <w:sz w:val="24"/>
          <w:szCs w:val="24"/>
        </w:rPr>
        <w:t xml:space="preserve"> (Accessed: 23rd September 2022).</w:t>
      </w:r>
    </w:p>
    <w:p w14:paraId="0583D914"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Mollick, E. (2016) </w:t>
      </w:r>
      <w:r w:rsidRPr="009279E9">
        <w:rPr>
          <w:rFonts w:ascii="Arial" w:eastAsiaTheme="minorHAnsi" w:hAnsi="Arial" w:cs="Arial"/>
          <w:i/>
          <w:iCs/>
          <w:sz w:val="24"/>
          <w:szCs w:val="24"/>
        </w:rPr>
        <w:t>The unique value of crowdfunding is not money – it’s community.</w:t>
      </w:r>
      <w:r w:rsidRPr="009279E9">
        <w:rPr>
          <w:rFonts w:ascii="Arial" w:eastAsiaTheme="minorHAnsi" w:hAnsi="Arial" w:cs="Arial"/>
          <w:sz w:val="24"/>
          <w:szCs w:val="24"/>
        </w:rPr>
        <w:t xml:space="preserve"> Available at: </w:t>
      </w:r>
      <w:hyperlink r:id="rId76" w:history="1">
        <w:r w:rsidRPr="009279E9">
          <w:rPr>
            <w:rFonts w:ascii="Arial" w:eastAsiaTheme="minorHAnsi" w:hAnsi="Arial" w:cs="Arial"/>
            <w:color w:val="0563C1" w:themeColor="hyperlink"/>
            <w:sz w:val="24"/>
            <w:szCs w:val="24"/>
            <w:u w:val="single"/>
          </w:rPr>
          <w:t>https://hbr.org/2016/04/the-unique-value-of-crowdfunding-is-not-money-its-community</w:t>
        </w:r>
      </w:hyperlink>
      <w:r w:rsidRPr="009279E9">
        <w:rPr>
          <w:rFonts w:ascii="Arial" w:eastAsiaTheme="minorHAnsi" w:hAnsi="Arial" w:cs="Arial"/>
          <w:sz w:val="24"/>
          <w:szCs w:val="24"/>
        </w:rPr>
        <w:t xml:space="preserve"> (Accessed: 29th September 2022).</w:t>
      </w:r>
    </w:p>
    <w:p w14:paraId="2E2B8E43" w14:textId="74BDE6DE" w:rsidR="009279E9"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Mountainside Public Library (2022) </w:t>
      </w:r>
      <w:r w:rsidRPr="009279E9">
        <w:rPr>
          <w:rFonts w:ascii="Arial" w:eastAsiaTheme="minorHAnsi" w:hAnsi="Arial" w:cs="Arial"/>
          <w:i/>
          <w:iCs/>
          <w:sz w:val="24"/>
          <w:szCs w:val="24"/>
        </w:rPr>
        <w:t xml:space="preserve">About Friends of the Library. </w:t>
      </w:r>
      <w:r w:rsidRPr="009279E9">
        <w:rPr>
          <w:rFonts w:ascii="Arial" w:eastAsiaTheme="minorHAnsi" w:hAnsi="Arial" w:cs="Arial"/>
          <w:sz w:val="24"/>
          <w:szCs w:val="24"/>
        </w:rPr>
        <w:t xml:space="preserve">Available at: </w:t>
      </w:r>
      <w:hyperlink r:id="rId77" w:history="1">
        <w:r w:rsidRPr="009279E9">
          <w:rPr>
            <w:rFonts w:ascii="Arial" w:eastAsiaTheme="minorHAnsi" w:hAnsi="Arial" w:cs="Arial"/>
            <w:color w:val="0563C1" w:themeColor="hyperlink"/>
            <w:sz w:val="24"/>
            <w:szCs w:val="24"/>
            <w:u w:val="single"/>
          </w:rPr>
          <w:t>https://mountainsidelibrary.org/friends-of-the-library/about-friends-of-the-library</w:t>
        </w:r>
      </w:hyperlink>
      <w:r w:rsidRPr="009279E9">
        <w:rPr>
          <w:rFonts w:ascii="Arial" w:eastAsiaTheme="minorHAnsi" w:hAnsi="Arial" w:cs="Arial"/>
          <w:sz w:val="24"/>
          <w:szCs w:val="24"/>
        </w:rPr>
        <w:t xml:space="preserve"> (Accessed: 2nd October 2022).</w:t>
      </w:r>
    </w:p>
    <w:p w14:paraId="344ED998" w14:textId="07D333B2" w:rsidR="0027570A" w:rsidRPr="009279E9" w:rsidRDefault="0027570A" w:rsidP="0027570A">
      <w:pPr>
        <w:spacing w:after="160" w:line="259" w:lineRule="auto"/>
        <w:rPr>
          <w:rFonts w:ascii="Arial" w:eastAsiaTheme="minorHAnsi" w:hAnsi="Arial" w:cs="Arial"/>
          <w:sz w:val="24"/>
          <w:szCs w:val="24"/>
        </w:rPr>
      </w:pPr>
      <w:r w:rsidRPr="0027570A">
        <w:rPr>
          <w:rFonts w:ascii="Arial" w:eastAsiaTheme="minorHAnsi" w:hAnsi="Arial" w:cs="Arial"/>
          <w:sz w:val="24"/>
          <w:szCs w:val="24"/>
        </w:rPr>
        <w:t xml:space="preserve">Murray, J.E. (1994) </w:t>
      </w:r>
      <w:r w:rsidRPr="0027570A">
        <w:rPr>
          <w:rFonts w:ascii="Arial" w:eastAsiaTheme="minorHAnsi" w:hAnsi="Arial" w:cs="Arial"/>
          <w:i/>
          <w:iCs/>
          <w:sz w:val="24"/>
          <w:szCs w:val="24"/>
        </w:rPr>
        <w:t>Introduction to Philosophical Hermeneutics</w:t>
      </w:r>
      <w:r w:rsidRPr="0027570A">
        <w:rPr>
          <w:rFonts w:ascii="Arial" w:eastAsiaTheme="minorHAnsi" w:hAnsi="Arial" w:cs="Arial"/>
          <w:sz w:val="24"/>
          <w:szCs w:val="24"/>
        </w:rPr>
        <w:t>. New Haven, CT: Yale University Press, DOI:10.12987/9780300156904.</w:t>
      </w:r>
    </w:p>
    <w:p w14:paraId="57FD6A71"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lastRenderedPageBreak/>
        <w:t xml:space="preserve">Museum Next (2020) </w:t>
      </w:r>
      <w:r w:rsidRPr="009279E9">
        <w:rPr>
          <w:rFonts w:ascii="Arial" w:eastAsiaTheme="minorHAnsi" w:hAnsi="Arial" w:cs="Arial"/>
          <w:i/>
          <w:iCs/>
          <w:sz w:val="24"/>
          <w:szCs w:val="24"/>
        </w:rPr>
        <w:t xml:space="preserve">How can museums make money online. Available at: </w:t>
      </w:r>
      <w:hyperlink r:id="rId78" w:history="1">
        <w:r w:rsidRPr="009279E9">
          <w:rPr>
            <w:rFonts w:ascii="Arial" w:eastAsiaTheme="minorHAnsi" w:hAnsi="Arial" w:cs="Arial"/>
            <w:color w:val="0563C1" w:themeColor="hyperlink"/>
            <w:sz w:val="24"/>
            <w:szCs w:val="24"/>
            <w:u w:val="single"/>
          </w:rPr>
          <w:t>https://www.museumnext.com/article/how-can-museums-make-money-online/</w:t>
        </w:r>
      </w:hyperlink>
      <w:r w:rsidRPr="009279E9">
        <w:rPr>
          <w:rFonts w:ascii="Arial" w:eastAsiaTheme="minorHAnsi" w:hAnsi="Arial" w:cs="Arial"/>
          <w:sz w:val="24"/>
          <w:szCs w:val="24"/>
        </w:rPr>
        <w:t xml:space="preserve"> (Accessed 30th September 2022).</w:t>
      </w:r>
    </w:p>
    <w:p w14:paraId="2FE9638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 Next (2022) Unravelling the potential of digital fundraising for museums. Available at: </w:t>
      </w:r>
      <w:hyperlink r:id="rId79" w:history="1">
        <w:r w:rsidRPr="009279E9">
          <w:rPr>
            <w:rFonts w:ascii="Arial" w:eastAsiaTheme="minorHAnsi" w:hAnsi="Arial" w:cs="Arial"/>
            <w:color w:val="0563C1" w:themeColor="hyperlink"/>
            <w:sz w:val="24"/>
            <w:szCs w:val="24"/>
            <w:u w:val="single"/>
          </w:rPr>
          <w:t>https://www.museumnext.com/article/unravelling-the-potential-of-digital-fundraising-for-museums/</w:t>
        </w:r>
      </w:hyperlink>
      <w:r w:rsidRPr="009279E9">
        <w:rPr>
          <w:rFonts w:ascii="Arial" w:eastAsiaTheme="minorHAnsi" w:hAnsi="Arial" w:cs="Arial"/>
          <w:sz w:val="24"/>
          <w:szCs w:val="24"/>
        </w:rPr>
        <w:t xml:space="preserve"> (Accessed: 30th September 2022).</w:t>
      </w:r>
    </w:p>
    <w:p w14:paraId="279C93F4"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Museums + Heritage (2016</w:t>
      </w:r>
      <w:r w:rsidRPr="009279E9">
        <w:rPr>
          <w:rFonts w:ascii="Arial" w:eastAsiaTheme="minorHAnsi" w:hAnsi="Arial" w:cs="Arial"/>
          <w:i/>
          <w:iCs/>
          <w:sz w:val="24"/>
          <w:szCs w:val="24"/>
        </w:rPr>
        <w:t xml:space="preserve">) Income Generation in Museums – creating a better visitor experience while raising revenues. </w:t>
      </w:r>
      <w:r w:rsidRPr="009279E9">
        <w:rPr>
          <w:rFonts w:ascii="Arial" w:eastAsiaTheme="minorHAnsi" w:hAnsi="Arial" w:cs="Arial"/>
          <w:sz w:val="24"/>
          <w:szCs w:val="24"/>
        </w:rPr>
        <w:t xml:space="preserve">Available at: </w:t>
      </w:r>
      <w:hyperlink r:id="rId80" w:history="1">
        <w:r w:rsidRPr="009279E9">
          <w:rPr>
            <w:rFonts w:ascii="Arial" w:eastAsiaTheme="minorHAnsi" w:hAnsi="Arial" w:cs="Arial"/>
            <w:color w:val="0563C1" w:themeColor="hyperlink"/>
            <w:sz w:val="24"/>
            <w:szCs w:val="24"/>
            <w:u w:val="single"/>
          </w:rPr>
          <w:t>https://advisor.museumsandheritage.com/features/income-generation-museums-creating-better-visitor-experiences-raising-revenues/</w:t>
        </w:r>
      </w:hyperlink>
      <w:r w:rsidRPr="009279E9">
        <w:rPr>
          <w:rFonts w:ascii="Arial" w:eastAsiaTheme="minorHAnsi" w:hAnsi="Arial" w:cs="Arial"/>
          <w:sz w:val="24"/>
          <w:szCs w:val="24"/>
        </w:rPr>
        <w:t xml:space="preserve"> (Accessed: 2nd October 2022).</w:t>
      </w:r>
    </w:p>
    <w:p w14:paraId="3CE4C3EB"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(2022) </w:t>
      </w:r>
      <w:r w:rsidRPr="009279E9">
        <w:rPr>
          <w:rFonts w:ascii="Arial" w:eastAsiaTheme="minorHAnsi" w:hAnsi="Arial" w:cs="Arial"/>
          <w:i/>
          <w:iCs/>
          <w:sz w:val="24"/>
          <w:szCs w:val="24"/>
        </w:rPr>
        <w:t>Crowdfunding for our institutional members</w:t>
      </w:r>
      <w:r w:rsidRPr="009279E9">
        <w:rPr>
          <w:rFonts w:ascii="Arial" w:eastAsiaTheme="minorHAnsi" w:hAnsi="Arial" w:cs="Arial"/>
          <w:sz w:val="24"/>
          <w:szCs w:val="24"/>
        </w:rPr>
        <w:t xml:space="preserve">. Available at:  </w:t>
      </w:r>
      <w:hyperlink r:id="rId81" w:history="1">
        <w:r w:rsidRPr="009279E9">
          <w:rPr>
            <w:rFonts w:ascii="Arial" w:eastAsiaTheme="minorHAnsi" w:hAnsi="Arial" w:cs="Arial"/>
            <w:color w:val="0563C1" w:themeColor="hyperlink"/>
            <w:sz w:val="24"/>
            <w:szCs w:val="24"/>
            <w:u w:val="single"/>
          </w:rPr>
          <w:t>https://www.museumsassociation.org/campaigns/advocacy/covid-19/crowdfunding/</w:t>
        </w:r>
      </w:hyperlink>
      <w:r w:rsidRPr="009279E9">
        <w:rPr>
          <w:rFonts w:ascii="Arial" w:eastAsiaTheme="minorHAnsi" w:hAnsi="Arial" w:cs="Arial"/>
          <w:sz w:val="24"/>
          <w:szCs w:val="24"/>
        </w:rPr>
        <w:t xml:space="preserve"> (Accessed: 29th September 2022).</w:t>
      </w:r>
    </w:p>
    <w:p w14:paraId="2F3CE4C4" w14:textId="77777777" w:rsidR="009279E9" w:rsidRPr="009279E9"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(2020) </w:t>
      </w:r>
      <w:r w:rsidRPr="009279E9">
        <w:rPr>
          <w:rFonts w:ascii="Arial" w:eastAsiaTheme="minorHAnsi" w:hAnsi="Arial" w:cs="Arial"/>
          <w:i/>
          <w:iCs/>
          <w:sz w:val="24"/>
          <w:szCs w:val="24"/>
        </w:rPr>
        <w:t>Local Authority Investment in Museums after a Decade of Austerity</w:t>
      </w:r>
      <w:r w:rsidRPr="009279E9">
        <w:rPr>
          <w:rFonts w:ascii="Arial" w:eastAsiaTheme="minorHAnsi" w:hAnsi="Arial" w:cs="Arial"/>
          <w:sz w:val="24"/>
          <w:szCs w:val="24"/>
        </w:rPr>
        <w:t xml:space="preserve">. Available at: </w:t>
      </w:r>
      <w:hyperlink r:id="rId82" w:history="1">
        <w:r w:rsidRPr="009279E9">
          <w:rPr>
            <w:rFonts w:ascii="Arial" w:eastAsiaTheme="minorHAnsi" w:hAnsi="Arial" w:cs="Arial"/>
            <w:color w:val="0563C1" w:themeColor="hyperlink"/>
            <w:sz w:val="24"/>
            <w:szCs w:val="24"/>
            <w:u w:val="single"/>
          </w:rPr>
          <w:t>https://www.museumsassociation.org/campaigns/advocacy/la-funding-report/#</w:t>
        </w:r>
      </w:hyperlink>
      <w:r w:rsidRPr="009279E9">
        <w:rPr>
          <w:rFonts w:ascii="Arial" w:eastAsiaTheme="minorHAnsi" w:hAnsi="Arial" w:cs="Arial"/>
          <w:sz w:val="24"/>
          <w:szCs w:val="24"/>
        </w:rPr>
        <w:t xml:space="preserve"> (Accessed: 16th July 2022).</w:t>
      </w:r>
    </w:p>
    <w:p w14:paraId="034F5F62" w14:textId="0A28650D" w:rsidR="00CC57C2" w:rsidRPr="00630DCA" w:rsidRDefault="009279E9" w:rsidP="00FA35E4">
      <w:pPr>
        <w:spacing w:after="160" w:line="240" w:lineRule="auto"/>
        <w:rPr>
          <w:rFonts w:ascii="Arial" w:eastAsiaTheme="minorHAnsi" w:hAnsi="Arial" w:cs="Arial"/>
          <w:sz w:val="24"/>
          <w:szCs w:val="24"/>
        </w:rPr>
      </w:pPr>
      <w:r w:rsidRPr="009279E9">
        <w:rPr>
          <w:rFonts w:ascii="Arial" w:eastAsiaTheme="minorHAnsi" w:hAnsi="Arial" w:cs="Arial"/>
          <w:sz w:val="24"/>
          <w:szCs w:val="24"/>
        </w:rPr>
        <w:t xml:space="preserve">Museums Association (2020) </w:t>
      </w:r>
      <w:r w:rsidRPr="009279E9">
        <w:rPr>
          <w:rFonts w:ascii="Arial" w:eastAsiaTheme="minorHAnsi" w:hAnsi="Arial" w:cs="Arial"/>
          <w:i/>
          <w:iCs/>
          <w:sz w:val="24"/>
          <w:szCs w:val="24"/>
        </w:rPr>
        <w:t xml:space="preserve">What makes a successful museum café? </w:t>
      </w:r>
      <w:r w:rsidRPr="009279E9">
        <w:rPr>
          <w:rFonts w:ascii="Arial" w:eastAsiaTheme="minorHAnsi" w:hAnsi="Arial" w:cs="Arial"/>
          <w:sz w:val="24"/>
          <w:szCs w:val="24"/>
        </w:rPr>
        <w:t xml:space="preserve">Available at: </w:t>
      </w:r>
      <w:hyperlink r:id="rId83" w:history="1">
        <w:r w:rsidRPr="009279E9">
          <w:rPr>
            <w:rFonts w:ascii="Arial" w:eastAsiaTheme="minorHAnsi" w:hAnsi="Arial" w:cs="Arial"/>
            <w:color w:val="0563C1" w:themeColor="hyperlink"/>
            <w:sz w:val="24"/>
            <w:szCs w:val="24"/>
            <w:u w:val="single"/>
          </w:rPr>
          <w:t>https://www.museumsassociation.org/museums-journal/people/2020/03/05032020-food-in-museums-q-and-a/</w:t>
        </w:r>
      </w:hyperlink>
      <w:r w:rsidRPr="009279E9">
        <w:rPr>
          <w:rFonts w:ascii="Arial" w:eastAsiaTheme="minorHAnsi" w:hAnsi="Arial" w:cs="Arial"/>
          <w:sz w:val="24"/>
          <w:szCs w:val="24"/>
        </w:rPr>
        <w:t xml:space="preserve"> (Accessed: 16th July 2022). </w:t>
      </w:r>
    </w:p>
    <w:p w14:paraId="4AB96223" w14:textId="0BC7D6D7" w:rsidR="007B5C6E" w:rsidRPr="002B6842" w:rsidRDefault="007B5C6E" w:rsidP="00FA35E4">
      <w:pPr>
        <w:spacing w:after="160" w:line="240" w:lineRule="auto"/>
        <w:rPr>
          <w:rFonts w:ascii="Arial" w:eastAsiaTheme="minorHAnsi" w:hAnsi="Arial" w:cs="Arial"/>
          <w:sz w:val="24"/>
          <w:szCs w:val="24"/>
        </w:rPr>
      </w:pPr>
      <w:r w:rsidRPr="007B5C6E">
        <w:rPr>
          <w:rFonts w:ascii="Arial" w:eastAsiaTheme="minorHAnsi" w:hAnsi="Arial" w:cs="Arial"/>
          <w:sz w:val="24"/>
          <w:szCs w:val="24"/>
        </w:rPr>
        <w:t xml:space="preserve">National Archives (2022) </w:t>
      </w:r>
      <w:r w:rsidRPr="007B5C6E">
        <w:rPr>
          <w:rFonts w:ascii="Arial" w:eastAsiaTheme="minorHAnsi" w:hAnsi="Arial" w:cs="Arial"/>
          <w:i/>
          <w:iCs/>
          <w:sz w:val="24"/>
          <w:szCs w:val="24"/>
        </w:rPr>
        <w:t xml:space="preserve">Crowdfunding </w:t>
      </w:r>
      <w:hyperlink r:id="rId84" w:history="1">
        <w:r w:rsidRPr="007B5C6E">
          <w:rPr>
            <w:rFonts w:ascii="Arial" w:eastAsiaTheme="minorHAnsi" w:hAnsi="Arial" w:cs="Arial"/>
            <w:color w:val="0563C1" w:themeColor="hyperlink"/>
            <w:sz w:val="24"/>
            <w:szCs w:val="24"/>
            <w:u w:val="single"/>
          </w:rPr>
          <w:t>https://www.nationalarchives.gov.uk/archives-sector/finding-funding/how-to-fundraise/4-different-types-of-fundraising/crowdfunding/</w:t>
        </w:r>
      </w:hyperlink>
      <w:r w:rsidRPr="007B5C6E">
        <w:rPr>
          <w:rFonts w:ascii="Arial" w:eastAsiaTheme="minorHAnsi" w:hAnsi="Arial" w:cs="Arial"/>
          <w:sz w:val="24"/>
          <w:szCs w:val="24"/>
        </w:rPr>
        <w:t xml:space="preserve"> (Accessed: 29th September 2022).</w:t>
      </w:r>
    </w:p>
    <w:p w14:paraId="10C4EC16" w14:textId="30E0AAE2"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color w:val="000000" w:themeColor="text1"/>
          <w:sz w:val="24"/>
          <w:szCs w:val="24"/>
        </w:rPr>
        <w:t>National Archives (2019</w:t>
      </w:r>
      <w:r w:rsidRPr="002B6842">
        <w:rPr>
          <w:rFonts w:ascii="Arial" w:eastAsiaTheme="minorHAnsi" w:hAnsi="Arial" w:cs="Arial"/>
          <w:i/>
          <w:iCs/>
          <w:color w:val="000000" w:themeColor="text1"/>
          <w:sz w:val="24"/>
          <w:szCs w:val="24"/>
        </w:rPr>
        <w:t xml:space="preserve">) </w:t>
      </w:r>
      <w:r w:rsidRPr="002B6842">
        <w:rPr>
          <w:rFonts w:ascii="Arial" w:eastAsiaTheme="minorHAnsi" w:hAnsi="Arial" w:cs="Arial"/>
          <w:i/>
          <w:iCs/>
          <w:sz w:val="24"/>
          <w:szCs w:val="24"/>
        </w:rPr>
        <w:t>Income Generation: support in making decisions about generating income from commercial activities</w:t>
      </w:r>
      <w:r w:rsidRPr="002B6842">
        <w:rPr>
          <w:rFonts w:ascii="Arial" w:eastAsiaTheme="minorHAnsi" w:hAnsi="Arial" w:cs="Arial"/>
          <w:sz w:val="24"/>
          <w:szCs w:val="24"/>
        </w:rPr>
        <w:t xml:space="preserve">. Available at: </w:t>
      </w:r>
      <w:hyperlink r:id="rId85" w:history="1">
        <w:r w:rsidRPr="002B6842">
          <w:rPr>
            <w:rFonts w:ascii="Arial" w:eastAsiaTheme="minorHAnsi" w:hAnsi="Arial" w:cs="Arial"/>
            <w:color w:val="0563C1" w:themeColor="hyperlink"/>
            <w:sz w:val="24"/>
            <w:szCs w:val="24"/>
            <w:u w:val="single"/>
          </w:rPr>
          <w:t>https://cdn.nationalarchives.gov.uk/documents/archives/income-generation-guidance.pdf</w:t>
        </w:r>
      </w:hyperlink>
      <w:r w:rsidRPr="002B6842">
        <w:rPr>
          <w:rFonts w:ascii="Arial" w:eastAsiaTheme="minorHAnsi" w:hAnsi="Arial" w:cs="Arial"/>
          <w:sz w:val="24"/>
          <w:szCs w:val="24"/>
        </w:rPr>
        <w:t xml:space="preserve"> (Accessed 12 March 2022).</w:t>
      </w:r>
    </w:p>
    <w:p w14:paraId="5D93FBBD"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National Mining Museum (2022) </w:t>
      </w:r>
      <w:r w:rsidRPr="003054C0">
        <w:rPr>
          <w:rFonts w:ascii="Arial" w:eastAsiaTheme="minorHAnsi" w:hAnsi="Arial" w:cs="Arial"/>
          <w:i/>
          <w:iCs/>
          <w:sz w:val="24"/>
          <w:szCs w:val="24"/>
        </w:rPr>
        <w:t xml:space="preserve">Venue Hire. </w:t>
      </w:r>
      <w:r w:rsidRPr="003054C0">
        <w:rPr>
          <w:rFonts w:ascii="Arial" w:eastAsiaTheme="minorHAnsi" w:hAnsi="Arial" w:cs="Arial"/>
          <w:sz w:val="24"/>
          <w:szCs w:val="24"/>
        </w:rPr>
        <w:t xml:space="preserve">Available at: </w:t>
      </w:r>
      <w:hyperlink r:id="rId86" w:history="1">
        <w:r w:rsidRPr="003054C0">
          <w:rPr>
            <w:rFonts w:ascii="Arial" w:eastAsiaTheme="minorHAnsi" w:hAnsi="Arial" w:cs="Arial"/>
            <w:color w:val="0563C1" w:themeColor="hyperlink"/>
            <w:sz w:val="24"/>
            <w:szCs w:val="24"/>
            <w:u w:val="single"/>
          </w:rPr>
          <w:t>https://www.nationalminingmuseum.com/experience/venue-hire/</w:t>
        </w:r>
      </w:hyperlink>
      <w:r w:rsidRPr="003054C0">
        <w:rPr>
          <w:rFonts w:ascii="Arial" w:eastAsiaTheme="minorHAnsi" w:hAnsi="Arial" w:cs="Arial"/>
          <w:sz w:val="24"/>
          <w:szCs w:val="24"/>
        </w:rPr>
        <w:t xml:space="preserve"> (Accessed: 16th July 2022). </w:t>
      </w:r>
    </w:p>
    <w:p w14:paraId="112D57E8" w14:textId="4C72D994"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National Steinbeck Center (2022) </w:t>
      </w:r>
      <w:r w:rsidRPr="003054C0">
        <w:rPr>
          <w:rFonts w:ascii="Arial" w:eastAsiaTheme="minorHAnsi" w:hAnsi="Arial" w:cs="Arial"/>
          <w:i/>
          <w:iCs/>
          <w:sz w:val="24"/>
          <w:szCs w:val="24"/>
        </w:rPr>
        <w:t xml:space="preserve">Membership. </w:t>
      </w:r>
      <w:r w:rsidRPr="003054C0">
        <w:rPr>
          <w:rFonts w:ascii="Arial" w:eastAsiaTheme="minorHAnsi" w:hAnsi="Arial" w:cs="Arial"/>
          <w:sz w:val="24"/>
          <w:szCs w:val="24"/>
        </w:rPr>
        <w:t xml:space="preserve">Available at: </w:t>
      </w:r>
      <w:hyperlink r:id="rId87" w:history="1">
        <w:r w:rsidRPr="003054C0">
          <w:rPr>
            <w:rFonts w:ascii="Arial" w:eastAsiaTheme="minorHAnsi" w:hAnsi="Arial" w:cs="Arial"/>
            <w:color w:val="0563C1" w:themeColor="hyperlink"/>
            <w:sz w:val="24"/>
            <w:szCs w:val="24"/>
            <w:u w:val="single"/>
          </w:rPr>
          <w:t>https://www.steinbeck.org/support/#</w:t>
        </w:r>
      </w:hyperlink>
      <w:r w:rsidRPr="003054C0">
        <w:rPr>
          <w:rFonts w:ascii="Arial" w:eastAsiaTheme="minorHAnsi" w:hAnsi="Arial" w:cs="Arial"/>
          <w:sz w:val="24"/>
          <w:szCs w:val="24"/>
        </w:rPr>
        <w:t xml:space="preserve"> (Accessed: 30th September 2022).</w:t>
      </w:r>
    </w:p>
    <w:p w14:paraId="6D11D928" w14:textId="0EC68B9D" w:rsidR="0027570A" w:rsidRPr="003054C0" w:rsidRDefault="008C3B01" w:rsidP="008C3B01">
      <w:pPr>
        <w:spacing w:after="160" w:line="259" w:lineRule="auto"/>
        <w:rPr>
          <w:rFonts w:ascii="Arial" w:eastAsiaTheme="minorHAnsi" w:hAnsi="Arial" w:cs="Arial"/>
          <w:sz w:val="24"/>
          <w:szCs w:val="24"/>
        </w:rPr>
      </w:pPr>
      <w:r w:rsidRPr="008C3B01">
        <w:rPr>
          <w:rFonts w:ascii="Arial" w:eastAsiaTheme="minorHAnsi" w:hAnsi="Arial" w:cs="Arial"/>
          <w:sz w:val="24"/>
          <w:szCs w:val="24"/>
        </w:rPr>
        <w:t>Newman, P.A., Guta, A. and Black, T. (2021) ‘Ethical Considerations for Qualitative Research Methods During the COVID-19 Pandemic and Other Emergency Situations: Navigating the Virtual Field’</w:t>
      </w:r>
      <w:r w:rsidRPr="008C3B01">
        <w:rPr>
          <w:rFonts w:ascii="Arial" w:eastAsiaTheme="minorHAnsi" w:hAnsi="Arial" w:cs="Arial"/>
          <w:i/>
          <w:iCs/>
          <w:sz w:val="24"/>
          <w:szCs w:val="24"/>
        </w:rPr>
        <w:t>, International journal of qualitative methods</w:t>
      </w:r>
      <w:r w:rsidRPr="008C3B01">
        <w:rPr>
          <w:rFonts w:ascii="Arial" w:eastAsiaTheme="minorHAnsi" w:hAnsi="Arial" w:cs="Arial"/>
          <w:sz w:val="24"/>
          <w:szCs w:val="24"/>
        </w:rPr>
        <w:t>, 20, p. 160940692110478–. doi:10.1177/16094069211047823.</w:t>
      </w:r>
    </w:p>
    <w:p w14:paraId="13921562"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New York Public Library (2022) Corporate support. Available at: https://www.nypl.org/support/corporate (Accessed: 30th September 2022).</w:t>
      </w:r>
    </w:p>
    <w:p w14:paraId="664B099F"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New York Public Library (2022) </w:t>
      </w:r>
      <w:r w:rsidRPr="003054C0">
        <w:rPr>
          <w:rFonts w:ascii="Arial" w:eastAsiaTheme="minorHAnsi" w:hAnsi="Arial" w:cs="Arial"/>
          <w:i/>
          <w:iCs/>
          <w:sz w:val="24"/>
          <w:szCs w:val="24"/>
        </w:rPr>
        <w:t xml:space="preserve">Membership. </w:t>
      </w:r>
      <w:r w:rsidRPr="003054C0">
        <w:rPr>
          <w:rFonts w:ascii="Arial" w:eastAsiaTheme="minorHAnsi" w:hAnsi="Arial" w:cs="Arial"/>
          <w:sz w:val="24"/>
          <w:szCs w:val="24"/>
        </w:rPr>
        <w:t xml:space="preserve">Available at: </w:t>
      </w:r>
      <w:hyperlink r:id="rId88" w:history="1">
        <w:r w:rsidRPr="003054C0">
          <w:rPr>
            <w:rFonts w:ascii="Arial" w:eastAsiaTheme="minorHAnsi" w:hAnsi="Arial" w:cs="Arial"/>
            <w:color w:val="0563C1" w:themeColor="hyperlink"/>
            <w:sz w:val="24"/>
            <w:szCs w:val="24"/>
            <w:u w:val="single"/>
          </w:rPr>
          <w:t>https://www.nypl.org/support/membership</w:t>
        </w:r>
      </w:hyperlink>
      <w:r w:rsidRPr="003054C0">
        <w:rPr>
          <w:rFonts w:ascii="Arial" w:eastAsiaTheme="minorHAnsi" w:hAnsi="Arial" w:cs="Arial"/>
          <w:sz w:val="24"/>
          <w:szCs w:val="24"/>
        </w:rPr>
        <w:t>. (Accessed: 2nd October 2022).</w:t>
      </w:r>
    </w:p>
    <w:p w14:paraId="67BCFB5E"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lastRenderedPageBreak/>
        <w:t xml:space="preserve">New York Public Library (2022) </w:t>
      </w:r>
      <w:r w:rsidRPr="003054C0">
        <w:rPr>
          <w:rFonts w:ascii="Arial" w:eastAsiaTheme="minorHAnsi" w:hAnsi="Arial" w:cs="Arial"/>
          <w:i/>
          <w:iCs/>
          <w:sz w:val="24"/>
          <w:szCs w:val="24"/>
        </w:rPr>
        <w:t xml:space="preserve">Weddings at NYPL. </w:t>
      </w:r>
      <w:r w:rsidRPr="003054C0">
        <w:rPr>
          <w:rFonts w:ascii="Arial" w:eastAsiaTheme="minorHAnsi" w:hAnsi="Arial" w:cs="Arial"/>
          <w:sz w:val="24"/>
          <w:szCs w:val="24"/>
        </w:rPr>
        <w:t xml:space="preserve">Available at: </w:t>
      </w:r>
      <w:hyperlink r:id="rId89" w:history="1">
        <w:r w:rsidRPr="003054C0">
          <w:rPr>
            <w:rFonts w:ascii="Arial" w:eastAsiaTheme="minorHAnsi" w:hAnsi="Arial" w:cs="Arial"/>
            <w:color w:val="0563C1" w:themeColor="hyperlink"/>
            <w:sz w:val="24"/>
            <w:szCs w:val="24"/>
            <w:u w:val="single"/>
          </w:rPr>
          <w:t>https://www.nypl.org/spacerental/weddings/images</w:t>
        </w:r>
      </w:hyperlink>
      <w:r w:rsidRPr="003054C0">
        <w:rPr>
          <w:rFonts w:ascii="Arial" w:eastAsiaTheme="minorHAnsi" w:hAnsi="Arial" w:cs="Arial"/>
          <w:sz w:val="24"/>
          <w:szCs w:val="24"/>
        </w:rPr>
        <w:t xml:space="preserve"> (Accessed: 16th July 2022).</w:t>
      </w:r>
    </w:p>
    <w:p w14:paraId="5804207C"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Norfolk Museums (2022) </w:t>
      </w:r>
      <w:r w:rsidRPr="003054C0">
        <w:rPr>
          <w:rFonts w:ascii="Arial" w:eastAsiaTheme="minorHAnsi" w:hAnsi="Arial" w:cs="Arial"/>
          <w:i/>
          <w:iCs/>
          <w:sz w:val="24"/>
          <w:szCs w:val="24"/>
        </w:rPr>
        <w:t>Norfolk Museums Development Foundation</w:t>
      </w:r>
      <w:r w:rsidRPr="003054C0">
        <w:rPr>
          <w:rFonts w:ascii="Arial" w:eastAsiaTheme="minorHAnsi" w:hAnsi="Arial" w:cs="Arial"/>
          <w:sz w:val="24"/>
          <w:szCs w:val="24"/>
        </w:rPr>
        <w:t xml:space="preserve">. Available at: </w:t>
      </w:r>
      <w:hyperlink r:id="rId90" w:history="1">
        <w:r w:rsidRPr="003054C0">
          <w:rPr>
            <w:rFonts w:ascii="Arial" w:eastAsiaTheme="minorHAnsi" w:hAnsi="Arial" w:cs="Arial"/>
            <w:color w:val="0563C1" w:themeColor="hyperlink"/>
            <w:sz w:val="24"/>
            <w:szCs w:val="24"/>
            <w:u w:val="single"/>
          </w:rPr>
          <w:t>https://www.museums.norfolk.gov.uk/join-and-support/norfolk-museums-development-foundation</w:t>
        </w:r>
      </w:hyperlink>
      <w:r w:rsidRPr="003054C0">
        <w:rPr>
          <w:rFonts w:ascii="Arial" w:eastAsiaTheme="minorHAnsi" w:hAnsi="Arial" w:cs="Arial"/>
          <w:sz w:val="24"/>
          <w:szCs w:val="24"/>
        </w:rPr>
        <w:t xml:space="preserve"> (Accessed: 2nd July 2022) </w:t>
      </w:r>
    </w:p>
    <w:p w14:paraId="315F1EFF" w14:textId="6219D1DD"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Norfolk Museums (2022) </w:t>
      </w:r>
      <w:r w:rsidRPr="003054C0">
        <w:rPr>
          <w:rFonts w:ascii="Arial" w:eastAsiaTheme="minorHAnsi" w:hAnsi="Arial" w:cs="Arial"/>
          <w:i/>
          <w:iCs/>
          <w:sz w:val="24"/>
          <w:szCs w:val="24"/>
        </w:rPr>
        <w:t xml:space="preserve">Venue Hire. </w:t>
      </w:r>
      <w:r w:rsidRPr="003054C0">
        <w:rPr>
          <w:rFonts w:ascii="Arial" w:eastAsiaTheme="minorHAnsi" w:hAnsi="Arial" w:cs="Arial"/>
          <w:sz w:val="24"/>
          <w:szCs w:val="24"/>
        </w:rPr>
        <w:t xml:space="preserve">Available at: </w:t>
      </w:r>
      <w:hyperlink r:id="rId91" w:history="1">
        <w:r w:rsidRPr="003054C0">
          <w:rPr>
            <w:rFonts w:ascii="Arial" w:eastAsiaTheme="minorHAnsi" w:hAnsi="Arial" w:cs="Arial"/>
            <w:color w:val="0563C1" w:themeColor="hyperlink"/>
            <w:sz w:val="24"/>
            <w:szCs w:val="24"/>
            <w:u w:val="single"/>
          </w:rPr>
          <w:t>https://www.museums.norfolk.gov.uk/norwich-castle/venue-hire</w:t>
        </w:r>
      </w:hyperlink>
      <w:r w:rsidRPr="003054C0">
        <w:rPr>
          <w:rFonts w:ascii="Arial" w:eastAsiaTheme="minorHAnsi" w:hAnsi="Arial" w:cs="Arial"/>
          <w:sz w:val="24"/>
          <w:szCs w:val="24"/>
        </w:rPr>
        <w:t xml:space="preserve"> </w:t>
      </w:r>
    </w:p>
    <w:p w14:paraId="1394F5FD" w14:textId="550FB9E1" w:rsidR="00AD08CE" w:rsidRPr="003054C0" w:rsidRDefault="00AD08CE" w:rsidP="00AD08CE">
      <w:pPr>
        <w:spacing w:after="160" w:line="259" w:lineRule="auto"/>
        <w:rPr>
          <w:rFonts w:ascii="Arial" w:eastAsiaTheme="minorHAnsi" w:hAnsi="Arial" w:cs="Arial"/>
          <w:sz w:val="24"/>
          <w:szCs w:val="24"/>
        </w:rPr>
      </w:pPr>
      <w:r w:rsidRPr="00AD08CE">
        <w:rPr>
          <w:rFonts w:ascii="Arial" w:eastAsiaTheme="minorHAnsi" w:hAnsi="Arial" w:cs="Arial"/>
          <w:sz w:val="24"/>
          <w:szCs w:val="24"/>
        </w:rPr>
        <w:t xml:space="preserve">O’Gorman, K. and MacIntosh, R. (2015) </w:t>
      </w:r>
      <w:r w:rsidRPr="00AD08CE">
        <w:rPr>
          <w:rFonts w:ascii="Arial" w:eastAsiaTheme="minorHAnsi" w:hAnsi="Arial" w:cs="Arial"/>
          <w:i/>
          <w:iCs/>
          <w:sz w:val="24"/>
          <w:szCs w:val="24"/>
        </w:rPr>
        <w:t>Research methods for business &amp; management: a guide to writing your dissertation</w:t>
      </w:r>
      <w:r w:rsidRPr="00AD08CE">
        <w:rPr>
          <w:rFonts w:ascii="Arial" w:eastAsiaTheme="minorHAnsi" w:hAnsi="Arial" w:cs="Arial"/>
          <w:sz w:val="24"/>
          <w:szCs w:val="24"/>
        </w:rPr>
        <w:t>. 2nd ed. Oxford, England: Goodfellow Publishers Ltd.</w:t>
      </w:r>
    </w:p>
    <w:p w14:paraId="2934F055" w14:textId="49118594" w:rsidR="003054C0" w:rsidRPr="00630DCA"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Oriel Môn (2022) </w:t>
      </w:r>
      <w:r w:rsidRPr="003054C0">
        <w:rPr>
          <w:rFonts w:ascii="Arial" w:eastAsiaTheme="minorHAnsi" w:hAnsi="Arial" w:cs="Arial"/>
          <w:i/>
          <w:iCs/>
          <w:sz w:val="24"/>
          <w:szCs w:val="24"/>
        </w:rPr>
        <w:t>Support Oriel Môn.</w:t>
      </w:r>
      <w:r w:rsidRPr="003054C0">
        <w:rPr>
          <w:rFonts w:ascii="Arial" w:eastAsiaTheme="minorHAnsi" w:hAnsi="Arial" w:cs="Arial"/>
          <w:sz w:val="24"/>
          <w:szCs w:val="24"/>
        </w:rPr>
        <w:t xml:space="preserve"> Available at: </w:t>
      </w:r>
      <w:hyperlink r:id="rId92" w:history="1">
        <w:r w:rsidRPr="003054C0">
          <w:rPr>
            <w:rFonts w:ascii="Arial" w:eastAsiaTheme="minorHAnsi" w:hAnsi="Arial" w:cs="Arial"/>
            <w:color w:val="0563C1" w:themeColor="hyperlink"/>
            <w:sz w:val="24"/>
            <w:szCs w:val="24"/>
            <w:u w:val="single"/>
          </w:rPr>
          <w:t>https://www.orielmon.org/en-gb/about-us/support-us</w:t>
        </w:r>
      </w:hyperlink>
      <w:r w:rsidRPr="003054C0">
        <w:rPr>
          <w:rFonts w:ascii="Arial" w:eastAsiaTheme="minorHAnsi" w:hAnsi="Arial" w:cs="Arial"/>
          <w:sz w:val="24"/>
          <w:szCs w:val="24"/>
        </w:rPr>
        <w:t xml:space="preserve"> (Accessed: 2nd July 2022).</w:t>
      </w:r>
    </w:p>
    <w:p w14:paraId="403E5994" w14:textId="01D61DE7" w:rsidR="00E35CB3" w:rsidRDefault="00E35CB3" w:rsidP="00E35CB3">
      <w:pPr>
        <w:spacing w:after="160" w:line="259" w:lineRule="auto"/>
        <w:rPr>
          <w:rFonts w:ascii="Arial" w:eastAsiaTheme="minorHAnsi" w:hAnsi="Arial" w:cs="Arial"/>
          <w:sz w:val="24"/>
          <w:szCs w:val="24"/>
        </w:rPr>
      </w:pPr>
      <w:r w:rsidRPr="00E35CB3">
        <w:rPr>
          <w:rFonts w:ascii="Arial" w:eastAsiaTheme="minorHAnsi" w:hAnsi="Arial" w:cs="Arial"/>
          <w:sz w:val="24"/>
          <w:szCs w:val="24"/>
        </w:rPr>
        <w:t xml:space="preserve">Patton, M.Q. (2015) </w:t>
      </w:r>
      <w:r w:rsidRPr="00E35CB3">
        <w:rPr>
          <w:rFonts w:ascii="Arial" w:eastAsiaTheme="minorHAnsi" w:hAnsi="Arial" w:cs="Arial"/>
          <w:i/>
          <w:iCs/>
          <w:sz w:val="24"/>
          <w:szCs w:val="24"/>
        </w:rPr>
        <w:t>Qualitative research and evaluation methods</w:t>
      </w:r>
      <w:r w:rsidRPr="00E35CB3">
        <w:rPr>
          <w:rFonts w:ascii="Arial" w:eastAsiaTheme="minorHAnsi" w:hAnsi="Arial" w:cs="Arial"/>
          <w:sz w:val="24"/>
          <w:szCs w:val="24"/>
        </w:rPr>
        <w:t>. 4th ed. Los Angeles: SAGE.</w:t>
      </w:r>
    </w:p>
    <w:p w14:paraId="25C1B636" w14:textId="77777777" w:rsidR="00EA0A21" w:rsidRDefault="00EA0A21" w:rsidP="00E35CB3">
      <w:pPr>
        <w:spacing w:after="160" w:line="259" w:lineRule="auto"/>
        <w:rPr>
          <w:rFonts w:ascii="Arial" w:eastAsiaTheme="minorHAnsi" w:hAnsi="Arial" w:cs="Arial"/>
          <w:sz w:val="24"/>
          <w:szCs w:val="24"/>
        </w:rPr>
      </w:pPr>
      <w:r w:rsidRPr="00EA0A21">
        <w:rPr>
          <w:rFonts w:ascii="Arial" w:eastAsiaTheme="minorHAnsi" w:hAnsi="Arial" w:cs="Arial"/>
          <w:sz w:val="24"/>
          <w:szCs w:val="24"/>
        </w:rPr>
        <w:t xml:space="preserve">Peet, L. (2016) ‘360° Fund Raising’, </w:t>
      </w:r>
      <w:r w:rsidRPr="00EA0A21">
        <w:rPr>
          <w:rFonts w:ascii="Arial" w:eastAsiaTheme="minorHAnsi" w:hAnsi="Arial" w:cs="Arial"/>
          <w:i/>
          <w:iCs/>
          <w:sz w:val="24"/>
          <w:szCs w:val="24"/>
        </w:rPr>
        <w:t>Library Journal, 141(8), p. 32–.</w:t>
      </w:r>
    </w:p>
    <w:p w14:paraId="4D5DEF7D" w14:textId="2E5FA174" w:rsidR="00E52587" w:rsidRPr="003054C0" w:rsidRDefault="00E52587" w:rsidP="00E35CB3">
      <w:pPr>
        <w:spacing w:after="160" w:line="259" w:lineRule="auto"/>
        <w:rPr>
          <w:rFonts w:ascii="Arial" w:eastAsiaTheme="minorHAnsi" w:hAnsi="Arial" w:cs="Arial"/>
          <w:sz w:val="24"/>
          <w:szCs w:val="24"/>
        </w:rPr>
      </w:pPr>
      <w:r w:rsidRPr="00E52587">
        <w:rPr>
          <w:rFonts w:ascii="Arial" w:eastAsiaTheme="minorHAnsi" w:hAnsi="Arial" w:cs="Arial"/>
          <w:sz w:val="24"/>
          <w:szCs w:val="24"/>
        </w:rPr>
        <w:t xml:space="preserve">Powys County Council (2022) </w:t>
      </w:r>
      <w:r w:rsidRPr="00E52587">
        <w:rPr>
          <w:rFonts w:ascii="Arial" w:eastAsiaTheme="minorHAnsi" w:hAnsi="Arial" w:cs="Arial"/>
          <w:i/>
          <w:iCs/>
          <w:sz w:val="24"/>
          <w:szCs w:val="24"/>
        </w:rPr>
        <w:t>Data protection and privacy</w:t>
      </w:r>
      <w:r w:rsidRPr="00E52587">
        <w:rPr>
          <w:rFonts w:ascii="Arial" w:eastAsiaTheme="minorHAnsi" w:hAnsi="Arial" w:cs="Arial"/>
          <w:sz w:val="24"/>
          <w:szCs w:val="24"/>
        </w:rPr>
        <w:t xml:space="preserve">. Available at: </w:t>
      </w:r>
      <w:hyperlink r:id="rId93" w:history="1">
        <w:r w:rsidRPr="00E52587">
          <w:rPr>
            <w:rFonts w:ascii="Arial" w:eastAsiaTheme="minorHAnsi" w:hAnsi="Arial" w:cs="Arial"/>
            <w:color w:val="0563C1" w:themeColor="hyperlink"/>
            <w:sz w:val="24"/>
            <w:szCs w:val="24"/>
            <w:u w:val="single"/>
          </w:rPr>
          <w:t>https://en.powys.gov.uk/privacy</w:t>
        </w:r>
      </w:hyperlink>
      <w:r w:rsidRPr="00E52587">
        <w:rPr>
          <w:rFonts w:ascii="Arial" w:eastAsiaTheme="minorHAnsi" w:hAnsi="Arial" w:cs="Arial"/>
          <w:sz w:val="24"/>
          <w:szCs w:val="24"/>
        </w:rPr>
        <w:t xml:space="preserve">  (Accessed 12 June 2022).</w:t>
      </w:r>
    </w:p>
    <w:p w14:paraId="6EF4C298"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Public Libraries News (2022) </w:t>
      </w:r>
      <w:r w:rsidRPr="003054C0">
        <w:rPr>
          <w:rFonts w:ascii="Arial" w:eastAsiaTheme="minorHAnsi" w:hAnsi="Arial" w:cs="Arial"/>
          <w:i/>
          <w:iCs/>
          <w:sz w:val="24"/>
          <w:szCs w:val="24"/>
        </w:rPr>
        <w:t xml:space="preserve">Ideas and innovations in public libraries. </w:t>
      </w:r>
      <w:r w:rsidRPr="003054C0">
        <w:rPr>
          <w:rFonts w:ascii="Arial" w:eastAsiaTheme="minorHAnsi" w:hAnsi="Arial" w:cs="Arial"/>
          <w:sz w:val="24"/>
          <w:szCs w:val="24"/>
        </w:rPr>
        <w:t xml:space="preserve">Available at: </w:t>
      </w:r>
      <w:hyperlink r:id="rId94" w:history="1">
        <w:r w:rsidRPr="003054C0">
          <w:rPr>
            <w:rFonts w:ascii="Arial" w:eastAsiaTheme="minorHAnsi" w:hAnsi="Arial" w:cs="Arial"/>
            <w:color w:val="0563C1" w:themeColor="hyperlink"/>
            <w:sz w:val="24"/>
            <w:szCs w:val="24"/>
            <w:u w:val="single"/>
          </w:rPr>
          <w:t>https://www.publiclibrariesnews.com/practitioners/ideas-and-innovations-in-public-libraries</w:t>
        </w:r>
      </w:hyperlink>
      <w:r w:rsidRPr="003054C0">
        <w:rPr>
          <w:rFonts w:ascii="Arial" w:eastAsiaTheme="minorHAnsi" w:hAnsi="Arial" w:cs="Arial"/>
          <w:sz w:val="24"/>
          <w:szCs w:val="24"/>
        </w:rPr>
        <w:t xml:space="preserve"> (Accessed: 16th July 2022).</w:t>
      </w:r>
    </w:p>
    <w:p w14:paraId="3EDA39A1"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Public Libraries News (2022) </w:t>
      </w:r>
      <w:r w:rsidRPr="003054C0">
        <w:rPr>
          <w:rFonts w:ascii="Arial" w:eastAsiaTheme="minorHAnsi" w:hAnsi="Arial" w:cs="Arial"/>
          <w:i/>
          <w:iCs/>
          <w:sz w:val="24"/>
          <w:szCs w:val="24"/>
        </w:rPr>
        <w:t xml:space="preserve">Increasing income: retail. </w:t>
      </w:r>
      <w:r w:rsidRPr="003054C0">
        <w:rPr>
          <w:rFonts w:ascii="Arial" w:eastAsiaTheme="minorHAnsi" w:hAnsi="Arial" w:cs="Arial"/>
          <w:sz w:val="24"/>
          <w:szCs w:val="24"/>
        </w:rPr>
        <w:t xml:space="preserve">Available at: </w:t>
      </w:r>
      <w:hyperlink r:id="rId95" w:history="1">
        <w:r w:rsidRPr="003054C0">
          <w:rPr>
            <w:rFonts w:ascii="Arial" w:eastAsiaTheme="minorHAnsi" w:hAnsi="Arial" w:cs="Arial"/>
            <w:color w:val="0563C1" w:themeColor="hyperlink"/>
            <w:sz w:val="24"/>
            <w:szCs w:val="24"/>
            <w:u w:val="single"/>
          </w:rPr>
          <w:t>https://www.publiclibrariesnews.com/campaigning/increasing-income/increasing-income-retail</w:t>
        </w:r>
      </w:hyperlink>
      <w:r w:rsidRPr="003054C0">
        <w:rPr>
          <w:rFonts w:ascii="Arial" w:eastAsiaTheme="minorHAnsi" w:hAnsi="Arial" w:cs="Arial"/>
          <w:sz w:val="24"/>
          <w:szCs w:val="24"/>
        </w:rPr>
        <w:t xml:space="preserve"> (Accessed: 16th July 2022). </w:t>
      </w:r>
    </w:p>
    <w:p w14:paraId="54E1AB6E" w14:textId="77777777" w:rsidR="003054C0" w:rsidRPr="003054C0"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Queens Public Library (2022) </w:t>
      </w:r>
      <w:r w:rsidRPr="003054C0">
        <w:rPr>
          <w:rFonts w:ascii="Arial" w:eastAsiaTheme="minorHAnsi" w:hAnsi="Arial" w:cs="Arial"/>
          <w:i/>
          <w:iCs/>
          <w:sz w:val="24"/>
          <w:szCs w:val="24"/>
        </w:rPr>
        <w:t xml:space="preserve">Support the library. </w:t>
      </w:r>
      <w:r w:rsidRPr="003054C0">
        <w:rPr>
          <w:rFonts w:ascii="Arial" w:eastAsiaTheme="minorHAnsi" w:hAnsi="Arial" w:cs="Arial"/>
          <w:sz w:val="24"/>
          <w:szCs w:val="24"/>
        </w:rPr>
        <w:t xml:space="preserve">Available at: </w:t>
      </w:r>
      <w:hyperlink r:id="rId96" w:history="1">
        <w:r w:rsidRPr="003054C0">
          <w:rPr>
            <w:rFonts w:ascii="Arial" w:eastAsiaTheme="minorHAnsi" w:hAnsi="Arial" w:cs="Arial"/>
            <w:color w:val="0563C1" w:themeColor="hyperlink"/>
            <w:sz w:val="24"/>
            <w:szCs w:val="24"/>
            <w:u w:val="single"/>
          </w:rPr>
          <w:t>https://www.queenslibrary.org/support</w:t>
        </w:r>
      </w:hyperlink>
      <w:r w:rsidRPr="003054C0">
        <w:rPr>
          <w:rFonts w:ascii="Arial" w:eastAsiaTheme="minorHAnsi" w:hAnsi="Arial" w:cs="Arial"/>
          <w:sz w:val="24"/>
          <w:szCs w:val="24"/>
        </w:rPr>
        <w:t xml:space="preserve"> (Accessed: 30th September 2022).</w:t>
      </w:r>
    </w:p>
    <w:p w14:paraId="3608615D" w14:textId="755E6298" w:rsidR="005075F6" w:rsidRPr="002B6842" w:rsidRDefault="003054C0" w:rsidP="00FA35E4">
      <w:pPr>
        <w:spacing w:after="160" w:line="240" w:lineRule="auto"/>
        <w:rPr>
          <w:rFonts w:ascii="Arial" w:eastAsiaTheme="minorHAnsi" w:hAnsi="Arial" w:cs="Arial"/>
          <w:sz w:val="24"/>
          <w:szCs w:val="24"/>
        </w:rPr>
      </w:pPr>
      <w:r w:rsidRPr="003054C0">
        <w:rPr>
          <w:rFonts w:ascii="Arial" w:eastAsiaTheme="minorHAnsi" w:hAnsi="Arial" w:cs="Arial"/>
          <w:sz w:val="24"/>
          <w:szCs w:val="24"/>
        </w:rPr>
        <w:t xml:space="preserve">Reading Agency (2022) </w:t>
      </w:r>
      <w:r w:rsidRPr="003054C0">
        <w:rPr>
          <w:rFonts w:ascii="Arial" w:eastAsiaTheme="minorHAnsi" w:hAnsi="Arial" w:cs="Arial"/>
          <w:i/>
          <w:iCs/>
          <w:sz w:val="24"/>
          <w:szCs w:val="24"/>
        </w:rPr>
        <w:t xml:space="preserve">Summer Reading Challenge. </w:t>
      </w:r>
      <w:r w:rsidRPr="003054C0">
        <w:rPr>
          <w:rFonts w:ascii="Arial" w:eastAsiaTheme="minorHAnsi" w:hAnsi="Arial" w:cs="Arial"/>
          <w:sz w:val="24"/>
          <w:szCs w:val="24"/>
        </w:rPr>
        <w:t xml:space="preserve">Available at: </w:t>
      </w:r>
      <w:hyperlink r:id="rId97" w:history="1">
        <w:r w:rsidRPr="003054C0">
          <w:rPr>
            <w:rFonts w:ascii="Arial" w:eastAsiaTheme="minorHAnsi" w:hAnsi="Arial" w:cs="Arial"/>
            <w:color w:val="0563C1" w:themeColor="hyperlink"/>
            <w:sz w:val="24"/>
            <w:szCs w:val="24"/>
            <w:u w:val="single"/>
          </w:rPr>
          <w:t>https://readingagency.org.uk/children/quick-guides/summer-reading-challenge/</w:t>
        </w:r>
      </w:hyperlink>
      <w:r w:rsidRPr="003054C0">
        <w:rPr>
          <w:rFonts w:ascii="Arial" w:eastAsiaTheme="minorHAnsi" w:hAnsi="Arial" w:cs="Arial"/>
          <w:sz w:val="24"/>
          <w:szCs w:val="24"/>
        </w:rPr>
        <w:t xml:space="preserve"> (Accessed: 16th July 2022).</w:t>
      </w:r>
    </w:p>
    <w:p w14:paraId="6DA1BFF6" w14:textId="611B1E65" w:rsidR="002B6842" w:rsidRPr="00630DCA" w:rsidRDefault="002B6842" w:rsidP="00FA35E4">
      <w:pPr>
        <w:spacing w:after="160" w:line="240" w:lineRule="auto"/>
        <w:rPr>
          <w:rFonts w:ascii="Arial" w:eastAsiaTheme="minorHAnsi" w:hAnsi="Arial" w:cs="Arial"/>
          <w:color w:val="000000" w:themeColor="text1"/>
          <w:sz w:val="24"/>
          <w:szCs w:val="24"/>
          <w:shd w:val="clear" w:color="auto" w:fill="FFFFFF"/>
        </w:rPr>
      </w:pPr>
      <w:r w:rsidRPr="002B6842">
        <w:rPr>
          <w:rFonts w:ascii="Arial" w:eastAsiaTheme="minorHAnsi" w:hAnsi="Arial" w:cs="Arial"/>
          <w:color w:val="000000" w:themeColor="text1"/>
          <w:sz w:val="24"/>
          <w:szCs w:val="24"/>
          <w:shd w:val="clear" w:color="auto" w:fill="FFFFFF"/>
        </w:rPr>
        <w:t xml:space="preserve">Red Quadrant (2021) </w:t>
      </w:r>
      <w:r w:rsidRPr="002B6842">
        <w:rPr>
          <w:rFonts w:ascii="Arial" w:eastAsiaTheme="minorHAnsi" w:hAnsi="Arial" w:cs="Arial"/>
          <w:i/>
          <w:iCs/>
          <w:color w:val="000000" w:themeColor="text1"/>
          <w:sz w:val="24"/>
          <w:szCs w:val="24"/>
          <w:shd w:val="clear" w:color="auto" w:fill="FFFFFF"/>
        </w:rPr>
        <w:t>Powys County Council Cultural Services Transformation Project: Appraisal of options for alternative delivery</w:t>
      </w:r>
      <w:r w:rsidRPr="002B6842">
        <w:rPr>
          <w:rFonts w:ascii="Arial" w:eastAsiaTheme="minorHAnsi" w:hAnsi="Arial" w:cs="Arial"/>
          <w:color w:val="000000" w:themeColor="text1"/>
          <w:sz w:val="24"/>
          <w:szCs w:val="24"/>
          <w:shd w:val="clear" w:color="auto" w:fill="FFFFFF"/>
        </w:rPr>
        <w:t>. Unpublished – available on request.</w:t>
      </w:r>
    </w:p>
    <w:p w14:paraId="6869FF4D" w14:textId="3391AC0C" w:rsidR="0063187B" w:rsidRPr="002B6842"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t xml:space="preserve">Riley-Huff, D.A. et al. (2016) ‘Crowdfunding in libraries, archives and museums’, </w:t>
      </w:r>
      <w:r w:rsidRPr="0063187B">
        <w:rPr>
          <w:rFonts w:ascii="Arial" w:eastAsiaTheme="minorHAnsi" w:hAnsi="Arial" w:cs="Arial"/>
          <w:i/>
          <w:iCs/>
          <w:sz w:val="24"/>
          <w:szCs w:val="24"/>
        </w:rPr>
        <w:t>The Bottom line</w:t>
      </w:r>
      <w:r w:rsidRPr="0063187B">
        <w:rPr>
          <w:rFonts w:ascii="Arial" w:eastAsiaTheme="minorHAnsi" w:hAnsi="Arial" w:cs="Arial"/>
          <w:sz w:val="24"/>
          <w:szCs w:val="24"/>
        </w:rPr>
        <w:t xml:space="preserve"> (New York, N.Y.), 29(2), pp. 67–85. doi:10.1108/BL-03-2016-0014.</w:t>
      </w:r>
    </w:p>
    <w:p w14:paraId="714E3481" w14:textId="4407253B" w:rsidR="002B6842" w:rsidRPr="00630DCA" w:rsidRDefault="002B6842" w:rsidP="00FA35E4">
      <w:pPr>
        <w:spacing w:after="160" w:line="240" w:lineRule="auto"/>
        <w:rPr>
          <w:rFonts w:ascii="Arial" w:eastAsiaTheme="minorHAnsi" w:hAnsi="Arial" w:cs="Arial"/>
          <w:color w:val="000000" w:themeColor="text1"/>
          <w:sz w:val="24"/>
          <w:szCs w:val="24"/>
          <w:shd w:val="clear" w:color="auto" w:fill="FFFFFF"/>
        </w:rPr>
      </w:pPr>
      <w:r w:rsidRPr="002B6842">
        <w:rPr>
          <w:rFonts w:ascii="Arial" w:eastAsiaTheme="minorHAnsi" w:hAnsi="Arial" w:cs="Arial"/>
          <w:color w:val="000000" w:themeColor="text1"/>
          <w:sz w:val="24"/>
          <w:szCs w:val="24"/>
          <w:shd w:val="clear" w:color="auto" w:fill="FFFFFF"/>
        </w:rPr>
        <w:t xml:space="preserve">Roberts, D.S.E. (2014) </w:t>
      </w:r>
      <w:r w:rsidRPr="002B6842">
        <w:rPr>
          <w:rFonts w:ascii="Arial" w:eastAsiaTheme="minorHAnsi" w:hAnsi="Arial" w:cs="Arial"/>
          <w:i/>
          <w:iCs/>
          <w:color w:val="000000" w:themeColor="text1"/>
          <w:sz w:val="24"/>
          <w:szCs w:val="24"/>
          <w:shd w:val="clear" w:color="auto" w:fill="FFFFFF"/>
        </w:rPr>
        <w:t xml:space="preserve">Independent trust and community libraries in Wales. </w:t>
      </w:r>
      <w:r w:rsidRPr="002B6842">
        <w:rPr>
          <w:rFonts w:ascii="Arial" w:eastAsiaTheme="minorHAnsi" w:hAnsi="Arial" w:cs="Arial"/>
          <w:color w:val="000000" w:themeColor="text1"/>
          <w:sz w:val="24"/>
          <w:szCs w:val="24"/>
          <w:shd w:val="clear" w:color="auto" w:fill="FFFFFF"/>
        </w:rPr>
        <w:t xml:space="preserve">Available at: </w:t>
      </w:r>
      <w:hyperlink r:id="rId98" w:history="1">
        <w:r w:rsidRPr="002B6842">
          <w:rPr>
            <w:rFonts w:ascii="Arial" w:eastAsiaTheme="minorHAnsi" w:hAnsi="Arial" w:cs="Arial"/>
            <w:color w:val="0563C1" w:themeColor="hyperlink"/>
            <w:sz w:val="24"/>
            <w:szCs w:val="24"/>
            <w:u w:val="single"/>
            <w:shd w:val="clear" w:color="auto" w:fill="FFFFFF"/>
          </w:rPr>
          <w:t>https://gov.wales/sites/default/files/publications/2019-07/independent-trust-and-community-libraries-in-wales.pdf</w:t>
        </w:r>
      </w:hyperlink>
      <w:r w:rsidRPr="002B6842">
        <w:rPr>
          <w:rFonts w:ascii="Arial" w:eastAsiaTheme="minorHAnsi" w:hAnsi="Arial" w:cs="Arial"/>
          <w:color w:val="000000" w:themeColor="text1"/>
          <w:sz w:val="24"/>
          <w:szCs w:val="24"/>
          <w:shd w:val="clear" w:color="auto" w:fill="FFFFFF"/>
        </w:rPr>
        <w:t xml:space="preserve"> (Accessed 26 June 2022).</w:t>
      </w:r>
    </w:p>
    <w:p w14:paraId="612C330E" w14:textId="28E8D834" w:rsidR="00E52587" w:rsidRPr="00630DCA" w:rsidRDefault="002823EB" w:rsidP="002823EB">
      <w:pPr>
        <w:spacing w:after="160" w:line="259" w:lineRule="auto"/>
        <w:rPr>
          <w:rFonts w:ascii="Arial" w:eastAsiaTheme="minorHAnsi" w:hAnsi="Arial" w:cs="Arial"/>
          <w:sz w:val="24"/>
          <w:szCs w:val="24"/>
        </w:rPr>
      </w:pPr>
      <w:r w:rsidRPr="002823EB">
        <w:rPr>
          <w:rFonts w:ascii="Arial" w:eastAsiaTheme="minorHAnsi" w:hAnsi="Arial" w:cs="Arial"/>
          <w:sz w:val="24"/>
          <w:szCs w:val="24"/>
        </w:rPr>
        <w:t xml:space="preserve">Robinson, O.C. (2014) ‘Sampling in Interview-Based Qualitative Research: A Theoretical and Practical Guide’, </w:t>
      </w:r>
      <w:r w:rsidRPr="002823EB">
        <w:rPr>
          <w:rFonts w:ascii="Arial" w:eastAsiaTheme="minorHAnsi" w:hAnsi="Arial" w:cs="Arial"/>
          <w:i/>
          <w:iCs/>
          <w:sz w:val="24"/>
          <w:szCs w:val="24"/>
        </w:rPr>
        <w:t>Qualitative research in psychology</w:t>
      </w:r>
      <w:r w:rsidRPr="002823EB">
        <w:rPr>
          <w:rFonts w:ascii="Arial" w:eastAsiaTheme="minorHAnsi" w:hAnsi="Arial" w:cs="Arial"/>
          <w:sz w:val="24"/>
          <w:szCs w:val="24"/>
        </w:rPr>
        <w:t>, 11(1), pp. 25–41. doi:10.1080/14780887.2013.801543.</w:t>
      </w:r>
    </w:p>
    <w:p w14:paraId="35B1F230" w14:textId="77777777" w:rsidR="0063187B" w:rsidRPr="0063187B"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lastRenderedPageBreak/>
        <w:t xml:space="preserve">Ruiz, C. (2022) </w:t>
      </w:r>
      <w:r w:rsidRPr="0063187B">
        <w:rPr>
          <w:rFonts w:ascii="Arial" w:eastAsiaTheme="minorHAnsi" w:hAnsi="Arial" w:cs="Arial"/>
          <w:i/>
          <w:iCs/>
          <w:sz w:val="24"/>
          <w:szCs w:val="24"/>
        </w:rPr>
        <w:t xml:space="preserve">Meet the man making millions for western museums in China. </w:t>
      </w:r>
      <w:r w:rsidRPr="0063187B">
        <w:rPr>
          <w:rFonts w:ascii="Arial" w:eastAsiaTheme="minorHAnsi" w:hAnsi="Arial" w:cs="Arial"/>
          <w:sz w:val="24"/>
          <w:szCs w:val="24"/>
        </w:rPr>
        <w:t xml:space="preserve">Available at: </w:t>
      </w:r>
      <w:hyperlink r:id="rId99" w:history="1">
        <w:r w:rsidRPr="0063187B">
          <w:rPr>
            <w:rFonts w:ascii="Arial" w:eastAsiaTheme="minorHAnsi" w:hAnsi="Arial" w:cs="Arial"/>
            <w:color w:val="0563C1" w:themeColor="hyperlink"/>
            <w:sz w:val="24"/>
            <w:szCs w:val="24"/>
            <w:u w:val="single"/>
          </w:rPr>
          <w:t>https://www.theartnewspaper.com/2022/01/05/the-man-making-millions-for-western-museums</w:t>
        </w:r>
      </w:hyperlink>
      <w:r w:rsidRPr="0063187B">
        <w:rPr>
          <w:rFonts w:ascii="Arial" w:eastAsiaTheme="minorHAnsi" w:hAnsi="Arial" w:cs="Arial"/>
          <w:sz w:val="24"/>
          <w:szCs w:val="24"/>
        </w:rPr>
        <w:t xml:space="preserve"> (Accessed: 29th September 2022).</w:t>
      </w:r>
    </w:p>
    <w:p w14:paraId="7755E7FE" w14:textId="07BB1BC2" w:rsidR="0063187B" w:rsidRPr="00630DCA" w:rsidRDefault="0063187B" w:rsidP="00FA35E4">
      <w:pPr>
        <w:spacing w:after="160" w:line="240" w:lineRule="auto"/>
        <w:rPr>
          <w:rFonts w:ascii="Arial" w:eastAsiaTheme="minorHAnsi" w:hAnsi="Arial" w:cs="Arial"/>
          <w:sz w:val="24"/>
          <w:szCs w:val="24"/>
        </w:rPr>
      </w:pPr>
      <w:r w:rsidRPr="0063187B">
        <w:rPr>
          <w:rFonts w:ascii="Arial" w:eastAsiaTheme="minorHAnsi" w:hAnsi="Arial" w:cs="Arial"/>
          <w:sz w:val="24"/>
          <w:szCs w:val="24"/>
        </w:rPr>
        <w:t xml:space="preserve">Ryu, S. &amp; Suh, A. (2021) "Online service or virtual community? Building platform loyalty in reward-based crowdfunding", </w:t>
      </w:r>
      <w:r w:rsidRPr="0063187B">
        <w:rPr>
          <w:rFonts w:ascii="Arial" w:eastAsiaTheme="minorHAnsi" w:hAnsi="Arial" w:cs="Arial"/>
          <w:i/>
          <w:iCs/>
          <w:sz w:val="24"/>
          <w:szCs w:val="24"/>
        </w:rPr>
        <w:t>Internet Research</w:t>
      </w:r>
      <w:r w:rsidRPr="0063187B">
        <w:rPr>
          <w:rFonts w:ascii="Arial" w:eastAsiaTheme="minorHAnsi" w:hAnsi="Arial" w:cs="Arial"/>
          <w:sz w:val="24"/>
          <w:szCs w:val="24"/>
        </w:rPr>
        <w:t>,</w:t>
      </w:r>
      <w:r w:rsidRPr="0063187B">
        <w:rPr>
          <w:rFonts w:ascii="Arial" w:eastAsiaTheme="minorHAnsi" w:hAnsi="Arial" w:cs="Arial"/>
          <w:i/>
          <w:iCs/>
          <w:sz w:val="24"/>
          <w:szCs w:val="24"/>
        </w:rPr>
        <w:t xml:space="preserve"> vol. 31, no. 1</w:t>
      </w:r>
      <w:r w:rsidRPr="0063187B">
        <w:rPr>
          <w:rFonts w:ascii="Arial" w:eastAsiaTheme="minorHAnsi" w:hAnsi="Arial" w:cs="Arial"/>
          <w:sz w:val="24"/>
          <w:szCs w:val="24"/>
        </w:rPr>
        <w:t>, pp. 315-340.</w:t>
      </w:r>
    </w:p>
    <w:p w14:paraId="3024A54A" w14:textId="36BA25E7" w:rsidR="002823EB" w:rsidRPr="00630DCA" w:rsidRDefault="002A5529" w:rsidP="002A5529">
      <w:pPr>
        <w:spacing w:after="160" w:line="259" w:lineRule="auto"/>
        <w:rPr>
          <w:rFonts w:ascii="Arial" w:eastAsiaTheme="minorHAnsi" w:hAnsi="Arial" w:cs="Arial"/>
          <w:sz w:val="24"/>
          <w:szCs w:val="24"/>
        </w:rPr>
      </w:pPr>
      <w:bookmarkStart w:id="76" w:name="_Hlk105339074"/>
      <w:r w:rsidRPr="002A5529">
        <w:rPr>
          <w:rFonts w:ascii="Arial" w:eastAsiaTheme="minorHAnsi" w:hAnsi="Arial" w:cs="Arial"/>
          <w:sz w:val="24"/>
          <w:szCs w:val="24"/>
        </w:rPr>
        <w:t xml:space="preserve">Sachdeva, </w:t>
      </w:r>
      <w:bookmarkEnd w:id="76"/>
      <w:r w:rsidRPr="002A5529">
        <w:rPr>
          <w:rFonts w:ascii="Arial" w:eastAsiaTheme="minorHAnsi" w:hAnsi="Arial" w:cs="Arial"/>
          <w:sz w:val="24"/>
          <w:szCs w:val="24"/>
        </w:rPr>
        <w:t xml:space="preserve">J.K. (2009) </w:t>
      </w:r>
      <w:r w:rsidRPr="002A5529">
        <w:rPr>
          <w:rFonts w:ascii="Arial" w:eastAsiaTheme="minorHAnsi" w:hAnsi="Arial" w:cs="Arial"/>
          <w:i/>
          <w:iCs/>
          <w:sz w:val="24"/>
          <w:szCs w:val="24"/>
        </w:rPr>
        <w:t>Business research methodology</w:t>
      </w:r>
      <w:r w:rsidRPr="002A5529">
        <w:rPr>
          <w:rFonts w:ascii="Arial" w:eastAsiaTheme="minorHAnsi" w:hAnsi="Arial" w:cs="Arial"/>
          <w:sz w:val="24"/>
          <w:szCs w:val="24"/>
        </w:rPr>
        <w:t>. Mumbai [India: Himalaya Pub. House.</w:t>
      </w:r>
    </w:p>
    <w:p w14:paraId="20BB495D" w14:textId="1E4CCF22" w:rsidR="00E70A68"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Saffra, E. (2022) </w:t>
      </w:r>
      <w:r w:rsidRPr="00E70A68">
        <w:rPr>
          <w:rFonts w:ascii="Arial" w:eastAsiaTheme="minorHAnsi" w:hAnsi="Arial" w:cs="Arial"/>
          <w:i/>
          <w:iCs/>
          <w:sz w:val="24"/>
          <w:szCs w:val="24"/>
        </w:rPr>
        <w:t>Why Artist and Museum Merchandise Is the Next Major Growth Category for the Ever-Expanding Art Market</w:t>
      </w:r>
      <w:r w:rsidRPr="00E70A68">
        <w:rPr>
          <w:rFonts w:ascii="Arial" w:eastAsiaTheme="minorHAnsi" w:hAnsi="Arial" w:cs="Arial"/>
          <w:sz w:val="24"/>
          <w:szCs w:val="24"/>
        </w:rPr>
        <w:t xml:space="preserve">. Available at: </w:t>
      </w:r>
      <w:hyperlink r:id="rId100" w:history="1">
        <w:r w:rsidRPr="00E70A68">
          <w:rPr>
            <w:rFonts w:ascii="Arial" w:eastAsiaTheme="minorHAnsi" w:hAnsi="Arial" w:cs="Arial"/>
            <w:color w:val="0563C1" w:themeColor="hyperlink"/>
            <w:sz w:val="24"/>
            <w:szCs w:val="24"/>
            <w:u w:val="single"/>
          </w:rPr>
          <w:t>https://news.artnet.com/opinion/art-merchandise-market-2080427</w:t>
        </w:r>
      </w:hyperlink>
      <w:r w:rsidRPr="00E70A68">
        <w:rPr>
          <w:rFonts w:ascii="Arial" w:eastAsiaTheme="minorHAnsi" w:hAnsi="Arial" w:cs="Arial"/>
          <w:sz w:val="24"/>
          <w:szCs w:val="24"/>
        </w:rPr>
        <w:t xml:space="preserve"> (Accessed 30th September 2022).</w:t>
      </w:r>
    </w:p>
    <w:p w14:paraId="03B31862" w14:textId="36595AA0" w:rsidR="002A5529" w:rsidRPr="00E70A68" w:rsidRDefault="00E303B0" w:rsidP="00E303B0">
      <w:pPr>
        <w:spacing w:after="160" w:line="259" w:lineRule="auto"/>
        <w:rPr>
          <w:rFonts w:ascii="Arial" w:eastAsiaTheme="minorHAnsi" w:hAnsi="Arial" w:cs="Arial"/>
          <w:sz w:val="24"/>
          <w:szCs w:val="24"/>
        </w:rPr>
      </w:pPr>
      <w:r w:rsidRPr="00E303B0">
        <w:rPr>
          <w:rFonts w:ascii="Arial" w:eastAsiaTheme="minorHAnsi" w:hAnsi="Arial" w:cs="Arial"/>
          <w:sz w:val="24"/>
          <w:szCs w:val="24"/>
        </w:rPr>
        <w:t xml:space="preserve">Saunders, M.N.K., Lewis, P. and Thornhill, A. (2019) </w:t>
      </w:r>
      <w:r w:rsidRPr="00E303B0">
        <w:rPr>
          <w:rFonts w:ascii="Arial" w:eastAsiaTheme="minorHAnsi" w:hAnsi="Arial" w:cs="Arial"/>
          <w:i/>
          <w:iCs/>
          <w:sz w:val="24"/>
          <w:szCs w:val="24"/>
        </w:rPr>
        <w:t>Research methods for business students</w:t>
      </w:r>
      <w:r w:rsidRPr="00E303B0">
        <w:rPr>
          <w:rFonts w:ascii="Arial" w:eastAsiaTheme="minorHAnsi" w:hAnsi="Arial" w:cs="Arial"/>
          <w:sz w:val="24"/>
          <w:szCs w:val="24"/>
        </w:rPr>
        <w:t>. 8th ed. New York: Pearson. pp. 128-130.</w:t>
      </w:r>
    </w:p>
    <w:p w14:paraId="4BFA3573"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Science Museum of Minnesota (2022) </w:t>
      </w:r>
      <w:r w:rsidRPr="00E70A68">
        <w:rPr>
          <w:rFonts w:ascii="Arial" w:eastAsiaTheme="minorHAnsi" w:hAnsi="Arial" w:cs="Arial"/>
          <w:i/>
          <w:iCs/>
          <w:sz w:val="24"/>
          <w:szCs w:val="24"/>
        </w:rPr>
        <w:t xml:space="preserve">Legacy giving. </w:t>
      </w:r>
      <w:r w:rsidRPr="00E70A68">
        <w:rPr>
          <w:rFonts w:ascii="Arial" w:eastAsiaTheme="minorHAnsi" w:hAnsi="Arial" w:cs="Arial"/>
          <w:sz w:val="24"/>
          <w:szCs w:val="24"/>
        </w:rPr>
        <w:t xml:space="preserve">Available at: </w:t>
      </w:r>
      <w:hyperlink r:id="rId101" w:history="1">
        <w:r w:rsidRPr="00E70A68">
          <w:rPr>
            <w:rFonts w:ascii="Arial" w:eastAsiaTheme="minorHAnsi" w:hAnsi="Arial" w:cs="Arial"/>
            <w:color w:val="0563C1" w:themeColor="hyperlink"/>
            <w:sz w:val="24"/>
            <w:szCs w:val="24"/>
            <w:u w:val="single"/>
          </w:rPr>
          <w:t>https://www.smm.org/support/legacy-giving</w:t>
        </w:r>
      </w:hyperlink>
      <w:r w:rsidRPr="00E70A68">
        <w:rPr>
          <w:rFonts w:ascii="Arial" w:eastAsiaTheme="minorHAnsi" w:hAnsi="Arial" w:cs="Arial"/>
          <w:sz w:val="24"/>
          <w:szCs w:val="24"/>
        </w:rPr>
        <w:t xml:space="preserve"> (Accessed: 2nd October 2022).</w:t>
      </w:r>
    </w:p>
    <w:p w14:paraId="58E14D40"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Share Museums East (2018) </w:t>
      </w:r>
      <w:r w:rsidRPr="00E70A68">
        <w:rPr>
          <w:rFonts w:ascii="Arial" w:eastAsiaTheme="minorHAnsi" w:hAnsi="Arial" w:cs="Arial"/>
          <w:i/>
          <w:iCs/>
          <w:sz w:val="24"/>
          <w:szCs w:val="24"/>
        </w:rPr>
        <w:t xml:space="preserve">Weddings at Norwich Museums. </w:t>
      </w:r>
      <w:r w:rsidRPr="00E70A68">
        <w:rPr>
          <w:rFonts w:ascii="Arial" w:eastAsiaTheme="minorHAnsi" w:hAnsi="Arial" w:cs="Arial"/>
          <w:sz w:val="24"/>
          <w:szCs w:val="24"/>
        </w:rPr>
        <w:t xml:space="preserve">Available at: </w:t>
      </w:r>
      <w:hyperlink r:id="rId102" w:history="1">
        <w:r w:rsidRPr="00E70A68">
          <w:rPr>
            <w:rFonts w:ascii="Arial" w:eastAsiaTheme="minorHAnsi" w:hAnsi="Arial" w:cs="Arial"/>
            <w:color w:val="0563C1" w:themeColor="hyperlink"/>
            <w:sz w:val="24"/>
            <w:szCs w:val="24"/>
            <w:u w:val="single"/>
          </w:rPr>
          <w:t>https://www.sharemuseumseast.org.uk/wp-content/uploads/2018/07/Norfolk-Museums-Service.pdf</w:t>
        </w:r>
      </w:hyperlink>
      <w:r w:rsidRPr="00E70A68">
        <w:rPr>
          <w:rFonts w:ascii="Arial" w:eastAsiaTheme="minorHAnsi" w:hAnsi="Arial" w:cs="Arial"/>
          <w:sz w:val="24"/>
          <w:szCs w:val="24"/>
        </w:rPr>
        <w:t xml:space="preserve"> (Accessed: 16th July 2022).</w:t>
      </w:r>
    </w:p>
    <w:p w14:paraId="565D6D3C" w14:textId="1CF6849E" w:rsidR="00E70A68"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South Lanarkshire Leisure and Culture (2022) </w:t>
      </w:r>
      <w:r w:rsidRPr="00E70A68">
        <w:rPr>
          <w:rFonts w:ascii="Arial" w:eastAsiaTheme="minorHAnsi" w:hAnsi="Arial" w:cs="Arial"/>
          <w:i/>
          <w:iCs/>
          <w:sz w:val="24"/>
          <w:szCs w:val="24"/>
        </w:rPr>
        <w:t xml:space="preserve">Birthday parties. </w:t>
      </w:r>
      <w:r w:rsidRPr="00E70A68">
        <w:rPr>
          <w:rFonts w:ascii="Arial" w:eastAsiaTheme="minorHAnsi" w:hAnsi="Arial" w:cs="Arial"/>
          <w:sz w:val="24"/>
          <w:szCs w:val="24"/>
        </w:rPr>
        <w:t xml:space="preserve">Available at: </w:t>
      </w:r>
      <w:hyperlink r:id="rId103" w:history="1">
        <w:r w:rsidRPr="00E70A68">
          <w:rPr>
            <w:rFonts w:ascii="Arial" w:eastAsiaTheme="minorHAnsi" w:hAnsi="Arial" w:cs="Arial"/>
            <w:color w:val="0563C1" w:themeColor="hyperlink"/>
            <w:sz w:val="24"/>
            <w:szCs w:val="24"/>
            <w:u w:val="single"/>
          </w:rPr>
          <w:t>https://www.slleisureandculture.co.uk/info/5/outdoor_and_active/957/birthday_parties</w:t>
        </w:r>
      </w:hyperlink>
      <w:r w:rsidRPr="00E70A68">
        <w:rPr>
          <w:rFonts w:ascii="Arial" w:eastAsiaTheme="minorHAnsi" w:hAnsi="Arial" w:cs="Arial"/>
          <w:sz w:val="24"/>
          <w:szCs w:val="24"/>
        </w:rPr>
        <w:t xml:space="preserve"> (Accessed: 16th July 2022).</w:t>
      </w:r>
    </w:p>
    <w:p w14:paraId="384A68BB" w14:textId="655C9F15" w:rsidR="00E303B0" w:rsidRPr="00E70A68" w:rsidRDefault="005843E8" w:rsidP="005843E8">
      <w:pPr>
        <w:spacing w:after="160" w:line="259" w:lineRule="auto"/>
        <w:rPr>
          <w:rFonts w:ascii="Arial" w:eastAsiaTheme="minorHAnsi" w:hAnsi="Arial" w:cs="Arial"/>
          <w:sz w:val="24"/>
          <w:szCs w:val="24"/>
        </w:rPr>
      </w:pPr>
      <w:r w:rsidRPr="005843E8">
        <w:rPr>
          <w:rFonts w:ascii="Arial" w:eastAsiaTheme="minorHAnsi" w:hAnsi="Arial" w:cs="Arial"/>
          <w:sz w:val="24"/>
          <w:szCs w:val="24"/>
        </w:rPr>
        <w:t xml:space="preserve">Spencer, R., Pryce J. and Walsh, J. (2020) ‘Philosophical approaches to qualitative research’ in Leavy, P. (ed) </w:t>
      </w:r>
      <w:r w:rsidRPr="005843E8">
        <w:rPr>
          <w:rFonts w:ascii="Arial" w:eastAsiaTheme="minorHAnsi" w:hAnsi="Arial" w:cs="Arial"/>
          <w:i/>
          <w:iCs/>
          <w:sz w:val="24"/>
          <w:szCs w:val="24"/>
        </w:rPr>
        <w:t>The Oxford handbook of qualitative research</w:t>
      </w:r>
      <w:r w:rsidRPr="005843E8">
        <w:rPr>
          <w:rFonts w:ascii="Arial" w:eastAsiaTheme="minorHAnsi" w:hAnsi="Arial" w:cs="Arial"/>
          <w:sz w:val="24"/>
          <w:szCs w:val="24"/>
        </w:rPr>
        <w:t>. 2nd ed. New York, New York State: Oxford University Press.</w:t>
      </w:r>
    </w:p>
    <w:p w14:paraId="59348098"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TBR (2015) </w:t>
      </w:r>
      <w:r w:rsidRPr="00E70A68">
        <w:rPr>
          <w:rFonts w:ascii="Arial" w:eastAsiaTheme="minorHAnsi" w:hAnsi="Arial" w:cs="Arial"/>
          <w:i/>
          <w:iCs/>
          <w:sz w:val="24"/>
          <w:szCs w:val="24"/>
        </w:rPr>
        <w:t xml:space="preserve">Research to understand the resilience, and challenges to this, of Local Authority museums. </w:t>
      </w:r>
      <w:r w:rsidRPr="00E70A68">
        <w:rPr>
          <w:rFonts w:ascii="Arial" w:eastAsiaTheme="minorHAnsi" w:hAnsi="Arial" w:cs="Arial"/>
          <w:sz w:val="24"/>
          <w:szCs w:val="24"/>
        </w:rPr>
        <w:t xml:space="preserve">Available at: </w:t>
      </w:r>
      <w:hyperlink r:id="rId104" w:history="1">
        <w:r w:rsidRPr="00E70A68">
          <w:rPr>
            <w:rFonts w:ascii="Arial" w:eastAsiaTheme="minorHAnsi" w:hAnsi="Arial" w:cs="Arial"/>
            <w:color w:val="0563C1" w:themeColor="hyperlink"/>
            <w:sz w:val="24"/>
            <w:szCs w:val="24"/>
            <w:u w:val="single"/>
          </w:rPr>
          <w:t>https://www.artscouncil.org.uk/publication/research-understand-resilience-and-challenges-local-authority-museums</w:t>
        </w:r>
      </w:hyperlink>
      <w:r w:rsidRPr="00E70A68">
        <w:rPr>
          <w:rFonts w:ascii="Arial" w:eastAsiaTheme="minorHAnsi" w:hAnsi="Arial" w:cs="Arial"/>
          <w:sz w:val="24"/>
          <w:szCs w:val="24"/>
        </w:rPr>
        <w:t xml:space="preserve"> (Accessed: 23rd September 2022).</w:t>
      </w:r>
    </w:p>
    <w:p w14:paraId="4E363357"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Toronto Public Library (2022) </w:t>
      </w:r>
      <w:r w:rsidRPr="00E70A68">
        <w:rPr>
          <w:rFonts w:ascii="Arial" w:eastAsiaTheme="minorHAnsi" w:hAnsi="Arial" w:cs="Arial"/>
          <w:i/>
          <w:iCs/>
          <w:sz w:val="24"/>
          <w:szCs w:val="24"/>
        </w:rPr>
        <w:t>2022-2023 Wedding Packages</w:t>
      </w:r>
      <w:r w:rsidRPr="00E70A68">
        <w:rPr>
          <w:rFonts w:ascii="Arial" w:eastAsiaTheme="minorHAnsi" w:hAnsi="Arial" w:cs="Arial"/>
          <w:sz w:val="24"/>
          <w:szCs w:val="24"/>
        </w:rPr>
        <w:t xml:space="preserve">. Available at: </w:t>
      </w:r>
      <w:hyperlink r:id="rId105" w:history="1">
        <w:r w:rsidRPr="00E70A68">
          <w:rPr>
            <w:rFonts w:ascii="Arial" w:eastAsiaTheme="minorHAnsi" w:hAnsi="Arial" w:cs="Arial"/>
            <w:color w:val="0563C1" w:themeColor="hyperlink"/>
            <w:sz w:val="24"/>
            <w:szCs w:val="24"/>
            <w:u w:val="single"/>
          </w:rPr>
          <w:t>https://venuerentals.tpl.ca/wedding-packages</w:t>
        </w:r>
      </w:hyperlink>
      <w:r w:rsidRPr="00E70A68">
        <w:rPr>
          <w:rFonts w:ascii="Arial" w:eastAsiaTheme="minorHAnsi" w:hAnsi="Arial" w:cs="Arial"/>
          <w:sz w:val="24"/>
          <w:szCs w:val="24"/>
        </w:rPr>
        <w:t xml:space="preserve"> (Accessed: 16th July 2022).</w:t>
      </w:r>
    </w:p>
    <w:p w14:paraId="105C6E92" w14:textId="2D4FE144" w:rsidR="00E70A68"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Tracy Aviary (2020) </w:t>
      </w:r>
      <w:r w:rsidRPr="00E70A68">
        <w:rPr>
          <w:rFonts w:ascii="Arial" w:eastAsiaTheme="minorHAnsi" w:hAnsi="Arial" w:cs="Arial"/>
          <w:i/>
          <w:iCs/>
          <w:sz w:val="24"/>
          <w:szCs w:val="24"/>
        </w:rPr>
        <w:t>Virtual paint-along with Tracy Aviary</w:t>
      </w:r>
      <w:r w:rsidRPr="00E70A68">
        <w:rPr>
          <w:rFonts w:ascii="Arial" w:eastAsiaTheme="minorHAnsi" w:hAnsi="Arial" w:cs="Arial"/>
          <w:sz w:val="24"/>
          <w:szCs w:val="24"/>
        </w:rPr>
        <w:t xml:space="preserve">. Available at: </w:t>
      </w:r>
      <w:hyperlink r:id="rId106" w:history="1">
        <w:r w:rsidRPr="00E70A68">
          <w:rPr>
            <w:rFonts w:ascii="Arial" w:eastAsiaTheme="minorHAnsi" w:hAnsi="Arial" w:cs="Arial"/>
            <w:color w:val="0563C1" w:themeColor="hyperlink"/>
            <w:sz w:val="24"/>
            <w:szCs w:val="24"/>
            <w:u w:val="single"/>
          </w:rPr>
          <w:t>https://tracyaviary.org/events/event/198-virtual-paint-along-with-tracy-aviary?fbclid=IwAR1sd-ngtgBLxQC9n5cSDVwHyDcRtJ61NQ7VRaW-8VEww7-9gztc-GL-Hvs</w:t>
        </w:r>
      </w:hyperlink>
      <w:r w:rsidRPr="00E70A68">
        <w:rPr>
          <w:rFonts w:ascii="Arial" w:eastAsiaTheme="minorHAnsi" w:hAnsi="Arial" w:cs="Arial"/>
          <w:sz w:val="24"/>
          <w:szCs w:val="24"/>
        </w:rPr>
        <w:t xml:space="preserve"> (Accessed: 30th September 2022).</w:t>
      </w:r>
    </w:p>
    <w:p w14:paraId="6C81B21C" w14:textId="09A2CFF6" w:rsidR="005843E8" w:rsidRPr="00E70A68" w:rsidRDefault="00404507" w:rsidP="00404507">
      <w:pPr>
        <w:spacing w:after="160" w:line="259" w:lineRule="auto"/>
        <w:rPr>
          <w:rFonts w:ascii="Arial" w:eastAsiaTheme="minorHAnsi" w:hAnsi="Arial" w:cs="Arial"/>
          <w:sz w:val="24"/>
          <w:szCs w:val="24"/>
        </w:rPr>
      </w:pPr>
      <w:r w:rsidRPr="00404507">
        <w:rPr>
          <w:rFonts w:ascii="Arial" w:eastAsiaTheme="minorHAnsi" w:hAnsi="Arial" w:cs="Arial"/>
          <w:sz w:val="24"/>
          <w:szCs w:val="24"/>
        </w:rPr>
        <w:t>Traianou, A. (2020) ‘The centrality of ethics in qualitative practice</w:t>
      </w:r>
      <w:r w:rsidRPr="00404507">
        <w:rPr>
          <w:rFonts w:ascii="Arial" w:eastAsiaTheme="minorHAnsi" w:hAnsi="Arial" w:cs="Arial"/>
          <w:i/>
          <w:iCs/>
          <w:sz w:val="24"/>
          <w:szCs w:val="24"/>
        </w:rPr>
        <w:t xml:space="preserve">’ </w:t>
      </w:r>
      <w:r w:rsidRPr="00404507">
        <w:rPr>
          <w:rFonts w:ascii="Arial" w:eastAsiaTheme="minorHAnsi" w:hAnsi="Arial" w:cs="Arial"/>
          <w:sz w:val="24"/>
          <w:szCs w:val="24"/>
        </w:rPr>
        <w:t xml:space="preserve">in Leavy, P. (ed) </w:t>
      </w:r>
      <w:r w:rsidRPr="00404507">
        <w:rPr>
          <w:rFonts w:ascii="Arial" w:eastAsiaTheme="minorHAnsi" w:hAnsi="Arial" w:cs="Arial"/>
          <w:i/>
          <w:iCs/>
          <w:sz w:val="24"/>
          <w:szCs w:val="24"/>
        </w:rPr>
        <w:t xml:space="preserve">The Oxford handbook of qualitative research. </w:t>
      </w:r>
      <w:r w:rsidRPr="00404507">
        <w:rPr>
          <w:rFonts w:ascii="Arial" w:eastAsiaTheme="minorHAnsi" w:hAnsi="Arial" w:cs="Arial"/>
          <w:sz w:val="24"/>
          <w:szCs w:val="24"/>
        </w:rPr>
        <w:t>Second edition.  New York: Oxford University Press.</w:t>
      </w:r>
    </w:p>
    <w:p w14:paraId="450A81F9" w14:textId="77777777" w:rsidR="00E70A68" w:rsidRPr="00E70A68"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Tyne &amp; Wear Archives &amp; Museums (2022) </w:t>
      </w:r>
      <w:r w:rsidRPr="00E70A68">
        <w:rPr>
          <w:rFonts w:ascii="Arial" w:eastAsiaTheme="minorHAnsi" w:hAnsi="Arial" w:cs="Arial"/>
          <w:i/>
          <w:iCs/>
          <w:sz w:val="24"/>
          <w:szCs w:val="24"/>
        </w:rPr>
        <w:t>TWAM Development Trust</w:t>
      </w:r>
      <w:r w:rsidRPr="00E70A68">
        <w:rPr>
          <w:rFonts w:ascii="Arial" w:eastAsiaTheme="minorHAnsi" w:hAnsi="Arial" w:cs="Arial"/>
          <w:sz w:val="24"/>
          <w:szCs w:val="24"/>
        </w:rPr>
        <w:t xml:space="preserve">. Available at: </w:t>
      </w:r>
      <w:hyperlink r:id="rId107" w:history="1">
        <w:r w:rsidRPr="00E70A68">
          <w:rPr>
            <w:rFonts w:ascii="Arial" w:eastAsiaTheme="minorHAnsi" w:hAnsi="Arial" w:cs="Arial"/>
            <w:color w:val="0563C1" w:themeColor="hyperlink"/>
            <w:sz w:val="24"/>
            <w:szCs w:val="24"/>
            <w:u w:val="single"/>
          </w:rPr>
          <w:t>https://www.twmuseums.org.uk/governance/development-trust</w:t>
        </w:r>
      </w:hyperlink>
      <w:r w:rsidRPr="00E70A68">
        <w:rPr>
          <w:rFonts w:ascii="Arial" w:eastAsiaTheme="minorHAnsi" w:hAnsi="Arial" w:cs="Arial"/>
          <w:sz w:val="24"/>
          <w:szCs w:val="24"/>
        </w:rPr>
        <w:t xml:space="preserve"> (Accessed: 2nd July 2022).</w:t>
      </w:r>
    </w:p>
    <w:p w14:paraId="3F290A5E" w14:textId="6FC7A20A" w:rsidR="00E70A68" w:rsidRPr="00630DCA" w:rsidRDefault="00E70A68" w:rsidP="00FA35E4">
      <w:pPr>
        <w:spacing w:after="160" w:line="240" w:lineRule="auto"/>
        <w:rPr>
          <w:rFonts w:ascii="Arial" w:eastAsiaTheme="minorHAnsi" w:hAnsi="Arial" w:cs="Arial"/>
          <w:i/>
          <w:iCs/>
          <w:sz w:val="24"/>
          <w:szCs w:val="24"/>
        </w:rPr>
      </w:pPr>
      <w:r w:rsidRPr="00E70A68">
        <w:rPr>
          <w:rFonts w:ascii="Arial" w:eastAsiaTheme="minorHAnsi" w:hAnsi="Arial" w:cs="Arial"/>
          <w:sz w:val="24"/>
          <w:szCs w:val="24"/>
        </w:rPr>
        <w:lastRenderedPageBreak/>
        <w:t xml:space="preserve">Tysiac, K. (2016) Getting creative in fundraising, </w:t>
      </w:r>
      <w:r w:rsidRPr="00E70A68">
        <w:rPr>
          <w:rFonts w:ascii="Arial" w:eastAsiaTheme="minorHAnsi" w:hAnsi="Arial" w:cs="Arial"/>
          <w:i/>
          <w:iCs/>
          <w:sz w:val="24"/>
          <w:szCs w:val="24"/>
        </w:rPr>
        <w:t>Journal of Accountancy, 222(1), p. 34–.</w:t>
      </w:r>
    </w:p>
    <w:p w14:paraId="58A05A22" w14:textId="2981C740" w:rsidR="005B149B" w:rsidRPr="00630DCA" w:rsidRDefault="005B149B" w:rsidP="005B149B">
      <w:pPr>
        <w:spacing w:after="160" w:line="259" w:lineRule="auto"/>
        <w:rPr>
          <w:rFonts w:ascii="Arial" w:eastAsiaTheme="minorHAnsi" w:hAnsi="Arial" w:cs="Arial"/>
          <w:sz w:val="24"/>
          <w:szCs w:val="24"/>
        </w:rPr>
      </w:pPr>
      <w:r w:rsidRPr="005B149B">
        <w:rPr>
          <w:rFonts w:ascii="Arial" w:eastAsiaTheme="minorHAnsi" w:hAnsi="Arial" w:cs="Arial"/>
          <w:sz w:val="24"/>
          <w:szCs w:val="24"/>
        </w:rPr>
        <w:t xml:space="preserve">University of Auckland (2022). </w:t>
      </w:r>
      <w:r w:rsidRPr="005B149B">
        <w:rPr>
          <w:rFonts w:ascii="Arial" w:eastAsiaTheme="minorHAnsi" w:hAnsi="Arial" w:cs="Arial"/>
          <w:i/>
          <w:iCs/>
          <w:sz w:val="24"/>
          <w:szCs w:val="24"/>
        </w:rPr>
        <w:t xml:space="preserve">Understanding </w:t>
      </w:r>
      <w:r w:rsidRPr="005B149B">
        <w:rPr>
          <w:rFonts w:ascii="Arial" w:eastAsiaTheme="minorHAnsi" w:hAnsi="Arial" w:cs="Arial"/>
          <w:sz w:val="24"/>
          <w:szCs w:val="24"/>
        </w:rPr>
        <w:t xml:space="preserve">TA. Available at: </w:t>
      </w:r>
      <w:hyperlink r:id="rId108" w:history="1">
        <w:r w:rsidRPr="005B149B">
          <w:rPr>
            <w:rFonts w:ascii="Arial" w:eastAsiaTheme="minorHAnsi" w:hAnsi="Arial" w:cs="Arial"/>
            <w:color w:val="0563C1"/>
            <w:sz w:val="24"/>
            <w:szCs w:val="24"/>
            <w:u w:val="single"/>
          </w:rPr>
          <w:t>https://www.thematicanalysis.net/understanding-ta/</w:t>
        </w:r>
      </w:hyperlink>
      <w:r w:rsidRPr="005B149B">
        <w:rPr>
          <w:rFonts w:ascii="Arial" w:eastAsiaTheme="minorHAnsi" w:hAnsi="Arial" w:cs="Arial"/>
          <w:sz w:val="24"/>
          <w:szCs w:val="24"/>
        </w:rPr>
        <w:t xml:space="preserve"> (Accessed 12 June 2022).</w:t>
      </w:r>
    </w:p>
    <w:p w14:paraId="72C5B199" w14:textId="4798A7D0" w:rsidR="005B149B" w:rsidRPr="00630DCA" w:rsidRDefault="008C0170" w:rsidP="005B149B">
      <w:pPr>
        <w:spacing w:after="160" w:line="259" w:lineRule="auto"/>
        <w:rPr>
          <w:rFonts w:ascii="Arial" w:eastAsiaTheme="minorHAnsi" w:hAnsi="Arial" w:cs="Arial"/>
          <w:sz w:val="24"/>
          <w:szCs w:val="24"/>
        </w:rPr>
      </w:pPr>
      <w:r w:rsidRPr="008C0170">
        <w:rPr>
          <w:rFonts w:ascii="Arial" w:eastAsiaTheme="minorHAnsi" w:hAnsi="Arial" w:cs="Arial"/>
          <w:sz w:val="24"/>
          <w:szCs w:val="24"/>
        </w:rPr>
        <w:t xml:space="preserve">University of Wales, Trinity Saint David (2022) </w:t>
      </w:r>
      <w:r w:rsidRPr="008C0170">
        <w:rPr>
          <w:rFonts w:ascii="Arial" w:eastAsiaTheme="minorHAnsi" w:hAnsi="Arial" w:cs="Arial"/>
          <w:i/>
          <w:iCs/>
          <w:sz w:val="24"/>
          <w:szCs w:val="24"/>
        </w:rPr>
        <w:t xml:space="preserve">Research </w:t>
      </w:r>
      <w:r w:rsidRPr="008C0170">
        <w:rPr>
          <w:rFonts w:ascii="Arial" w:eastAsiaTheme="minorHAnsi" w:hAnsi="Arial" w:cs="Arial"/>
          <w:sz w:val="24"/>
          <w:szCs w:val="24"/>
        </w:rPr>
        <w:t xml:space="preserve">ethics. Available at </w:t>
      </w:r>
      <w:hyperlink r:id="rId109" w:history="1">
        <w:r w:rsidRPr="008C0170">
          <w:rPr>
            <w:rFonts w:ascii="Arial" w:eastAsiaTheme="minorHAnsi" w:hAnsi="Arial" w:cs="Arial"/>
            <w:color w:val="0563C1" w:themeColor="hyperlink"/>
            <w:sz w:val="24"/>
            <w:szCs w:val="24"/>
            <w:u w:val="single"/>
          </w:rPr>
          <w:t>https://www.uwtsd.ac.uk/research/research-ethics/</w:t>
        </w:r>
      </w:hyperlink>
      <w:r w:rsidRPr="008C0170">
        <w:rPr>
          <w:rFonts w:ascii="Arial" w:eastAsiaTheme="minorHAnsi" w:hAnsi="Arial" w:cs="Arial"/>
          <w:sz w:val="24"/>
          <w:szCs w:val="24"/>
        </w:rPr>
        <w:t xml:space="preserve"> (Accessed 12 June 2022). </w:t>
      </w:r>
    </w:p>
    <w:p w14:paraId="6A7538F2" w14:textId="390FAD8D" w:rsidR="005B149B" w:rsidRPr="00E70A68" w:rsidRDefault="005B149B" w:rsidP="005B149B">
      <w:pPr>
        <w:spacing w:after="160" w:line="240" w:lineRule="auto"/>
        <w:rPr>
          <w:rFonts w:ascii="Arial" w:eastAsiaTheme="minorHAnsi" w:hAnsi="Arial" w:cs="Arial"/>
          <w:sz w:val="24"/>
          <w:szCs w:val="24"/>
        </w:rPr>
      </w:pPr>
      <w:r w:rsidRPr="00E67E65">
        <w:rPr>
          <w:rFonts w:ascii="Arial" w:eastAsiaTheme="minorHAnsi" w:hAnsi="Arial" w:cs="Arial"/>
          <w:sz w:val="24"/>
          <w:szCs w:val="24"/>
        </w:rPr>
        <w:t xml:space="preserve">Victoria &amp; Albert Museum (2022) </w:t>
      </w:r>
      <w:r w:rsidRPr="00E67E65">
        <w:rPr>
          <w:rFonts w:ascii="Arial" w:eastAsiaTheme="minorHAnsi" w:hAnsi="Arial" w:cs="Arial"/>
          <w:i/>
          <w:iCs/>
          <w:sz w:val="24"/>
          <w:szCs w:val="24"/>
        </w:rPr>
        <w:t>V&amp;A Café.</w:t>
      </w:r>
      <w:r w:rsidRPr="00E67E65">
        <w:rPr>
          <w:rFonts w:ascii="Arial" w:eastAsiaTheme="minorHAnsi" w:hAnsi="Arial" w:cs="Arial"/>
          <w:sz w:val="24"/>
          <w:szCs w:val="24"/>
        </w:rPr>
        <w:t xml:space="preserve"> Available at: </w:t>
      </w:r>
      <w:hyperlink r:id="rId110" w:history="1">
        <w:r w:rsidRPr="00E67E65">
          <w:rPr>
            <w:rFonts w:ascii="Arial" w:eastAsiaTheme="minorHAnsi" w:hAnsi="Arial" w:cs="Arial"/>
            <w:color w:val="0563C1" w:themeColor="hyperlink"/>
            <w:sz w:val="24"/>
            <w:szCs w:val="24"/>
            <w:u w:val="single"/>
          </w:rPr>
          <w:t>https://www.vam.ac.uk/info/va-cafe/</w:t>
        </w:r>
      </w:hyperlink>
      <w:r w:rsidRPr="00E67E65">
        <w:rPr>
          <w:rFonts w:ascii="Arial" w:eastAsiaTheme="minorHAnsi" w:hAnsi="Arial" w:cs="Arial"/>
          <w:sz w:val="24"/>
          <w:szCs w:val="24"/>
        </w:rPr>
        <w:t xml:space="preserve"> (Accessed: 16th July 2022). </w:t>
      </w:r>
    </w:p>
    <w:p w14:paraId="247F9AFB" w14:textId="466ABA4B" w:rsidR="00E70A68" w:rsidRPr="00630DCA" w:rsidRDefault="00E70A68" w:rsidP="00FA35E4">
      <w:pPr>
        <w:spacing w:after="160" w:line="240" w:lineRule="auto"/>
        <w:rPr>
          <w:rFonts w:ascii="Arial" w:eastAsiaTheme="minorHAnsi" w:hAnsi="Arial" w:cs="Arial"/>
          <w:color w:val="3A3A3A"/>
          <w:sz w:val="24"/>
          <w:szCs w:val="24"/>
          <w:shd w:val="clear" w:color="auto" w:fill="FFFFFF"/>
        </w:rPr>
      </w:pPr>
      <w:r w:rsidRPr="00E70A68">
        <w:rPr>
          <w:rFonts w:ascii="Arial" w:eastAsiaTheme="minorHAnsi" w:hAnsi="Arial" w:cs="Arial"/>
          <w:color w:val="3A3A3A"/>
          <w:sz w:val="24"/>
          <w:szCs w:val="24"/>
          <w:shd w:val="clear" w:color="auto" w:fill="FFFFFF"/>
        </w:rPr>
        <w:t xml:space="preserve">Wang, Y. and Holznagel, K. P. (2021) ‘Evolving Cross-Sector Collaboration in the Arts and Culture Sector: From Sponsorship to Partnership’, </w:t>
      </w:r>
      <w:r w:rsidRPr="00E70A68">
        <w:rPr>
          <w:rFonts w:ascii="Arial" w:eastAsiaTheme="minorHAnsi" w:hAnsi="Arial" w:cs="Arial"/>
          <w:i/>
          <w:iCs/>
          <w:color w:val="3A3A3A"/>
          <w:sz w:val="24"/>
          <w:szCs w:val="24"/>
          <w:shd w:val="clear" w:color="auto" w:fill="FFFFFF"/>
        </w:rPr>
        <w:t>Corporate reputation review, 24(2</w:t>
      </w:r>
      <w:r w:rsidRPr="00E70A68">
        <w:rPr>
          <w:rFonts w:ascii="Arial" w:eastAsiaTheme="minorHAnsi" w:hAnsi="Arial" w:cs="Arial"/>
          <w:color w:val="3A3A3A"/>
          <w:sz w:val="24"/>
          <w:szCs w:val="24"/>
          <w:shd w:val="clear" w:color="auto" w:fill="FFFFFF"/>
        </w:rPr>
        <w:t xml:space="preserve">), pp. 95–104. Available at: </w:t>
      </w:r>
      <w:hyperlink r:id="rId111" w:history="1">
        <w:r w:rsidR="00E67E65" w:rsidRPr="00E70A68">
          <w:rPr>
            <w:rStyle w:val="Hyperlink"/>
            <w:rFonts w:ascii="Arial" w:eastAsiaTheme="minorHAnsi" w:hAnsi="Arial" w:cs="Arial"/>
            <w:sz w:val="24"/>
            <w:szCs w:val="24"/>
            <w:shd w:val="clear" w:color="auto" w:fill="FFFFFF"/>
          </w:rPr>
          <w:t>https://doi.org/10.1057/s41299-019-00093-x</w:t>
        </w:r>
      </w:hyperlink>
      <w:r w:rsidRPr="00E70A68">
        <w:rPr>
          <w:rFonts w:ascii="Arial" w:eastAsiaTheme="minorHAnsi" w:hAnsi="Arial" w:cs="Arial"/>
          <w:color w:val="3A3A3A"/>
          <w:sz w:val="24"/>
          <w:szCs w:val="24"/>
          <w:shd w:val="clear" w:color="auto" w:fill="FFFFFF"/>
        </w:rPr>
        <w:t>.</w:t>
      </w:r>
    </w:p>
    <w:p w14:paraId="0779A006" w14:textId="28138EAE" w:rsidR="008C0170" w:rsidRPr="00630DCA" w:rsidRDefault="00750EC8" w:rsidP="00750EC8">
      <w:pPr>
        <w:spacing w:after="160" w:line="259" w:lineRule="auto"/>
        <w:rPr>
          <w:rFonts w:ascii="Arial" w:eastAsiaTheme="minorHAnsi" w:hAnsi="Arial" w:cs="Arial"/>
          <w:sz w:val="24"/>
          <w:szCs w:val="24"/>
        </w:rPr>
      </w:pPr>
      <w:r w:rsidRPr="00750EC8">
        <w:rPr>
          <w:rFonts w:ascii="Arial" w:eastAsiaTheme="minorHAnsi" w:hAnsi="Arial" w:cs="Arial"/>
          <w:sz w:val="24"/>
          <w:szCs w:val="24"/>
        </w:rPr>
        <w:t xml:space="preserve">Watts, S. (2014) ‘User Skills for Qualitative Analysis: Perspective, Interpretation and the Delivery of Impact’, </w:t>
      </w:r>
      <w:r w:rsidRPr="00750EC8">
        <w:rPr>
          <w:rFonts w:ascii="Arial" w:eastAsiaTheme="minorHAnsi" w:hAnsi="Arial" w:cs="Arial"/>
          <w:i/>
          <w:iCs/>
          <w:sz w:val="24"/>
          <w:szCs w:val="24"/>
        </w:rPr>
        <w:t>Qualitative research in psychology</w:t>
      </w:r>
      <w:r w:rsidRPr="00750EC8">
        <w:rPr>
          <w:rFonts w:ascii="Arial" w:eastAsiaTheme="minorHAnsi" w:hAnsi="Arial" w:cs="Arial"/>
          <w:sz w:val="24"/>
          <w:szCs w:val="24"/>
        </w:rPr>
        <w:t>, 11(1), pp. 1–14. DOI:10.1080/14780887.2013.776156.</w:t>
      </w:r>
    </w:p>
    <w:p w14:paraId="7D8950CD" w14:textId="629E4CFF" w:rsidR="0063187B" w:rsidRPr="00630DCA" w:rsidRDefault="00E70A68" w:rsidP="00FA35E4">
      <w:pPr>
        <w:spacing w:after="160" w:line="240" w:lineRule="auto"/>
        <w:rPr>
          <w:rFonts w:ascii="Arial" w:eastAsiaTheme="minorHAnsi" w:hAnsi="Arial" w:cs="Arial"/>
          <w:sz w:val="24"/>
          <w:szCs w:val="24"/>
        </w:rPr>
      </w:pPr>
      <w:r w:rsidRPr="00E70A68">
        <w:rPr>
          <w:rFonts w:ascii="Arial" w:eastAsiaTheme="minorHAnsi" w:hAnsi="Arial" w:cs="Arial"/>
          <w:sz w:val="24"/>
          <w:szCs w:val="24"/>
        </w:rPr>
        <w:t xml:space="preserve">Wilcox, D. (1998) </w:t>
      </w:r>
      <w:r w:rsidRPr="00E70A68">
        <w:rPr>
          <w:rFonts w:ascii="Arial" w:eastAsiaTheme="minorHAnsi" w:hAnsi="Arial" w:cs="Arial"/>
          <w:i/>
          <w:iCs/>
          <w:sz w:val="24"/>
          <w:szCs w:val="24"/>
        </w:rPr>
        <w:t xml:space="preserve">Creating a development trust. </w:t>
      </w:r>
      <w:r w:rsidRPr="00E70A68">
        <w:rPr>
          <w:rFonts w:ascii="Arial" w:eastAsiaTheme="minorHAnsi" w:hAnsi="Arial" w:cs="Arial"/>
          <w:sz w:val="24"/>
          <w:szCs w:val="24"/>
        </w:rPr>
        <w:t xml:space="preserve">Available at: </w:t>
      </w:r>
      <w:hyperlink r:id="rId112" w:history="1">
        <w:r w:rsidRPr="00E70A68">
          <w:rPr>
            <w:rFonts w:ascii="Arial" w:eastAsiaTheme="minorHAnsi" w:hAnsi="Arial" w:cs="Arial"/>
            <w:color w:val="0563C1" w:themeColor="hyperlink"/>
            <w:sz w:val="24"/>
            <w:szCs w:val="24"/>
            <w:u w:val="single"/>
          </w:rPr>
          <w:t>http://partnerships.org.uk/pguide/create.htm</w:t>
        </w:r>
      </w:hyperlink>
      <w:r w:rsidRPr="00E70A68">
        <w:rPr>
          <w:rFonts w:ascii="Arial" w:eastAsiaTheme="minorHAnsi" w:hAnsi="Arial" w:cs="Arial"/>
          <w:sz w:val="24"/>
          <w:szCs w:val="24"/>
        </w:rPr>
        <w:t xml:space="preserve"> (Accessed: 2nd July 2022).</w:t>
      </w:r>
    </w:p>
    <w:p w14:paraId="6DFCC786" w14:textId="2FC727E0" w:rsidR="00E67E65" w:rsidRPr="002B6842" w:rsidRDefault="00D73997" w:rsidP="00FA35E4">
      <w:pPr>
        <w:spacing w:after="160" w:line="240" w:lineRule="auto"/>
        <w:rPr>
          <w:rFonts w:ascii="Arial" w:eastAsiaTheme="minorHAnsi" w:hAnsi="Arial" w:cs="Arial"/>
          <w:sz w:val="24"/>
          <w:szCs w:val="24"/>
        </w:rPr>
      </w:pPr>
      <w:r w:rsidRPr="00D73997">
        <w:rPr>
          <w:rFonts w:ascii="Arial" w:eastAsiaTheme="minorHAnsi" w:hAnsi="Arial" w:cs="Arial"/>
          <w:sz w:val="24"/>
          <w:szCs w:val="24"/>
        </w:rPr>
        <w:t xml:space="preserve">Wilcox, D. </w:t>
      </w:r>
      <w:r w:rsidRPr="00D73997">
        <w:rPr>
          <w:rFonts w:ascii="Arial" w:eastAsiaTheme="minorHAnsi" w:hAnsi="Arial" w:cs="Arial"/>
          <w:i/>
          <w:iCs/>
          <w:sz w:val="24"/>
          <w:szCs w:val="24"/>
        </w:rPr>
        <w:t xml:space="preserve">What are development trusts? </w:t>
      </w:r>
      <w:r w:rsidRPr="00D73997">
        <w:rPr>
          <w:rFonts w:ascii="Arial" w:eastAsiaTheme="minorHAnsi" w:hAnsi="Arial" w:cs="Arial"/>
          <w:sz w:val="24"/>
          <w:szCs w:val="24"/>
        </w:rPr>
        <w:t xml:space="preserve">Available at: </w:t>
      </w:r>
      <w:hyperlink r:id="rId113" w:history="1">
        <w:r w:rsidRPr="00D73997">
          <w:rPr>
            <w:rFonts w:ascii="Arial" w:eastAsiaTheme="minorHAnsi" w:hAnsi="Arial" w:cs="Arial"/>
            <w:color w:val="0563C1" w:themeColor="hyperlink"/>
            <w:sz w:val="24"/>
            <w:szCs w:val="24"/>
            <w:u w:val="single"/>
          </w:rPr>
          <w:t>http://partnerships.org.uk/pguide/trusts.htm</w:t>
        </w:r>
      </w:hyperlink>
      <w:r w:rsidRPr="00D73997">
        <w:rPr>
          <w:rFonts w:ascii="Arial" w:eastAsiaTheme="minorHAnsi" w:hAnsi="Arial" w:cs="Arial"/>
          <w:sz w:val="24"/>
          <w:szCs w:val="24"/>
        </w:rPr>
        <w:t xml:space="preserve"> (Accessed: 2nd July 2022).  </w:t>
      </w:r>
    </w:p>
    <w:p w14:paraId="604127AE" w14:textId="269607B3" w:rsidR="002B6842" w:rsidRPr="00630DCA" w:rsidRDefault="002B6842" w:rsidP="00FA35E4">
      <w:pPr>
        <w:spacing w:after="160" w:line="240" w:lineRule="auto"/>
        <w:rPr>
          <w:rFonts w:ascii="Arial" w:eastAsiaTheme="minorHAnsi" w:hAnsi="Arial" w:cs="Arial"/>
          <w:sz w:val="24"/>
          <w:szCs w:val="24"/>
        </w:rPr>
      </w:pPr>
      <w:r w:rsidRPr="002B6842">
        <w:rPr>
          <w:rFonts w:ascii="Arial" w:eastAsiaTheme="minorHAnsi" w:hAnsi="Arial" w:cs="Arial"/>
          <w:sz w:val="24"/>
          <w:szCs w:val="24"/>
        </w:rPr>
        <w:t xml:space="preserve">Williams, Ashley V. (2016) </w:t>
      </w:r>
      <w:r w:rsidRPr="002B6842">
        <w:rPr>
          <w:rFonts w:ascii="Arial" w:eastAsiaTheme="minorHAnsi" w:hAnsi="Arial" w:cs="Arial"/>
          <w:i/>
          <w:iCs/>
          <w:sz w:val="24"/>
          <w:szCs w:val="24"/>
        </w:rPr>
        <w:t xml:space="preserve">A brief introduction to the science of fundraising. </w:t>
      </w:r>
      <w:r w:rsidRPr="002B6842">
        <w:rPr>
          <w:rFonts w:ascii="Arial" w:eastAsiaTheme="minorHAnsi" w:hAnsi="Arial" w:cs="Arial"/>
          <w:sz w:val="24"/>
          <w:szCs w:val="24"/>
        </w:rPr>
        <w:t xml:space="preserve">Council for Advancement of Support and Education. Available at: </w:t>
      </w:r>
      <w:hyperlink r:id="rId114" w:history="1">
        <w:r w:rsidRPr="002B6842">
          <w:rPr>
            <w:rFonts w:ascii="Arial" w:eastAsiaTheme="minorHAnsi" w:hAnsi="Arial" w:cs="Arial"/>
            <w:color w:val="0563C1" w:themeColor="hyperlink"/>
            <w:sz w:val="24"/>
            <w:szCs w:val="24"/>
            <w:u w:val="single"/>
          </w:rPr>
          <w:t>https://www.hbs.edu/ris/Publication%20Files/WhitePaper_ac7c4ea5-a635-4338-8d1e-4aa736fbe263_b9a54c18-be5e-4cd8-b166-7442361fb64b.pdf</w:t>
        </w:r>
      </w:hyperlink>
      <w:r w:rsidRPr="002B6842">
        <w:rPr>
          <w:rFonts w:ascii="Arial" w:eastAsiaTheme="minorHAnsi" w:hAnsi="Arial" w:cs="Arial"/>
          <w:sz w:val="24"/>
          <w:szCs w:val="24"/>
        </w:rPr>
        <w:t xml:space="preserve"> (Accessed on 12 March 2022).</w:t>
      </w:r>
    </w:p>
    <w:p w14:paraId="64B2352B" w14:textId="3C3CFF19" w:rsidR="00357EA9" w:rsidRPr="00630DCA" w:rsidRDefault="00357EA9" w:rsidP="00357EA9">
      <w:pPr>
        <w:spacing w:after="160" w:line="259" w:lineRule="auto"/>
        <w:rPr>
          <w:rFonts w:ascii="Arial" w:eastAsiaTheme="minorHAnsi" w:hAnsi="Arial" w:cs="Arial"/>
          <w:sz w:val="24"/>
          <w:szCs w:val="24"/>
        </w:rPr>
      </w:pPr>
      <w:bookmarkStart w:id="77" w:name="_Hlk105336167"/>
      <w:r w:rsidRPr="00357EA9">
        <w:rPr>
          <w:rFonts w:ascii="Arial" w:eastAsiaTheme="minorHAnsi" w:hAnsi="Arial" w:cs="Arial"/>
          <w:sz w:val="24"/>
          <w:szCs w:val="24"/>
        </w:rPr>
        <w:t>Woiceshyn, J. and Daellenbach</w:t>
      </w:r>
      <w:bookmarkEnd w:id="77"/>
      <w:r w:rsidRPr="00357EA9">
        <w:rPr>
          <w:rFonts w:ascii="Arial" w:eastAsiaTheme="minorHAnsi" w:hAnsi="Arial" w:cs="Arial"/>
          <w:sz w:val="24"/>
          <w:szCs w:val="24"/>
        </w:rPr>
        <w:t xml:space="preserve">, U. (2018) ‘Evaluating inductive vs deductive research in management studies: Implications for authors, editors, and reviewers’, </w:t>
      </w:r>
      <w:r w:rsidRPr="00357EA9">
        <w:rPr>
          <w:rFonts w:ascii="Arial" w:eastAsiaTheme="minorHAnsi" w:hAnsi="Arial" w:cs="Arial"/>
          <w:i/>
          <w:iCs/>
          <w:sz w:val="24"/>
          <w:szCs w:val="24"/>
        </w:rPr>
        <w:t>Qualitative research in organizations and management</w:t>
      </w:r>
      <w:r w:rsidRPr="00357EA9">
        <w:rPr>
          <w:rFonts w:ascii="Arial" w:eastAsiaTheme="minorHAnsi" w:hAnsi="Arial" w:cs="Arial"/>
          <w:sz w:val="24"/>
          <w:szCs w:val="24"/>
        </w:rPr>
        <w:t>, 13(2), pp. 183–195. DOI:10.1108/QROM-06-2017-1538.</w:t>
      </w:r>
    </w:p>
    <w:p w14:paraId="1FE93ED8" w14:textId="1C2FE3FD" w:rsidR="00FA35E4" w:rsidRPr="00630DCA" w:rsidRDefault="00FA35E4" w:rsidP="00FA35E4">
      <w:pPr>
        <w:spacing w:after="160" w:line="240" w:lineRule="auto"/>
        <w:rPr>
          <w:rFonts w:ascii="Arial" w:eastAsiaTheme="minorHAnsi" w:hAnsi="Arial" w:cs="Arial"/>
          <w:sz w:val="24"/>
          <w:szCs w:val="24"/>
        </w:rPr>
      </w:pPr>
      <w:r w:rsidRPr="00FA35E4">
        <w:rPr>
          <w:rFonts w:ascii="Arial" w:eastAsiaTheme="minorHAnsi" w:hAnsi="Arial" w:cs="Arial"/>
          <w:sz w:val="24"/>
          <w:szCs w:val="24"/>
        </w:rPr>
        <w:t xml:space="preserve">Woodward, S. (2012) ‘Funding museum agendas: challenges and opportunities’, </w:t>
      </w:r>
      <w:r w:rsidRPr="00FA35E4">
        <w:rPr>
          <w:rFonts w:ascii="Arial" w:eastAsiaTheme="minorHAnsi" w:hAnsi="Arial" w:cs="Arial"/>
          <w:i/>
          <w:iCs/>
          <w:sz w:val="24"/>
          <w:szCs w:val="24"/>
        </w:rPr>
        <w:t>Managing leisure</w:t>
      </w:r>
      <w:r w:rsidRPr="00FA35E4">
        <w:rPr>
          <w:rFonts w:ascii="Arial" w:eastAsiaTheme="minorHAnsi" w:hAnsi="Arial" w:cs="Arial"/>
          <w:sz w:val="24"/>
          <w:szCs w:val="24"/>
        </w:rPr>
        <w:t>. Routledge, 17(1), pp. 14–28. doi: 10.1080/13606719.2011.638202.</w:t>
      </w:r>
    </w:p>
    <w:p w14:paraId="5D91B6DF" w14:textId="77777777" w:rsidR="00630DCA" w:rsidRPr="00630DCA" w:rsidRDefault="00630DCA" w:rsidP="00630DCA">
      <w:pPr>
        <w:spacing w:after="160" w:line="259" w:lineRule="auto"/>
        <w:rPr>
          <w:rFonts w:ascii="Arial" w:eastAsiaTheme="minorHAnsi" w:hAnsi="Arial" w:cs="Arial"/>
          <w:sz w:val="24"/>
          <w:szCs w:val="24"/>
        </w:rPr>
      </w:pPr>
      <w:r w:rsidRPr="00630DCA">
        <w:rPr>
          <w:rFonts w:ascii="Arial" w:eastAsiaTheme="minorHAnsi" w:hAnsi="Arial" w:cs="Arial"/>
          <w:sz w:val="24"/>
          <w:szCs w:val="24"/>
        </w:rPr>
        <w:t xml:space="preserve">Yin, R.K. (2016) </w:t>
      </w:r>
      <w:r w:rsidRPr="00630DCA">
        <w:rPr>
          <w:rFonts w:ascii="Arial" w:eastAsiaTheme="minorHAnsi" w:hAnsi="Arial" w:cs="Arial"/>
          <w:i/>
          <w:iCs/>
          <w:sz w:val="24"/>
          <w:szCs w:val="24"/>
        </w:rPr>
        <w:t>Qualitative research from start to finish</w:t>
      </w:r>
      <w:r w:rsidRPr="00630DCA">
        <w:rPr>
          <w:rFonts w:ascii="Arial" w:eastAsiaTheme="minorHAnsi" w:hAnsi="Arial" w:cs="Arial"/>
          <w:sz w:val="24"/>
          <w:szCs w:val="24"/>
        </w:rPr>
        <w:t>. 2nd ed. New York: Guilford Press.</w:t>
      </w:r>
    </w:p>
    <w:p w14:paraId="3A216925" w14:textId="77777777" w:rsidR="00630DCA" w:rsidRPr="00630DCA" w:rsidRDefault="00630DCA" w:rsidP="00630DCA">
      <w:pPr>
        <w:spacing w:after="160" w:line="259" w:lineRule="auto"/>
        <w:rPr>
          <w:rFonts w:ascii="Arial" w:eastAsiaTheme="minorHAnsi" w:hAnsi="Arial" w:cs="Arial"/>
          <w:sz w:val="24"/>
          <w:szCs w:val="24"/>
        </w:rPr>
      </w:pPr>
      <w:r w:rsidRPr="00630DCA">
        <w:rPr>
          <w:rFonts w:ascii="Arial" w:eastAsiaTheme="minorHAnsi" w:hAnsi="Arial" w:cs="Arial"/>
          <w:sz w:val="24"/>
          <w:szCs w:val="24"/>
        </w:rPr>
        <w:t xml:space="preserve">VanderStoep, S.W. and Johnston, D.D. (2009) </w:t>
      </w:r>
      <w:r w:rsidRPr="00630DCA">
        <w:rPr>
          <w:rFonts w:ascii="Arial" w:eastAsiaTheme="minorHAnsi" w:hAnsi="Arial" w:cs="Arial"/>
          <w:i/>
          <w:iCs/>
          <w:sz w:val="24"/>
          <w:szCs w:val="24"/>
        </w:rPr>
        <w:t>Research methods for everyday life: blending qualitative and quantitative approaches</w:t>
      </w:r>
      <w:r w:rsidRPr="00630DCA">
        <w:rPr>
          <w:rFonts w:ascii="Arial" w:eastAsiaTheme="minorHAnsi" w:hAnsi="Arial" w:cs="Arial"/>
          <w:sz w:val="24"/>
          <w:szCs w:val="24"/>
        </w:rPr>
        <w:t xml:space="preserve">. 1st ed. San Francisco, CA: Jossey-Bass. </w:t>
      </w:r>
    </w:p>
    <w:p w14:paraId="2ECB8C01" w14:textId="68604824" w:rsidR="00630DCA" w:rsidRDefault="00630DCA" w:rsidP="00630DCA">
      <w:pPr>
        <w:spacing w:after="160" w:line="259" w:lineRule="auto"/>
        <w:rPr>
          <w:rFonts w:ascii="Arial" w:eastAsiaTheme="minorHAnsi" w:hAnsi="Arial" w:cs="Arial"/>
          <w:sz w:val="24"/>
          <w:szCs w:val="24"/>
        </w:rPr>
      </w:pPr>
      <w:r w:rsidRPr="00630DCA">
        <w:rPr>
          <w:rFonts w:ascii="Arial" w:eastAsiaTheme="minorHAnsi" w:hAnsi="Arial" w:cs="Arial"/>
          <w:sz w:val="24"/>
          <w:szCs w:val="24"/>
        </w:rPr>
        <w:t xml:space="preserve"> Wiles, R. (2012) </w:t>
      </w:r>
      <w:r w:rsidRPr="00630DCA">
        <w:rPr>
          <w:rFonts w:ascii="Arial" w:eastAsiaTheme="minorHAnsi" w:hAnsi="Arial" w:cs="Arial"/>
          <w:i/>
          <w:iCs/>
          <w:sz w:val="24"/>
          <w:szCs w:val="24"/>
        </w:rPr>
        <w:t>What are qualitative research ethics?</w:t>
      </w:r>
      <w:r w:rsidRPr="00630DCA">
        <w:rPr>
          <w:rFonts w:ascii="Arial" w:eastAsiaTheme="minorHAnsi" w:hAnsi="Arial" w:cs="Arial"/>
          <w:sz w:val="24"/>
          <w:szCs w:val="24"/>
        </w:rPr>
        <w:t xml:space="preserve"> London, England: Bloomsbury Academic.</w:t>
      </w:r>
    </w:p>
    <w:p w14:paraId="50BC698A" w14:textId="1EEA0EAB" w:rsidR="00BC76D6" w:rsidRDefault="00BC76D6" w:rsidP="00630DCA">
      <w:pPr>
        <w:spacing w:after="160" w:line="259" w:lineRule="auto"/>
        <w:rPr>
          <w:rFonts w:ascii="Arial" w:eastAsiaTheme="minorHAnsi" w:hAnsi="Arial" w:cs="Arial"/>
          <w:color w:val="0070C0"/>
          <w:sz w:val="24"/>
          <w:szCs w:val="24"/>
        </w:rPr>
      </w:pPr>
    </w:p>
    <w:p w14:paraId="0C05FB01" w14:textId="5C7B125A" w:rsidR="002F4538" w:rsidRDefault="002F4538" w:rsidP="00630DCA">
      <w:pPr>
        <w:spacing w:after="160" w:line="259" w:lineRule="auto"/>
        <w:rPr>
          <w:rFonts w:ascii="Arial" w:eastAsiaTheme="minorHAnsi" w:hAnsi="Arial" w:cs="Arial"/>
          <w:color w:val="0070C0"/>
          <w:sz w:val="24"/>
          <w:szCs w:val="24"/>
        </w:rPr>
      </w:pPr>
    </w:p>
    <w:p w14:paraId="787C015A" w14:textId="484CC0CC" w:rsidR="002F4538" w:rsidRDefault="002F4538" w:rsidP="00630DCA">
      <w:pPr>
        <w:spacing w:after="160" w:line="259" w:lineRule="auto"/>
        <w:rPr>
          <w:rFonts w:ascii="Arial" w:eastAsiaTheme="minorHAnsi" w:hAnsi="Arial" w:cs="Arial"/>
          <w:color w:val="0070C0"/>
          <w:sz w:val="24"/>
          <w:szCs w:val="24"/>
        </w:rPr>
      </w:pPr>
    </w:p>
    <w:p w14:paraId="438D298D" w14:textId="77777777" w:rsidR="002F4538" w:rsidRPr="00630DCA" w:rsidRDefault="002F4538" w:rsidP="00630DCA">
      <w:pPr>
        <w:spacing w:after="160" w:line="259" w:lineRule="auto"/>
        <w:rPr>
          <w:rFonts w:ascii="Arial" w:eastAsiaTheme="minorHAnsi" w:hAnsi="Arial" w:cs="Arial"/>
          <w:color w:val="0070C0"/>
          <w:sz w:val="24"/>
          <w:szCs w:val="24"/>
        </w:rPr>
      </w:pPr>
    </w:p>
    <w:p w14:paraId="744A32F4" w14:textId="37558F1E" w:rsidR="00630DCA" w:rsidRPr="00FA35E4" w:rsidRDefault="00BC76D6" w:rsidP="00BC76D6">
      <w:pPr>
        <w:pStyle w:val="Heading1"/>
        <w:rPr>
          <w:rFonts w:ascii="Arial" w:eastAsiaTheme="minorHAnsi" w:hAnsi="Arial" w:cs="Arial"/>
          <w:sz w:val="24"/>
          <w:szCs w:val="24"/>
        </w:rPr>
      </w:pPr>
      <w:bookmarkStart w:id="78" w:name="_Toc123562352"/>
      <w:r>
        <w:rPr>
          <w:rFonts w:ascii="Arial" w:eastAsiaTheme="minorHAnsi" w:hAnsi="Arial" w:cs="Arial"/>
          <w:sz w:val="24"/>
          <w:szCs w:val="24"/>
        </w:rPr>
        <w:t>Appendices</w:t>
      </w:r>
      <w:bookmarkEnd w:id="78"/>
    </w:p>
    <w:p w14:paraId="3CB7804F" w14:textId="6E7D0E71" w:rsidR="00E70A68" w:rsidRPr="002B6842" w:rsidRDefault="00E70A68" w:rsidP="002B6842">
      <w:pPr>
        <w:spacing w:after="160"/>
        <w:rPr>
          <w:rFonts w:ascii="Arial" w:eastAsiaTheme="minorHAnsi" w:hAnsi="Arial" w:cs="Arial"/>
          <w:color w:val="00B050"/>
          <w:sz w:val="24"/>
          <w:szCs w:val="24"/>
        </w:rPr>
      </w:pPr>
    </w:p>
    <w:p w14:paraId="208FC988" w14:textId="7CBB4E8C" w:rsidR="00544AB0" w:rsidRDefault="00BC76D6" w:rsidP="002F4538">
      <w:pPr>
        <w:pStyle w:val="Heading2"/>
        <w:rPr>
          <w:rFonts w:ascii="Arial" w:hAnsi="Arial" w:cs="Arial"/>
          <w:sz w:val="24"/>
          <w:szCs w:val="24"/>
        </w:rPr>
      </w:pPr>
      <w:bookmarkStart w:id="79" w:name="_Ref123561031"/>
      <w:bookmarkStart w:id="80" w:name="_Toc123562353"/>
      <w:r>
        <w:rPr>
          <w:rFonts w:ascii="Arial" w:hAnsi="Arial" w:cs="Arial"/>
          <w:sz w:val="24"/>
          <w:szCs w:val="24"/>
        </w:rPr>
        <w:t>Appendix 1</w:t>
      </w:r>
      <w:r w:rsidR="0067392C">
        <w:rPr>
          <w:rFonts w:ascii="Arial" w:hAnsi="Arial" w:cs="Arial"/>
          <w:sz w:val="24"/>
          <w:szCs w:val="24"/>
        </w:rPr>
        <w:t xml:space="preserve">: </w:t>
      </w:r>
      <w:r w:rsidR="002F4538">
        <w:rPr>
          <w:rFonts w:ascii="Arial" w:hAnsi="Arial" w:cs="Arial"/>
          <w:sz w:val="24"/>
          <w:szCs w:val="24"/>
        </w:rPr>
        <w:t>Semi-structured Interview Questions</w:t>
      </w:r>
      <w:bookmarkEnd w:id="79"/>
      <w:bookmarkEnd w:id="80"/>
    </w:p>
    <w:p w14:paraId="4D0D2388" w14:textId="77777777" w:rsidR="005478C4" w:rsidRDefault="005478C4" w:rsidP="002F4538">
      <w:pPr>
        <w:spacing w:after="160" w:line="259" w:lineRule="auto"/>
      </w:pPr>
    </w:p>
    <w:p w14:paraId="58DDF168" w14:textId="01FFCAA1" w:rsidR="002F4538" w:rsidRPr="002F4538" w:rsidRDefault="002F4538" w:rsidP="002F4538">
      <w:pPr>
        <w:spacing w:after="160" w:line="259" w:lineRule="auto"/>
        <w:rPr>
          <w:rFonts w:ascii="Arial" w:hAnsi="Arial" w:cs="Arial"/>
          <w:b/>
          <w:bCs/>
          <w:sz w:val="24"/>
          <w:szCs w:val="24"/>
        </w:rPr>
      </w:pPr>
      <w:r w:rsidRPr="002F4538">
        <w:rPr>
          <w:rFonts w:ascii="Arial" w:hAnsi="Arial" w:cs="Arial"/>
          <w:b/>
          <w:bCs/>
          <w:sz w:val="24"/>
          <w:szCs w:val="24"/>
        </w:rPr>
        <w:t>Overview for participants</w:t>
      </w:r>
    </w:p>
    <w:p w14:paraId="55830F5A" w14:textId="77777777" w:rsidR="002F4538" w:rsidRPr="002F4538" w:rsidRDefault="002F4538" w:rsidP="002F4538">
      <w:pPr>
        <w:spacing w:after="160" w:line="259" w:lineRule="auto"/>
        <w:rPr>
          <w:rFonts w:ascii="Arial" w:hAnsi="Arial" w:cs="Arial"/>
          <w:sz w:val="24"/>
          <w:szCs w:val="24"/>
        </w:rPr>
      </w:pPr>
      <w:r w:rsidRPr="002F4538">
        <w:rPr>
          <w:rFonts w:ascii="Arial" w:hAnsi="Arial" w:cs="Arial"/>
          <w:sz w:val="24"/>
          <w:szCs w:val="24"/>
        </w:rPr>
        <w:t>The following questions will seek your opinion on a range of potential income generating initiatives that have been implemented successfully at other museums and libraries across the world. I will give you an overview of each initiative, with some examples, at the start of each question.</w:t>
      </w:r>
    </w:p>
    <w:p w14:paraId="1FF0D11B" w14:textId="3D6F398A" w:rsidR="002F4538" w:rsidRPr="002F4538" w:rsidRDefault="002F4538" w:rsidP="002F4538">
      <w:pPr>
        <w:spacing w:after="160" w:line="259" w:lineRule="auto"/>
      </w:pPr>
      <w:r w:rsidRPr="002F4538">
        <w:rPr>
          <w:rFonts w:ascii="Arial" w:hAnsi="Arial" w:cs="Arial"/>
          <w:sz w:val="24"/>
          <w:szCs w:val="24"/>
        </w:rPr>
        <w:t xml:space="preserve">For reference, I will be referring to our libraries, </w:t>
      </w:r>
      <w:r w:rsidR="00697BE5" w:rsidRPr="002F4538">
        <w:rPr>
          <w:rFonts w:ascii="Arial" w:hAnsi="Arial" w:cs="Arial"/>
          <w:sz w:val="24"/>
          <w:szCs w:val="24"/>
        </w:rPr>
        <w:t>museums,</w:t>
      </w:r>
      <w:r w:rsidRPr="002F4538">
        <w:rPr>
          <w:rFonts w:ascii="Arial" w:hAnsi="Arial" w:cs="Arial"/>
          <w:sz w:val="24"/>
          <w:szCs w:val="24"/>
        </w:rPr>
        <w:t xml:space="preserve"> and archives under the collective heading of StoriPowys, which is a recently introduced brand-name for our cultural services</w:t>
      </w:r>
      <w:r w:rsidRPr="002F4538">
        <w:t>.</w:t>
      </w:r>
    </w:p>
    <w:p w14:paraId="7492B160" w14:textId="254B55F7" w:rsidR="002F4538" w:rsidRDefault="002F4538" w:rsidP="005478C4">
      <w:pPr>
        <w:spacing w:after="160" w:line="240" w:lineRule="auto"/>
        <w:rPr>
          <w:rFonts w:ascii="Arial" w:hAnsi="Arial" w:cs="Arial"/>
          <w:b/>
          <w:bCs/>
          <w:sz w:val="24"/>
          <w:szCs w:val="24"/>
        </w:rPr>
      </w:pPr>
      <w:r w:rsidRPr="002F4538">
        <w:br/>
      </w:r>
      <w:r w:rsidRPr="002F4538">
        <w:rPr>
          <w:rFonts w:ascii="Arial" w:hAnsi="Arial" w:cs="Arial"/>
          <w:b/>
          <w:bCs/>
          <w:sz w:val="24"/>
          <w:szCs w:val="24"/>
        </w:rPr>
        <w:t>Questions:</w:t>
      </w:r>
    </w:p>
    <w:p w14:paraId="562DB581" w14:textId="77777777" w:rsidR="005478C4" w:rsidRPr="002F4538" w:rsidRDefault="005478C4" w:rsidP="005478C4">
      <w:pPr>
        <w:spacing w:after="160" w:line="240" w:lineRule="auto"/>
        <w:rPr>
          <w:rFonts w:ascii="Arial" w:hAnsi="Arial" w:cs="Arial"/>
          <w:b/>
          <w:bCs/>
          <w:sz w:val="24"/>
          <w:szCs w:val="24"/>
        </w:rPr>
      </w:pPr>
    </w:p>
    <w:p w14:paraId="3AABB566" w14:textId="4106BECD"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How receptive would you be to having a special event (examples – Kitchener PL; Sea Museum birthdays, weddings) organised and hosted by StoriPowys?</w:t>
      </w:r>
      <w:r w:rsidRPr="002F4538">
        <w:rPr>
          <w:rFonts w:ascii="Arial" w:hAnsi="Arial" w:cs="Arial"/>
          <w:sz w:val="24"/>
          <w:szCs w:val="24"/>
        </w:rPr>
        <w:t xml:space="preserve"> What other types of paid events might you like to see us host (</w:t>
      </w:r>
      <w:r w:rsidR="00697BE5" w:rsidRPr="002F4538">
        <w:rPr>
          <w:rFonts w:ascii="Arial" w:hAnsi="Arial" w:cs="Arial"/>
          <w:sz w:val="24"/>
          <w:szCs w:val="24"/>
        </w:rPr>
        <w:t>e.g.,</w:t>
      </w:r>
      <w:r w:rsidRPr="002F4538">
        <w:rPr>
          <w:rFonts w:ascii="Arial" w:hAnsi="Arial" w:cs="Arial"/>
          <w:sz w:val="24"/>
          <w:szCs w:val="24"/>
        </w:rPr>
        <w:t xml:space="preserve"> music, talks)?</w:t>
      </w:r>
    </w:p>
    <w:p w14:paraId="685AD7E7"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our facilities should provide cafes?</w:t>
      </w:r>
      <w:r w:rsidRPr="002F4538">
        <w:rPr>
          <w:rFonts w:ascii="Arial" w:hAnsi="Arial" w:cs="Arial"/>
          <w:sz w:val="24"/>
          <w:szCs w:val="24"/>
        </w:rPr>
        <w:t xml:space="preserve"> How might these look (examples – partnership model Blender Cafe, themed menu – Mitsitam/Smithsonian)?</w:t>
      </w:r>
    </w:p>
    <w:p w14:paraId="0019AE8F" w14:textId="32CC86F2"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support a shop in StoriPowys facilities? </w:t>
      </w:r>
      <w:r w:rsidRPr="002F4538">
        <w:rPr>
          <w:rFonts w:ascii="Arial" w:hAnsi="Arial" w:cs="Arial"/>
          <w:sz w:val="24"/>
          <w:szCs w:val="24"/>
        </w:rPr>
        <w:t>Would you be interested in purchasing branded merchandise? What might attract you to a museum/library shop? (</w:t>
      </w:r>
      <w:r w:rsidR="00697BE5" w:rsidRPr="002F4538">
        <w:rPr>
          <w:rFonts w:ascii="Arial" w:hAnsi="Arial" w:cs="Arial"/>
          <w:sz w:val="24"/>
          <w:szCs w:val="24"/>
        </w:rPr>
        <w:t>Examples</w:t>
      </w:r>
      <w:r w:rsidRPr="002F4538">
        <w:rPr>
          <w:rFonts w:ascii="Arial" w:hAnsi="Arial" w:cs="Arial"/>
          <w:sz w:val="24"/>
          <w:szCs w:val="24"/>
        </w:rPr>
        <w:t xml:space="preserve"> – Artistory and Alfilo brand case studies, Wharton PL fundraising merch to support a cause)</w:t>
      </w:r>
    </w:p>
    <w:p w14:paraId="744A5E2A"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How do you feel about corporate support of StoriPowys developments and activities?</w:t>
      </w:r>
      <w:r w:rsidRPr="002F4538">
        <w:rPr>
          <w:rFonts w:ascii="Arial" w:hAnsi="Arial" w:cs="Arial"/>
          <w:sz w:val="24"/>
          <w:szCs w:val="24"/>
        </w:rPr>
        <w:t xml:space="preserve"> Would it matter what type of activity they supported (examples – Brooklyn PL public social programme/core service sponsorship; NYPL corporate partnership)? </w:t>
      </w:r>
    </w:p>
    <w:p w14:paraId="640B76A1"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that online opportunities for donating money, as shown in the examples, would encourage you to donate (examples – Queens PL, Goodbox)?</w:t>
      </w:r>
      <w:r w:rsidRPr="002F4538">
        <w:rPr>
          <w:rFonts w:ascii="Arial" w:hAnsi="Arial" w:cs="Arial"/>
          <w:sz w:val="24"/>
          <w:szCs w:val="24"/>
        </w:rPr>
        <w:t xml:space="preserve"> What might influence you?</w:t>
      </w:r>
    </w:p>
    <w:p w14:paraId="26D2F267"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Would you pay to attend any online StoriPowys events or activities, similar to those presented (examples – online tours with merch promotion (Chinese eCommerce - Louvre); Steinbeck center members-only digital content; Tracey Aviary pay-what-you-want)?</w:t>
      </w:r>
      <w:r w:rsidRPr="002F4538">
        <w:rPr>
          <w:rFonts w:ascii="Arial" w:hAnsi="Arial" w:cs="Arial"/>
          <w:sz w:val="24"/>
          <w:szCs w:val="24"/>
        </w:rPr>
        <w:t xml:space="preserve"> Which of these approaches would you find most appealing?  </w:t>
      </w:r>
    </w:p>
    <w:p w14:paraId="05AA3330"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consider making a financial donation to a crowdfunding campaign for StoriPowys (examples – reward based #fashonandtextiles; </w:t>
      </w:r>
      <w:r w:rsidRPr="002F4538">
        <w:rPr>
          <w:rFonts w:ascii="Arial" w:hAnsi="Arial" w:cs="Arial"/>
          <w:b/>
          <w:bCs/>
          <w:sz w:val="24"/>
          <w:szCs w:val="24"/>
        </w:rPr>
        <w:lastRenderedPageBreak/>
        <w:t>donations-based Liverpool Museums)?</w:t>
      </w:r>
      <w:r w:rsidRPr="002F4538">
        <w:rPr>
          <w:rFonts w:ascii="Arial" w:hAnsi="Arial" w:cs="Arial"/>
          <w:sz w:val="24"/>
          <w:szCs w:val="24"/>
        </w:rPr>
        <w:t xml:space="preserve"> Which approach would you fund more appealing?</w:t>
      </w:r>
    </w:p>
    <w:p w14:paraId="6D7A5CC6"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you would pay to be a member of StoriPowys</w:t>
      </w:r>
      <w:r w:rsidRPr="002F4538">
        <w:rPr>
          <w:rFonts w:ascii="Arial" w:hAnsi="Arial" w:cs="Arial"/>
          <w:sz w:val="24"/>
          <w:szCs w:val="24"/>
        </w:rPr>
        <w:t>? Would you want to be rewarded for your financial contribution (e.g. examples – donation-only model, newsletters, guided tours, discounts on event tickets, members-only events, etc.)?</w:t>
      </w:r>
    </w:p>
    <w:p w14:paraId="0A461BCF" w14:textId="5270DB81"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Would you be interested in joining a StoriPowys Friends group to undertake activities similar to those presented in the examples (examples – Alpine PL ArtWalk; Mountainside Library)?</w:t>
      </w:r>
      <w:r w:rsidRPr="002F4538">
        <w:rPr>
          <w:rFonts w:ascii="Arial" w:hAnsi="Arial" w:cs="Arial"/>
          <w:sz w:val="24"/>
          <w:szCs w:val="24"/>
        </w:rPr>
        <w:t xml:space="preserve"> Would you find a local group </w:t>
      </w:r>
      <w:r w:rsidR="00697BE5" w:rsidRPr="002F4538">
        <w:rPr>
          <w:rFonts w:ascii="Arial" w:hAnsi="Arial" w:cs="Arial"/>
          <w:sz w:val="24"/>
          <w:szCs w:val="24"/>
        </w:rPr>
        <w:t>preferable</w:t>
      </w:r>
      <w:r w:rsidRPr="002F4538">
        <w:rPr>
          <w:rFonts w:ascii="Arial" w:hAnsi="Arial" w:cs="Arial"/>
          <w:sz w:val="24"/>
          <w:szCs w:val="24"/>
        </w:rPr>
        <w:t xml:space="preserve"> to an overarching Powys-wide group?</w:t>
      </w:r>
    </w:p>
    <w:p w14:paraId="3EA57BB0" w14:textId="77777777"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be interested in supporting a development trust if one were set up alongside StoriPowys (examples - Manchester CL, Norfolk Museums)? </w:t>
      </w:r>
      <w:r w:rsidRPr="002F4538">
        <w:rPr>
          <w:rFonts w:ascii="Arial" w:hAnsi="Arial" w:cs="Arial"/>
          <w:sz w:val="24"/>
          <w:szCs w:val="24"/>
        </w:rPr>
        <w:t>Would you consider a Friends group or development trust as having more potential for promoting successful income generation activity in StoriPowys?</w:t>
      </w:r>
    </w:p>
    <w:p w14:paraId="6A079E33" w14:textId="77777777" w:rsidR="002F4538" w:rsidRPr="002F4538" w:rsidRDefault="002F4538" w:rsidP="002F4538">
      <w:pPr>
        <w:spacing w:after="160" w:line="259" w:lineRule="auto"/>
      </w:pPr>
    </w:p>
    <w:p w14:paraId="414CE99D" w14:textId="77777777" w:rsidR="002F4538" w:rsidRPr="002F4538" w:rsidRDefault="002F4538" w:rsidP="002F4538">
      <w:pPr>
        <w:spacing w:after="160" w:line="360" w:lineRule="auto"/>
      </w:pPr>
      <w:r w:rsidRPr="002F4538">
        <w:t>Examples:</w:t>
      </w:r>
    </w:p>
    <w:p w14:paraId="38C15E66" w14:textId="59CEC82B" w:rsidR="002F4538" w:rsidRDefault="002F4538" w:rsidP="002F4538">
      <w:pPr>
        <w:spacing w:line="360" w:lineRule="auto"/>
        <w:rPr>
          <w:color w:val="0000FF"/>
          <w:u w:val="single"/>
        </w:rPr>
      </w:pPr>
      <w:r w:rsidRPr="002F4538">
        <w:t xml:space="preserve">Merchandise sales - </w:t>
      </w:r>
      <w:hyperlink r:id="rId115" w:history="1">
        <w:r w:rsidRPr="002F4538">
          <w:rPr>
            <w:color w:val="0000FF"/>
            <w:u w:val="single"/>
          </w:rPr>
          <w:t>Support Summer Reading at the Wharton Public Library! Custom Ink Fundraising</w:t>
        </w:r>
      </w:hyperlink>
      <w:r w:rsidRPr="002F4538">
        <w:t xml:space="preserve"> </w:t>
      </w:r>
      <w:hyperlink r:id="rId116" w:history="1">
        <w:r w:rsidRPr="002F4538">
          <w:rPr>
            <w:color w:val="0000FF"/>
            <w:u w:val="single"/>
          </w:rPr>
          <w:t>Cases (artistorybrands.net)</w:t>
        </w:r>
      </w:hyperlink>
      <w:r w:rsidRPr="002F4538">
        <w:t xml:space="preserve"> </w:t>
      </w:r>
      <w:hyperlink r:id="rId117" w:history="1">
        <w:r w:rsidRPr="002F4538">
          <w:rPr>
            <w:color w:val="0000FF"/>
            <w:u w:val="single"/>
          </w:rPr>
          <w:t>Alfilo Brands——Dedicate to World's Top Art &amp; Culture Icons</w:t>
        </w:r>
      </w:hyperlink>
      <w:r w:rsidRPr="002F4538">
        <w:br/>
        <w:t xml:space="preserve">Memberships -  </w:t>
      </w:r>
      <w:hyperlink r:id="rId118" w:history="1">
        <w:r w:rsidRPr="002F4538">
          <w:rPr>
            <w:color w:val="0000FF"/>
            <w:u w:val="single"/>
          </w:rPr>
          <w:t>City Museum | Weirdly Wonderful | Tickets and Memberships</w:t>
        </w:r>
      </w:hyperlink>
      <w:r w:rsidRPr="002F4538">
        <w:t xml:space="preserve"> </w:t>
      </w:r>
      <w:hyperlink r:id="rId119" w:history="1">
        <w:r w:rsidRPr="002F4538">
          <w:rPr>
            <w:color w:val="0000FF"/>
            <w:u w:val="single"/>
          </w:rPr>
          <w:t>City Museum | Weirdly Wonderful | Tickets and Memberships</w:t>
        </w:r>
      </w:hyperlink>
      <w:r w:rsidRPr="002F4538">
        <w:t xml:space="preserve"> </w:t>
      </w:r>
      <w:hyperlink r:id="rId120" w:history="1">
        <w:r w:rsidRPr="002F4538">
          <w:rPr>
            <w:color w:val="0000FF"/>
            <w:u w:val="single"/>
          </w:rPr>
          <w:t>Membership | The New York Public Library (nypl.org)</w:t>
        </w:r>
      </w:hyperlink>
      <w:r w:rsidRPr="002F4538">
        <w:br/>
        <w:t xml:space="preserve">Cafes -  </w:t>
      </w:r>
      <w:hyperlink r:id="rId121" w:history="1">
        <w:r w:rsidRPr="002F4538">
          <w:rPr>
            <w:color w:val="0000FF"/>
            <w:u w:val="single"/>
          </w:rPr>
          <w:t>About Mitsitam Café &amp; Chefs (mitsitamcafe.com)</w:t>
        </w:r>
      </w:hyperlink>
      <w:r w:rsidRPr="002F4538">
        <w:t xml:space="preserve"> </w:t>
      </w:r>
      <w:hyperlink r:id="rId122" w:history="1">
        <w:r w:rsidRPr="002F4538">
          <w:rPr>
            <w:color w:val="0000FF"/>
            <w:u w:val="single"/>
          </w:rPr>
          <w:t>The Blender Café is Open | Beloit Public Library (beloitlibrary.org)</w:t>
        </w:r>
      </w:hyperlink>
      <w:r w:rsidRPr="002F4538">
        <w:br/>
        <w:t xml:space="preserve">Events - </w:t>
      </w:r>
      <w:hyperlink r:id="rId123" w:history="1">
        <w:r w:rsidRPr="002F4538">
          <w:rPr>
            <w:color w:val="0000FF"/>
            <w:u w:val="single"/>
          </w:rPr>
          <w:t>Have your ceremony in Fulham Library | LBHF</w:t>
        </w:r>
      </w:hyperlink>
      <w:r w:rsidRPr="002F4538">
        <w:t xml:space="preserve"> </w:t>
      </w:r>
      <w:hyperlink r:id="rId124" w:history="1">
        <w:r w:rsidRPr="002F4538">
          <w:rPr>
            <w:color w:val="0000FF"/>
            <w:u w:val="single"/>
          </w:rPr>
          <w:t>https://www.nationalminingmuseum.com/experience/venue-hire/</w:t>
        </w:r>
      </w:hyperlink>
      <w:r w:rsidRPr="002F4538">
        <w:t xml:space="preserve"> </w:t>
      </w:r>
      <w:hyperlink r:id="rId125" w:history="1">
        <w:r w:rsidRPr="002F4538">
          <w:rPr>
            <w:color w:val="0000FF"/>
            <w:u w:val="single"/>
          </w:rPr>
          <w:t>Weddings at Central Library | Madison Public Library</w:t>
        </w:r>
      </w:hyperlink>
      <w:r w:rsidRPr="002F4538">
        <w:t xml:space="preserve"> </w:t>
      </w:r>
      <w:hyperlink r:id="rId126" w:history="1">
        <w:r w:rsidRPr="002F4538">
          <w:rPr>
            <w:color w:val="0000FF"/>
            <w:u w:val="single"/>
          </w:rPr>
          <w:t>Special Occasions &amp; Celebrations | Kitchener Public Library (kpl.org)</w:t>
        </w:r>
      </w:hyperlink>
      <w:r w:rsidRPr="002F4538">
        <w:t xml:space="preserve"> </w:t>
      </w:r>
      <w:hyperlink r:id="rId127" w:history="1">
        <w:r w:rsidRPr="002F4538">
          <w:rPr>
            <w:color w:val="0000FF"/>
            <w:u w:val="single"/>
          </w:rPr>
          <w:t>https://www.sea.museum/whats-on/events/swashbuckling-birthday-parties</w:t>
        </w:r>
      </w:hyperlink>
      <w:r w:rsidRPr="002F4538">
        <w:t xml:space="preserve"> </w:t>
      </w:r>
      <w:hyperlink r:id="rId128" w:history="1">
        <w:r w:rsidRPr="002F4538">
          <w:rPr>
            <w:color w:val="0000FF"/>
            <w:u w:val="single"/>
          </w:rPr>
          <w:t>Birthday Parties at DCL | Douglas County Libraries</w:t>
        </w:r>
      </w:hyperlink>
      <w:r w:rsidRPr="002F4538">
        <w:br/>
        <w:t xml:space="preserve">Corporate support - </w:t>
      </w:r>
      <w:hyperlink r:id="rId129" w:history="1">
        <w:r w:rsidRPr="002F4538">
          <w:rPr>
            <w:color w:val="0000FF"/>
            <w:u w:val="single"/>
          </w:rPr>
          <w:t>Corporate Support | Brooklyn Public Library (bklynlibrary.org)</w:t>
        </w:r>
      </w:hyperlink>
      <w:r w:rsidRPr="002F4538">
        <w:t xml:space="preserve"> </w:t>
      </w:r>
      <w:hyperlink r:id="rId130" w:history="1">
        <w:r w:rsidRPr="002F4538">
          <w:rPr>
            <w:color w:val="0000FF"/>
            <w:u w:val="single"/>
          </w:rPr>
          <w:t>Corporate Support | The New York Public Library (nypl.org)</w:t>
        </w:r>
      </w:hyperlink>
      <w:r w:rsidRPr="002F4538">
        <w:br/>
        <w:t xml:space="preserve">Development trusts - </w:t>
      </w:r>
      <w:hyperlink r:id="rId131" w:history="1">
        <w:r w:rsidRPr="002F4538">
          <w:rPr>
            <w:color w:val="0000FF"/>
            <w:u w:val="single"/>
          </w:rPr>
          <w:t>Home | Manchester Central Library Trust (manchesterlibrarytrust.org)</w:t>
        </w:r>
      </w:hyperlink>
      <w:r w:rsidRPr="002F4538">
        <w:t xml:space="preserve"> </w:t>
      </w:r>
      <w:hyperlink r:id="rId132" w:history="1">
        <w:r w:rsidRPr="002F4538">
          <w:rPr>
            <w:color w:val="0000FF"/>
            <w:u w:val="single"/>
          </w:rPr>
          <w:t>Norfolk Museums Development Foundation - Norfolk Museums</w:t>
        </w:r>
      </w:hyperlink>
      <w:r w:rsidRPr="002F4538">
        <w:br/>
        <w:t xml:space="preserve">Friends groups - </w:t>
      </w:r>
      <w:hyperlink r:id="rId133" w:history="1">
        <w:r w:rsidRPr="002F4538">
          <w:rPr>
            <w:color w:val="0000FF"/>
            <w:u w:val="single"/>
          </w:rPr>
          <w:t>APL’s ArtWalk Silent Auction Fundraiser : Alpine Public Library</w:t>
        </w:r>
      </w:hyperlink>
      <w:r w:rsidRPr="002F4538">
        <w:t xml:space="preserve"> </w:t>
      </w:r>
      <w:hyperlink r:id="rId134" w:history="1">
        <w:r w:rsidRPr="002F4538">
          <w:rPr>
            <w:color w:val="0000FF"/>
            <w:u w:val="single"/>
          </w:rPr>
          <w:t>About Friends of the Library (mountainsidelibrary.org)</w:t>
        </w:r>
      </w:hyperlink>
      <w:r w:rsidRPr="002F4538">
        <w:br/>
        <w:t xml:space="preserve">Online giving - </w:t>
      </w:r>
      <w:hyperlink r:id="rId135" w:history="1">
        <w:r w:rsidRPr="002F4538">
          <w:rPr>
            <w:color w:val="0000FF"/>
            <w:u w:val="single"/>
          </w:rPr>
          <w:t>Support the Library | Queens Public Library (queenslibrary.org)</w:t>
        </w:r>
      </w:hyperlink>
      <w:r w:rsidRPr="002F4538">
        <w:t xml:space="preserve"> </w:t>
      </w:r>
      <w:hyperlink r:id="rId136" w:history="1">
        <w:r w:rsidRPr="002F4538">
          <w:rPr>
            <w:color w:val="0000FF"/>
            <w:u w:val="single"/>
          </w:rPr>
          <w:t>The best charity social media fundraising campaigns | GoodBox</w:t>
        </w:r>
      </w:hyperlink>
      <w:r w:rsidRPr="002F4538">
        <w:br/>
        <w:t xml:space="preserve">Monetised events/content - </w:t>
      </w:r>
      <w:hyperlink r:id="rId137" w:history="1">
        <w:r w:rsidRPr="002F4538">
          <w:rPr>
            <w:color w:val="0000FF"/>
            <w:u w:val="single"/>
          </w:rPr>
          <w:t>Louvre Joins Forces with Alibaba to Bring Art to Chinese Consumers (jingculturecrypto.com)</w:t>
        </w:r>
      </w:hyperlink>
      <w:r w:rsidRPr="002F4538">
        <w:t xml:space="preserve"> </w:t>
      </w:r>
      <w:hyperlink r:id="rId138" w:history="1">
        <w:r w:rsidRPr="002F4538">
          <w:rPr>
            <w:color w:val="0000FF"/>
            <w:u w:val="single"/>
          </w:rPr>
          <w:t>Support - Steinbeck Center</w:t>
        </w:r>
      </w:hyperlink>
      <w:r w:rsidRPr="002F4538">
        <w:t xml:space="preserve"> </w:t>
      </w:r>
      <w:r w:rsidRPr="002F4538">
        <w:br/>
        <w:t xml:space="preserve">Crowdfunding - </w:t>
      </w:r>
      <w:hyperlink r:id="rId139" w:history="1">
        <w:r w:rsidRPr="002F4538">
          <w:rPr>
            <w:color w:val="0000FF"/>
            <w:u w:val="single"/>
          </w:rPr>
          <w:t xml:space="preserve">#fashionandtextilesforever - a Creative &amp; Arts crowdfunding project in London by </w:t>
        </w:r>
        <w:r w:rsidRPr="002F4538">
          <w:rPr>
            <w:color w:val="0000FF"/>
            <w:u w:val="single"/>
          </w:rPr>
          <w:lastRenderedPageBreak/>
          <w:t>Fashion and Textile Museum (crowdfunder.co.uk)</w:t>
        </w:r>
      </w:hyperlink>
      <w:r w:rsidRPr="002F4538">
        <w:t xml:space="preserve"> </w:t>
      </w:r>
      <w:hyperlink r:id="rId140" w:history="1">
        <w:r w:rsidRPr="002F4538">
          <w:rPr>
            <w:color w:val="0000FF"/>
            <w:u w:val="single"/>
          </w:rPr>
          <w:t>National Museums Liverpool needs your help - a Creative &amp; Arts crowdfunding project in Liverpool by National Museums Liverpool (crowdfunder.co.uk)</w:t>
        </w:r>
      </w:hyperlink>
    </w:p>
    <w:p w14:paraId="6CE20AC3" w14:textId="30C57BD6" w:rsidR="009E147D" w:rsidRDefault="009E147D" w:rsidP="002F4538">
      <w:pPr>
        <w:spacing w:line="360" w:lineRule="auto"/>
        <w:rPr>
          <w:color w:val="0000FF"/>
          <w:u w:val="single"/>
        </w:rPr>
      </w:pPr>
    </w:p>
    <w:p w14:paraId="232C99AF" w14:textId="1C0BE615" w:rsidR="009E147D" w:rsidRDefault="009E147D" w:rsidP="002F4538">
      <w:pPr>
        <w:spacing w:line="360" w:lineRule="auto"/>
        <w:rPr>
          <w:color w:val="0000FF"/>
          <w:u w:val="single"/>
        </w:rPr>
      </w:pPr>
    </w:p>
    <w:p w14:paraId="0F866875" w14:textId="1EF8FAC8" w:rsidR="009E147D" w:rsidRDefault="009E147D" w:rsidP="002F4538">
      <w:pPr>
        <w:spacing w:line="360" w:lineRule="auto"/>
        <w:rPr>
          <w:color w:val="0000FF"/>
          <w:u w:val="single"/>
        </w:rPr>
      </w:pPr>
    </w:p>
    <w:p w14:paraId="50B97D88" w14:textId="47FAC0B8" w:rsidR="009E147D" w:rsidRDefault="009E147D" w:rsidP="002F4538">
      <w:pPr>
        <w:spacing w:line="360" w:lineRule="auto"/>
        <w:rPr>
          <w:color w:val="0000FF"/>
          <w:u w:val="single"/>
        </w:rPr>
      </w:pPr>
    </w:p>
    <w:p w14:paraId="79C01B72" w14:textId="6B83C461" w:rsidR="009E147D" w:rsidRDefault="009E147D" w:rsidP="002F4538">
      <w:pPr>
        <w:spacing w:line="360" w:lineRule="auto"/>
        <w:rPr>
          <w:color w:val="0000FF"/>
          <w:u w:val="single"/>
        </w:rPr>
      </w:pPr>
    </w:p>
    <w:p w14:paraId="3911B3DA" w14:textId="07C786E6" w:rsidR="009E147D" w:rsidRDefault="009E147D" w:rsidP="002F4538">
      <w:pPr>
        <w:spacing w:line="360" w:lineRule="auto"/>
        <w:rPr>
          <w:color w:val="0000FF"/>
          <w:u w:val="single"/>
        </w:rPr>
      </w:pPr>
    </w:p>
    <w:p w14:paraId="0C8ECFAB" w14:textId="53DA8F69" w:rsidR="009E147D" w:rsidRDefault="009E147D" w:rsidP="002F4538">
      <w:pPr>
        <w:spacing w:line="360" w:lineRule="auto"/>
        <w:rPr>
          <w:color w:val="0000FF"/>
          <w:u w:val="single"/>
        </w:rPr>
      </w:pPr>
    </w:p>
    <w:p w14:paraId="02BC8D1C" w14:textId="1BFA1AAE" w:rsidR="009E147D" w:rsidRDefault="009E147D" w:rsidP="002F4538">
      <w:pPr>
        <w:spacing w:line="360" w:lineRule="auto"/>
        <w:rPr>
          <w:color w:val="0000FF"/>
          <w:u w:val="single"/>
        </w:rPr>
      </w:pPr>
    </w:p>
    <w:p w14:paraId="64DE462C" w14:textId="35863B89" w:rsidR="009E147D" w:rsidRDefault="009E147D" w:rsidP="002F4538">
      <w:pPr>
        <w:spacing w:line="360" w:lineRule="auto"/>
        <w:rPr>
          <w:color w:val="0000FF"/>
          <w:u w:val="single"/>
        </w:rPr>
      </w:pPr>
    </w:p>
    <w:p w14:paraId="79A6D4CD" w14:textId="02B479BF" w:rsidR="009E147D" w:rsidRDefault="009E147D" w:rsidP="002F4538">
      <w:pPr>
        <w:spacing w:line="360" w:lineRule="auto"/>
        <w:rPr>
          <w:color w:val="0000FF"/>
          <w:u w:val="single"/>
        </w:rPr>
      </w:pPr>
    </w:p>
    <w:p w14:paraId="60AF5280" w14:textId="18AC4002" w:rsidR="009E147D" w:rsidRDefault="009E147D" w:rsidP="002F4538">
      <w:pPr>
        <w:spacing w:line="360" w:lineRule="auto"/>
        <w:rPr>
          <w:color w:val="0000FF"/>
          <w:u w:val="single"/>
        </w:rPr>
      </w:pPr>
    </w:p>
    <w:p w14:paraId="232057F5" w14:textId="28526CE5" w:rsidR="009E147D" w:rsidRDefault="009E147D" w:rsidP="002F4538">
      <w:pPr>
        <w:spacing w:line="360" w:lineRule="auto"/>
        <w:rPr>
          <w:color w:val="0000FF"/>
          <w:u w:val="single"/>
        </w:rPr>
      </w:pPr>
    </w:p>
    <w:p w14:paraId="7D28551F" w14:textId="0FD17E2B" w:rsidR="009E147D" w:rsidRDefault="009E147D" w:rsidP="002F4538">
      <w:pPr>
        <w:spacing w:line="360" w:lineRule="auto"/>
        <w:rPr>
          <w:color w:val="0000FF"/>
          <w:u w:val="single"/>
        </w:rPr>
      </w:pPr>
    </w:p>
    <w:p w14:paraId="72E1FCEE" w14:textId="5543C7A6" w:rsidR="009E147D" w:rsidRDefault="009E147D" w:rsidP="002F4538">
      <w:pPr>
        <w:spacing w:line="360" w:lineRule="auto"/>
        <w:rPr>
          <w:color w:val="0000FF"/>
          <w:u w:val="single"/>
        </w:rPr>
      </w:pPr>
    </w:p>
    <w:p w14:paraId="244F1F12" w14:textId="3660A37B" w:rsidR="009E147D" w:rsidRDefault="009E147D" w:rsidP="002F4538">
      <w:pPr>
        <w:spacing w:line="360" w:lineRule="auto"/>
        <w:rPr>
          <w:color w:val="0000FF"/>
          <w:u w:val="single"/>
        </w:rPr>
      </w:pPr>
    </w:p>
    <w:p w14:paraId="346C7A94" w14:textId="29B1BBD6" w:rsidR="009E147D" w:rsidRDefault="009E147D" w:rsidP="002F4538">
      <w:pPr>
        <w:spacing w:line="360" w:lineRule="auto"/>
        <w:rPr>
          <w:color w:val="0000FF"/>
          <w:u w:val="single"/>
        </w:rPr>
      </w:pPr>
    </w:p>
    <w:p w14:paraId="227FCEE5" w14:textId="07BF08E2" w:rsidR="009E147D" w:rsidRDefault="009E147D" w:rsidP="002F4538">
      <w:pPr>
        <w:spacing w:line="360" w:lineRule="auto"/>
        <w:rPr>
          <w:color w:val="0000FF"/>
          <w:u w:val="single"/>
        </w:rPr>
      </w:pPr>
    </w:p>
    <w:p w14:paraId="46C477C7" w14:textId="0CD3B6B4" w:rsidR="009E147D" w:rsidRDefault="009E147D" w:rsidP="002F4538">
      <w:pPr>
        <w:spacing w:line="360" w:lineRule="auto"/>
        <w:rPr>
          <w:color w:val="0000FF"/>
          <w:u w:val="single"/>
        </w:rPr>
      </w:pPr>
    </w:p>
    <w:p w14:paraId="3114CB8B" w14:textId="44BB73C3" w:rsidR="009E147D" w:rsidRDefault="009E147D" w:rsidP="002F4538">
      <w:pPr>
        <w:spacing w:line="360" w:lineRule="auto"/>
        <w:rPr>
          <w:color w:val="0000FF"/>
          <w:u w:val="single"/>
        </w:rPr>
      </w:pPr>
    </w:p>
    <w:p w14:paraId="6654D242" w14:textId="77777777" w:rsidR="009E147D" w:rsidRDefault="009E147D" w:rsidP="002F4538">
      <w:pPr>
        <w:spacing w:line="360" w:lineRule="auto"/>
        <w:rPr>
          <w:rFonts w:ascii="Arial" w:hAnsi="Arial" w:cs="Arial"/>
          <w:sz w:val="24"/>
          <w:szCs w:val="24"/>
        </w:rPr>
      </w:pPr>
    </w:p>
    <w:p w14:paraId="337E5817" w14:textId="770F0DDF" w:rsidR="00786857" w:rsidRDefault="00E23F50" w:rsidP="00C362BC">
      <w:pPr>
        <w:pStyle w:val="Heading2"/>
        <w:rPr>
          <w:rFonts w:ascii="Arial" w:hAnsi="Arial" w:cs="Arial"/>
          <w:sz w:val="24"/>
          <w:szCs w:val="24"/>
        </w:rPr>
      </w:pPr>
      <w:bookmarkStart w:id="81" w:name="_Ref123561094"/>
      <w:bookmarkStart w:id="82" w:name="_Toc123562354"/>
      <w:r>
        <w:rPr>
          <w:rFonts w:ascii="Arial" w:hAnsi="Arial" w:cs="Arial"/>
          <w:sz w:val="24"/>
          <w:szCs w:val="24"/>
        </w:rPr>
        <w:lastRenderedPageBreak/>
        <w:t>Appendix</w:t>
      </w:r>
      <w:r w:rsidR="00C362BC">
        <w:rPr>
          <w:rFonts w:ascii="Arial" w:hAnsi="Arial" w:cs="Arial"/>
          <w:sz w:val="24"/>
          <w:szCs w:val="24"/>
        </w:rPr>
        <w:t xml:space="preserve"> 2: </w:t>
      </w:r>
      <w:r w:rsidR="00C362BC" w:rsidRPr="00E01AE1">
        <w:rPr>
          <w:rFonts w:ascii="Arial" w:eastAsiaTheme="minorHAnsi" w:hAnsi="Arial" w:cs="Arial"/>
          <w:sz w:val="24"/>
          <w:szCs w:val="24"/>
        </w:rPr>
        <w:t>PG2-E1</w:t>
      </w:r>
      <w:r w:rsidR="00C362BC">
        <w:rPr>
          <w:rFonts w:ascii="Arial" w:hAnsi="Arial" w:cs="Arial"/>
          <w:sz w:val="24"/>
          <w:szCs w:val="24"/>
        </w:rPr>
        <w:t xml:space="preserve"> Ethics Form</w:t>
      </w:r>
      <w:bookmarkEnd w:id="81"/>
      <w:bookmarkEnd w:id="82"/>
    </w:p>
    <w:p w14:paraId="1794124F" w14:textId="268F2290" w:rsidR="009F7571" w:rsidRDefault="009F7571" w:rsidP="009F7571"/>
    <w:p w14:paraId="5C2DBB30" w14:textId="61730836" w:rsidR="009F7571" w:rsidRDefault="009F7571" w:rsidP="009F7571"/>
    <w:p w14:paraId="150EEF6A" w14:textId="52574E2C" w:rsidR="009F7571" w:rsidRPr="009F7571" w:rsidRDefault="009F7571" w:rsidP="009F7571">
      <w:r w:rsidRPr="00CE5B7D">
        <w:rPr>
          <w:rFonts w:ascii="Arial" w:eastAsia="Times New Roman" w:hAnsi="Arial" w:cs="Arial"/>
          <w:noProof/>
          <w:lang w:eastAsia="en-GB"/>
        </w:rPr>
        <w:drawing>
          <wp:inline distT="0" distB="0" distL="0" distR="0" wp14:anchorId="7A5EDBAD" wp14:editId="603B74E3">
            <wp:extent cx="1790700" cy="571500"/>
            <wp:effectExtent l="0" t="0" r="0" b="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rotWithShape="1">
                    <a:blip r:embed="rId141">
                      <a:extLst>
                        <a:ext uri="{28A0092B-C50C-407E-A947-70E740481C1C}">
                          <a14:useLocalDpi xmlns:a14="http://schemas.microsoft.com/office/drawing/2010/main" val="0"/>
                        </a:ext>
                      </a:extLst>
                    </a:blip>
                    <a:srcRect r="37333"/>
                    <a:stretch/>
                  </pic:blipFill>
                  <pic:spPr bwMode="auto">
                    <a:xfrm>
                      <a:off x="0" y="0"/>
                      <a:ext cx="1790700" cy="571500"/>
                    </a:xfrm>
                    <a:prstGeom prst="rect">
                      <a:avLst/>
                    </a:prstGeom>
                    <a:noFill/>
                    <a:ln>
                      <a:noFill/>
                    </a:ln>
                    <a:extLst>
                      <a:ext uri="{53640926-AAD7-44D8-BBD7-CCE9431645EC}">
                        <a14:shadowObscured xmlns:a14="http://schemas.microsoft.com/office/drawing/2010/main"/>
                      </a:ext>
                    </a:extLst>
                  </pic:spPr>
                </pic:pic>
              </a:graphicData>
            </a:graphic>
          </wp:inline>
        </w:drawing>
      </w:r>
    </w:p>
    <w:p w14:paraId="252DCE4C" w14:textId="694FFDCB" w:rsidR="00C362BC" w:rsidRDefault="00C362BC" w:rsidP="00C362BC"/>
    <w:p w14:paraId="4C74EB2F" w14:textId="77777777" w:rsidR="009F7571" w:rsidRPr="009F7571" w:rsidRDefault="009F7571" w:rsidP="009F7571">
      <w:pPr>
        <w:tabs>
          <w:tab w:val="left" w:pos="5103"/>
        </w:tabs>
        <w:spacing w:after="0" w:line="240" w:lineRule="auto"/>
        <w:jc w:val="center"/>
        <w:rPr>
          <w:rFonts w:ascii="Arial" w:eastAsia="Times New Roman" w:hAnsi="Arial" w:cs="Arial"/>
          <w:b/>
          <w:bCs/>
          <w:sz w:val="24"/>
          <w:szCs w:val="24"/>
        </w:rPr>
      </w:pPr>
      <w:r w:rsidRPr="009F7571">
        <w:rPr>
          <w:rFonts w:ascii="Arial" w:eastAsia="Times New Roman" w:hAnsi="Arial" w:cs="Arial"/>
          <w:b/>
          <w:bCs/>
          <w:sz w:val="24"/>
          <w:szCs w:val="24"/>
        </w:rPr>
        <w:t>APPLICATION FOR ETHICAL APPROVAL</w:t>
      </w:r>
    </w:p>
    <w:p w14:paraId="3C6F3EE5"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20"/>
          <w:szCs w:val="20"/>
        </w:rPr>
      </w:pPr>
    </w:p>
    <w:p w14:paraId="12CCA259"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F7CEAED"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16"/>
          <w:szCs w:val="16"/>
        </w:rPr>
      </w:pPr>
    </w:p>
    <w:p w14:paraId="064D6197"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 xml:space="preserve">The University follows the OECD Frascati manual definition of </w:t>
      </w:r>
      <w:r w:rsidRPr="009F7571">
        <w:rPr>
          <w:rFonts w:ascii="Arial" w:eastAsia="Times New Roman" w:hAnsi="Arial" w:cs="Arial"/>
          <w:b/>
        </w:rPr>
        <w:t>research activity</w:t>
      </w:r>
      <w:r w:rsidRPr="009F757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A58903"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268629E8"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The individual undertaking the research activity is known as the “principal researcher”.</w:t>
      </w:r>
    </w:p>
    <w:p w14:paraId="04027FC1"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6EEBB3C0"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35BC622"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52CCEA15"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Please read the notes for guidance before completing ALL sections of the form.</w:t>
      </w:r>
    </w:p>
    <w:p w14:paraId="1A3CF867"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301259EA"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b/>
        </w:rPr>
        <w:t>This form</w:t>
      </w:r>
      <w:r w:rsidRPr="009F7571">
        <w:rPr>
          <w:rFonts w:ascii="Arial" w:eastAsia="Times New Roman" w:hAnsi="Arial" w:cs="Arial"/>
        </w:rPr>
        <w:t xml:space="preserve"> </w:t>
      </w:r>
      <w:r w:rsidRPr="009F7571">
        <w:rPr>
          <w:rFonts w:ascii="Arial" w:eastAsia="Times New Roman" w:hAnsi="Arial" w:cs="Arial"/>
          <w:b/>
        </w:rPr>
        <w:t>must be completed and approved prior to undertaking any research activity.</w:t>
      </w:r>
      <w:r w:rsidRPr="009F7571">
        <w:rPr>
          <w:rFonts w:ascii="Arial" w:eastAsia="Times New Roman" w:hAnsi="Arial" w:cs="Arial"/>
        </w:rPr>
        <w:t xml:space="preserve"> Please see Checklist for details of process for different categories of application.  </w:t>
      </w:r>
    </w:p>
    <w:p w14:paraId="4B103F52"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495A1A69"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20B3FE0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A: About You (Principal Researcher)</w:t>
      </w:r>
    </w:p>
    <w:p w14:paraId="3424D16C" w14:textId="77777777" w:rsidR="009F7571" w:rsidRPr="009F7571" w:rsidRDefault="009F7571" w:rsidP="009F757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F7571" w:rsidRPr="009F7571" w14:paraId="6E75535A" w14:textId="77777777" w:rsidTr="009F7571">
        <w:trPr>
          <w:trHeight w:val="439"/>
        </w:trPr>
        <w:tc>
          <w:tcPr>
            <w:tcW w:w="3510" w:type="dxa"/>
            <w:gridSpan w:val="3"/>
            <w:shd w:val="clear" w:color="auto" w:fill="F2F2F2"/>
          </w:tcPr>
          <w:p w14:paraId="0382DA4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Full Name:</w:t>
            </w:r>
          </w:p>
        </w:tc>
        <w:tc>
          <w:tcPr>
            <w:tcW w:w="6379" w:type="dxa"/>
            <w:gridSpan w:val="4"/>
          </w:tcPr>
          <w:p w14:paraId="4DFC988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Nichola Farr</w:t>
            </w:r>
          </w:p>
        </w:tc>
      </w:tr>
      <w:tr w:rsidR="009F7571" w:rsidRPr="009F7571" w14:paraId="2808BB64" w14:textId="77777777" w:rsidTr="00DC521F">
        <w:tc>
          <w:tcPr>
            <w:tcW w:w="9889" w:type="dxa"/>
            <w:gridSpan w:val="7"/>
          </w:tcPr>
          <w:p w14:paraId="260BA6B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Tick all boxes which apply:</w:t>
            </w:r>
          </w:p>
        </w:tc>
      </w:tr>
      <w:tr w:rsidR="009F7571" w:rsidRPr="009F7571" w14:paraId="7563D8E2" w14:textId="77777777" w:rsidTr="009F7571">
        <w:trPr>
          <w:trHeight w:val="472"/>
        </w:trPr>
        <w:tc>
          <w:tcPr>
            <w:tcW w:w="1951" w:type="dxa"/>
            <w:shd w:val="clear" w:color="auto" w:fill="F2F2F2"/>
            <w:vAlign w:val="center"/>
          </w:tcPr>
          <w:p w14:paraId="7209A22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769F70AF"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1701" w:type="dxa"/>
            <w:gridSpan w:val="2"/>
            <w:shd w:val="clear" w:color="auto" w:fill="F2F2F2"/>
            <w:vAlign w:val="center"/>
          </w:tcPr>
          <w:p w14:paraId="5DB2EFC5"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34A53EB2"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3119" w:type="dxa"/>
            <w:shd w:val="clear" w:color="auto" w:fill="F2F2F2"/>
            <w:vAlign w:val="center"/>
          </w:tcPr>
          <w:p w14:paraId="4262FC3E"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6A73BE99"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1284461F" w14:textId="77777777" w:rsidR="009F7571" w:rsidRPr="009F7571" w:rsidRDefault="009F7571" w:rsidP="009F757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F7571" w:rsidRPr="009F7571" w14:paraId="065C995F" w14:textId="77777777" w:rsidTr="009F7571">
        <w:trPr>
          <w:cantSplit/>
          <w:trHeight w:val="334"/>
        </w:trPr>
        <w:tc>
          <w:tcPr>
            <w:tcW w:w="3510" w:type="dxa"/>
            <w:shd w:val="clear" w:color="auto" w:fill="F2F2F2"/>
          </w:tcPr>
          <w:p w14:paraId="7782DC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Faculty/School/Centre:</w:t>
            </w:r>
          </w:p>
        </w:tc>
        <w:tc>
          <w:tcPr>
            <w:tcW w:w="6379" w:type="dxa"/>
            <w:gridSpan w:val="3"/>
          </w:tcPr>
          <w:p w14:paraId="723F6D9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School of Business, University of Wales: Trinity Saint David</w:t>
            </w:r>
          </w:p>
        </w:tc>
      </w:tr>
      <w:tr w:rsidR="009F7571" w:rsidRPr="009F7571" w14:paraId="632801B3" w14:textId="77777777" w:rsidTr="009F7571">
        <w:trPr>
          <w:cantSplit/>
          <w:trHeight w:val="340"/>
        </w:trPr>
        <w:tc>
          <w:tcPr>
            <w:tcW w:w="3510" w:type="dxa"/>
            <w:shd w:val="clear" w:color="auto" w:fill="F2F2F2"/>
          </w:tcPr>
          <w:p w14:paraId="29747EB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Campus:</w:t>
            </w:r>
          </w:p>
        </w:tc>
        <w:tc>
          <w:tcPr>
            <w:tcW w:w="6379" w:type="dxa"/>
            <w:gridSpan w:val="3"/>
          </w:tcPr>
          <w:p w14:paraId="752D3A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Carmarthen</w:t>
            </w:r>
          </w:p>
        </w:tc>
      </w:tr>
      <w:tr w:rsidR="009F7571" w:rsidRPr="009F7571" w14:paraId="1D9354FB" w14:textId="77777777" w:rsidTr="009F7571">
        <w:trPr>
          <w:cantSplit/>
          <w:trHeight w:val="340"/>
        </w:trPr>
        <w:tc>
          <w:tcPr>
            <w:tcW w:w="3510" w:type="dxa"/>
            <w:shd w:val="clear" w:color="auto" w:fill="F2F2F2"/>
          </w:tcPr>
          <w:p w14:paraId="10D62B9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E-mail address:</w:t>
            </w:r>
          </w:p>
        </w:tc>
        <w:tc>
          <w:tcPr>
            <w:tcW w:w="6379" w:type="dxa"/>
            <w:gridSpan w:val="3"/>
          </w:tcPr>
          <w:p w14:paraId="0352E12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1906931@student.uwtsd.ac.uk</w:t>
            </w:r>
          </w:p>
        </w:tc>
      </w:tr>
      <w:tr w:rsidR="009F7571" w:rsidRPr="009F7571" w14:paraId="7CDA33B8" w14:textId="77777777" w:rsidTr="009F7571">
        <w:trPr>
          <w:cantSplit/>
          <w:trHeight w:val="340"/>
        </w:trPr>
        <w:tc>
          <w:tcPr>
            <w:tcW w:w="3510" w:type="dxa"/>
            <w:shd w:val="clear" w:color="auto" w:fill="F2F2F2"/>
          </w:tcPr>
          <w:p w14:paraId="382FD82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Contact Telephone Number:</w:t>
            </w:r>
          </w:p>
        </w:tc>
        <w:tc>
          <w:tcPr>
            <w:tcW w:w="6379" w:type="dxa"/>
            <w:gridSpan w:val="3"/>
          </w:tcPr>
          <w:p w14:paraId="1E8559F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07805 031687</w:t>
            </w:r>
          </w:p>
        </w:tc>
      </w:tr>
      <w:tr w:rsidR="009F7571" w:rsidRPr="009F7571" w14:paraId="2B9CA46A" w14:textId="77777777" w:rsidTr="00DC521F">
        <w:tc>
          <w:tcPr>
            <w:tcW w:w="9889" w:type="dxa"/>
            <w:gridSpan w:val="4"/>
          </w:tcPr>
          <w:p w14:paraId="59FF20D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i/>
              </w:rPr>
              <w:t>For students:</w:t>
            </w:r>
          </w:p>
        </w:tc>
      </w:tr>
      <w:tr w:rsidR="009F7571" w:rsidRPr="009F7571" w14:paraId="244F274A" w14:textId="77777777" w:rsidTr="009F7571">
        <w:trPr>
          <w:trHeight w:val="513"/>
        </w:trPr>
        <w:tc>
          <w:tcPr>
            <w:tcW w:w="3510" w:type="dxa"/>
            <w:shd w:val="clear" w:color="auto" w:fill="F2F2F2"/>
            <w:vAlign w:val="center"/>
          </w:tcPr>
          <w:p w14:paraId="335C40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Student Number:</w:t>
            </w:r>
          </w:p>
        </w:tc>
        <w:tc>
          <w:tcPr>
            <w:tcW w:w="3969" w:type="dxa"/>
            <w:vAlign w:val="center"/>
          </w:tcPr>
          <w:p w14:paraId="7513741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w:t>
            </w:r>
          </w:p>
        </w:tc>
        <w:tc>
          <w:tcPr>
            <w:tcW w:w="1701" w:type="dxa"/>
            <w:vAlign w:val="center"/>
          </w:tcPr>
          <w:p w14:paraId="0658957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0F6B5957"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342914F8" w14:textId="77777777" w:rsidTr="009F7571">
        <w:trPr>
          <w:trHeight w:val="549"/>
        </w:trPr>
        <w:tc>
          <w:tcPr>
            <w:tcW w:w="3510" w:type="dxa"/>
            <w:shd w:val="clear" w:color="auto" w:fill="F2F2F2"/>
            <w:vAlign w:val="center"/>
          </w:tcPr>
          <w:p w14:paraId="0BA2FCB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Programme of Study:</w:t>
            </w:r>
          </w:p>
        </w:tc>
        <w:tc>
          <w:tcPr>
            <w:tcW w:w="3969" w:type="dxa"/>
            <w:vAlign w:val="center"/>
          </w:tcPr>
          <w:p w14:paraId="06C54F6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Master of Business Administration</w:t>
            </w:r>
          </w:p>
        </w:tc>
        <w:tc>
          <w:tcPr>
            <w:tcW w:w="1701" w:type="dxa"/>
            <w:vAlign w:val="center"/>
          </w:tcPr>
          <w:p w14:paraId="5A84A764"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Content>
            <w:tc>
              <w:tcPr>
                <w:tcW w:w="709" w:type="dxa"/>
                <w:shd w:val="clear" w:color="auto" w:fill="BFBFBF"/>
                <w:vAlign w:val="center"/>
              </w:tcPr>
              <w:p w14:paraId="2E169A45"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4770930" w14:textId="77777777" w:rsidTr="009F7571">
        <w:trPr>
          <w:trHeight w:val="557"/>
        </w:trPr>
        <w:tc>
          <w:tcPr>
            <w:tcW w:w="3510" w:type="dxa"/>
            <w:shd w:val="clear" w:color="auto" w:fill="F2F2F2"/>
            <w:vAlign w:val="center"/>
          </w:tcPr>
          <w:p w14:paraId="2716480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Director of Studies/Supervisor:</w:t>
            </w:r>
          </w:p>
        </w:tc>
        <w:tc>
          <w:tcPr>
            <w:tcW w:w="3969" w:type="dxa"/>
            <w:vAlign w:val="center"/>
          </w:tcPr>
          <w:p w14:paraId="1CD54D5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Anthony Burns</w:t>
            </w:r>
          </w:p>
        </w:tc>
        <w:tc>
          <w:tcPr>
            <w:tcW w:w="1701" w:type="dxa"/>
            <w:vAlign w:val="center"/>
          </w:tcPr>
          <w:p w14:paraId="3E05E46B"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0318AB7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45A8542D" w14:textId="77777777" w:rsidR="009F7571" w:rsidRPr="009F7571" w:rsidRDefault="009F7571" w:rsidP="009F7571">
      <w:pPr>
        <w:spacing w:after="0" w:line="240" w:lineRule="auto"/>
        <w:rPr>
          <w:rFonts w:ascii="Arial" w:eastAsia="Times New Roman" w:hAnsi="Arial" w:cs="Arial"/>
          <w:bCs/>
          <w:iCs/>
          <w:sz w:val="20"/>
          <w:szCs w:val="20"/>
        </w:rPr>
      </w:pPr>
    </w:p>
    <w:p w14:paraId="65B215B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B: Approval for Research Activity</w:t>
      </w:r>
    </w:p>
    <w:p w14:paraId="7BF8FA3A"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9F7571" w:rsidRPr="009F7571" w14:paraId="60B80EE7" w14:textId="77777777" w:rsidTr="009F7571">
        <w:tc>
          <w:tcPr>
            <w:tcW w:w="7508" w:type="dxa"/>
            <w:gridSpan w:val="2"/>
            <w:shd w:val="clear" w:color="auto" w:fill="F2F2F2"/>
            <w:vAlign w:val="center"/>
          </w:tcPr>
          <w:p w14:paraId="19A48BF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the research activity received approval in principle?</w:t>
            </w:r>
          </w:p>
          <w:p w14:paraId="589A57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40F28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sdt>
          <w:sdtPr>
            <w:rPr>
              <w:rFonts w:ascii="Arial" w:eastAsia="Times New Roman"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447F3D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567" w:type="dxa"/>
            <w:shd w:val="clear" w:color="auto" w:fill="F2F2F2"/>
            <w:vAlign w:val="center"/>
          </w:tcPr>
          <w:p w14:paraId="60628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sdt>
          <w:sdtPr>
            <w:rPr>
              <w:rFonts w:ascii="Arial" w:eastAsia="Times New Roman"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3F9C0D5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7DB8ACD" w14:textId="77777777" w:rsidTr="00DC521F">
        <w:tc>
          <w:tcPr>
            <w:tcW w:w="8784" w:type="dxa"/>
            <w:gridSpan w:val="4"/>
          </w:tcPr>
          <w:p w14:paraId="1020A763" w14:textId="77777777" w:rsidR="009F7571" w:rsidRPr="009F7571" w:rsidRDefault="009F7571" w:rsidP="009F7571">
            <w:pPr>
              <w:autoSpaceDE w:val="0"/>
              <w:autoSpaceDN w:val="0"/>
              <w:adjustRightInd w:val="0"/>
              <w:spacing w:after="0" w:line="240" w:lineRule="auto"/>
              <w:jc w:val="right"/>
              <w:rPr>
                <w:rFonts w:ascii="Arial" w:eastAsia="Times New Roman" w:hAnsi="Arial" w:cs="Arial"/>
                <w:b/>
                <w:bCs/>
              </w:rPr>
            </w:pPr>
            <w:r w:rsidRPr="009F7571">
              <w:rPr>
                <w:rFonts w:ascii="Arial" w:eastAsia="Times New Roman" w:hAnsi="Arial" w:cs="Arial"/>
                <w:b/>
                <w:bCs/>
              </w:rPr>
              <w:t xml:space="preserve">     </w:t>
            </w:r>
          </w:p>
        </w:tc>
        <w:tc>
          <w:tcPr>
            <w:tcW w:w="1134" w:type="dxa"/>
            <w:gridSpan w:val="2"/>
          </w:tcPr>
          <w:p w14:paraId="4FC230E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Arial" w:eastAsia="Times New Roman" w:hAnsi="Arial" w:cs="Arial"/>
                <w:b/>
                <w:bCs/>
                <w:i/>
              </w:rPr>
              <w:t>Date</w:t>
            </w:r>
          </w:p>
        </w:tc>
      </w:tr>
      <w:tr w:rsidR="009F7571" w:rsidRPr="009F7571" w14:paraId="609219E9" w14:textId="77777777" w:rsidTr="009F7571">
        <w:trPr>
          <w:trHeight w:val="437"/>
        </w:trPr>
        <w:tc>
          <w:tcPr>
            <w:tcW w:w="3693" w:type="dxa"/>
            <w:vMerge w:val="restart"/>
            <w:shd w:val="clear" w:color="auto" w:fill="F2F2F2"/>
          </w:tcPr>
          <w:p w14:paraId="6C68B5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If Yes, please indicate source of approval (and date where known):</w:t>
            </w:r>
          </w:p>
        </w:tc>
        <w:tc>
          <w:tcPr>
            <w:tcW w:w="4524" w:type="dxa"/>
            <w:gridSpan w:val="2"/>
            <w:shd w:val="clear" w:color="auto" w:fill="F2F2F2"/>
            <w:vAlign w:val="center"/>
          </w:tcPr>
          <w:p w14:paraId="0810D0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08130BB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5DB414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081DB9B3" w14:textId="77777777" w:rsidTr="009F7571">
        <w:trPr>
          <w:trHeight w:val="415"/>
        </w:trPr>
        <w:tc>
          <w:tcPr>
            <w:tcW w:w="3693" w:type="dxa"/>
            <w:vMerge/>
            <w:shd w:val="clear" w:color="auto" w:fill="F2F2F2"/>
          </w:tcPr>
          <w:p w14:paraId="5FF8EA7E"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6B48BE5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Faculty Research Committee</w:t>
            </w:r>
          </w:p>
        </w:tc>
        <w:sdt>
          <w:sdtPr>
            <w:rPr>
              <w:rFonts w:ascii="Arial" w:eastAsia="Times New Roman"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60BBC0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1DD179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784D1F29" w14:textId="77777777" w:rsidTr="009F7571">
        <w:tc>
          <w:tcPr>
            <w:tcW w:w="3693" w:type="dxa"/>
            <w:vMerge/>
            <w:shd w:val="clear" w:color="auto" w:fill="F2F2F2"/>
          </w:tcPr>
          <w:p w14:paraId="7769B08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2CA7686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(write in)</w:t>
            </w:r>
          </w:p>
          <w:p w14:paraId="2D5D9E2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Anthony Burns – dissertation supervisor</w:t>
            </w:r>
          </w:p>
        </w:tc>
        <w:sdt>
          <w:sdtPr>
            <w:rPr>
              <w:rFonts w:ascii="Arial" w:eastAsia="Times New Roman"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7B87EF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28FC762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18.03.22</w:t>
            </w:r>
          </w:p>
        </w:tc>
      </w:tr>
    </w:tbl>
    <w:p w14:paraId="41B1712A" w14:textId="77777777" w:rsidR="009F7571" w:rsidRPr="009F7571" w:rsidRDefault="009F7571" w:rsidP="009F7571">
      <w:pPr>
        <w:spacing w:after="0" w:line="240" w:lineRule="auto"/>
        <w:rPr>
          <w:rFonts w:ascii="Arial" w:eastAsia="Times New Roman" w:hAnsi="Arial" w:cs="Arial"/>
          <w:bCs/>
          <w:iCs/>
          <w:sz w:val="20"/>
          <w:szCs w:val="20"/>
        </w:rPr>
      </w:pPr>
      <w:r w:rsidRPr="009F7571">
        <w:rPr>
          <w:rFonts w:ascii="Arial" w:eastAsia="Times New Roman" w:hAnsi="Arial" w:cs="Arial"/>
          <w:bCs/>
          <w:iCs/>
          <w:sz w:val="20"/>
          <w:szCs w:val="20"/>
        </w:rPr>
        <w:t xml:space="preserve">Approval in principle </w:t>
      </w:r>
      <w:r w:rsidRPr="009F7571">
        <w:rPr>
          <w:rFonts w:ascii="Arial" w:eastAsia="Times New Roman" w:hAnsi="Arial" w:cs="Arial"/>
          <w:b/>
          <w:bCs/>
          <w:iCs/>
          <w:sz w:val="20"/>
          <w:szCs w:val="20"/>
        </w:rPr>
        <w:t>must</w:t>
      </w:r>
      <w:r w:rsidRPr="009F7571">
        <w:rPr>
          <w:rFonts w:ascii="Arial" w:eastAsia="Times New Roman" w:hAnsi="Arial" w:cs="Arial"/>
          <w:bCs/>
          <w:iCs/>
          <w:sz w:val="20"/>
          <w:szCs w:val="20"/>
        </w:rPr>
        <w:t xml:space="preserve"> be obtained from the relevant source prior to seeking ethical approval.</w:t>
      </w:r>
    </w:p>
    <w:p w14:paraId="4F4F291B" w14:textId="77777777" w:rsidR="009F7571" w:rsidRPr="009F7571" w:rsidRDefault="009F7571" w:rsidP="009F7571">
      <w:pPr>
        <w:spacing w:after="0" w:line="240" w:lineRule="auto"/>
        <w:rPr>
          <w:rFonts w:ascii="Arial" w:eastAsia="Times New Roman" w:hAnsi="Arial" w:cs="Arial"/>
          <w:bCs/>
          <w:iCs/>
          <w:sz w:val="20"/>
          <w:szCs w:val="20"/>
        </w:rPr>
      </w:pPr>
    </w:p>
    <w:p w14:paraId="2AE8CA4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C:  External Ethical Guidance Materials</w:t>
      </w:r>
    </w:p>
    <w:p w14:paraId="3FA4B4A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9F7571" w:rsidRPr="009F7571" w14:paraId="495F4FD4" w14:textId="77777777" w:rsidTr="009F7571">
        <w:tc>
          <w:tcPr>
            <w:tcW w:w="9628" w:type="dxa"/>
            <w:gridSpan w:val="2"/>
            <w:shd w:val="clear" w:color="auto" w:fill="F2F2F2"/>
          </w:tcPr>
          <w:p w14:paraId="2CB225C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F7571" w:rsidRPr="009F7571" w14:paraId="2A0BF1B0" w14:textId="77777777" w:rsidTr="009F7571">
        <w:trPr>
          <w:trHeight w:val="144"/>
        </w:trPr>
        <w:tc>
          <w:tcPr>
            <w:tcW w:w="8784" w:type="dxa"/>
          </w:tcPr>
          <w:p w14:paraId="68865560"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Ethics &amp; Integrity Code of Practice (UWTSD)</w:t>
            </w:r>
          </w:p>
        </w:tc>
        <w:sdt>
          <w:sdtPr>
            <w:rPr>
              <w:rFonts w:ascii="Arial" w:eastAsia="Times New Roman"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04862A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r>
      <w:tr w:rsidR="009F7571" w:rsidRPr="009F7571" w14:paraId="4E72D95A" w14:textId="77777777" w:rsidTr="009F7571">
        <w:trPr>
          <w:trHeight w:val="144"/>
        </w:trPr>
        <w:tc>
          <w:tcPr>
            <w:tcW w:w="8784" w:type="dxa"/>
          </w:tcPr>
          <w:p w14:paraId="2743A669"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Data Management Policy (UWTSD)</w:t>
            </w:r>
          </w:p>
        </w:tc>
        <w:tc>
          <w:tcPr>
            <w:tcW w:w="844" w:type="dxa"/>
            <w:shd w:val="clear" w:color="auto" w:fill="BFBFBF"/>
          </w:tcPr>
          <w:sdt>
            <w:sdtPr>
              <w:rPr>
                <w:rFonts w:ascii="Arial" w:eastAsia="Times New Roman" w:hAnsi="Arial" w:cs="Arial"/>
                <w:b/>
                <w:bCs/>
                <w:i/>
              </w:rPr>
              <w:id w:val="-2040961117"/>
              <w14:checkbox>
                <w14:checked w14:val="1"/>
                <w14:checkedState w14:val="2612" w14:font="MS Gothic"/>
                <w14:uncheckedState w14:val="2610" w14:font="MS Gothic"/>
              </w14:checkbox>
            </w:sdtPr>
            <w:sdtContent>
              <w:p w14:paraId="6953C9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r w:rsidR="009F7571" w:rsidRPr="009F7571" w14:paraId="72C637A6" w14:textId="77777777" w:rsidTr="009F7571">
        <w:trPr>
          <w:trHeight w:val="144"/>
        </w:trPr>
        <w:tc>
          <w:tcPr>
            <w:tcW w:w="8784" w:type="dxa"/>
          </w:tcPr>
          <w:p w14:paraId="27093DE5"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p>
        </w:tc>
        <w:tc>
          <w:tcPr>
            <w:tcW w:w="844" w:type="dxa"/>
            <w:shd w:val="clear" w:color="auto" w:fill="BFBFBF"/>
          </w:tcPr>
          <w:sdt>
            <w:sdtPr>
              <w:rPr>
                <w:rFonts w:ascii="Arial" w:eastAsia="Times New Roman" w:hAnsi="Arial" w:cs="Arial"/>
                <w:b/>
                <w:bCs/>
                <w:i/>
              </w:rPr>
              <w:id w:val="1178089498"/>
              <w14:checkbox>
                <w14:checked w14:val="0"/>
                <w14:checkedState w14:val="2612" w14:font="MS Gothic"/>
                <w14:uncheckedState w14:val="2610" w14:font="MS Gothic"/>
              </w14:checkbox>
            </w:sdtPr>
            <w:sdtContent>
              <w:p w14:paraId="289838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bl>
    <w:p w14:paraId="3951DEF4"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4E3160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66D0C6C9"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D: External Collaborative Research Activity</w:t>
      </w:r>
    </w:p>
    <w:p w14:paraId="7266E85B"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9F7571" w:rsidRPr="009F7571" w14:paraId="61EB55C2" w14:textId="77777777" w:rsidTr="009F7571">
        <w:tc>
          <w:tcPr>
            <w:tcW w:w="6164" w:type="dxa"/>
            <w:gridSpan w:val="2"/>
            <w:shd w:val="clear" w:color="auto" w:fill="F2F2F2"/>
          </w:tcPr>
          <w:p w14:paraId="70ECD501"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Does the research activity involve collaborators outside of the University?</w:t>
            </w:r>
          </w:p>
        </w:tc>
        <w:tc>
          <w:tcPr>
            <w:tcW w:w="981" w:type="dxa"/>
            <w:shd w:val="clear" w:color="auto" w:fill="F2F2F2"/>
            <w:vAlign w:val="center"/>
          </w:tcPr>
          <w:p w14:paraId="48B481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tc>
          <w:tcPr>
            <w:tcW w:w="975" w:type="dxa"/>
            <w:shd w:val="clear" w:color="auto" w:fill="BFBFBF"/>
            <w:vAlign w:val="center"/>
          </w:tcPr>
          <w:sdt>
            <w:sdtPr>
              <w:rPr>
                <w:rFonts w:ascii="Arial" w:eastAsia="Times New Roman" w:hAnsi="Arial" w:cs="Arial"/>
              </w:rPr>
              <w:id w:val="1804497617"/>
              <w14:checkbox>
                <w14:checked w14:val="0"/>
                <w14:checkedState w14:val="2612" w14:font="MS Gothic"/>
                <w14:uncheckedState w14:val="2610" w14:font="MS Gothic"/>
              </w14:checkbox>
            </w:sdtPr>
            <w:sdtContent>
              <w:p w14:paraId="4FDBA1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703" w:type="dxa"/>
            <w:shd w:val="clear" w:color="auto" w:fill="F2F2F2"/>
            <w:vAlign w:val="center"/>
          </w:tcPr>
          <w:p w14:paraId="37D9D3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tc>
          <w:tcPr>
            <w:tcW w:w="953" w:type="dxa"/>
            <w:shd w:val="clear" w:color="auto" w:fill="BFBFBF"/>
            <w:vAlign w:val="center"/>
          </w:tcPr>
          <w:sdt>
            <w:sdtPr>
              <w:rPr>
                <w:rFonts w:ascii="Arial" w:eastAsia="Times New Roman" w:hAnsi="Arial" w:cs="Arial"/>
              </w:rPr>
              <w:id w:val="1016347612"/>
              <w14:checkbox>
                <w14:checked w14:val="1"/>
                <w14:checkedState w14:val="2612" w14:font="MS Gothic"/>
                <w14:uncheckedState w14:val="2610" w14:font="MS Gothic"/>
              </w14:checkbox>
            </w:sdtPr>
            <w:sdtContent>
              <w:p w14:paraId="3A8D831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E43C19C" w14:textId="77777777" w:rsidTr="00DC521F">
        <w:tc>
          <w:tcPr>
            <w:tcW w:w="9776" w:type="dxa"/>
            <w:gridSpan w:val="6"/>
          </w:tcPr>
          <w:p w14:paraId="1C45E11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p w14:paraId="3FD94BF5" w14:textId="77777777" w:rsidR="009F7571" w:rsidRPr="009F7571" w:rsidRDefault="009F7571" w:rsidP="009F7571">
            <w:pPr>
              <w:autoSpaceDE w:val="0"/>
              <w:autoSpaceDN w:val="0"/>
              <w:adjustRightInd w:val="0"/>
              <w:spacing w:after="0" w:line="240" w:lineRule="auto"/>
              <w:rPr>
                <w:rFonts w:ascii="Arial" w:eastAsia="Times New Roman" w:hAnsi="Arial" w:cs="Arial"/>
                <w:b/>
                <w:bCs/>
                <w:i/>
              </w:rPr>
            </w:pPr>
            <w:r w:rsidRPr="009F7571">
              <w:rPr>
                <w:rFonts w:ascii="Arial" w:eastAsia="Times New Roman" w:hAnsi="Arial" w:cs="Arial"/>
              </w:rPr>
              <w:t>If Yes, please provide the name of the external organisation and name and contact details for the main contact person:</w:t>
            </w:r>
          </w:p>
        </w:tc>
      </w:tr>
      <w:tr w:rsidR="009F7571" w:rsidRPr="009F7571" w14:paraId="1445844C" w14:textId="77777777" w:rsidTr="009F7571">
        <w:tc>
          <w:tcPr>
            <w:tcW w:w="3431" w:type="dxa"/>
            <w:shd w:val="clear" w:color="auto" w:fill="F2F2F2"/>
          </w:tcPr>
          <w:p w14:paraId="58673BB6"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Institution</w:t>
            </w:r>
          </w:p>
        </w:tc>
        <w:tc>
          <w:tcPr>
            <w:tcW w:w="6345" w:type="dxa"/>
            <w:gridSpan w:val="5"/>
          </w:tcPr>
          <w:p w14:paraId="0B6A9E3F"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6B2336FD" w14:textId="77777777" w:rsidTr="009F7571">
        <w:tc>
          <w:tcPr>
            <w:tcW w:w="3431" w:type="dxa"/>
            <w:shd w:val="clear" w:color="auto" w:fill="F2F2F2"/>
          </w:tcPr>
          <w:p w14:paraId="49F10DE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name</w:t>
            </w:r>
          </w:p>
        </w:tc>
        <w:tc>
          <w:tcPr>
            <w:tcW w:w="6345" w:type="dxa"/>
            <w:gridSpan w:val="5"/>
          </w:tcPr>
          <w:p w14:paraId="3FB057C0"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33CF0E8F" w14:textId="77777777" w:rsidTr="009F7571">
        <w:tc>
          <w:tcPr>
            <w:tcW w:w="3431" w:type="dxa"/>
            <w:shd w:val="clear" w:color="auto" w:fill="F2F2F2"/>
          </w:tcPr>
          <w:p w14:paraId="41018A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e-mail address</w:t>
            </w:r>
          </w:p>
        </w:tc>
        <w:tc>
          <w:tcPr>
            <w:tcW w:w="6345" w:type="dxa"/>
            <w:gridSpan w:val="5"/>
          </w:tcPr>
          <w:p w14:paraId="73342DD4"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bl>
    <w:p w14:paraId="296E5732" w14:textId="77777777" w:rsidR="009F7571" w:rsidRPr="009F7571" w:rsidRDefault="009F7571" w:rsidP="009F7571">
      <w:pPr>
        <w:spacing w:after="0" w:line="240" w:lineRule="auto"/>
        <w:rPr>
          <w:rFonts w:ascii="Arial" w:eastAsia="Times New Roman" w:hAnsi="Arial" w:cs="Arial"/>
          <w:bCs/>
          <w:iCs/>
          <w:sz w:val="16"/>
          <w:szCs w:val="16"/>
        </w:rPr>
      </w:pPr>
    </w:p>
    <w:p w14:paraId="0913EB70" w14:textId="77777777" w:rsidR="009F7571" w:rsidRPr="009F7571" w:rsidRDefault="009F7571" w:rsidP="009F7571">
      <w:pPr>
        <w:spacing w:after="0" w:line="240" w:lineRule="auto"/>
        <w:rPr>
          <w:rFonts w:ascii="Arial" w:eastAsia="Times New Roman" w:hAnsi="Arial" w:cs="Arial"/>
          <w:b/>
          <w:bCs/>
          <w:iCs/>
        </w:rPr>
      </w:pPr>
      <w:r w:rsidRPr="009F7571">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9F7571" w:rsidRPr="009F7571" w14:paraId="43FE3C0A" w14:textId="77777777" w:rsidTr="009F7571">
        <w:trPr>
          <w:trHeight w:val="507"/>
        </w:trPr>
        <w:tc>
          <w:tcPr>
            <w:tcW w:w="6164" w:type="dxa"/>
            <w:shd w:val="clear" w:color="auto" w:fill="F2F2F2"/>
            <w:vAlign w:val="center"/>
          </w:tcPr>
          <w:p w14:paraId="5C3BEC18"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r w:rsidRPr="009F7571">
              <w:rPr>
                <w:rFonts w:ascii="Arial" w:eastAsia="Times New Roman" w:hAnsi="Arial" w:cs="Arial"/>
                <w:bCs/>
              </w:rPr>
              <w:t>Does this organisation have its own ethics approval system?</w:t>
            </w:r>
          </w:p>
        </w:tc>
        <w:tc>
          <w:tcPr>
            <w:tcW w:w="981" w:type="dxa"/>
            <w:shd w:val="clear" w:color="auto" w:fill="F2F2F2"/>
            <w:vAlign w:val="center"/>
          </w:tcPr>
          <w:p w14:paraId="01DD4E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YES</w:t>
            </w:r>
          </w:p>
        </w:tc>
        <w:tc>
          <w:tcPr>
            <w:tcW w:w="975" w:type="dxa"/>
            <w:shd w:val="clear" w:color="auto" w:fill="BFBF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Content>
              <w:p w14:paraId="22211E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06" w:type="dxa"/>
            <w:shd w:val="clear" w:color="auto" w:fill="F2F2F2"/>
            <w:vAlign w:val="center"/>
          </w:tcPr>
          <w:p w14:paraId="6B8E21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NO</w:t>
            </w:r>
          </w:p>
        </w:tc>
        <w:tc>
          <w:tcPr>
            <w:tcW w:w="850" w:type="dxa"/>
            <w:shd w:val="clear" w:color="auto" w:fill="BFBFBF"/>
            <w:vAlign w:val="center"/>
          </w:tcPr>
          <w:sdt>
            <w:sdtPr>
              <w:rPr>
                <w:rFonts w:ascii="Arial" w:eastAsia="Times New Roman" w:hAnsi="Arial" w:cs="Arial"/>
                <w:bCs/>
              </w:rPr>
              <w:id w:val="-711570112"/>
              <w14:checkbox>
                <w14:checked w14:val="1"/>
                <w14:checkedState w14:val="2612" w14:font="MS Gothic"/>
                <w14:uncheckedState w14:val="2610" w14:font="MS Gothic"/>
              </w14:checkbox>
            </w:sdtPr>
            <w:sdtContent>
              <w:p w14:paraId="469E5A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AD5F4B8" w14:textId="77777777" w:rsidTr="00DC521F">
        <w:tc>
          <w:tcPr>
            <w:tcW w:w="9776" w:type="dxa"/>
            <w:gridSpan w:val="5"/>
          </w:tcPr>
          <w:p w14:paraId="0B522EB1"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bCs/>
              </w:rPr>
              <w:t>If Yes, please attach a copy of any final approval (or interim approval) from the organisation</w:t>
            </w:r>
          </w:p>
        </w:tc>
      </w:tr>
    </w:tbl>
    <w:p w14:paraId="2D1A2E6E" w14:textId="77777777" w:rsidR="009F7571" w:rsidRPr="009F7571" w:rsidRDefault="009F7571" w:rsidP="009F7571">
      <w:pPr>
        <w:spacing w:after="0" w:line="240" w:lineRule="auto"/>
        <w:rPr>
          <w:rFonts w:ascii="Arial" w:eastAsia="Times New Roman" w:hAnsi="Arial" w:cs="Arial"/>
          <w:bCs/>
          <w:iCs/>
          <w:sz w:val="20"/>
          <w:szCs w:val="20"/>
        </w:rPr>
      </w:pPr>
    </w:p>
    <w:p w14:paraId="607407E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5E600FD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bookmarkStart w:id="83" w:name="_Hlk99444766"/>
      <w:r w:rsidRPr="009F7571">
        <w:rPr>
          <w:rFonts w:ascii="Arial" w:eastAsia="Times New Roman" w:hAnsi="Arial" w:cs="Arial"/>
          <w:b/>
        </w:rPr>
        <w:t>SECTION E: Details of Research Activity</w:t>
      </w:r>
    </w:p>
    <w:bookmarkEnd w:id="83"/>
    <w:p w14:paraId="264DA785" w14:textId="77777777" w:rsidR="009F7571" w:rsidRPr="009F7571" w:rsidRDefault="009F7571" w:rsidP="009F757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F7571" w:rsidRPr="009F7571" w14:paraId="3F05D6A8" w14:textId="77777777" w:rsidTr="009F7571">
        <w:trPr>
          <w:trHeight w:val="454"/>
        </w:trPr>
        <w:tc>
          <w:tcPr>
            <w:tcW w:w="1286" w:type="pct"/>
            <w:shd w:val="clear" w:color="auto" w:fill="F2F2F2"/>
            <w:vAlign w:val="center"/>
          </w:tcPr>
          <w:p w14:paraId="0C205410"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Indicative title:</w:t>
            </w:r>
          </w:p>
        </w:tc>
        <w:tc>
          <w:tcPr>
            <w:tcW w:w="3714" w:type="pct"/>
            <w:gridSpan w:val="3"/>
            <w:vAlign w:val="center"/>
          </w:tcPr>
          <w:p w14:paraId="4F45ACD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Income generation in Libraries, Museums and Archives: developing a strategy for StoriPowys</w:t>
            </w:r>
          </w:p>
        </w:tc>
      </w:tr>
      <w:tr w:rsidR="009F7571" w:rsidRPr="009F7571" w14:paraId="29B9A4C0" w14:textId="77777777" w:rsidTr="009F7571">
        <w:trPr>
          <w:trHeight w:val="454"/>
        </w:trPr>
        <w:tc>
          <w:tcPr>
            <w:tcW w:w="1286" w:type="pct"/>
            <w:shd w:val="clear" w:color="auto" w:fill="F2F2F2"/>
            <w:vAlign w:val="center"/>
          </w:tcPr>
          <w:p w14:paraId="5E08B73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start date:</w:t>
            </w:r>
          </w:p>
        </w:tc>
        <w:tc>
          <w:tcPr>
            <w:tcW w:w="1262" w:type="pct"/>
            <w:vAlign w:val="center"/>
          </w:tcPr>
          <w:p w14:paraId="0F6A4839"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May 2022</w:t>
            </w:r>
          </w:p>
        </w:tc>
        <w:tc>
          <w:tcPr>
            <w:tcW w:w="1262" w:type="pct"/>
            <w:shd w:val="clear" w:color="auto" w:fill="F2F2F2"/>
            <w:vAlign w:val="center"/>
          </w:tcPr>
          <w:p w14:paraId="7B617A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end date:</w:t>
            </w:r>
          </w:p>
        </w:tc>
        <w:tc>
          <w:tcPr>
            <w:tcW w:w="1190" w:type="pct"/>
            <w:vAlign w:val="center"/>
          </w:tcPr>
          <w:p w14:paraId="65B3470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June 2022</w:t>
            </w:r>
          </w:p>
        </w:tc>
      </w:tr>
      <w:tr w:rsidR="009F7571" w:rsidRPr="009F7571" w14:paraId="155CD51A" w14:textId="77777777" w:rsidTr="009F7571">
        <w:trPr>
          <w:trHeight w:val="454"/>
        </w:trPr>
        <w:tc>
          <w:tcPr>
            <w:tcW w:w="5000" w:type="pct"/>
            <w:gridSpan w:val="4"/>
            <w:shd w:val="clear" w:color="auto" w:fill="F2F2F2"/>
            <w:vAlign w:val="center"/>
          </w:tcPr>
          <w:p w14:paraId="51F22A3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Purpose of research activity (including aims and objectives)</w:t>
            </w:r>
          </w:p>
          <w:p w14:paraId="524AA9B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F7571" w:rsidRPr="009F7571" w14:paraId="649A04C0" w14:textId="77777777" w:rsidTr="00DC521F">
        <w:trPr>
          <w:trHeight w:val="454"/>
        </w:trPr>
        <w:tc>
          <w:tcPr>
            <w:tcW w:w="5000" w:type="pct"/>
            <w:gridSpan w:val="4"/>
            <w:vAlign w:val="center"/>
          </w:tcPr>
          <w:p w14:paraId="25680C3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 xml:space="preserve">The purpose of the research activity is to determine consumer opinion on the introduction of fundraising initiatives in Powys County Council’s cultural services (known as StoriPowys). </w:t>
            </w:r>
          </w:p>
          <w:p w14:paraId="23A904DA" w14:textId="77777777" w:rsidR="009F7571" w:rsidRPr="009F7571" w:rsidRDefault="009F7571" w:rsidP="009F7571">
            <w:pPr>
              <w:spacing w:after="0" w:line="240" w:lineRule="auto"/>
              <w:rPr>
                <w:rFonts w:ascii="Arial" w:eastAsia="Times New Roman" w:hAnsi="Arial" w:cs="Arial"/>
              </w:rPr>
            </w:pPr>
          </w:p>
          <w:p w14:paraId="262BF07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The aim is to investigate how income generating activities in the cultural sector can be used to develop an income generation strategy for Powys County Council’s cultural services</w:t>
            </w:r>
          </w:p>
          <w:p w14:paraId="7EB5EEAE" w14:textId="77777777" w:rsidR="009F7571" w:rsidRPr="009F7571" w:rsidRDefault="009F7571" w:rsidP="009F7571">
            <w:pPr>
              <w:spacing w:after="0" w:line="240" w:lineRule="auto"/>
              <w:rPr>
                <w:rFonts w:ascii="Arial" w:eastAsia="Times New Roman" w:hAnsi="Arial" w:cs="Arial"/>
              </w:rPr>
            </w:pPr>
          </w:p>
          <w:p w14:paraId="24929268"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Objectives are as follows:</w:t>
            </w:r>
          </w:p>
          <w:p w14:paraId="260769BD" w14:textId="77777777" w:rsidR="009F7571" w:rsidRPr="009F7571" w:rsidRDefault="009F7571" w:rsidP="009F7571">
            <w:pPr>
              <w:spacing w:after="0" w:line="240" w:lineRule="auto"/>
              <w:rPr>
                <w:rFonts w:ascii="Arial" w:eastAsia="Times New Roman" w:hAnsi="Arial" w:cs="Arial"/>
              </w:rPr>
            </w:pPr>
          </w:p>
          <w:p w14:paraId="057035DB"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critically review relevant literature surrounding income generation activities in cultural and non-profit sectors globally</w:t>
            </w:r>
          </w:p>
          <w:p w14:paraId="3CCEBCE5"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undertake user surveys and conduct semi-structured interviews with consumers to determine customer opinion on the potential implementation of income generating activities proven successful worldwide</w:t>
            </w:r>
          </w:p>
          <w:p w14:paraId="623168B8"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develop an income generation strategy for StoriPowys and roadmap for sustainability</w:t>
            </w:r>
          </w:p>
          <w:p w14:paraId="1C8B3848" w14:textId="77777777" w:rsidR="009F7571" w:rsidRPr="009F7571" w:rsidRDefault="009F7571" w:rsidP="009F7571">
            <w:pPr>
              <w:spacing w:after="0" w:line="240" w:lineRule="auto"/>
              <w:rPr>
                <w:rFonts w:ascii="Arial" w:eastAsia="Times New Roman" w:hAnsi="Arial" w:cs="Arial"/>
              </w:rPr>
            </w:pPr>
          </w:p>
          <w:p w14:paraId="23FAE90A" w14:textId="77777777" w:rsidR="009F7571" w:rsidRPr="009F7571" w:rsidRDefault="009F7571" w:rsidP="009F7571">
            <w:pPr>
              <w:spacing w:after="0" w:line="240" w:lineRule="auto"/>
              <w:rPr>
                <w:rFonts w:ascii="Arial" w:eastAsia="Times New Roman" w:hAnsi="Arial" w:cs="Arial"/>
              </w:rPr>
            </w:pPr>
          </w:p>
          <w:p w14:paraId="6BCAF807"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r w:rsidR="009F7571" w:rsidRPr="009F7571" w14:paraId="770864BF" w14:textId="77777777" w:rsidTr="009F7571">
        <w:trPr>
          <w:trHeight w:val="454"/>
        </w:trPr>
        <w:tc>
          <w:tcPr>
            <w:tcW w:w="5000" w:type="pct"/>
            <w:gridSpan w:val="4"/>
            <w:shd w:val="clear" w:color="auto" w:fill="F2F2F2"/>
            <w:vAlign w:val="center"/>
          </w:tcPr>
          <w:p w14:paraId="03B51C4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Proposed methods</w:t>
            </w:r>
          </w:p>
          <w:p w14:paraId="560ACA86" w14:textId="77777777" w:rsidR="009F7571" w:rsidRPr="009F7571" w:rsidRDefault="009F7571" w:rsidP="009F7571">
            <w:pPr>
              <w:spacing w:after="0" w:line="240" w:lineRule="auto"/>
              <w:rPr>
                <w:rFonts w:ascii="Arial" w:eastAsia="Times New Roman" w:hAnsi="Arial" w:cs="Arial"/>
              </w:rPr>
            </w:pPr>
            <w:bookmarkStart w:id="84" w:name="_Hlk99444778"/>
            <w:r w:rsidRPr="009F7571">
              <w:rPr>
                <w:rFonts w:ascii="Arial" w:eastAsia="Times New Roman" w:hAnsi="Arial" w:cs="Arial"/>
              </w:rPr>
              <w:t xml:space="preserve">Provide a brief summary of all the methods that </w:t>
            </w:r>
            <w:r w:rsidRPr="009F7571">
              <w:rPr>
                <w:rFonts w:ascii="Arial" w:eastAsia="Times New Roman" w:hAnsi="Arial" w:cs="Arial"/>
                <w:b/>
              </w:rPr>
              <w:t>may</w:t>
            </w:r>
            <w:r w:rsidRPr="009F757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bookmarkEnd w:id="84"/>
          </w:p>
        </w:tc>
      </w:tr>
      <w:tr w:rsidR="009F7571" w:rsidRPr="009F7571" w14:paraId="196CFD7C" w14:textId="77777777" w:rsidTr="00DC521F">
        <w:trPr>
          <w:trHeight w:val="454"/>
        </w:trPr>
        <w:tc>
          <w:tcPr>
            <w:tcW w:w="5000" w:type="pct"/>
            <w:gridSpan w:val="4"/>
            <w:vAlign w:val="center"/>
          </w:tcPr>
          <w:p w14:paraId="180DED13" w14:textId="77777777" w:rsidR="009F7571" w:rsidRPr="009F7571" w:rsidRDefault="009F7571" w:rsidP="009F7571">
            <w:pPr>
              <w:spacing w:after="0" w:line="240" w:lineRule="auto"/>
              <w:rPr>
                <w:rFonts w:ascii="Arial" w:eastAsia="Times New Roman" w:hAnsi="Arial" w:cs="Arial"/>
              </w:rPr>
            </w:pPr>
          </w:p>
          <w:p w14:paraId="694CA4C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Qualitative research will be undertaken by means of semi-structured interviews with consumers. It is anticipated that 10-15 interviews will be conducted, and each is expected to last approximately 20-30 minutes.</w:t>
            </w:r>
          </w:p>
          <w:p w14:paraId="3C5A4CF2" w14:textId="77777777" w:rsidR="009F7571" w:rsidRPr="009F7571" w:rsidRDefault="009F7571" w:rsidP="009F7571">
            <w:pPr>
              <w:spacing w:after="0" w:line="240" w:lineRule="auto"/>
              <w:rPr>
                <w:rFonts w:ascii="Arial" w:eastAsia="Times New Roman" w:hAnsi="Arial" w:cs="Arial"/>
              </w:rPr>
            </w:pPr>
          </w:p>
          <w:p w14:paraId="6F46B3E8" w14:textId="77777777" w:rsidR="009F7571" w:rsidRPr="009F7571" w:rsidRDefault="009F7571" w:rsidP="009F7571">
            <w:pPr>
              <w:spacing w:after="0" w:line="240" w:lineRule="auto"/>
              <w:rPr>
                <w:rFonts w:ascii="Arial" w:eastAsia="Times New Roman" w:hAnsi="Arial" w:cs="Arial"/>
              </w:rPr>
            </w:pPr>
          </w:p>
          <w:p w14:paraId="0670BCE0" w14:textId="77777777" w:rsidR="009F7571" w:rsidRPr="009F7571" w:rsidRDefault="009F7571" w:rsidP="009F7571">
            <w:pPr>
              <w:spacing w:after="0" w:line="240" w:lineRule="auto"/>
              <w:rPr>
                <w:rFonts w:ascii="Arial" w:eastAsia="Times New Roman" w:hAnsi="Arial" w:cs="Arial"/>
              </w:rPr>
            </w:pPr>
          </w:p>
          <w:p w14:paraId="2E0A9EF0" w14:textId="77777777" w:rsidR="009F7571" w:rsidRPr="009F7571" w:rsidRDefault="009F7571" w:rsidP="009F7571">
            <w:pPr>
              <w:spacing w:after="0" w:line="240" w:lineRule="auto"/>
              <w:rPr>
                <w:rFonts w:ascii="Arial" w:eastAsia="Times New Roman" w:hAnsi="Arial" w:cs="Arial"/>
              </w:rPr>
            </w:pPr>
          </w:p>
          <w:p w14:paraId="6880348D"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054545FB"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F7571" w:rsidRPr="009F7571" w14:paraId="1D0B6A93" w14:textId="77777777" w:rsidTr="009F7571">
        <w:trPr>
          <w:trHeight w:val="454"/>
        </w:trPr>
        <w:tc>
          <w:tcPr>
            <w:tcW w:w="5000" w:type="pct"/>
            <w:shd w:val="clear" w:color="auto" w:fill="F2F2F2"/>
            <w:vAlign w:val="center"/>
          </w:tcPr>
          <w:p w14:paraId="4D9A700C"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lastRenderedPageBreak/>
              <w:t>Location of research activity</w:t>
            </w:r>
          </w:p>
          <w:p w14:paraId="38C9493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Identify all locations where research activity will take place.</w:t>
            </w:r>
          </w:p>
        </w:tc>
      </w:tr>
      <w:tr w:rsidR="009F7571" w:rsidRPr="009F7571" w14:paraId="679CFF8E" w14:textId="77777777" w:rsidTr="00DC521F">
        <w:trPr>
          <w:trHeight w:val="454"/>
        </w:trPr>
        <w:tc>
          <w:tcPr>
            <w:tcW w:w="5000" w:type="pct"/>
            <w:vAlign w:val="center"/>
          </w:tcPr>
          <w:p w14:paraId="5A0452D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UK</w:t>
            </w:r>
          </w:p>
          <w:p w14:paraId="72EA8F84" w14:textId="77777777" w:rsidR="009F7571" w:rsidRPr="009F7571" w:rsidRDefault="009F7571" w:rsidP="009F7571">
            <w:pPr>
              <w:spacing w:after="0" w:line="240" w:lineRule="auto"/>
              <w:rPr>
                <w:rFonts w:ascii="Arial" w:eastAsia="Times New Roman" w:hAnsi="Arial" w:cs="Arial"/>
              </w:rPr>
            </w:pPr>
          </w:p>
          <w:p w14:paraId="2B90A880"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r w:rsidR="009F7571" w:rsidRPr="009F7571" w14:paraId="39F157E1" w14:textId="77777777" w:rsidTr="009F7571">
        <w:trPr>
          <w:trHeight w:val="454"/>
        </w:trPr>
        <w:tc>
          <w:tcPr>
            <w:tcW w:w="5000" w:type="pct"/>
            <w:shd w:val="clear" w:color="auto" w:fill="F2F2F2"/>
            <w:vAlign w:val="center"/>
          </w:tcPr>
          <w:p w14:paraId="0D04C840"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Research activity outside of the UK</w:t>
            </w:r>
          </w:p>
          <w:p w14:paraId="0B82F4A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F7571" w:rsidRPr="009F7571" w14:paraId="3EABCE96" w14:textId="77777777" w:rsidTr="00DC521F">
        <w:trPr>
          <w:trHeight w:val="454"/>
        </w:trPr>
        <w:tc>
          <w:tcPr>
            <w:tcW w:w="5000" w:type="pct"/>
            <w:vAlign w:val="center"/>
          </w:tcPr>
          <w:p w14:paraId="7AC53411" w14:textId="77777777" w:rsidR="009F7571" w:rsidRPr="009F7571" w:rsidRDefault="009F7571" w:rsidP="009F7571">
            <w:pPr>
              <w:spacing w:after="0" w:line="240" w:lineRule="auto"/>
              <w:rPr>
                <w:rFonts w:ascii="Arial" w:eastAsia="Times New Roman" w:hAnsi="Arial" w:cs="Arial"/>
              </w:rPr>
            </w:pPr>
          </w:p>
          <w:p w14:paraId="7A6B6E80" w14:textId="77777777" w:rsidR="009F7571" w:rsidRPr="009F7571" w:rsidRDefault="009F7571" w:rsidP="009F7571">
            <w:pPr>
              <w:spacing w:after="0" w:line="240" w:lineRule="auto"/>
              <w:rPr>
                <w:rFonts w:ascii="Arial" w:eastAsia="Times New Roman" w:hAnsi="Arial" w:cs="Arial"/>
              </w:rPr>
            </w:pPr>
          </w:p>
          <w:p w14:paraId="067B2E4C"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60211413" w14:textId="77777777" w:rsidR="009F7571" w:rsidRPr="009F7571" w:rsidRDefault="009F7571" w:rsidP="009F7571">
      <w:pPr>
        <w:spacing w:after="0" w:line="240" w:lineRule="auto"/>
        <w:rPr>
          <w:rFonts w:ascii="Arial" w:eastAsia="Times New Roman" w:hAnsi="Arial" w:cs="Arial"/>
          <w:bCs/>
        </w:rPr>
      </w:pPr>
    </w:p>
    <w:p w14:paraId="700C16F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AD9B11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F: Scope of Research Activity</w:t>
      </w:r>
    </w:p>
    <w:p w14:paraId="2C6B6B0A"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9F7571" w:rsidRPr="009F7571" w14:paraId="33DC1EDB" w14:textId="77777777" w:rsidTr="009F7571">
        <w:tc>
          <w:tcPr>
            <w:tcW w:w="8217" w:type="dxa"/>
            <w:shd w:val="clear" w:color="auto" w:fill="F2F2F2"/>
          </w:tcPr>
          <w:p w14:paraId="2FF6348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Will the research activity include:</w:t>
            </w:r>
          </w:p>
        </w:tc>
        <w:tc>
          <w:tcPr>
            <w:tcW w:w="850" w:type="dxa"/>
            <w:shd w:val="clear" w:color="auto" w:fill="F2F2F2"/>
          </w:tcPr>
          <w:p w14:paraId="1348F27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708B4C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822" w:type="dxa"/>
            <w:shd w:val="clear" w:color="auto" w:fill="F2F2F2"/>
          </w:tcPr>
          <w:p w14:paraId="2B09433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1D6482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FB7AD77" w14:textId="77777777" w:rsidTr="009F7571">
        <w:trPr>
          <w:trHeight w:val="439"/>
        </w:trPr>
        <w:tc>
          <w:tcPr>
            <w:tcW w:w="8217" w:type="dxa"/>
            <w:shd w:val="clear" w:color="auto" w:fill="F2F2F2"/>
            <w:vAlign w:val="center"/>
          </w:tcPr>
          <w:p w14:paraId="1E987D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a questionnaire or similar research instrument?</w:t>
            </w:r>
          </w:p>
        </w:tc>
        <w:tc>
          <w:tcPr>
            <w:tcW w:w="850" w:type="dxa"/>
            <w:shd w:val="clear" w:color="auto" w:fill="BFBFBF"/>
            <w:vAlign w:val="center"/>
          </w:tcPr>
          <w:sdt>
            <w:sdtPr>
              <w:rPr>
                <w:rFonts w:ascii="Arial" w:eastAsia="Times New Roman" w:hAnsi="Arial" w:cs="Arial"/>
              </w:rPr>
              <w:id w:val="1843739070"/>
              <w14:checkbox>
                <w14:checked w14:val="1"/>
                <w14:checkedState w14:val="2612" w14:font="MS Gothic"/>
                <w14:uncheckedState w14:val="2610" w14:font="MS Gothic"/>
              </w14:checkbox>
            </w:sdtPr>
            <w:sdtContent>
              <w:p w14:paraId="5B1DA9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474143939"/>
              <w14:checkbox>
                <w14:checked w14:val="0"/>
                <w14:checkedState w14:val="2612" w14:font="MS Gothic"/>
                <w14:uncheckedState w14:val="2610" w14:font="MS Gothic"/>
              </w14:checkbox>
            </w:sdtPr>
            <w:sdtContent>
              <w:p w14:paraId="1C00A4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8479AEC" w14:textId="77777777" w:rsidTr="009F7571">
        <w:trPr>
          <w:trHeight w:val="439"/>
        </w:trPr>
        <w:tc>
          <w:tcPr>
            <w:tcW w:w="8217" w:type="dxa"/>
            <w:shd w:val="clear" w:color="auto" w:fill="F2F2F2"/>
            <w:vAlign w:val="center"/>
          </w:tcPr>
          <w:p w14:paraId="2486A24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interviews?</w:t>
            </w:r>
          </w:p>
        </w:tc>
        <w:tc>
          <w:tcPr>
            <w:tcW w:w="850" w:type="dxa"/>
            <w:shd w:val="clear" w:color="auto" w:fill="BFBFBF"/>
            <w:vAlign w:val="center"/>
          </w:tcPr>
          <w:sdt>
            <w:sdtPr>
              <w:rPr>
                <w:rFonts w:ascii="Arial" w:eastAsia="Times New Roman" w:hAnsi="Arial" w:cs="Arial"/>
              </w:rPr>
              <w:id w:val="-800765487"/>
              <w14:checkbox>
                <w14:checked w14:val="1"/>
                <w14:checkedState w14:val="2612" w14:font="MS Gothic"/>
                <w14:uncheckedState w14:val="2610" w14:font="MS Gothic"/>
              </w14:checkbox>
            </w:sdtPr>
            <w:sdtContent>
              <w:p w14:paraId="5C0CFE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749926786"/>
              <w14:checkbox>
                <w14:checked w14:val="0"/>
                <w14:checkedState w14:val="2612" w14:font="MS Gothic"/>
                <w14:uncheckedState w14:val="2610" w14:font="MS Gothic"/>
              </w14:checkbox>
            </w:sdtPr>
            <w:sdtContent>
              <w:p w14:paraId="799D72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DFDF05F" w14:textId="77777777" w:rsidTr="009F7571">
        <w:trPr>
          <w:trHeight w:val="403"/>
        </w:trPr>
        <w:tc>
          <w:tcPr>
            <w:tcW w:w="8217" w:type="dxa"/>
            <w:shd w:val="clear" w:color="auto" w:fill="F2F2F2"/>
            <w:vAlign w:val="center"/>
          </w:tcPr>
          <w:p w14:paraId="5E0F16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diaries?</w:t>
            </w:r>
          </w:p>
        </w:tc>
        <w:tc>
          <w:tcPr>
            <w:tcW w:w="850" w:type="dxa"/>
            <w:shd w:val="clear" w:color="auto" w:fill="BFBFBF"/>
            <w:vAlign w:val="center"/>
          </w:tcPr>
          <w:sdt>
            <w:sdtPr>
              <w:rPr>
                <w:rFonts w:ascii="Arial" w:eastAsia="Times New Roman" w:hAnsi="Arial" w:cs="Arial"/>
              </w:rPr>
              <w:id w:val="319468663"/>
              <w14:checkbox>
                <w14:checked w14:val="0"/>
                <w14:checkedState w14:val="2612" w14:font="MS Gothic"/>
                <w14:uncheckedState w14:val="2610" w14:font="MS Gothic"/>
              </w14:checkbox>
            </w:sdtPr>
            <w:sdtContent>
              <w:p w14:paraId="03E65EA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900483589"/>
              <w14:checkbox>
                <w14:checked w14:val="1"/>
                <w14:checkedState w14:val="2612" w14:font="MS Gothic"/>
                <w14:uncheckedState w14:val="2610" w14:font="MS Gothic"/>
              </w14:checkbox>
            </w:sdtPr>
            <w:sdtContent>
              <w:p w14:paraId="37CA7BD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E5B24BC" w14:textId="77777777" w:rsidTr="009F7571">
        <w:trPr>
          <w:trHeight w:val="403"/>
        </w:trPr>
        <w:tc>
          <w:tcPr>
            <w:tcW w:w="8217" w:type="dxa"/>
            <w:shd w:val="clear" w:color="auto" w:fill="F2F2F2"/>
            <w:vAlign w:val="center"/>
          </w:tcPr>
          <w:p w14:paraId="41FB63B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 their knowledge?</w:t>
            </w:r>
          </w:p>
        </w:tc>
        <w:tc>
          <w:tcPr>
            <w:tcW w:w="850" w:type="dxa"/>
            <w:shd w:val="clear" w:color="auto" w:fill="BFBFBF"/>
            <w:vAlign w:val="center"/>
          </w:tcPr>
          <w:sdt>
            <w:sdtPr>
              <w:rPr>
                <w:rFonts w:ascii="Arial" w:eastAsia="Times New Roman" w:hAnsi="Arial" w:cs="Arial"/>
              </w:rPr>
              <w:id w:val="282394886"/>
              <w14:checkbox>
                <w14:checked w14:val="0"/>
                <w14:checkedState w14:val="2612" w14:font="MS Gothic"/>
                <w14:uncheckedState w14:val="2610" w14:font="MS Gothic"/>
              </w14:checkbox>
            </w:sdtPr>
            <w:sdtContent>
              <w:p w14:paraId="642D89B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338917432"/>
              <w14:checkbox>
                <w14:checked w14:val="1"/>
                <w14:checkedState w14:val="2612" w14:font="MS Gothic"/>
                <w14:uncheckedState w14:val="2610" w14:font="MS Gothic"/>
              </w14:checkbox>
            </w:sdtPr>
            <w:sdtContent>
              <w:p w14:paraId="420A40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05842CD" w14:textId="77777777" w:rsidTr="009F7571">
        <w:trPr>
          <w:trHeight w:val="439"/>
        </w:trPr>
        <w:tc>
          <w:tcPr>
            <w:tcW w:w="8217" w:type="dxa"/>
            <w:shd w:val="clear" w:color="auto" w:fill="F2F2F2"/>
            <w:vAlign w:val="center"/>
          </w:tcPr>
          <w:p w14:paraId="299D0D0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without their knowledge?</w:t>
            </w:r>
          </w:p>
        </w:tc>
        <w:tc>
          <w:tcPr>
            <w:tcW w:w="850" w:type="dxa"/>
            <w:shd w:val="clear" w:color="auto" w:fill="BFBFBF"/>
            <w:vAlign w:val="center"/>
          </w:tcPr>
          <w:sdt>
            <w:sdtPr>
              <w:rPr>
                <w:rFonts w:ascii="Arial" w:eastAsia="Times New Roman" w:hAnsi="Arial" w:cs="Arial"/>
              </w:rPr>
              <w:id w:val="-1942599491"/>
              <w14:checkbox>
                <w14:checked w14:val="0"/>
                <w14:checkedState w14:val="2612" w14:font="MS Gothic"/>
                <w14:uncheckedState w14:val="2610" w14:font="MS Gothic"/>
              </w14:checkbox>
            </w:sdtPr>
            <w:sdtContent>
              <w:p w14:paraId="090979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26286741"/>
              <w14:checkbox>
                <w14:checked w14:val="1"/>
                <w14:checkedState w14:val="2612" w14:font="MS Gothic"/>
                <w14:uncheckedState w14:val="2610" w14:font="MS Gothic"/>
              </w14:checkbox>
            </w:sdtPr>
            <w:sdtContent>
              <w:p w14:paraId="4B74867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BACE9E3" w14:textId="77777777" w:rsidTr="009F7571">
        <w:trPr>
          <w:trHeight w:val="403"/>
        </w:trPr>
        <w:tc>
          <w:tcPr>
            <w:tcW w:w="8217" w:type="dxa"/>
            <w:shd w:val="clear" w:color="auto" w:fill="F2F2F2"/>
            <w:vAlign w:val="center"/>
          </w:tcPr>
          <w:p w14:paraId="650780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video or audio recording?</w:t>
            </w:r>
          </w:p>
        </w:tc>
        <w:tc>
          <w:tcPr>
            <w:tcW w:w="850" w:type="dxa"/>
            <w:shd w:val="clear" w:color="auto" w:fill="BFBFBF"/>
            <w:vAlign w:val="center"/>
          </w:tcPr>
          <w:sdt>
            <w:sdtPr>
              <w:rPr>
                <w:rFonts w:ascii="Arial" w:eastAsia="Times New Roman" w:hAnsi="Arial" w:cs="Arial"/>
              </w:rPr>
              <w:id w:val="-387187341"/>
              <w14:checkbox>
                <w14:checked w14:val="0"/>
                <w14:checkedState w14:val="2612" w14:font="MS Gothic"/>
                <w14:uncheckedState w14:val="2610" w14:font="MS Gothic"/>
              </w14:checkbox>
            </w:sdtPr>
            <w:sdtContent>
              <w:p w14:paraId="6BE11E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580675213"/>
              <w14:checkbox>
                <w14:checked w14:val="1"/>
                <w14:checkedState w14:val="2612" w14:font="MS Gothic"/>
                <w14:uncheckedState w14:val="2610" w14:font="MS Gothic"/>
              </w14:checkbox>
            </w:sdtPr>
            <w:sdtContent>
              <w:p w14:paraId="3666AAA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9F5BA1" w14:textId="77777777" w:rsidTr="009F7571">
        <w:trPr>
          <w:trHeight w:val="439"/>
        </w:trPr>
        <w:tc>
          <w:tcPr>
            <w:tcW w:w="8217" w:type="dxa"/>
            <w:shd w:val="clear" w:color="auto" w:fill="F2F2F2"/>
            <w:vAlign w:val="center"/>
          </w:tcPr>
          <w:p w14:paraId="5395658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Access to personal or confidential information without the participants’ specific consent?</w:t>
            </w:r>
          </w:p>
        </w:tc>
        <w:tc>
          <w:tcPr>
            <w:tcW w:w="850" w:type="dxa"/>
            <w:shd w:val="clear" w:color="auto" w:fill="BFBFBF"/>
            <w:vAlign w:val="center"/>
          </w:tcPr>
          <w:sdt>
            <w:sdtPr>
              <w:rPr>
                <w:rFonts w:ascii="Arial" w:eastAsia="Times New Roman" w:hAnsi="Arial" w:cs="Arial"/>
              </w:rPr>
              <w:id w:val="-1397120567"/>
              <w14:checkbox>
                <w14:checked w14:val="0"/>
                <w14:checkedState w14:val="2612" w14:font="MS Gothic"/>
                <w14:uncheckedState w14:val="2610" w14:font="MS Gothic"/>
              </w14:checkbox>
            </w:sdtPr>
            <w:sdtContent>
              <w:p w14:paraId="2565EC5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587048268"/>
              <w14:checkbox>
                <w14:checked w14:val="1"/>
                <w14:checkedState w14:val="2612" w14:font="MS Gothic"/>
                <w14:uncheckedState w14:val="2610" w14:font="MS Gothic"/>
              </w14:checkbox>
            </w:sdtPr>
            <w:sdtContent>
              <w:p w14:paraId="522904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669DA56" w14:textId="77777777" w:rsidTr="009F7571">
        <w:trPr>
          <w:trHeight w:val="403"/>
        </w:trPr>
        <w:tc>
          <w:tcPr>
            <w:tcW w:w="8217" w:type="dxa"/>
            <w:shd w:val="clear" w:color="auto" w:fill="F2F2F2"/>
            <w:vAlign w:val="center"/>
          </w:tcPr>
          <w:p w14:paraId="1E8AE5E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eastAsia="Times New Roman" w:hAnsi="Arial" w:cs="Arial"/>
              </w:rPr>
              <w:id w:val="-723911514"/>
              <w14:checkbox>
                <w14:checked w14:val="0"/>
                <w14:checkedState w14:val="2612" w14:font="MS Gothic"/>
                <w14:uncheckedState w14:val="2610" w14:font="MS Gothic"/>
              </w14:checkbox>
            </w:sdtPr>
            <w:sdtContent>
              <w:p w14:paraId="51A20A5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55270249"/>
              <w14:checkbox>
                <w14:checked w14:val="1"/>
                <w14:checkedState w14:val="2612" w14:font="MS Gothic"/>
                <w14:uncheckedState w14:val="2610" w14:font="MS Gothic"/>
              </w14:checkbox>
            </w:sdtPr>
            <w:sdtContent>
              <w:p w14:paraId="50743D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1453C8A" w14:textId="77777777" w:rsidTr="009F7571">
        <w:trPr>
          <w:trHeight w:val="403"/>
        </w:trPr>
        <w:tc>
          <w:tcPr>
            <w:tcW w:w="8217" w:type="dxa"/>
            <w:shd w:val="clear" w:color="auto" w:fill="F2F2F2"/>
            <w:vAlign w:val="center"/>
          </w:tcPr>
          <w:p w14:paraId="75E9CAB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Performance of any acts which may cause embarrassment or affect self-esteem?</w:t>
            </w:r>
          </w:p>
        </w:tc>
        <w:tc>
          <w:tcPr>
            <w:tcW w:w="850" w:type="dxa"/>
            <w:shd w:val="clear" w:color="auto" w:fill="BFBF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Content>
              <w:p w14:paraId="2513A9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Content>
              <w:p w14:paraId="7E4828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21BEC55" w14:textId="77777777" w:rsidTr="009F7571">
        <w:trPr>
          <w:trHeight w:val="403"/>
        </w:trPr>
        <w:tc>
          <w:tcPr>
            <w:tcW w:w="8217" w:type="dxa"/>
            <w:shd w:val="clear" w:color="auto" w:fill="F2F2F2"/>
            <w:vAlign w:val="center"/>
          </w:tcPr>
          <w:p w14:paraId="483055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Investigation of participants involved in illegal activities?</w:t>
            </w:r>
          </w:p>
        </w:tc>
        <w:tc>
          <w:tcPr>
            <w:tcW w:w="850" w:type="dxa"/>
            <w:shd w:val="clear" w:color="auto" w:fill="BFBF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Content>
              <w:p w14:paraId="015746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Content>
              <w:p w14:paraId="0C263D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10CA50C" w14:textId="77777777" w:rsidTr="009F7571">
        <w:trPr>
          <w:trHeight w:val="403"/>
        </w:trPr>
        <w:tc>
          <w:tcPr>
            <w:tcW w:w="8217" w:type="dxa"/>
            <w:shd w:val="clear" w:color="auto" w:fill="F2F2F2"/>
            <w:vAlign w:val="center"/>
          </w:tcPr>
          <w:p w14:paraId="7446485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procedures that involve deception?</w:t>
            </w:r>
          </w:p>
        </w:tc>
        <w:tc>
          <w:tcPr>
            <w:tcW w:w="850" w:type="dxa"/>
            <w:shd w:val="clear" w:color="auto" w:fill="BFBF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Content>
              <w:p w14:paraId="4752106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Content>
              <w:p w14:paraId="324D0D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373D21B" w14:textId="77777777" w:rsidTr="009F7571">
        <w:trPr>
          <w:trHeight w:val="403"/>
        </w:trPr>
        <w:tc>
          <w:tcPr>
            <w:tcW w:w="8217" w:type="dxa"/>
            <w:shd w:val="clear" w:color="auto" w:fill="F2F2F2"/>
            <w:vAlign w:val="center"/>
          </w:tcPr>
          <w:p w14:paraId="6D248F4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Administration of any substance, agent or placebo?</w:t>
            </w:r>
          </w:p>
        </w:tc>
        <w:tc>
          <w:tcPr>
            <w:tcW w:w="850" w:type="dxa"/>
            <w:shd w:val="clear" w:color="auto" w:fill="BFBF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Content>
              <w:p w14:paraId="2E989EE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Content>
              <w:p w14:paraId="301512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89BB7BE" w14:textId="77777777" w:rsidTr="009F7571">
        <w:trPr>
          <w:trHeight w:val="403"/>
        </w:trPr>
        <w:tc>
          <w:tcPr>
            <w:tcW w:w="8217" w:type="dxa"/>
            <w:shd w:val="clear" w:color="auto" w:fill="F2F2F2"/>
            <w:vAlign w:val="center"/>
          </w:tcPr>
          <w:p w14:paraId="7D5017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Working with live vertebrate animals?</w:t>
            </w:r>
          </w:p>
        </w:tc>
        <w:tc>
          <w:tcPr>
            <w:tcW w:w="850" w:type="dxa"/>
            <w:shd w:val="clear" w:color="auto" w:fill="BFBF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Content>
              <w:p w14:paraId="0497AF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Content>
              <w:p w14:paraId="4A26A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8EE0FEB" w14:textId="77777777" w:rsidTr="009F7571">
        <w:trPr>
          <w:trHeight w:val="403"/>
        </w:trPr>
        <w:tc>
          <w:tcPr>
            <w:tcW w:w="8217" w:type="dxa"/>
            <w:shd w:val="clear" w:color="auto" w:fill="F2F2F2"/>
            <w:vAlign w:val="center"/>
          </w:tcPr>
          <w:p w14:paraId="18E4BCE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primary data collection methods, please explain in this box</w:t>
            </w:r>
          </w:p>
          <w:p w14:paraId="1A30C63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C2FDD1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421B18"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850" w:type="dxa"/>
            <w:shd w:val="clear" w:color="auto" w:fill="BFBFBF"/>
            <w:vAlign w:val="center"/>
          </w:tcPr>
          <w:sdt>
            <w:sdtPr>
              <w:rPr>
                <w:rFonts w:ascii="Arial" w:eastAsia="Times New Roman" w:hAnsi="Arial" w:cs="Arial"/>
                <w:b/>
                <w:bCs/>
              </w:rPr>
              <w:id w:val="2049023668"/>
              <w14:checkbox>
                <w14:checked w14:val="0"/>
                <w14:checkedState w14:val="2612" w14:font="MS Gothic"/>
                <w14:uncheckedState w14:val="2610" w14:font="MS Gothic"/>
              </w14:checkbox>
            </w:sdtPr>
            <w:sdtContent>
              <w:p w14:paraId="0A1629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c>
          <w:tcPr>
            <w:tcW w:w="822" w:type="dxa"/>
            <w:shd w:val="clear" w:color="auto" w:fill="BFBFBF"/>
            <w:vAlign w:val="center"/>
          </w:tcPr>
          <w:sdt>
            <w:sdtPr>
              <w:rPr>
                <w:rFonts w:ascii="Arial" w:eastAsia="Times New Roman" w:hAnsi="Arial" w:cs="Arial"/>
                <w:b/>
                <w:bCs/>
              </w:rPr>
              <w:id w:val="1900947946"/>
              <w14:checkbox>
                <w14:checked w14:val="1"/>
                <w14:checkedState w14:val="2612" w14:font="MS Gothic"/>
                <w14:uncheckedState w14:val="2610" w14:font="MS Gothic"/>
              </w14:checkbox>
            </w:sdtPr>
            <w:sdtContent>
              <w:p w14:paraId="0F4BC5C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r>
    </w:tbl>
    <w:p w14:paraId="0FE59AEB" w14:textId="77777777" w:rsidR="009F7571" w:rsidRPr="009F7571" w:rsidRDefault="009F7571" w:rsidP="009F7571">
      <w:pPr>
        <w:spacing w:after="0" w:line="240" w:lineRule="auto"/>
        <w:rPr>
          <w:rFonts w:ascii="Arial" w:eastAsia="Times New Roman" w:hAnsi="Arial" w:cs="Arial"/>
          <w:bCs/>
          <w:iCs/>
          <w:sz w:val="20"/>
          <w:szCs w:val="20"/>
        </w:rPr>
      </w:pPr>
    </w:p>
    <w:p w14:paraId="7674D61A" w14:textId="77777777" w:rsidR="009F7571" w:rsidRPr="009F7571" w:rsidRDefault="009F7571" w:rsidP="009F7571">
      <w:pPr>
        <w:spacing w:after="0" w:line="240" w:lineRule="auto"/>
        <w:jc w:val="both"/>
        <w:rPr>
          <w:rFonts w:ascii="Arial" w:eastAsia="Times New Roman" w:hAnsi="Arial" w:cs="Arial"/>
          <w:bCs/>
          <w:iCs/>
        </w:rPr>
      </w:pPr>
      <w:r w:rsidRPr="009F7571">
        <w:rPr>
          <w:rFonts w:ascii="Arial" w:eastAsia="Times New Roman" w:hAnsi="Arial" w:cs="Arial"/>
          <w:bCs/>
          <w:iCs/>
        </w:rPr>
        <w:t xml:space="preserve">If NO to every question, then the research activity is (ethically) low risk and </w:t>
      </w:r>
      <w:r w:rsidRPr="009F7571">
        <w:rPr>
          <w:rFonts w:ascii="Arial" w:eastAsia="Times New Roman" w:hAnsi="Arial" w:cs="Arial"/>
          <w:b/>
          <w:bCs/>
          <w:iCs/>
        </w:rPr>
        <w:t>may</w:t>
      </w:r>
      <w:r w:rsidRPr="009F7571">
        <w:rPr>
          <w:rFonts w:ascii="Arial" w:eastAsia="Times New Roman" w:hAnsi="Arial" w:cs="Arial"/>
          <w:bCs/>
          <w:iCs/>
        </w:rPr>
        <w:t xml:space="preserve"> be exempt from </w:t>
      </w:r>
      <w:r w:rsidRPr="009F7571">
        <w:rPr>
          <w:rFonts w:ascii="Arial" w:eastAsia="Times New Roman" w:hAnsi="Arial" w:cs="Arial"/>
          <w:b/>
          <w:bCs/>
          <w:iCs/>
        </w:rPr>
        <w:t>some</w:t>
      </w:r>
      <w:r w:rsidRPr="009F7571">
        <w:rPr>
          <w:rFonts w:ascii="Arial" w:eastAsia="Times New Roman" w:hAnsi="Arial" w:cs="Arial"/>
          <w:bCs/>
          <w:iCs/>
        </w:rPr>
        <w:t xml:space="preserve"> of the following sections (please refer to Guidance Notes).</w:t>
      </w:r>
    </w:p>
    <w:p w14:paraId="7B468E24" w14:textId="77777777" w:rsidR="009F7571" w:rsidRPr="009F7571" w:rsidRDefault="009F7571" w:rsidP="009F7571">
      <w:pPr>
        <w:spacing w:after="0" w:line="240" w:lineRule="auto"/>
        <w:rPr>
          <w:rFonts w:ascii="Arial" w:eastAsia="Times New Roman" w:hAnsi="Arial" w:cs="Arial"/>
          <w:bCs/>
          <w:iCs/>
        </w:rPr>
      </w:pPr>
    </w:p>
    <w:p w14:paraId="5CC7EE17" w14:textId="77777777" w:rsidR="009F7571" w:rsidRPr="009F7571" w:rsidRDefault="009F7571" w:rsidP="009F7571">
      <w:pPr>
        <w:spacing w:after="0" w:line="240" w:lineRule="auto"/>
        <w:rPr>
          <w:rFonts w:ascii="Arial" w:eastAsia="Times New Roman" w:hAnsi="Arial" w:cs="Arial"/>
          <w:bCs/>
          <w:iCs/>
        </w:rPr>
      </w:pPr>
      <w:r w:rsidRPr="009F7571">
        <w:rPr>
          <w:rFonts w:ascii="Arial" w:eastAsia="Times New Roman" w:hAnsi="Arial" w:cs="Arial"/>
          <w:bCs/>
          <w:iCs/>
        </w:rPr>
        <w:t xml:space="preserve">If YES to any question, then no research activity should be undertaken until full ethical approval has been obtained. </w:t>
      </w:r>
    </w:p>
    <w:p w14:paraId="65AF1384" w14:textId="0C80434D"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bookmarkStart w:id="85" w:name="_Hlk99444913"/>
      <w:r w:rsidRPr="009F7571">
        <w:rPr>
          <w:rFonts w:ascii="Arial" w:eastAsia="Times New Roman" w:hAnsi="Arial" w:cs="Arial"/>
          <w:b/>
          <w:bCs/>
        </w:rPr>
        <w:lastRenderedPageBreak/>
        <w:t>SECTION G: Intended Participants</w:t>
      </w:r>
    </w:p>
    <w:bookmarkEnd w:id="85"/>
    <w:p w14:paraId="088CAA5D"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6A789944" w14:textId="77777777" w:rsidTr="009F7571">
        <w:tc>
          <w:tcPr>
            <w:tcW w:w="7763" w:type="dxa"/>
            <w:shd w:val="clear" w:color="auto" w:fill="F2F2F2"/>
          </w:tcPr>
          <w:p w14:paraId="17706B7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Who are the intended participants:</w:t>
            </w:r>
          </w:p>
        </w:tc>
        <w:tc>
          <w:tcPr>
            <w:tcW w:w="992" w:type="dxa"/>
            <w:shd w:val="clear" w:color="auto" w:fill="F2F2F2"/>
          </w:tcPr>
          <w:p w14:paraId="4ED8224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54A7DA6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tcPr>
          <w:p w14:paraId="46728EB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33DAC3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3383D9DA" w14:textId="77777777" w:rsidTr="009F7571">
        <w:trPr>
          <w:trHeight w:val="439"/>
        </w:trPr>
        <w:tc>
          <w:tcPr>
            <w:tcW w:w="7763" w:type="dxa"/>
            <w:shd w:val="clear" w:color="auto" w:fill="F2F2F2"/>
            <w:vAlign w:val="center"/>
          </w:tcPr>
          <w:p w14:paraId="2F9CA89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Students or staff at the University?</w:t>
            </w:r>
          </w:p>
        </w:tc>
        <w:tc>
          <w:tcPr>
            <w:tcW w:w="992" w:type="dxa"/>
            <w:shd w:val="clear" w:color="auto" w:fill="BFBFBF"/>
            <w:vAlign w:val="center"/>
          </w:tcPr>
          <w:sdt>
            <w:sdtPr>
              <w:rPr>
                <w:rFonts w:ascii="Arial" w:eastAsia="Times New Roman" w:hAnsi="Arial" w:cs="Arial"/>
              </w:rPr>
              <w:id w:val="-227763996"/>
              <w14:checkbox>
                <w14:checked w14:val="0"/>
                <w14:checkedState w14:val="2612" w14:font="MS Gothic"/>
                <w14:uncheckedState w14:val="2610" w14:font="MS Gothic"/>
              </w14:checkbox>
            </w:sdtPr>
            <w:sdtContent>
              <w:p w14:paraId="27FD39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947306252"/>
              <w14:checkbox>
                <w14:checked w14:val="1"/>
                <w14:checkedState w14:val="2612" w14:font="MS Gothic"/>
                <w14:uncheckedState w14:val="2610" w14:font="MS Gothic"/>
              </w14:checkbox>
            </w:sdtPr>
            <w:sdtContent>
              <w:p w14:paraId="38947CC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9EDE482" w14:textId="77777777" w:rsidTr="009F7571">
        <w:trPr>
          <w:trHeight w:val="403"/>
        </w:trPr>
        <w:tc>
          <w:tcPr>
            <w:tcW w:w="7763" w:type="dxa"/>
            <w:shd w:val="clear" w:color="auto" w:fill="F2F2F2"/>
            <w:vAlign w:val="center"/>
          </w:tcPr>
          <w:p w14:paraId="644947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Adults (over the age of 18 and competent to give consent)?</w:t>
            </w:r>
          </w:p>
        </w:tc>
        <w:tc>
          <w:tcPr>
            <w:tcW w:w="992" w:type="dxa"/>
            <w:shd w:val="clear" w:color="auto" w:fill="BFBFBF"/>
            <w:vAlign w:val="center"/>
          </w:tcPr>
          <w:sdt>
            <w:sdtPr>
              <w:rPr>
                <w:rFonts w:ascii="Arial" w:eastAsia="Times New Roman" w:hAnsi="Arial" w:cs="Arial"/>
              </w:rPr>
              <w:id w:val="-1780247199"/>
              <w14:checkbox>
                <w14:checked w14:val="1"/>
                <w14:checkedState w14:val="2612" w14:font="MS Gothic"/>
                <w14:uncheckedState w14:val="2610" w14:font="MS Gothic"/>
              </w14:checkbox>
            </w:sdtPr>
            <w:sdtContent>
              <w:p w14:paraId="6A555C5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666435130"/>
              <w14:checkbox>
                <w14:checked w14:val="0"/>
                <w14:checkedState w14:val="2612" w14:font="MS Gothic"/>
                <w14:uncheckedState w14:val="2610" w14:font="MS Gothic"/>
              </w14:checkbox>
            </w:sdtPr>
            <w:sdtContent>
              <w:p w14:paraId="67C55F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C5C32D4" w14:textId="77777777" w:rsidTr="009F7571">
        <w:trPr>
          <w:trHeight w:val="439"/>
        </w:trPr>
        <w:tc>
          <w:tcPr>
            <w:tcW w:w="7763" w:type="dxa"/>
            <w:shd w:val="clear" w:color="auto" w:fill="F2F2F2"/>
            <w:vAlign w:val="center"/>
          </w:tcPr>
          <w:p w14:paraId="5664006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Vulnerable adults?</w:t>
            </w:r>
          </w:p>
        </w:tc>
        <w:tc>
          <w:tcPr>
            <w:tcW w:w="992" w:type="dxa"/>
            <w:shd w:val="clear" w:color="auto" w:fill="BFBFBF"/>
            <w:vAlign w:val="center"/>
          </w:tcPr>
          <w:sdt>
            <w:sdtPr>
              <w:rPr>
                <w:rFonts w:ascii="Arial" w:eastAsia="Times New Roman" w:hAnsi="Arial" w:cs="Arial"/>
              </w:rPr>
              <w:id w:val="555978563"/>
              <w14:checkbox>
                <w14:checked w14:val="0"/>
                <w14:checkedState w14:val="2612" w14:font="MS Gothic"/>
                <w14:uncheckedState w14:val="2610" w14:font="MS Gothic"/>
              </w14:checkbox>
            </w:sdtPr>
            <w:sdtContent>
              <w:p w14:paraId="556F691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435668532"/>
              <w14:checkbox>
                <w14:checked w14:val="1"/>
                <w14:checkedState w14:val="2612" w14:font="MS Gothic"/>
                <w14:uncheckedState w14:val="2610" w14:font="MS Gothic"/>
              </w14:checkbox>
            </w:sdtPr>
            <w:sdtContent>
              <w:p w14:paraId="2E1EBD9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414018E" w14:textId="77777777" w:rsidTr="009F7571">
        <w:trPr>
          <w:trHeight w:val="403"/>
        </w:trPr>
        <w:tc>
          <w:tcPr>
            <w:tcW w:w="7763" w:type="dxa"/>
            <w:shd w:val="clear" w:color="auto" w:fill="F2F2F2"/>
            <w:vAlign w:val="center"/>
          </w:tcPr>
          <w:p w14:paraId="2816DB3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Children under 18?</w:t>
            </w:r>
          </w:p>
        </w:tc>
        <w:tc>
          <w:tcPr>
            <w:tcW w:w="992" w:type="dxa"/>
            <w:shd w:val="clear" w:color="auto" w:fill="BFBFBF"/>
            <w:vAlign w:val="center"/>
          </w:tcPr>
          <w:sdt>
            <w:sdtPr>
              <w:rPr>
                <w:rFonts w:ascii="Arial" w:eastAsia="Times New Roman" w:hAnsi="Arial" w:cs="Arial"/>
              </w:rPr>
              <w:id w:val="-375472827"/>
              <w14:checkbox>
                <w14:checked w14:val="0"/>
                <w14:checkedState w14:val="2612" w14:font="MS Gothic"/>
                <w14:uncheckedState w14:val="2610" w14:font="MS Gothic"/>
              </w14:checkbox>
            </w:sdtPr>
            <w:sdtContent>
              <w:p w14:paraId="0FE48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887361462"/>
              <w14:checkbox>
                <w14:checked w14:val="1"/>
                <w14:checkedState w14:val="2612" w14:font="MS Gothic"/>
                <w14:uncheckedState w14:val="2610" w14:font="MS Gothic"/>
              </w14:checkbox>
            </w:sdtPr>
            <w:sdtContent>
              <w:p w14:paraId="4DCA47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24D9A68" w14:textId="77777777" w:rsidTr="009F7571">
        <w:trPr>
          <w:trHeight w:val="403"/>
        </w:trPr>
        <w:tc>
          <w:tcPr>
            <w:tcW w:w="7763" w:type="dxa"/>
            <w:shd w:val="clear" w:color="auto" w:fill="F2F2F2"/>
            <w:vAlign w:val="center"/>
          </w:tcPr>
          <w:p w14:paraId="6E8C83E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Prisoners?</w:t>
            </w:r>
          </w:p>
        </w:tc>
        <w:tc>
          <w:tcPr>
            <w:tcW w:w="992" w:type="dxa"/>
            <w:shd w:val="clear" w:color="auto" w:fill="BFBFBF"/>
            <w:vAlign w:val="center"/>
          </w:tcPr>
          <w:sdt>
            <w:sdtPr>
              <w:rPr>
                <w:rFonts w:ascii="Arial" w:eastAsia="Times New Roman" w:hAnsi="Arial" w:cs="Arial"/>
              </w:rPr>
              <w:id w:val="1692793907"/>
              <w14:checkbox>
                <w14:checked w14:val="0"/>
                <w14:checkedState w14:val="2612" w14:font="MS Gothic"/>
                <w14:uncheckedState w14:val="2610" w14:font="MS Gothic"/>
              </w14:checkbox>
            </w:sdtPr>
            <w:sdtContent>
              <w:p w14:paraId="1FACC3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326411418"/>
              <w14:checkbox>
                <w14:checked w14:val="1"/>
                <w14:checkedState w14:val="2612" w14:font="MS Gothic"/>
                <w14:uncheckedState w14:val="2610" w14:font="MS Gothic"/>
              </w14:checkbox>
            </w:sdtPr>
            <w:sdtContent>
              <w:p w14:paraId="41E17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54E19CF" w14:textId="77777777" w:rsidTr="009F7571">
        <w:trPr>
          <w:trHeight w:val="439"/>
        </w:trPr>
        <w:tc>
          <w:tcPr>
            <w:tcW w:w="7763" w:type="dxa"/>
            <w:shd w:val="clear" w:color="auto" w:fill="F2F2F2"/>
            <w:vAlign w:val="center"/>
          </w:tcPr>
          <w:p w14:paraId="7629348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Young offenders?</w:t>
            </w:r>
          </w:p>
        </w:tc>
        <w:tc>
          <w:tcPr>
            <w:tcW w:w="992" w:type="dxa"/>
            <w:shd w:val="clear" w:color="auto" w:fill="BFBFBF"/>
            <w:vAlign w:val="center"/>
          </w:tcPr>
          <w:sdt>
            <w:sdtPr>
              <w:rPr>
                <w:rFonts w:ascii="Arial" w:eastAsia="Times New Roman" w:hAnsi="Arial" w:cs="Arial"/>
              </w:rPr>
              <w:id w:val="1255410168"/>
              <w14:checkbox>
                <w14:checked w14:val="0"/>
                <w14:checkedState w14:val="2612" w14:font="MS Gothic"/>
                <w14:uncheckedState w14:val="2610" w14:font="MS Gothic"/>
              </w14:checkbox>
            </w:sdtPr>
            <w:sdtContent>
              <w:p w14:paraId="25D070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236000582"/>
              <w14:checkbox>
                <w14:checked w14:val="1"/>
                <w14:checkedState w14:val="2612" w14:font="MS Gothic"/>
                <w14:uncheckedState w14:val="2610" w14:font="MS Gothic"/>
              </w14:checkbox>
            </w:sdtPr>
            <w:sdtContent>
              <w:p w14:paraId="4870AA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F211BED" w14:textId="77777777" w:rsidTr="009F7571">
        <w:trPr>
          <w:trHeight w:val="403"/>
        </w:trPr>
        <w:tc>
          <w:tcPr>
            <w:tcW w:w="7763" w:type="dxa"/>
            <w:shd w:val="clear" w:color="auto" w:fill="F2F2F2"/>
            <w:vAlign w:val="center"/>
          </w:tcPr>
          <w:p w14:paraId="4040EC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Content>
              <w:p w14:paraId="15C541F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Content>
              <w:p w14:paraId="4B8101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0D9315C4" w14:textId="77777777" w:rsidTr="009F7571">
        <w:trPr>
          <w:trHeight w:val="403"/>
        </w:trPr>
        <w:tc>
          <w:tcPr>
            <w:tcW w:w="7763" w:type="dxa"/>
            <w:shd w:val="clear" w:color="auto" w:fill="F2F2F2"/>
            <w:vAlign w:val="center"/>
          </w:tcPr>
          <w:p w14:paraId="24391EB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People engaged in illegal activities?</w:t>
            </w:r>
          </w:p>
        </w:tc>
        <w:tc>
          <w:tcPr>
            <w:tcW w:w="992" w:type="dxa"/>
            <w:shd w:val="clear" w:color="auto" w:fill="BFBF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Content>
              <w:p w14:paraId="3E5B9D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Content>
              <w:p w14:paraId="5BB36E1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5E60389" w14:textId="77777777" w:rsidTr="009F7571">
        <w:trPr>
          <w:trHeight w:val="403"/>
        </w:trPr>
        <w:tc>
          <w:tcPr>
            <w:tcW w:w="7763" w:type="dxa"/>
            <w:shd w:val="clear" w:color="auto" w:fill="F2F2F2"/>
            <w:vAlign w:val="center"/>
          </w:tcPr>
          <w:p w14:paraId="5EB6B68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Others (please identify):</w:t>
            </w:r>
          </w:p>
          <w:p w14:paraId="228526F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934CE56"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Content>
              <w:p w14:paraId="29DC95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Content>
              <w:p w14:paraId="0E67F9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bl>
    <w:p w14:paraId="24227A1C"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9F7571" w:rsidRPr="009F7571" w14:paraId="739DBAB3" w14:textId="77777777" w:rsidTr="009F7571">
        <w:trPr>
          <w:trHeight w:val="403"/>
        </w:trPr>
        <w:tc>
          <w:tcPr>
            <w:tcW w:w="9889" w:type="dxa"/>
            <w:shd w:val="clear" w:color="auto" w:fill="F2F2F2"/>
            <w:vAlign w:val="center"/>
          </w:tcPr>
          <w:p w14:paraId="59B347C2" w14:textId="77777777" w:rsidR="009F7571" w:rsidRPr="009F7571" w:rsidRDefault="009F7571" w:rsidP="009F7571">
            <w:pPr>
              <w:spacing w:after="0" w:line="240" w:lineRule="auto"/>
              <w:rPr>
                <w:rFonts w:ascii="Arial" w:eastAsia="Times New Roman" w:hAnsi="Arial" w:cs="Arial"/>
                <w:b/>
              </w:rPr>
            </w:pPr>
            <w:bookmarkStart w:id="86" w:name="_Hlk99444923"/>
            <w:r w:rsidRPr="009F7571">
              <w:rPr>
                <w:rFonts w:ascii="Arial" w:eastAsia="Times New Roman" w:hAnsi="Arial" w:cs="Arial"/>
                <w:b/>
              </w:rPr>
              <w:t>Participant numbers and source</w:t>
            </w:r>
          </w:p>
          <w:p w14:paraId="4DD4B1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Provide an estimate of the expected number of participants. How will you identify participants and how will they be recruited? </w:t>
            </w:r>
            <w:bookmarkEnd w:id="86"/>
          </w:p>
        </w:tc>
      </w:tr>
      <w:tr w:rsidR="009F7571" w:rsidRPr="009F7571" w14:paraId="7A4682B1" w14:textId="77777777" w:rsidTr="00DC521F">
        <w:trPr>
          <w:trHeight w:val="403"/>
        </w:trPr>
        <w:tc>
          <w:tcPr>
            <w:tcW w:w="9889" w:type="dxa"/>
            <w:vAlign w:val="center"/>
          </w:tcPr>
          <w:p w14:paraId="05105D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Interview participants will be identified by pseudonyms. Approximately 10-15 interviewees will be selected from library activity groups, regular customers and volunteers.</w:t>
            </w:r>
          </w:p>
          <w:p w14:paraId="5FDD67A1" w14:textId="77777777" w:rsidR="009F7571" w:rsidRPr="009F7571" w:rsidRDefault="009F7571" w:rsidP="009F7571">
            <w:pPr>
              <w:spacing w:after="0" w:line="240" w:lineRule="auto"/>
              <w:rPr>
                <w:rFonts w:ascii="Arial" w:eastAsia="Times New Roman" w:hAnsi="Arial" w:cs="Arial"/>
              </w:rPr>
            </w:pPr>
          </w:p>
          <w:p w14:paraId="4BDD7270" w14:textId="77777777" w:rsidR="009F7571" w:rsidRPr="009F7571" w:rsidRDefault="009F7571" w:rsidP="009F7571">
            <w:pPr>
              <w:spacing w:after="0" w:line="240" w:lineRule="auto"/>
              <w:rPr>
                <w:rFonts w:ascii="Arial" w:eastAsia="Times New Roman" w:hAnsi="Arial" w:cs="Arial"/>
              </w:rPr>
            </w:pPr>
          </w:p>
          <w:p w14:paraId="097C228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7E10A9B9"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6715716C" w14:textId="77777777" w:rsidTr="009F7571">
        <w:tc>
          <w:tcPr>
            <w:tcW w:w="6629" w:type="dxa"/>
            <w:shd w:val="clear" w:color="auto" w:fill="F2F2F2"/>
          </w:tcPr>
          <w:p w14:paraId="604C0DE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Information for participants:</w:t>
            </w:r>
          </w:p>
        </w:tc>
        <w:tc>
          <w:tcPr>
            <w:tcW w:w="1134" w:type="dxa"/>
            <w:shd w:val="clear" w:color="auto" w:fill="F2F2F2"/>
            <w:vAlign w:val="bottom"/>
          </w:tcPr>
          <w:p w14:paraId="60BF10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1CE2D23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44A858E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tcPr>
          <w:p w14:paraId="09689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0D46902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22A2EABC" w14:textId="77777777" w:rsidTr="009F7571">
        <w:trPr>
          <w:trHeight w:val="439"/>
        </w:trPr>
        <w:tc>
          <w:tcPr>
            <w:tcW w:w="6629" w:type="dxa"/>
            <w:shd w:val="clear" w:color="auto" w:fill="F2F2F2"/>
            <w:vAlign w:val="center"/>
          </w:tcPr>
          <w:p w14:paraId="3CAD381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eastAsia="Times New Roman" w:hAnsi="Arial" w:cs="Arial"/>
              </w:rPr>
              <w:id w:val="638854427"/>
              <w14:checkbox>
                <w14:checked w14:val="1"/>
                <w14:checkedState w14:val="2612" w14:font="MS Gothic"/>
                <w14:uncheckedState w14:val="2610" w14:font="MS Gothic"/>
              </w14:checkbox>
            </w:sdtPr>
            <w:sdtContent>
              <w:p w14:paraId="5C4DADD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Content>
              <w:p w14:paraId="2B13B3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18272357"/>
              <w14:checkbox>
                <w14:checked w14:val="0"/>
                <w14:checkedState w14:val="2612" w14:font="MS Gothic"/>
                <w14:uncheckedState w14:val="2610" w14:font="MS Gothic"/>
              </w14:checkbox>
            </w:sdtPr>
            <w:sdtContent>
              <w:p w14:paraId="2DCCBE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79B03DD" w14:textId="77777777" w:rsidTr="009F7571">
        <w:trPr>
          <w:trHeight w:val="403"/>
        </w:trPr>
        <w:tc>
          <w:tcPr>
            <w:tcW w:w="6629" w:type="dxa"/>
            <w:shd w:val="clear" w:color="auto" w:fill="F2F2F2"/>
            <w:vAlign w:val="center"/>
          </w:tcPr>
          <w:p w14:paraId="5F14001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participation is voluntary?</w:t>
            </w:r>
          </w:p>
        </w:tc>
        <w:tc>
          <w:tcPr>
            <w:tcW w:w="1134" w:type="dxa"/>
            <w:shd w:val="clear" w:color="auto" w:fill="BFBFBF"/>
            <w:vAlign w:val="center"/>
          </w:tcPr>
          <w:sdt>
            <w:sdtPr>
              <w:rPr>
                <w:rFonts w:ascii="Arial" w:eastAsia="Times New Roman" w:hAnsi="Arial" w:cs="Arial"/>
              </w:rPr>
              <w:id w:val="1917978816"/>
              <w14:checkbox>
                <w14:checked w14:val="1"/>
                <w14:checkedState w14:val="2612" w14:font="MS Gothic"/>
                <w14:uncheckedState w14:val="2610" w14:font="MS Gothic"/>
              </w14:checkbox>
            </w:sdtPr>
            <w:sdtContent>
              <w:p w14:paraId="1D5566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Content>
              <w:p w14:paraId="703F85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4613576"/>
              <w14:checkbox>
                <w14:checked w14:val="0"/>
                <w14:checkedState w14:val="2612" w14:font="MS Gothic"/>
                <w14:uncheckedState w14:val="2610" w14:font="MS Gothic"/>
              </w14:checkbox>
            </w:sdtPr>
            <w:sdtContent>
              <w:p w14:paraId="4FE0369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03E1CF" w14:textId="77777777" w:rsidTr="009F7571">
        <w:trPr>
          <w:trHeight w:val="439"/>
        </w:trPr>
        <w:tc>
          <w:tcPr>
            <w:tcW w:w="6629" w:type="dxa"/>
            <w:shd w:val="clear" w:color="auto" w:fill="F2F2F2"/>
            <w:vAlign w:val="center"/>
          </w:tcPr>
          <w:p w14:paraId="40F01A4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obtain written consent for participation?</w:t>
            </w:r>
          </w:p>
        </w:tc>
        <w:tc>
          <w:tcPr>
            <w:tcW w:w="1134" w:type="dxa"/>
            <w:shd w:val="clear" w:color="auto" w:fill="BFBFBF"/>
            <w:vAlign w:val="center"/>
          </w:tcPr>
          <w:sdt>
            <w:sdtPr>
              <w:rPr>
                <w:rFonts w:ascii="Arial" w:eastAsia="Times New Roman" w:hAnsi="Arial" w:cs="Arial"/>
              </w:rPr>
              <w:id w:val="173071009"/>
              <w14:checkbox>
                <w14:checked w14:val="1"/>
                <w14:checkedState w14:val="2612" w14:font="MS Gothic"/>
                <w14:uncheckedState w14:val="2610" w14:font="MS Gothic"/>
              </w14:checkbox>
            </w:sdtPr>
            <w:sdtContent>
              <w:p w14:paraId="562D5D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Content>
              <w:p w14:paraId="2556AEB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46200750"/>
              <w14:checkbox>
                <w14:checked w14:val="0"/>
                <w14:checkedState w14:val="2612" w14:font="MS Gothic"/>
                <w14:uncheckedState w14:val="2610" w14:font="MS Gothic"/>
              </w14:checkbox>
            </w:sdtPr>
            <w:sdtContent>
              <w:p w14:paraId="097935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99EBA22" w14:textId="77777777" w:rsidTr="009F7571">
        <w:trPr>
          <w:trHeight w:val="403"/>
        </w:trPr>
        <w:tc>
          <w:tcPr>
            <w:tcW w:w="6629" w:type="dxa"/>
            <w:shd w:val="clear" w:color="auto" w:fill="F2F2F2"/>
            <w:vAlign w:val="center"/>
          </w:tcPr>
          <w:p w14:paraId="51FA66B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eastAsia="Times New Roman" w:hAnsi="Arial" w:cs="Arial"/>
              </w:rPr>
              <w:id w:val="1907947677"/>
              <w14:checkbox>
                <w14:checked w14:val="0"/>
                <w14:checkedState w14:val="2612" w14:font="MS Gothic"/>
                <w14:uncheckedState w14:val="2610" w14:font="MS Gothic"/>
              </w14:checkbox>
            </w:sdtPr>
            <w:sdtContent>
              <w:p w14:paraId="0E42596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Content>
              <w:p w14:paraId="226BF0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33887313"/>
              <w14:checkbox>
                <w14:checked w14:val="1"/>
                <w14:checkedState w14:val="2612" w14:font="MS Gothic"/>
                <w14:uncheckedState w14:val="2610" w14:font="MS Gothic"/>
              </w14:checkbox>
            </w:sdtPr>
            <w:sdtContent>
              <w:p w14:paraId="21F9076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BFC311" w14:textId="77777777" w:rsidTr="009F7571">
        <w:trPr>
          <w:trHeight w:val="439"/>
        </w:trPr>
        <w:tc>
          <w:tcPr>
            <w:tcW w:w="6629" w:type="dxa"/>
            <w:shd w:val="clear" w:color="auto" w:fill="F2F2F2"/>
            <w:vAlign w:val="center"/>
          </w:tcPr>
          <w:p w14:paraId="0957ACE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the research is observational, will you ask participants for their consent to being observed?</w:t>
            </w:r>
          </w:p>
        </w:tc>
        <w:tc>
          <w:tcPr>
            <w:tcW w:w="1134" w:type="dxa"/>
            <w:shd w:val="clear" w:color="auto" w:fill="BFBFBF"/>
            <w:vAlign w:val="center"/>
          </w:tcPr>
          <w:sdt>
            <w:sdtPr>
              <w:rPr>
                <w:rFonts w:ascii="Arial" w:eastAsia="Times New Roman" w:hAnsi="Arial" w:cs="Arial"/>
              </w:rPr>
              <w:id w:val="-65498961"/>
              <w14:checkbox>
                <w14:checked w14:val="0"/>
                <w14:checkedState w14:val="2612" w14:font="MS Gothic"/>
                <w14:uncheckedState w14:val="2610" w14:font="MS Gothic"/>
              </w14:checkbox>
            </w:sdtPr>
            <w:sdtContent>
              <w:p w14:paraId="038FF7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Content>
              <w:p w14:paraId="450D1EF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43242132"/>
              <w14:checkbox>
                <w14:checked w14:val="1"/>
                <w14:checkedState w14:val="2612" w14:font="MS Gothic"/>
                <w14:uncheckedState w14:val="2610" w14:font="MS Gothic"/>
              </w14:checkbox>
            </w:sdtPr>
            <w:sdtContent>
              <w:p w14:paraId="236A36A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F6B8E9E" w14:textId="77777777" w:rsidTr="009F7571">
        <w:trPr>
          <w:trHeight w:val="403"/>
        </w:trPr>
        <w:tc>
          <w:tcPr>
            <w:tcW w:w="6629" w:type="dxa"/>
            <w:shd w:val="clear" w:color="auto" w:fill="F2F2F2"/>
            <w:vAlign w:val="center"/>
          </w:tcPr>
          <w:p w14:paraId="23AB3C9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they may withdraw from the research at any time and for any reason?</w:t>
            </w:r>
          </w:p>
        </w:tc>
        <w:tc>
          <w:tcPr>
            <w:tcW w:w="1134" w:type="dxa"/>
            <w:shd w:val="clear" w:color="auto" w:fill="BFBFBF"/>
            <w:vAlign w:val="center"/>
          </w:tcPr>
          <w:sdt>
            <w:sdtPr>
              <w:rPr>
                <w:rFonts w:ascii="Arial" w:eastAsia="Times New Roman" w:hAnsi="Arial" w:cs="Arial"/>
              </w:rPr>
              <w:id w:val="-1689744163"/>
              <w14:checkbox>
                <w14:checked w14:val="1"/>
                <w14:checkedState w14:val="2612" w14:font="MS Gothic"/>
                <w14:uncheckedState w14:val="2610" w14:font="MS Gothic"/>
              </w14:checkbox>
            </w:sdtPr>
            <w:sdtContent>
              <w:p w14:paraId="7B3F54E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Content>
              <w:p w14:paraId="47A8ED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70004211"/>
              <w14:checkbox>
                <w14:checked w14:val="0"/>
                <w14:checkedState w14:val="2612" w14:font="MS Gothic"/>
                <w14:uncheckedState w14:val="2610" w14:font="MS Gothic"/>
              </w14:checkbox>
            </w:sdtPr>
            <w:sdtContent>
              <w:p w14:paraId="36B2AB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25BC523" w14:textId="77777777" w:rsidTr="009F7571">
        <w:trPr>
          <w:trHeight w:val="439"/>
        </w:trPr>
        <w:tc>
          <w:tcPr>
            <w:tcW w:w="6629" w:type="dxa"/>
            <w:shd w:val="clear" w:color="auto" w:fill="F2F2F2"/>
            <w:vAlign w:val="center"/>
          </w:tcPr>
          <w:p w14:paraId="5C4B3A2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eastAsia="Times New Roman" w:hAnsi="Arial" w:cs="Arial"/>
              </w:rPr>
              <w:id w:val="-120004605"/>
              <w14:checkbox>
                <w14:checked w14:val="1"/>
                <w14:checkedState w14:val="2612" w14:font="MS Gothic"/>
                <w14:uncheckedState w14:val="2610" w14:font="MS Gothic"/>
              </w14:checkbox>
            </w:sdtPr>
            <w:sdtContent>
              <w:p w14:paraId="4D030C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Content>
              <w:p w14:paraId="0916147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125454"/>
              <w14:checkbox>
                <w14:checked w14:val="0"/>
                <w14:checkedState w14:val="2612" w14:font="MS Gothic"/>
                <w14:uncheckedState w14:val="2610" w14:font="MS Gothic"/>
              </w14:checkbox>
            </w:sdtPr>
            <w:sdtContent>
              <w:p w14:paraId="2F1ACDF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64E08C4" w14:textId="77777777" w:rsidTr="009F7571">
        <w:trPr>
          <w:trHeight w:val="403"/>
        </w:trPr>
        <w:tc>
          <w:tcPr>
            <w:tcW w:w="6629" w:type="dxa"/>
            <w:shd w:val="clear" w:color="auto" w:fill="F2F2F2"/>
            <w:vAlign w:val="center"/>
          </w:tcPr>
          <w:p w14:paraId="05A68B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eastAsia="Times New Roman" w:hAnsi="Arial" w:cs="Arial"/>
              </w:rPr>
              <w:id w:val="96221617"/>
              <w14:checkbox>
                <w14:checked w14:val="1"/>
                <w14:checkedState w14:val="2612" w14:font="MS Gothic"/>
                <w14:uncheckedState w14:val="2610" w14:font="MS Gothic"/>
              </w14:checkbox>
            </w:sdtPr>
            <w:sdtContent>
              <w:p w14:paraId="614B71B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Content>
              <w:p w14:paraId="2656E2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61819308"/>
              <w14:checkbox>
                <w14:checked w14:val="0"/>
                <w14:checkedState w14:val="2612" w14:font="MS Gothic"/>
                <w14:uncheckedState w14:val="2610" w14:font="MS Gothic"/>
              </w14:checkbox>
            </w:sdtPr>
            <w:sdtContent>
              <w:p w14:paraId="6E4ACA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AE6151" w14:textId="77777777" w:rsidTr="009F7571">
        <w:trPr>
          <w:trHeight w:val="439"/>
        </w:trPr>
        <w:tc>
          <w:tcPr>
            <w:tcW w:w="6629" w:type="dxa"/>
            <w:shd w:val="clear" w:color="auto" w:fill="F2F2F2"/>
            <w:vAlign w:val="center"/>
          </w:tcPr>
          <w:p w14:paraId="3AB330C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eastAsia="Times New Roman" w:hAnsi="Arial" w:cs="Arial"/>
              </w:rPr>
              <w:id w:val="1507015635"/>
              <w14:checkbox>
                <w14:checked w14:val="1"/>
                <w14:checkedState w14:val="2612" w14:font="MS Gothic"/>
                <w14:uncheckedState w14:val="2610" w14:font="MS Gothic"/>
              </w14:checkbox>
            </w:sdtPr>
            <w:sdtContent>
              <w:p w14:paraId="076319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Content>
              <w:p w14:paraId="7FD67A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075428902"/>
              <w14:checkbox>
                <w14:checked w14:val="0"/>
                <w14:checkedState w14:val="2612" w14:font="MS Gothic"/>
                <w14:uncheckedState w14:val="2610" w14:font="MS Gothic"/>
              </w14:checkbox>
            </w:sdtPr>
            <w:sdtContent>
              <w:p w14:paraId="6228436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473A68A" w14:textId="77777777" w:rsidTr="009F7571">
        <w:trPr>
          <w:trHeight w:val="403"/>
        </w:trPr>
        <w:tc>
          <w:tcPr>
            <w:tcW w:w="9889" w:type="dxa"/>
            <w:gridSpan w:val="4"/>
            <w:shd w:val="clear" w:color="auto" w:fill="F2F2F2"/>
            <w:vAlign w:val="center"/>
          </w:tcPr>
          <w:p w14:paraId="65D842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NO</w:t>
            </w:r>
            <w:r w:rsidRPr="009F7571">
              <w:rPr>
                <w:rFonts w:ascii="Arial" w:eastAsia="Times New Roman" w:hAnsi="Arial" w:cs="Arial"/>
                <w:b/>
                <w:bCs/>
              </w:rPr>
              <w:t xml:space="preserve"> </w:t>
            </w:r>
            <w:r w:rsidRPr="009F7571">
              <w:rPr>
                <w:rFonts w:ascii="Arial" w:eastAsia="Times New Roman" w:hAnsi="Arial" w:cs="Arial"/>
              </w:rPr>
              <w:t xml:space="preserve">to any of above questions, please give an explanation </w:t>
            </w:r>
          </w:p>
        </w:tc>
      </w:tr>
      <w:tr w:rsidR="009F7571" w:rsidRPr="009F7571" w14:paraId="3448496A" w14:textId="77777777" w:rsidTr="00DC521F">
        <w:trPr>
          <w:trHeight w:val="403"/>
        </w:trPr>
        <w:tc>
          <w:tcPr>
            <w:tcW w:w="9889" w:type="dxa"/>
            <w:gridSpan w:val="4"/>
            <w:vAlign w:val="center"/>
          </w:tcPr>
          <w:p w14:paraId="53C8C29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DD04A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50740B2"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249CCF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543537C1" w14:textId="77777777" w:rsidR="009F7571" w:rsidRPr="009F7571" w:rsidRDefault="009F7571" w:rsidP="009F7571">
      <w:pPr>
        <w:spacing w:after="0" w:line="240" w:lineRule="auto"/>
        <w:rPr>
          <w:rFonts w:ascii="Arial" w:eastAsia="Times New Roman" w:hAnsi="Arial" w:cs="Arial"/>
        </w:rPr>
      </w:pPr>
    </w:p>
    <w:p w14:paraId="18A8D58F" w14:textId="77777777" w:rsidR="009F7571" w:rsidRPr="009F7571" w:rsidRDefault="009F7571" w:rsidP="009F7571">
      <w:pPr>
        <w:spacing w:after="0" w:line="240" w:lineRule="auto"/>
        <w:rPr>
          <w:rFonts w:ascii="Arial" w:eastAsia="Times New Roman" w:hAnsi="Arial" w:cs="Arial"/>
        </w:rPr>
      </w:pPr>
    </w:p>
    <w:p w14:paraId="20159EC0"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263C8F86" w14:textId="77777777" w:rsidTr="009F7571">
        <w:tc>
          <w:tcPr>
            <w:tcW w:w="6629" w:type="dxa"/>
            <w:shd w:val="clear" w:color="auto" w:fill="F2F2F2"/>
          </w:tcPr>
          <w:p w14:paraId="7877F062"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lastRenderedPageBreak/>
              <w:t>Information for participants:</w:t>
            </w:r>
          </w:p>
        </w:tc>
        <w:tc>
          <w:tcPr>
            <w:tcW w:w="1134" w:type="dxa"/>
            <w:shd w:val="clear" w:color="auto" w:fill="F2F2F2"/>
            <w:vAlign w:val="bottom"/>
          </w:tcPr>
          <w:p w14:paraId="2C4DC82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3F035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7EFE86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vAlign w:val="bottom"/>
          </w:tcPr>
          <w:p w14:paraId="0568F47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26765F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307022F3" w14:textId="77777777" w:rsidTr="009F7571">
        <w:trPr>
          <w:trHeight w:val="439"/>
        </w:trPr>
        <w:tc>
          <w:tcPr>
            <w:tcW w:w="6629" w:type="dxa"/>
            <w:shd w:val="clear" w:color="auto" w:fill="F2F2F2"/>
            <w:vAlign w:val="center"/>
          </w:tcPr>
          <w:p w14:paraId="7C5ABF5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participants be paid?</w:t>
            </w:r>
          </w:p>
        </w:tc>
        <w:tc>
          <w:tcPr>
            <w:tcW w:w="1134" w:type="dxa"/>
            <w:shd w:val="clear" w:color="auto" w:fill="BFBFBF"/>
            <w:vAlign w:val="center"/>
          </w:tcPr>
          <w:sdt>
            <w:sdtPr>
              <w:rPr>
                <w:rFonts w:ascii="Arial" w:eastAsia="Times New Roman" w:hAnsi="Arial" w:cs="Arial"/>
              </w:rPr>
              <w:id w:val="51043762"/>
              <w14:checkbox>
                <w14:checked w14:val="0"/>
                <w14:checkedState w14:val="2612" w14:font="MS Gothic"/>
                <w14:uncheckedState w14:val="2610" w14:font="MS Gothic"/>
              </w14:checkbox>
            </w:sdtPr>
            <w:sdtContent>
              <w:p w14:paraId="406BB7F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Content>
              <w:p w14:paraId="7F7D314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34219724"/>
              <w14:checkbox>
                <w14:checked w14:val="0"/>
                <w14:checkedState w14:val="2612" w14:font="MS Gothic"/>
                <w14:uncheckedState w14:val="2610" w14:font="MS Gothic"/>
              </w14:checkbox>
            </w:sdtPr>
            <w:sdtContent>
              <w:p w14:paraId="00D96E7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6A95D90" w14:textId="77777777" w:rsidTr="009F7571">
        <w:trPr>
          <w:trHeight w:val="403"/>
        </w:trPr>
        <w:tc>
          <w:tcPr>
            <w:tcW w:w="6629" w:type="dxa"/>
            <w:shd w:val="clear" w:color="auto" w:fill="F2F2F2"/>
            <w:vAlign w:val="center"/>
          </w:tcPr>
          <w:p w14:paraId="58F99B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Is specialist electrical or other equipment to be used with participants?</w:t>
            </w:r>
          </w:p>
        </w:tc>
        <w:tc>
          <w:tcPr>
            <w:tcW w:w="1134" w:type="dxa"/>
            <w:shd w:val="clear" w:color="auto" w:fill="BFBFBF"/>
            <w:vAlign w:val="center"/>
          </w:tcPr>
          <w:sdt>
            <w:sdtPr>
              <w:rPr>
                <w:rFonts w:ascii="Arial" w:eastAsia="Times New Roman" w:hAnsi="Arial" w:cs="Arial"/>
              </w:rPr>
              <w:id w:val="-1438982454"/>
              <w14:checkbox>
                <w14:checked w14:val="0"/>
                <w14:checkedState w14:val="2612" w14:font="MS Gothic"/>
                <w14:uncheckedState w14:val="2610" w14:font="MS Gothic"/>
              </w14:checkbox>
            </w:sdtPr>
            <w:sdtContent>
              <w:p w14:paraId="7AE065D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089267095"/>
              <w14:checkbox>
                <w14:checked w14:val="1"/>
                <w14:checkedState w14:val="2612" w14:font="MS Gothic"/>
                <w14:uncheckedState w14:val="2610" w14:font="MS Gothic"/>
              </w14:checkbox>
            </w:sdtPr>
            <w:sdtContent>
              <w:p w14:paraId="0DAF15C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25468845"/>
              <w14:checkbox>
                <w14:checked w14:val="0"/>
                <w14:checkedState w14:val="2612" w14:font="MS Gothic"/>
                <w14:uncheckedState w14:val="2610" w14:font="MS Gothic"/>
              </w14:checkbox>
            </w:sdtPr>
            <w:sdtContent>
              <w:p w14:paraId="10E39A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701D01D" w14:textId="77777777" w:rsidTr="009F7571">
        <w:trPr>
          <w:trHeight w:val="439"/>
        </w:trPr>
        <w:tc>
          <w:tcPr>
            <w:tcW w:w="6629" w:type="dxa"/>
            <w:shd w:val="clear" w:color="auto" w:fill="F2F2F2"/>
            <w:vAlign w:val="center"/>
          </w:tcPr>
          <w:p w14:paraId="2A7715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Are there any financial or other interests to the investigator or University arising from this study?</w:t>
            </w:r>
          </w:p>
        </w:tc>
        <w:tc>
          <w:tcPr>
            <w:tcW w:w="1134" w:type="dxa"/>
            <w:shd w:val="clear" w:color="auto" w:fill="BFBFBF"/>
            <w:vAlign w:val="center"/>
          </w:tcPr>
          <w:sdt>
            <w:sdtPr>
              <w:rPr>
                <w:rFonts w:ascii="Arial" w:eastAsia="Times New Roman" w:hAnsi="Arial" w:cs="Arial"/>
              </w:rPr>
              <w:id w:val="-225606969"/>
              <w14:checkbox>
                <w14:checked w14:val="0"/>
                <w14:checkedState w14:val="2612" w14:font="MS Gothic"/>
                <w14:uncheckedState w14:val="2610" w14:font="MS Gothic"/>
              </w14:checkbox>
            </w:sdtPr>
            <w:sdtContent>
              <w:p w14:paraId="35899E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Content>
              <w:p w14:paraId="7B932A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33575194"/>
              <w14:checkbox>
                <w14:checked w14:val="0"/>
                <w14:checkedState w14:val="2612" w14:font="MS Gothic"/>
                <w14:uncheckedState w14:val="2610" w14:font="MS Gothic"/>
              </w14:checkbox>
            </w:sdtPr>
            <w:sdtContent>
              <w:p w14:paraId="57C90CE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4251E64" w14:textId="77777777" w:rsidTr="009F7571">
        <w:trPr>
          <w:trHeight w:val="403"/>
        </w:trPr>
        <w:tc>
          <w:tcPr>
            <w:tcW w:w="6629" w:type="dxa"/>
            <w:shd w:val="clear" w:color="auto" w:fill="F2F2F2"/>
            <w:vAlign w:val="center"/>
          </w:tcPr>
          <w:p w14:paraId="7B99D79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eastAsia="Times New Roman" w:hAnsi="Arial" w:cs="Arial"/>
              </w:rPr>
              <w:id w:val="-873932248"/>
              <w14:checkbox>
                <w14:checked w14:val="0"/>
                <w14:checkedState w14:val="2612" w14:font="MS Gothic"/>
                <w14:uncheckedState w14:val="2610" w14:font="MS Gothic"/>
              </w14:checkbox>
            </w:sdtPr>
            <w:sdtContent>
              <w:p w14:paraId="57F029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Content>
              <w:p w14:paraId="338619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14328365"/>
              <w14:checkbox>
                <w14:checked w14:val="0"/>
                <w14:checkedState w14:val="2612" w14:font="MS Gothic"/>
                <w14:uncheckedState w14:val="2610" w14:font="MS Gothic"/>
              </w14:checkbox>
            </w:sdtPr>
            <w:sdtContent>
              <w:p w14:paraId="3A8890B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E3646B4" w14:textId="77777777" w:rsidTr="009F7571">
        <w:trPr>
          <w:trHeight w:val="403"/>
        </w:trPr>
        <w:tc>
          <w:tcPr>
            <w:tcW w:w="9889" w:type="dxa"/>
            <w:gridSpan w:val="4"/>
            <w:shd w:val="clear" w:color="auto" w:fill="F2F2F2"/>
            <w:vAlign w:val="center"/>
          </w:tcPr>
          <w:p w14:paraId="3F0BAE9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p>
        </w:tc>
      </w:tr>
      <w:tr w:rsidR="009F7571" w:rsidRPr="009F7571" w14:paraId="5D86937D" w14:textId="77777777" w:rsidTr="00DC521F">
        <w:trPr>
          <w:trHeight w:val="403"/>
        </w:trPr>
        <w:tc>
          <w:tcPr>
            <w:tcW w:w="9889" w:type="dxa"/>
            <w:gridSpan w:val="4"/>
            <w:vAlign w:val="center"/>
          </w:tcPr>
          <w:p w14:paraId="43432B6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E5CBB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4C5F50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556EB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0ED5173A" w14:textId="77777777" w:rsidR="009F7571" w:rsidRPr="009F7571" w:rsidRDefault="009F7571" w:rsidP="009F7571">
      <w:pPr>
        <w:spacing w:after="0" w:line="240" w:lineRule="auto"/>
        <w:rPr>
          <w:rFonts w:ascii="Arial" w:eastAsia="Times New Roman" w:hAnsi="Arial" w:cs="Arial"/>
        </w:rPr>
      </w:pPr>
    </w:p>
    <w:p w14:paraId="1FE8C65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br w:type="page"/>
      </w:r>
    </w:p>
    <w:p w14:paraId="400EC3C3"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H: Anticipated Risks</w:t>
      </w:r>
    </w:p>
    <w:p w14:paraId="1178F1D9"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5169294" w14:textId="77777777" w:rsidTr="009F7571">
        <w:tc>
          <w:tcPr>
            <w:tcW w:w="9923" w:type="dxa"/>
            <w:tcBorders>
              <w:bottom w:val="single" w:sz="4" w:space="0" w:color="auto"/>
            </w:tcBorders>
            <w:shd w:val="clear" w:color="auto" w:fill="F2F2F2"/>
          </w:tcPr>
          <w:p w14:paraId="67E2DBC9" w14:textId="77777777" w:rsidR="009F7571" w:rsidRPr="009F7571" w:rsidRDefault="009F7571" w:rsidP="00DD3935">
            <w:pPr>
              <w:rPr>
                <w:rFonts w:ascii="Arial" w:eastAsia="Times New Roman" w:hAnsi="Arial" w:cs="Arial"/>
                <w:b/>
                <w:bCs/>
              </w:rPr>
            </w:pPr>
            <w:r w:rsidRPr="009F7571">
              <w:rPr>
                <w:rFonts w:ascii="Arial" w:eastAsia="Times New Roman" w:hAnsi="Arial" w:cs="Arial"/>
                <w:b/>
                <w:bCs/>
              </w:rPr>
              <w:br w:type="page"/>
              <w:t>Outline any anticipated risks</w:t>
            </w:r>
            <w:r w:rsidRPr="009F7571">
              <w:rPr>
                <w:rFonts w:ascii="Arial" w:eastAsia="SimSun" w:hAnsi="Arial" w:cs="Arial"/>
                <w:b/>
                <w:bCs/>
                <w:lang w:eastAsia="zh-CN"/>
              </w:rPr>
              <w:t xml:space="preserve"> </w:t>
            </w:r>
            <w:r w:rsidRPr="009F7571">
              <w:rPr>
                <w:rFonts w:ascii="Arial" w:eastAsia="Times New Roman" w:hAnsi="Arial" w:cs="Arial"/>
                <w:b/>
                <w:bCs/>
              </w:rPr>
              <w:t xml:space="preserve">that may adversely affect any of the participants, the researchers and/or the University, and the steps that will be taken to address them. </w:t>
            </w:r>
          </w:p>
        </w:tc>
      </w:tr>
      <w:tr w:rsidR="009F7571" w:rsidRPr="009F7571" w14:paraId="394BCAF9" w14:textId="77777777" w:rsidTr="00DC521F">
        <w:tc>
          <w:tcPr>
            <w:tcW w:w="9923" w:type="dxa"/>
            <w:tcBorders>
              <w:bottom w:val="single" w:sz="4" w:space="0" w:color="auto"/>
            </w:tcBorders>
          </w:tcPr>
          <w:p w14:paraId="4E01E219"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43A4AB4C" w14:textId="77777777" w:rsidTr="009F7571">
        <w:tc>
          <w:tcPr>
            <w:tcW w:w="9923" w:type="dxa"/>
            <w:tcBorders>
              <w:bottom w:val="single" w:sz="4" w:space="0" w:color="auto"/>
            </w:tcBorders>
            <w:shd w:val="clear" w:color="auto" w:fill="F2F2F2"/>
          </w:tcPr>
          <w:p w14:paraId="2BB68FE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participants</w:t>
            </w:r>
          </w:p>
          <w:p w14:paraId="15BB0B1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emotional distress, financial disclosure, physical harm, transfer of personal data, sensitive organisational information</w:t>
            </w:r>
          </w:p>
        </w:tc>
      </w:tr>
      <w:tr w:rsidR="009F7571" w:rsidRPr="009F7571" w14:paraId="4F084C9B" w14:textId="77777777" w:rsidTr="00DC521F">
        <w:tc>
          <w:tcPr>
            <w:tcW w:w="9923" w:type="dxa"/>
            <w:tcBorders>
              <w:top w:val="single" w:sz="4" w:space="0" w:color="auto"/>
              <w:bottom w:val="single" w:sz="4" w:space="0" w:color="auto"/>
            </w:tcBorders>
          </w:tcPr>
          <w:p w14:paraId="1F4C62D2"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Some questions posed to may be of a financial nature, and participants may feel uncomfortable disclosing this information and/or fearful that the information will be made known to others</w:t>
            </w:r>
          </w:p>
          <w:p w14:paraId="5077CE7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Participants may be reluctant to answer questions in environments where the can be overheard by staff or other customers</w:t>
            </w:r>
          </w:p>
          <w:p w14:paraId="1F3832E0"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may be registered customers with our library services and are likely to be asked questions about existing services on offer. They might have concerns that any negative response they give might be shared with staff, thereby affecting the customer-staff relationship. </w:t>
            </w:r>
          </w:p>
          <w:p w14:paraId="4A04831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Participants may be concerned about the storage of their data.</w:t>
            </w:r>
          </w:p>
          <w:p w14:paraId="2A258FF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E10368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32EAFD4E" w14:textId="77777777" w:rsidTr="00DC521F">
        <w:tc>
          <w:tcPr>
            <w:tcW w:w="9923" w:type="dxa"/>
            <w:tcBorders>
              <w:bottom w:val="single" w:sz="4" w:space="0" w:color="auto"/>
            </w:tcBorders>
          </w:tcPr>
          <w:p w14:paraId="0C6FAA75"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52A38CEE" w14:textId="77777777" w:rsidTr="009F7571">
        <w:tc>
          <w:tcPr>
            <w:tcW w:w="9923" w:type="dxa"/>
            <w:tcBorders>
              <w:bottom w:val="single" w:sz="4" w:space="0" w:color="auto"/>
            </w:tcBorders>
            <w:shd w:val="clear" w:color="auto" w:fill="F2F2F2"/>
          </w:tcPr>
          <w:p w14:paraId="7C0479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F757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F7571" w:rsidRPr="009F7571" w14:paraId="36CE045E" w14:textId="77777777" w:rsidTr="00DC521F">
        <w:tc>
          <w:tcPr>
            <w:tcW w:w="9923" w:type="dxa"/>
            <w:tcBorders>
              <w:top w:val="single" w:sz="4" w:space="0" w:color="auto"/>
              <w:bottom w:val="single" w:sz="4" w:space="0" w:color="auto"/>
            </w:tcBorders>
          </w:tcPr>
          <w:p w14:paraId="676277A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96134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36F103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101F331A" w14:textId="77777777" w:rsidTr="00DC521F">
        <w:tc>
          <w:tcPr>
            <w:tcW w:w="9923" w:type="dxa"/>
            <w:tcBorders>
              <w:top w:val="single" w:sz="4" w:space="0" w:color="auto"/>
              <w:bottom w:val="single" w:sz="4" w:space="0" w:color="auto"/>
            </w:tcBorders>
          </w:tcPr>
          <w:p w14:paraId="188A63B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73275DC5" w14:textId="77777777" w:rsidTr="009F7571">
        <w:tc>
          <w:tcPr>
            <w:tcW w:w="9923" w:type="dxa"/>
            <w:tcBorders>
              <w:top w:val="single" w:sz="4" w:space="0" w:color="auto"/>
              <w:bottom w:val="single" w:sz="4" w:space="0" w:color="auto"/>
            </w:tcBorders>
            <w:shd w:val="clear" w:color="auto" w:fill="F2F2F2"/>
          </w:tcPr>
          <w:p w14:paraId="17F82FF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investigator</w:t>
            </w:r>
          </w:p>
          <w:p w14:paraId="275496B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personal safety, physical harm, emotional distress, risk of accusation of harm/impropriety, conflict of interest</w:t>
            </w:r>
          </w:p>
        </w:tc>
      </w:tr>
      <w:tr w:rsidR="009F7571" w:rsidRPr="009F7571" w14:paraId="6AD7CDB6" w14:textId="77777777" w:rsidTr="00DC521F">
        <w:tc>
          <w:tcPr>
            <w:tcW w:w="9923" w:type="dxa"/>
            <w:tcBorders>
              <w:top w:val="single" w:sz="4" w:space="0" w:color="auto"/>
              <w:bottom w:val="single" w:sz="4" w:space="0" w:color="auto"/>
            </w:tcBorders>
          </w:tcPr>
          <w:p w14:paraId="4845469A"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 xml:space="preserve">Interviews conducted in private spaces may cause some concern to personal safety. </w:t>
            </w:r>
          </w:p>
          <w:p w14:paraId="24B25B7D"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Risk of bias. Interviewees are likely to be known to the researcher and/or staff as customers or volunteers at one of our cultural services facilities and may unconsciously wish to provide answers that fit with what they perceive I may wish to hear. There is also the potential for me to ask leading questions based on information I know about the individual.  Either of these scenarios could affect the quality and validity of my research.</w:t>
            </w:r>
          </w:p>
          <w:p w14:paraId="696C803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7F5B2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1BE79577" w14:textId="77777777" w:rsidTr="00DC521F">
        <w:tc>
          <w:tcPr>
            <w:tcW w:w="9923" w:type="dxa"/>
            <w:tcBorders>
              <w:top w:val="single" w:sz="4" w:space="0" w:color="auto"/>
              <w:bottom w:val="single" w:sz="4" w:space="0" w:color="auto"/>
            </w:tcBorders>
          </w:tcPr>
          <w:p w14:paraId="73FBBF52"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0E016C9" w14:textId="77777777" w:rsidTr="009F7571">
        <w:tc>
          <w:tcPr>
            <w:tcW w:w="9923" w:type="dxa"/>
            <w:tcBorders>
              <w:top w:val="single" w:sz="4" w:space="0" w:color="auto"/>
              <w:bottom w:val="single" w:sz="4" w:space="0" w:color="auto"/>
            </w:tcBorders>
            <w:shd w:val="clear" w:color="auto" w:fill="F2F2F2"/>
          </w:tcPr>
          <w:p w14:paraId="1E5DC6A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University/institutional risks</w:t>
            </w:r>
          </w:p>
          <w:p w14:paraId="0E99E48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adverse publicity, financial loss, data protection</w:t>
            </w:r>
          </w:p>
        </w:tc>
      </w:tr>
      <w:tr w:rsidR="009F7571" w:rsidRPr="009F7571" w14:paraId="3931466A" w14:textId="77777777" w:rsidTr="00DC521F">
        <w:tc>
          <w:tcPr>
            <w:tcW w:w="9923" w:type="dxa"/>
            <w:tcBorders>
              <w:top w:val="single" w:sz="4" w:space="0" w:color="auto"/>
              <w:bottom w:val="single" w:sz="4" w:space="0" w:color="auto"/>
            </w:tcBorders>
          </w:tcPr>
          <w:p w14:paraId="6FD6E26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Risk of data compliance breach.</w:t>
            </w:r>
          </w:p>
          <w:p w14:paraId="21B86AE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AE9DF88"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386F056C" w14:textId="77777777" w:rsidTr="00DC521F">
        <w:tc>
          <w:tcPr>
            <w:tcW w:w="9923" w:type="dxa"/>
            <w:tcBorders>
              <w:top w:val="single" w:sz="4" w:space="0" w:color="auto"/>
              <w:bottom w:val="single" w:sz="4" w:space="0" w:color="auto"/>
            </w:tcBorders>
          </w:tcPr>
          <w:p w14:paraId="32671A77"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1B055622" w14:textId="77777777" w:rsidTr="009F7571">
        <w:tc>
          <w:tcPr>
            <w:tcW w:w="9923" w:type="dxa"/>
            <w:tcBorders>
              <w:top w:val="single" w:sz="4" w:space="0" w:color="auto"/>
              <w:bottom w:val="single" w:sz="4" w:space="0" w:color="auto"/>
            </w:tcBorders>
            <w:shd w:val="clear" w:color="auto" w:fill="F2F2F2"/>
          </w:tcPr>
          <w:p w14:paraId="162FD0E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Adverse outcomes</w:t>
            </w:r>
          </w:p>
          <w:p w14:paraId="436F2C5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List measures put in place to limit any adverse effects or outcomes of research activity where appropriate. Include any emergency protocols. </w:t>
            </w:r>
          </w:p>
        </w:tc>
      </w:tr>
      <w:tr w:rsidR="009F7571" w:rsidRPr="009F7571" w14:paraId="3C2AF0DF" w14:textId="77777777" w:rsidTr="00DC521F">
        <w:tc>
          <w:tcPr>
            <w:tcW w:w="9923" w:type="dxa"/>
            <w:tcBorders>
              <w:top w:val="single" w:sz="4" w:space="0" w:color="auto"/>
              <w:bottom w:val="single" w:sz="4" w:space="0" w:color="auto"/>
            </w:tcBorders>
          </w:tcPr>
          <w:p w14:paraId="36C61D3C"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will be advised of the nature of the questions in writing ahead of the interview, and again verbally at the outset of the meeting, and will be advised that they will not be expected to share any detail that they would prefer not to disclose. They will also be advised </w:t>
            </w:r>
            <w:r w:rsidRPr="009F7571">
              <w:rPr>
                <w:rFonts w:ascii="Arial" w:hAnsi="Arial" w:cs="Arial"/>
              </w:rPr>
              <w:lastRenderedPageBreak/>
              <w:t>of the process for ensuring anonymity and data protection. Online questionnaires will also detail the same information before the first question.</w:t>
            </w:r>
          </w:p>
          <w:p w14:paraId="695C5A3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 xml:space="preserve">All interviews will be conducted in private meeting spaces at a library/museum/archive site. To avoid risk of participants feeling uncomfortable attending an unsupervised interview, they will be advised of the meeting set-up ahead of the agreed date and notified that they will be able to sign in/out on arrival/departure, and that other staff in the building will be aware of their visit. Participants will have the option to agree the location of the interview before their visit. I have an enhanced DBS check that covers children and vulnerable adults, however neither of these groups will be approached for participation. </w:t>
            </w:r>
          </w:p>
          <w:p w14:paraId="16FCEA03"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Participants will be advised in writing, and verbally, of confidentiality measures in place and the protection of their data. All personal information about registered customers is protected by Powys County Council’s data protection regulations, in line with national GDPR guidance.</w:t>
            </w:r>
          </w:p>
          <w:p w14:paraId="7FAA314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Meetings will not be conducted on days where no other members of staff are present on site, and colleagues will be notified of the arrival/departure of participants and of the space where the interview will be conducted. Careline alarm systems are in place at all facilities, which allow staff (me) to raise an alarm if any threat is perceived.</w:t>
            </w:r>
          </w:p>
          <w:p w14:paraId="3F308559"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Mitigation of bias will be met through adherence to best practice guidelines in academic research.</w:t>
            </w:r>
          </w:p>
          <w:p w14:paraId="43786F30"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Risks to the university will be mitigated by strict adherence to anonymity and GDPR regulations.</w:t>
            </w:r>
          </w:p>
          <w:p w14:paraId="7E4E65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0A02EAA"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bl>
    <w:p w14:paraId="56676EEE" w14:textId="77777777" w:rsidR="009F7571" w:rsidRPr="009F7571" w:rsidRDefault="009F7571" w:rsidP="009F7571">
      <w:pPr>
        <w:spacing w:after="0" w:line="240" w:lineRule="auto"/>
        <w:rPr>
          <w:rFonts w:ascii="Arial" w:eastAsia="Times New Roman" w:hAnsi="Arial" w:cs="Arial"/>
          <w:bCs/>
        </w:rPr>
      </w:pPr>
    </w:p>
    <w:p w14:paraId="59178B15" w14:textId="77777777" w:rsidR="009F7571" w:rsidRPr="009F7571" w:rsidRDefault="009F7571" w:rsidP="009F7571">
      <w:pPr>
        <w:spacing w:after="0" w:line="240" w:lineRule="auto"/>
        <w:rPr>
          <w:rFonts w:ascii="Arial" w:eastAsia="Times New Roman" w:hAnsi="Arial" w:cs="Arial"/>
          <w:bCs/>
        </w:rPr>
      </w:pPr>
    </w:p>
    <w:p w14:paraId="773F90AC" w14:textId="77777777" w:rsidR="009F7571" w:rsidRPr="009F7571" w:rsidRDefault="009F7571" w:rsidP="009F757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F7571" w:rsidRPr="009F7571" w14:paraId="376BF499" w14:textId="77777777" w:rsidTr="009F7571">
        <w:tc>
          <w:tcPr>
            <w:tcW w:w="9923" w:type="dxa"/>
            <w:gridSpan w:val="4"/>
            <w:tcBorders>
              <w:top w:val="single" w:sz="4" w:space="0" w:color="auto"/>
              <w:bottom w:val="single" w:sz="4" w:space="0" w:color="auto"/>
            </w:tcBorders>
            <w:shd w:val="clear" w:color="auto" w:fill="F2F2F2"/>
          </w:tcPr>
          <w:p w14:paraId="5C9E13D7" w14:textId="77777777" w:rsidR="009F7571" w:rsidRPr="009F7571" w:rsidRDefault="009F7571" w:rsidP="009F7571">
            <w:pPr>
              <w:autoSpaceDE w:val="0"/>
              <w:autoSpaceDN w:val="0"/>
              <w:adjustRightInd w:val="0"/>
              <w:spacing w:after="0" w:line="240" w:lineRule="auto"/>
              <w:rPr>
                <w:rFonts w:ascii="Arial" w:eastAsia="Times New Roman" w:hAnsi="Arial" w:cs="Arial"/>
                <w:b/>
              </w:rPr>
            </w:pPr>
            <w:r w:rsidRPr="009F7571">
              <w:rPr>
                <w:rFonts w:ascii="Arial" w:eastAsia="Times New Roman" w:hAnsi="Arial" w:cs="Arial"/>
                <w:b/>
              </w:rPr>
              <w:t>Disclosure and Barring Service</w:t>
            </w:r>
          </w:p>
        </w:tc>
      </w:tr>
      <w:tr w:rsidR="009F7571" w:rsidRPr="009F7571" w14:paraId="58CEC5E5" w14:textId="77777777" w:rsidTr="009F7571">
        <w:tc>
          <w:tcPr>
            <w:tcW w:w="6663" w:type="dxa"/>
            <w:tcBorders>
              <w:top w:val="single" w:sz="4" w:space="0" w:color="auto"/>
              <w:bottom w:val="single" w:sz="4" w:space="0" w:color="auto"/>
            </w:tcBorders>
            <w:shd w:val="clear" w:color="auto" w:fill="F2F2F2"/>
          </w:tcPr>
          <w:p w14:paraId="43937516"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r w:rsidRPr="009F757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AFFAF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DF1FC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17731EDF"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3673FC7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YES</w:t>
            </w:r>
          </w:p>
        </w:tc>
        <w:tc>
          <w:tcPr>
            <w:tcW w:w="992" w:type="dxa"/>
            <w:tcBorders>
              <w:top w:val="single" w:sz="4" w:space="0" w:color="auto"/>
              <w:bottom w:val="single" w:sz="4" w:space="0" w:color="auto"/>
            </w:tcBorders>
          </w:tcPr>
          <w:p w14:paraId="1AA96EE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711119B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38147459"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03C03F5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NO</w:t>
            </w:r>
          </w:p>
        </w:tc>
        <w:tc>
          <w:tcPr>
            <w:tcW w:w="1134" w:type="dxa"/>
            <w:tcBorders>
              <w:top w:val="single" w:sz="4" w:space="0" w:color="auto"/>
              <w:bottom w:val="single" w:sz="4" w:space="0" w:color="auto"/>
            </w:tcBorders>
          </w:tcPr>
          <w:p w14:paraId="014AD1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2E5821D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6162818"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1B0CE5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N/A</w:t>
            </w:r>
          </w:p>
        </w:tc>
      </w:tr>
      <w:tr w:rsidR="009F7571" w:rsidRPr="009F7571" w14:paraId="61604CFC" w14:textId="77777777" w:rsidTr="009F7571">
        <w:trPr>
          <w:trHeight w:val="492"/>
        </w:trPr>
        <w:tc>
          <w:tcPr>
            <w:tcW w:w="6663" w:type="dxa"/>
            <w:tcBorders>
              <w:top w:val="single" w:sz="4" w:space="0" w:color="auto"/>
              <w:bottom w:val="single" w:sz="4" w:space="0" w:color="auto"/>
            </w:tcBorders>
            <w:shd w:val="clear" w:color="auto" w:fill="F2F2F2"/>
            <w:vAlign w:val="center"/>
          </w:tcPr>
          <w:p w14:paraId="0F8AD3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801050368"/>
              <w14:checkbox>
                <w14:checked w14:val="0"/>
                <w14:checkedState w14:val="2612" w14:font="MS Gothic"/>
                <w14:uncheckedState w14:val="2610" w14:font="MS Gothic"/>
              </w14:checkbox>
            </w:sdtPr>
            <w:sdtContent>
              <w:p w14:paraId="5BECF7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720597319"/>
              <w14:checkbox>
                <w14:checked w14:val="0"/>
                <w14:checkedState w14:val="2612" w14:font="MS Gothic"/>
                <w14:uncheckedState w14:val="2610" w14:font="MS Gothic"/>
              </w14:checkbox>
            </w:sdtPr>
            <w:sdtContent>
              <w:p w14:paraId="2CE1DB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502505655"/>
              <w14:checkbox>
                <w14:checked w14:val="1"/>
                <w14:checkedState w14:val="2612" w14:font="MS Gothic"/>
                <w14:uncheckedState w14:val="2610" w14:font="MS Gothic"/>
              </w14:checkbox>
            </w:sdtPr>
            <w:sdtContent>
              <w:p w14:paraId="6FA9D51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r>
    </w:tbl>
    <w:p w14:paraId="46764EF7"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bCs/>
        </w:rPr>
        <w:br w:type="page"/>
      </w:r>
    </w:p>
    <w:p w14:paraId="43C03764" w14:textId="77777777" w:rsidR="009F7571" w:rsidRPr="009F7571" w:rsidRDefault="009F7571" w:rsidP="009F7571">
      <w:pPr>
        <w:spacing w:after="0" w:line="240" w:lineRule="auto"/>
        <w:rPr>
          <w:rFonts w:ascii="Arial" w:eastAsia="Times New Roman" w:hAnsi="Arial" w:cs="Arial"/>
          <w:b/>
          <w:bCs/>
        </w:rPr>
      </w:pPr>
      <w:bookmarkStart w:id="87" w:name="_Hlk99445042"/>
      <w:r w:rsidRPr="009F7571">
        <w:rPr>
          <w:rFonts w:ascii="Arial" w:eastAsia="Times New Roman" w:hAnsi="Arial" w:cs="Arial"/>
          <w:b/>
          <w:bCs/>
        </w:rPr>
        <w:lastRenderedPageBreak/>
        <w:t>SECTION I: Feedback, Consent and Confidentiality</w:t>
      </w:r>
    </w:p>
    <w:bookmarkEnd w:id="87"/>
    <w:p w14:paraId="4019D31E"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2490EB7" w14:textId="77777777" w:rsidTr="009F7571">
        <w:tc>
          <w:tcPr>
            <w:tcW w:w="9923" w:type="dxa"/>
            <w:tcBorders>
              <w:top w:val="single" w:sz="4" w:space="0" w:color="auto"/>
              <w:bottom w:val="single" w:sz="4" w:space="0" w:color="auto"/>
            </w:tcBorders>
            <w:shd w:val="clear" w:color="auto" w:fill="F2F2F2"/>
          </w:tcPr>
          <w:p w14:paraId="39C4ECE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Feedback</w:t>
            </w:r>
          </w:p>
          <w:p w14:paraId="52C247C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What feedback will be provided to participants, how will this be done and when? </w:t>
            </w:r>
          </w:p>
        </w:tc>
      </w:tr>
      <w:tr w:rsidR="009F7571" w:rsidRPr="009F7571" w14:paraId="2B96EBA5" w14:textId="77777777" w:rsidTr="00DC521F">
        <w:tc>
          <w:tcPr>
            <w:tcW w:w="9923" w:type="dxa"/>
            <w:tcBorders>
              <w:top w:val="single" w:sz="4" w:space="0" w:color="auto"/>
              <w:bottom w:val="single" w:sz="4" w:space="0" w:color="auto"/>
            </w:tcBorders>
          </w:tcPr>
          <w:p w14:paraId="47C63F6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Interview participants will be provided with my contact information and advised to contact me after an agreed date following publication of the research. Alternatively, they will have the option to provide me with their contact details so that I can notify them of outcomes when the research has been concluded. This information will be provided in the form of an email or letter, outlining research findings.  </w:t>
            </w:r>
          </w:p>
          <w:p w14:paraId="1B7AF96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BE007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F24A33B"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(this box should expand as you type)</w:t>
            </w:r>
          </w:p>
        </w:tc>
      </w:tr>
      <w:tr w:rsidR="009F7571" w:rsidRPr="009F7571" w14:paraId="056736EB" w14:textId="77777777" w:rsidTr="00DC521F">
        <w:tc>
          <w:tcPr>
            <w:tcW w:w="9923" w:type="dxa"/>
            <w:tcBorders>
              <w:top w:val="single" w:sz="4" w:space="0" w:color="auto"/>
              <w:bottom w:val="single" w:sz="4" w:space="0" w:color="auto"/>
            </w:tcBorders>
          </w:tcPr>
          <w:p w14:paraId="57DAF148"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6A322899" w14:textId="77777777" w:rsidTr="009F7571">
        <w:tc>
          <w:tcPr>
            <w:tcW w:w="9923" w:type="dxa"/>
            <w:tcBorders>
              <w:top w:val="single" w:sz="4" w:space="0" w:color="auto"/>
              <w:bottom w:val="single" w:sz="4" w:space="0" w:color="auto"/>
            </w:tcBorders>
            <w:shd w:val="clear" w:color="auto" w:fill="F2F2F2"/>
          </w:tcPr>
          <w:p w14:paraId="63B28E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Informed consent</w:t>
            </w:r>
          </w:p>
          <w:p w14:paraId="5401F573" w14:textId="77777777" w:rsidR="009F7571" w:rsidRPr="009F7571" w:rsidRDefault="009F7571" w:rsidP="009F7571">
            <w:pPr>
              <w:autoSpaceDE w:val="0"/>
              <w:autoSpaceDN w:val="0"/>
              <w:adjustRightInd w:val="0"/>
              <w:spacing w:after="0" w:line="240" w:lineRule="auto"/>
              <w:rPr>
                <w:rFonts w:ascii="Arial" w:eastAsia="Times New Roman" w:hAnsi="Arial" w:cs="Arial"/>
                <w:lang w:eastAsia="en-GB"/>
              </w:rPr>
            </w:pPr>
            <w:r w:rsidRPr="009F757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F7571" w:rsidRPr="009F7571" w14:paraId="48A1C2BF" w14:textId="77777777" w:rsidTr="00DC521F">
        <w:tc>
          <w:tcPr>
            <w:tcW w:w="9923" w:type="dxa"/>
            <w:tcBorders>
              <w:top w:val="single" w:sz="4" w:space="0" w:color="auto"/>
              <w:bottom w:val="single" w:sz="4" w:space="0" w:color="auto"/>
            </w:tcBorders>
          </w:tcPr>
          <w:p w14:paraId="214C5E0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Potential interview participants will be invited via a regular volunteer newsletter/email if they are registered with us as a volunteer. An overview of arrangements will be included in this, with more detail to follow via email/letter to individuals who express an interest.  </w:t>
            </w:r>
          </w:p>
          <w:p w14:paraId="09C03A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A similar set-up will apply to potential interviewees who will be sought from our customer group, whereby a printed document outlining the project and arrangements will be made available in our facilities, with my contact details provided for those who would like to find out more. </w:t>
            </w:r>
          </w:p>
          <w:p w14:paraId="2E984D5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3DC404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399A6D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(this box should expand as you type)</w:t>
            </w:r>
          </w:p>
        </w:tc>
      </w:tr>
      <w:tr w:rsidR="009F7571" w:rsidRPr="009F7571" w14:paraId="50A5BD45" w14:textId="77777777" w:rsidTr="00DC521F">
        <w:tc>
          <w:tcPr>
            <w:tcW w:w="9923" w:type="dxa"/>
            <w:tcBorders>
              <w:top w:val="single" w:sz="4" w:space="0" w:color="auto"/>
              <w:bottom w:val="single" w:sz="4" w:space="0" w:color="auto"/>
            </w:tcBorders>
          </w:tcPr>
          <w:p w14:paraId="00B8E7EA"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2E47FA8C" w14:textId="77777777" w:rsidTr="009F7571">
        <w:tc>
          <w:tcPr>
            <w:tcW w:w="9923" w:type="dxa"/>
            <w:tcBorders>
              <w:top w:val="single" w:sz="4" w:space="0" w:color="auto"/>
              <w:bottom w:val="single" w:sz="4" w:space="0" w:color="auto"/>
            </w:tcBorders>
            <w:shd w:val="clear" w:color="auto" w:fill="F2F2F2"/>
          </w:tcPr>
          <w:p w14:paraId="015AE1EE" w14:textId="77777777" w:rsidR="009F7571" w:rsidRPr="009F7571" w:rsidRDefault="009F7571" w:rsidP="009F7571">
            <w:pPr>
              <w:spacing w:after="0" w:line="240" w:lineRule="auto"/>
              <w:rPr>
                <w:rFonts w:ascii="Arial" w:eastAsia="Times New Roman" w:hAnsi="Arial" w:cs="Arial"/>
                <w:b/>
              </w:rPr>
            </w:pPr>
            <w:bookmarkStart w:id="88" w:name="_Hlk99445052"/>
            <w:r w:rsidRPr="009F7571">
              <w:rPr>
                <w:rFonts w:ascii="Arial" w:eastAsia="Times New Roman" w:hAnsi="Arial" w:cs="Arial"/>
                <w:b/>
              </w:rPr>
              <w:t>Confidentiality / Anonymity</w:t>
            </w:r>
          </w:p>
          <w:p w14:paraId="169A089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Set out how anonymity of participants and confidentiality will be ensured in any outputs. If anonymity is not being offered, explain why this is the case. </w:t>
            </w:r>
            <w:bookmarkEnd w:id="88"/>
          </w:p>
        </w:tc>
      </w:tr>
      <w:tr w:rsidR="009F7571" w:rsidRPr="009F7571" w14:paraId="040956EC" w14:textId="77777777" w:rsidTr="00DC521F">
        <w:tc>
          <w:tcPr>
            <w:tcW w:w="9923" w:type="dxa"/>
            <w:tcBorders>
              <w:top w:val="single" w:sz="4" w:space="0" w:color="auto"/>
              <w:bottom w:val="single" w:sz="4" w:space="0" w:color="auto"/>
            </w:tcBorders>
          </w:tcPr>
          <w:p w14:paraId="1A63979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BBBCC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Participants will not be required to provide identifiable information such as name, date or birth or address when answering questions. General information about their local area/library may be requested but they are under no obligation to provide it.</w:t>
            </w:r>
          </w:p>
          <w:p w14:paraId="32453D7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553344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bl>
    <w:p w14:paraId="75584804" w14:textId="77777777" w:rsidR="009F7571" w:rsidRPr="009F7571" w:rsidRDefault="009F7571" w:rsidP="009F7571">
      <w:pPr>
        <w:spacing w:after="0" w:line="240" w:lineRule="auto"/>
        <w:rPr>
          <w:rFonts w:ascii="Arial" w:eastAsia="Times New Roman" w:hAnsi="Arial" w:cs="Arial"/>
        </w:rPr>
      </w:pPr>
    </w:p>
    <w:p w14:paraId="56CFA8B4" w14:textId="77777777" w:rsidR="009F7571" w:rsidRPr="009F7571" w:rsidRDefault="009F7571" w:rsidP="009F7571">
      <w:pPr>
        <w:spacing w:after="0" w:line="240" w:lineRule="auto"/>
        <w:rPr>
          <w:rFonts w:ascii="Arial" w:eastAsia="Times New Roman" w:hAnsi="Arial" w:cs="Arial"/>
        </w:rPr>
      </w:pPr>
    </w:p>
    <w:p w14:paraId="7787E6EA"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3B2A3EF" w14:textId="77777777" w:rsidR="009F7571" w:rsidRPr="009F7571" w:rsidRDefault="009F7571" w:rsidP="009F7571">
      <w:pPr>
        <w:spacing w:after="0" w:line="240" w:lineRule="auto"/>
        <w:rPr>
          <w:rFonts w:ascii="Arial" w:eastAsia="Times New Roman" w:hAnsi="Arial" w:cs="Arial"/>
          <w:b/>
          <w:bCs/>
        </w:rPr>
      </w:pPr>
      <w:bookmarkStart w:id="89" w:name="_Hlk99445136"/>
      <w:r w:rsidRPr="009F7571">
        <w:rPr>
          <w:rFonts w:ascii="Arial" w:eastAsia="Times New Roman" w:hAnsi="Arial" w:cs="Arial"/>
          <w:b/>
          <w:bCs/>
        </w:rPr>
        <w:lastRenderedPageBreak/>
        <w:t>SECTION J: Data Protection and Storage</w:t>
      </w:r>
    </w:p>
    <w:bookmarkEnd w:id="89"/>
    <w:p w14:paraId="6747C44A" w14:textId="77777777" w:rsidR="009F7571" w:rsidRPr="009F7571" w:rsidRDefault="009F7571" w:rsidP="009F7571">
      <w:pPr>
        <w:spacing w:after="0" w:line="240" w:lineRule="auto"/>
        <w:rPr>
          <w:rFonts w:ascii="Arial" w:eastAsia="Times New Roman" w:hAnsi="Arial" w:cs="Arial"/>
          <w:b/>
          <w:bCs/>
          <w:sz w:val="16"/>
          <w:szCs w:val="16"/>
        </w:rPr>
      </w:pPr>
    </w:p>
    <w:p w14:paraId="47423B20" w14:textId="77777777" w:rsidR="009F7571" w:rsidRPr="009F7571" w:rsidRDefault="009F7571" w:rsidP="009F7571">
      <w:pPr>
        <w:spacing w:after="0" w:line="240" w:lineRule="auto"/>
        <w:jc w:val="both"/>
        <w:rPr>
          <w:rFonts w:ascii="Arial" w:eastAsia="Times New Roman" w:hAnsi="Arial" w:cs="Arial"/>
          <w:b/>
          <w:bCs/>
        </w:rPr>
      </w:pPr>
      <w:r w:rsidRPr="009F757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2" w:history="1">
        <w:r w:rsidRPr="009F7571">
          <w:rPr>
            <w:rFonts w:ascii="Arial" w:eastAsia="Times New Roman" w:hAnsi="Arial" w:cs="Arial"/>
            <w:color w:val="0000FF"/>
            <w:u w:val="single"/>
            <w:lang w:eastAsia="en-GB"/>
          </w:rPr>
          <w:t>http://uwtsd.ac.uk/library/research-data-management/</w:t>
        </w:r>
      </w:hyperlink>
      <w:r w:rsidRPr="009F7571">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9F7571" w:rsidRPr="009F7571" w14:paraId="73964423" w14:textId="77777777" w:rsidTr="009F7571">
        <w:tc>
          <w:tcPr>
            <w:tcW w:w="7763" w:type="dxa"/>
            <w:tcBorders>
              <w:top w:val="nil"/>
              <w:left w:val="nil"/>
            </w:tcBorders>
          </w:tcPr>
          <w:p w14:paraId="52E31836"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c>
          <w:tcPr>
            <w:tcW w:w="992" w:type="dxa"/>
            <w:shd w:val="clear" w:color="auto" w:fill="F2F2F2"/>
            <w:vAlign w:val="bottom"/>
          </w:tcPr>
          <w:p w14:paraId="6D24A4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bottom"/>
          </w:tcPr>
          <w:p w14:paraId="31C527D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109F057A" w14:textId="77777777" w:rsidTr="009F7571">
        <w:trPr>
          <w:trHeight w:val="403"/>
        </w:trPr>
        <w:tc>
          <w:tcPr>
            <w:tcW w:w="7763" w:type="dxa"/>
            <w:shd w:val="clear" w:color="auto" w:fill="F2F2F2"/>
            <w:vAlign w:val="center"/>
          </w:tcPr>
          <w:p w14:paraId="66C0D52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the research activity involve personal da</w:t>
            </w:r>
            <w:r w:rsidRPr="009F7571">
              <w:rPr>
                <w:rFonts w:ascii="Arial" w:eastAsia="Times New Roman" w:hAnsi="Arial" w:cs="Arial"/>
                <w:shd w:val="clear" w:color="auto" w:fill="F2F2F2"/>
              </w:rPr>
              <w:t>t</w:t>
            </w:r>
            <w:r w:rsidRPr="009F7571">
              <w:rPr>
                <w:rFonts w:ascii="Arial" w:eastAsia="Times New Roman" w:hAnsi="Arial" w:cs="Arial"/>
              </w:rPr>
              <w:t>a (as defined by the Data Protection Act)?</w:t>
            </w:r>
          </w:p>
        </w:tc>
        <w:tc>
          <w:tcPr>
            <w:tcW w:w="992" w:type="dxa"/>
            <w:shd w:val="clear" w:color="auto" w:fill="BFBFBF"/>
            <w:vAlign w:val="center"/>
          </w:tcPr>
          <w:sdt>
            <w:sdtPr>
              <w:rPr>
                <w:rFonts w:ascii="Arial" w:eastAsia="Times New Roman" w:hAnsi="Arial" w:cs="Arial"/>
                <w:bCs/>
              </w:rPr>
              <w:id w:val="-1901507547"/>
              <w14:checkbox>
                <w14:checked w14:val="0"/>
                <w14:checkedState w14:val="2612" w14:font="MS Gothic"/>
                <w14:uncheckedState w14:val="2610" w14:font="MS Gothic"/>
              </w14:checkbox>
            </w:sdtPr>
            <w:sdtContent>
              <w:p w14:paraId="0EBEC6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42547401"/>
              <w14:checkbox>
                <w14:checked w14:val="1"/>
                <w14:checkedState w14:val="2612" w14:font="MS Gothic"/>
                <w14:uncheckedState w14:val="2610" w14:font="MS Gothic"/>
              </w14:checkbox>
            </w:sdtPr>
            <w:sdtContent>
              <w:p w14:paraId="47D34F8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C75972" w14:textId="77777777" w:rsidTr="009F7571">
        <w:trPr>
          <w:trHeight w:val="403"/>
        </w:trPr>
        <w:tc>
          <w:tcPr>
            <w:tcW w:w="9889" w:type="dxa"/>
            <w:gridSpan w:val="3"/>
            <w:shd w:val="clear" w:color="auto" w:fill="F2F2F2"/>
            <w:vAlign w:val="center"/>
          </w:tcPr>
          <w:p w14:paraId="3FA1D07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5D1B6B83" w14:textId="77777777" w:rsidTr="00DC521F">
        <w:trPr>
          <w:trHeight w:val="403"/>
        </w:trPr>
        <w:tc>
          <w:tcPr>
            <w:tcW w:w="9889" w:type="dxa"/>
            <w:gridSpan w:val="3"/>
            <w:vAlign w:val="center"/>
          </w:tcPr>
          <w:p w14:paraId="23BF39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14F58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11BCE5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2C72C4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DFA8FB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069078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8526C8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755323E6" w14:textId="77777777" w:rsidTr="00DC521F">
        <w:trPr>
          <w:trHeight w:val="163"/>
        </w:trPr>
        <w:tc>
          <w:tcPr>
            <w:tcW w:w="9889" w:type="dxa"/>
            <w:gridSpan w:val="3"/>
            <w:vAlign w:val="center"/>
          </w:tcPr>
          <w:p w14:paraId="7FF857F4"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39D88F06" w14:textId="77777777" w:rsidTr="009F7571">
        <w:trPr>
          <w:trHeight w:val="403"/>
        </w:trPr>
        <w:tc>
          <w:tcPr>
            <w:tcW w:w="7763" w:type="dxa"/>
            <w:shd w:val="clear" w:color="auto" w:fill="F2F2F2"/>
            <w:vAlign w:val="center"/>
          </w:tcPr>
          <w:p w14:paraId="11951CE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it involve sensitive personal data (as defined by the Data Protection Act)?</w:t>
            </w:r>
          </w:p>
        </w:tc>
        <w:tc>
          <w:tcPr>
            <w:tcW w:w="992" w:type="dxa"/>
            <w:shd w:val="clear" w:color="auto" w:fill="BFBFBF"/>
            <w:vAlign w:val="center"/>
          </w:tcPr>
          <w:sdt>
            <w:sdtPr>
              <w:rPr>
                <w:rFonts w:ascii="Arial" w:eastAsia="Times New Roman" w:hAnsi="Arial" w:cs="Arial"/>
                <w:bCs/>
              </w:rPr>
              <w:id w:val="1558133976"/>
              <w14:checkbox>
                <w14:checked w14:val="0"/>
                <w14:checkedState w14:val="2612" w14:font="MS Gothic"/>
                <w14:uncheckedState w14:val="2610" w14:font="MS Gothic"/>
              </w14:checkbox>
            </w:sdtPr>
            <w:sdtContent>
              <w:p w14:paraId="208379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61439910"/>
              <w14:checkbox>
                <w14:checked w14:val="1"/>
                <w14:checkedState w14:val="2612" w14:font="MS Gothic"/>
                <w14:uncheckedState w14:val="2610" w14:font="MS Gothic"/>
              </w14:checkbox>
            </w:sdtPr>
            <w:sdtContent>
              <w:p w14:paraId="6EC5EB1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43C3A1C" w14:textId="77777777" w:rsidTr="009F7571">
        <w:trPr>
          <w:trHeight w:val="403"/>
        </w:trPr>
        <w:tc>
          <w:tcPr>
            <w:tcW w:w="9889" w:type="dxa"/>
            <w:gridSpan w:val="3"/>
            <w:shd w:val="clear" w:color="auto" w:fill="F2F2F2"/>
            <w:vAlign w:val="center"/>
          </w:tcPr>
          <w:p w14:paraId="43F39F8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3B619F2E" w14:textId="77777777" w:rsidTr="00DC521F">
        <w:trPr>
          <w:trHeight w:val="403"/>
        </w:trPr>
        <w:tc>
          <w:tcPr>
            <w:tcW w:w="9889" w:type="dxa"/>
            <w:gridSpan w:val="3"/>
            <w:vAlign w:val="center"/>
          </w:tcPr>
          <w:p w14:paraId="458E413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D692E0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189CB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640D2D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E5BBC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2B24720B"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5D53A86D" w14:textId="77777777" w:rsidTr="009F7571">
        <w:trPr>
          <w:trHeight w:val="439"/>
        </w:trPr>
        <w:tc>
          <w:tcPr>
            <w:tcW w:w="7763" w:type="dxa"/>
            <w:shd w:val="clear" w:color="auto" w:fill="F2F2F2"/>
            <w:vAlign w:val="center"/>
          </w:tcPr>
          <w:p w14:paraId="3037CAAB"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 xml:space="preserve">Will the research activity </w:t>
            </w:r>
            <w:r w:rsidRPr="009F7571">
              <w:rPr>
                <w:rFonts w:ascii="Arial" w:eastAsia="Times New Roman" w:hAnsi="Arial" w:cs="Arial"/>
                <w:bCs/>
              </w:rPr>
              <w:t>involve any of the following activities:</w:t>
            </w:r>
          </w:p>
        </w:tc>
        <w:tc>
          <w:tcPr>
            <w:tcW w:w="992" w:type="dxa"/>
            <w:shd w:val="clear" w:color="auto" w:fill="F2F2F2"/>
            <w:vAlign w:val="center"/>
          </w:tcPr>
          <w:p w14:paraId="6766BE3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6B9C11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473C25B1" w14:textId="77777777" w:rsidTr="009F7571">
        <w:trPr>
          <w:trHeight w:val="439"/>
        </w:trPr>
        <w:tc>
          <w:tcPr>
            <w:tcW w:w="7763" w:type="dxa"/>
            <w:shd w:val="clear" w:color="auto" w:fill="F2F2F2"/>
            <w:vAlign w:val="center"/>
          </w:tcPr>
          <w:p w14:paraId="6D7156E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Electronic transfer of data in any form?</w:t>
            </w:r>
          </w:p>
        </w:tc>
        <w:tc>
          <w:tcPr>
            <w:tcW w:w="992" w:type="dxa"/>
            <w:shd w:val="clear" w:color="auto" w:fill="BFBFBF"/>
            <w:vAlign w:val="center"/>
          </w:tcPr>
          <w:sdt>
            <w:sdtPr>
              <w:rPr>
                <w:rFonts w:ascii="Arial" w:eastAsia="Times New Roman" w:hAnsi="Arial" w:cs="Arial"/>
                <w:bCs/>
              </w:rPr>
              <w:id w:val="-243347341"/>
              <w14:checkbox>
                <w14:checked w14:val="1"/>
                <w14:checkedState w14:val="2612" w14:font="MS Gothic"/>
                <w14:uncheckedState w14:val="2610" w14:font="MS Gothic"/>
              </w14:checkbox>
            </w:sdtPr>
            <w:sdtContent>
              <w:p w14:paraId="301FDF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09138048"/>
              <w14:checkbox>
                <w14:checked w14:val="0"/>
                <w14:checkedState w14:val="2612" w14:font="MS Gothic"/>
                <w14:uncheckedState w14:val="2610" w14:font="MS Gothic"/>
              </w14:checkbox>
            </w:sdtPr>
            <w:sdtContent>
              <w:p w14:paraId="51BC7E0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2D9831D" w14:textId="77777777" w:rsidTr="009F7571">
        <w:trPr>
          <w:trHeight w:val="403"/>
        </w:trPr>
        <w:tc>
          <w:tcPr>
            <w:tcW w:w="7763" w:type="dxa"/>
            <w:shd w:val="clear" w:color="auto" w:fill="F2F2F2"/>
            <w:vAlign w:val="center"/>
          </w:tcPr>
          <w:p w14:paraId="697ECBE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others at the University?</w:t>
            </w:r>
          </w:p>
        </w:tc>
        <w:tc>
          <w:tcPr>
            <w:tcW w:w="992" w:type="dxa"/>
            <w:shd w:val="clear" w:color="auto" w:fill="BFBFBF"/>
            <w:vAlign w:val="center"/>
          </w:tcPr>
          <w:sdt>
            <w:sdtPr>
              <w:rPr>
                <w:rFonts w:ascii="Arial" w:eastAsia="Times New Roman" w:hAnsi="Arial" w:cs="Arial"/>
                <w:bCs/>
              </w:rPr>
              <w:id w:val="206609976"/>
              <w14:checkbox>
                <w14:checked w14:val="0"/>
                <w14:checkedState w14:val="2612" w14:font="MS Gothic"/>
                <w14:uncheckedState w14:val="2610" w14:font="MS Gothic"/>
              </w14:checkbox>
            </w:sdtPr>
            <w:sdtContent>
              <w:p w14:paraId="4060ECC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162969108"/>
              <w14:checkbox>
                <w14:checked w14:val="1"/>
                <w14:checkedState w14:val="2612" w14:font="MS Gothic"/>
                <w14:uncheckedState w14:val="2610" w14:font="MS Gothic"/>
              </w14:checkbox>
            </w:sdtPr>
            <w:sdtContent>
              <w:p w14:paraId="616961C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39828BD" w14:textId="77777777" w:rsidTr="009F7571">
        <w:trPr>
          <w:trHeight w:val="439"/>
        </w:trPr>
        <w:tc>
          <w:tcPr>
            <w:tcW w:w="7763" w:type="dxa"/>
            <w:shd w:val="clear" w:color="auto" w:fill="F2F2F2"/>
            <w:vAlign w:val="center"/>
          </w:tcPr>
          <w:p w14:paraId="0D87A5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 organisations?</w:t>
            </w:r>
          </w:p>
        </w:tc>
        <w:tc>
          <w:tcPr>
            <w:tcW w:w="992" w:type="dxa"/>
            <w:shd w:val="clear" w:color="auto" w:fill="BFBFBF"/>
            <w:vAlign w:val="center"/>
          </w:tcPr>
          <w:sdt>
            <w:sdtPr>
              <w:rPr>
                <w:rFonts w:ascii="Arial" w:eastAsia="Times New Roman" w:hAnsi="Arial" w:cs="Arial"/>
                <w:bCs/>
              </w:rPr>
              <w:id w:val="-853718064"/>
              <w14:checkbox>
                <w14:checked w14:val="0"/>
                <w14:checkedState w14:val="2612" w14:font="MS Gothic"/>
                <w14:uncheckedState w14:val="2610" w14:font="MS Gothic"/>
              </w14:checkbox>
            </w:sdtPr>
            <w:sdtContent>
              <w:p w14:paraId="27DBB7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92922631"/>
              <w14:checkbox>
                <w14:checked w14:val="1"/>
                <w14:checkedState w14:val="2612" w14:font="MS Gothic"/>
                <w14:uncheckedState w14:val="2610" w14:font="MS Gothic"/>
              </w14:checkbox>
            </w:sdtPr>
            <w:sdtContent>
              <w:p w14:paraId="332A29F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7FB273D" w14:textId="77777777" w:rsidTr="009F7571">
        <w:trPr>
          <w:trHeight w:val="403"/>
        </w:trPr>
        <w:tc>
          <w:tcPr>
            <w:tcW w:w="7763" w:type="dxa"/>
            <w:shd w:val="clear" w:color="auto" w:fill="F2F2F2"/>
            <w:vAlign w:val="center"/>
          </w:tcPr>
          <w:p w14:paraId="2F5FD6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Export of data outside the European Union or importing of data from outside the UK?</w:t>
            </w:r>
          </w:p>
        </w:tc>
        <w:tc>
          <w:tcPr>
            <w:tcW w:w="992" w:type="dxa"/>
            <w:shd w:val="clear" w:color="auto" w:fill="BFBF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Content>
              <w:p w14:paraId="0AA9EA0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982232726"/>
              <w14:checkbox>
                <w14:checked w14:val="1"/>
                <w14:checkedState w14:val="2612" w14:font="MS Gothic"/>
                <w14:uncheckedState w14:val="2610" w14:font="MS Gothic"/>
              </w14:checkbox>
            </w:sdtPr>
            <w:sdtContent>
              <w:p w14:paraId="3384C8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2203374" w14:textId="77777777" w:rsidTr="009F7571">
        <w:trPr>
          <w:trHeight w:val="403"/>
        </w:trPr>
        <w:tc>
          <w:tcPr>
            <w:tcW w:w="7763" w:type="dxa"/>
            <w:shd w:val="clear" w:color="auto" w:fill="F2F2F2"/>
            <w:vAlign w:val="center"/>
          </w:tcPr>
          <w:p w14:paraId="491D0F7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personal addresses, postcodes, faxes, emails or telephone numbers?</w:t>
            </w:r>
          </w:p>
        </w:tc>
        <w:tc>
          <w:tcPr>
            <w:tcW w:w="992" w:type="dxa"/>
            <w:shd w:val="clear" w:color="auto" w:fill="BFBFBF"/>
            <w:vAlign w:val="center"/>
          </w:tcPr>
          <w:sdt>
            <w:sdtPr>
              <w:rPr>
                <w:rFonts w:ascii="Arial" w:eastAsia="Times New Roman" w:hAnsi="Arial" w:cs="Arial"/>
                <w:bCs/>
              </w:rPr>
              <w:id w:val="580263657"/>
              <w14:checkbox>
                <w14:checked w14:val="0"/>
                <w14:checkedState w14:val="2612" w14:font="MS Gothic"/>
                <w14:uncheckedState w14:val="2610" w14:font="MS Gothic"/>
              </w14:checkbox>
            </w:sdtPr>
            <w:sdtContent>
              <w:p w14:paraId="7AE682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705679297"/>
              <w14:checkbox>
                <w14:checked w14:val="1"/>
                <w14:checkedState w14:val="2612" w14:font="MS Gothic"/>
                <w14:uncheckedState w14:val="2610" w14:font="MS Gothic"/>
              </w14:checkbox>
            </w:sdtPr>
            <w:sdtContent>
              <w:p w14:paraId="7833B1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EACEDB8" w14:textId="77777777" w:rsidTr="009F7571">
        <w:trPr>
          <w:trHeight w:val="403"/>
        </w:trPr>
        <w:tc>
          <w:tcPr>
            <w:tcW w:w="7763" w:type="dxa"/>
            <w:shd w:val="clear" w:color="auto" w:fill="F2F2F2"/>
            <w:vAlign w:val="center"/>
          </w:tcPr>
          <w:p w14:paraId="5862E6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Publication of data that might allow identification of individuals?</w:t>
            </w:r>
          </w:p>
        </w:tc>
        <w:tc>
          <w:tcPr>
            <w:tcW w:w="992" w:type="dxa"/>
            <w:shd w:val="clear" w:color="auto" w:fill="BFBF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Content>
              <w:p w14:paraId="6542AA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8495840"/>
              <w14:checkbox>
                <w14:checked w14:val="1"/>
                <w14:checkedState w14:val="2612" w14:font="MS Gothic"/>
                <w14:uncheckedState w14:val="2610" w14:font="MS Gothic"/>
              </w14:checkbox>
            </w:sdtPr>
            <w:sdtContent>
              <w:p w14:paraId="49A15E5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D2E9C3D" w14:textId="77777777" w:rsidTr="009F7571">
        <w:trPr>
          <w:trHeight w:val="403"/>
        </w:trPr>
        <w:tc>
          <w:tcPr>
            <w:tcW w:w="7763" w:type="dxa"/>
            <w:shd w:val="clear" w:color="auto" w:fill="F2F2F2"/>
            <w:vAlign w:val="center"/>
          </w:tcPr>
          <w:p w14:paraId="5B289BEF"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data management system?</w:t>
            </w:r>
          </w:p>
        </w:tc>
        <w:tc>
          <w:tcPr>
            <w:tcW w:w="992" w:type="dxa"/>
            <w:shd w:val="clear" w:color="auto" w:fill="BFBF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Content>
              <w:p w14:paraId="3FF315D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5304944"/>
              <w14:checkbox>
                <w14:checked w14:val="1"/>
                <w14:checkedState w14:val="2612" w14:font="MS Gothic"/>
                <w14:uncheckedState w14:val="2610" w14:font="MS Gothic"/>
              </w14:checkbox>
            </w:sdtPr>
            <w:sdtContent>
              <w:p w14:paraId="6B998FC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AC68C67" w14:textId="77777777" w:rsidTr="009F7571">
        <w:trPr>
          <w:trHeight w:val="403"/>
        </w:trPr>
        <w:tc>
          <w:tcPr>
            <w:tcW w:w="7763" w:type="dxa"/>
            <w:shd w:val="clear" w:color="auto" w:fill="F2F2F2"/>
            <w:vAlign w:val="center"/>
          </w:tcPr>
          <w:p w14:paraId="002CB83D"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Data archiving?</w:t>
            </w:r>
          </w:p>
        </w:tc>
        <w:tc>
          <w:tcPr>
            <w:tcW w:w="992" w:type="dxa"/>
            <w:shd w:val="clear" w:color="auto" w:fill="BFBF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Content>
              <w:p w14:paraId="4EA4BB2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Content>
              <w:p w14:paraId="20AD7DF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6E3419B" w14:textId="77777777" w:rsidTr="009F7571">
        <w:trPr>
          <w:trHeight w:val="403"/>
        </w:trPr>
        <w:tc>
          <w:tcPr>
            <w:tcW w:w="9889" w:type="dxa"/>
            <w:gridSpan w:val="3"/>
            <w:shd w:val="clear" w:color="auto" w:fill="F2F2F2"/>
            <w:vAlign w:val="center"/>
          </w:tcPr>
          <w:p w14:paraId="6E05282D" w14:textId="77777777" w:rsidR="009F7571" w:rsidRPr="009F7571" w:rsidRDefault="009F7571" w:rsidP="009F7571">
            <w:pPr>
              <w:spacing w:before="120" w:after="120" w:line="240" w:lineRule="auto"/>
              <w:rPr>
                <w:rFonts w:ascii="Arial" w:eastAsia="Times New Roman" w:hAnsi="Arial" w:cs="Arial"/>
                <w:bCs/>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r w:rsidRPr="009F7571">
              <w:rPr>
                <w:rFonts w:ascii="Arial" w:eastAsia="Times New Roman" w:hAnsi="Arial" w:cs="Arial"/>
                <w:bCs/>
              </w:rPr>
              <w:t>explaining how this will be conducted in accordance with the Data Protection Act (and/or any international equivalent):</w:t>
            </w:r>
          </w:p>
        </w:tc>
      </w:tr>
      <w:tr w:rsidR="009F7571" w:rsidRPr="009F7571" w14:paraId="4ABE5CAF" w14:textId="77777777" w:rsidTr="00DC521F">
        <w:trPr>
          <w:trHeight w:val="403"/>
        </w:trPr>
        <w:tc>
          <w:tcPr>
            <w:tcW w:w="9889" w:type="dxa"/>
            <w:gridSpan w:val="3"/>
            <w:vAlign w:val="center"/>
          </w:tcPr>
          <w:p w14:paraId="6758A98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Collected interview data will be anonymised and information will contain nothing of a personal nature that would identify participants. </w:t>
            </w:r>
          </w:p>
          <w:p w14:paraId="4F6B9DA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8C80D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Storage of all data will be cloud-based, stored on my personal OneDrive for Business application within Powys County Council’s Microsoft Office 365 account. Data files will be shared only with my dissertation supervisor, via an email link which will allow access for the recipient only.</w:t>
            </w:r>
          </w:p>
          <w:p w14:paraId="1F386CA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2AD693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1AAF47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67178F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3B29C5"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03F671A1" w14:textId="77777777" w:rsidR="009F7571" w:rsidRPr="009F7571" w:rsidRDefault="009F7571" w:rsidP="009F7571">
      <w:pPr>
        <w:spacing w:after="0" w:line="240" w:lineRule="auto"/>
        <w:rPr>
          <w:rFonts w:ascii="Arial" w:eastAsia="Times New Roman" w:hAnsi="Arial" w:cs="Arial"/>
          <w:sz w:val="16"/>
          <w:szCs w:val="16"/>
        </w:rPr>
      </w:pPr>
    </w:p>
    <w:p w14:paraId="2071EEFA" w14:textId="77777777" w:rsidR="009F7571" w:rsidRPr="009F7571" w:rsidRDefault="009F7571" w:rsidP="009F7571">
      <w:pPr>
        <w:spacing w:after="0" w:line="240" w:lineRule="auto"/>
        <w:rPr>
          <w:rFonts w:ascii="Arial" w:eastAsia="Times New Roman" w:hAnsi="Arial" w:cs="Arial"/>
          <w:sz w:val="16"/>
          <w:szCs w:val="16"/>
        </w:rPr>
      </w:pPr>
      <w:r w:rsidRPr="009F7571">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9F7571" w:rsidRPr="009F7571" w14:paraId="08ADAB5B" w14:textId="77777777" w:rsidTr="009F7571">
        <w:trPr>
          <w:trHeight w:val="439"/>
        </w:trPr>
        <w:tc>
          <w:tcPr>
            <w:tcW w:w="7763" w:type="dxa"/>
            <w:shd w:val="clear" w:color="auto" w:fill="F2F2F2"/>
            <w:vAlign w:val="center"/>
          </w:tcPr>
          <w:p w14:paraId="4DE9BD38"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lastRenderedPageBreak/>
              <w:t xml:space="preserve">Will the research activity </w:t>
            </w:r>
            <w:r w:rsidRPr="009F7571">
              <w:rPr>
                <w:rFonts w:ascii="Arial" w:eastAsia="Times New Roman" w:hAnsi="Arial" w:cs="Arial"/>
                <w:bCs/>
              </w:rPr>
              <w:t>involve storing personal data on one of the following:</w:t>
            </w:r>
          </w:p>
        </w:tc>
        <w:tc>
          <w:tcPr>
            <w:tcW w:w="992" w:type="dxa"/>
            <w:shd w:val="clear" w:color="auto" w:fill="F2F2F2"/>
            <w:vAlign w:val="center"/>
          </w:tcPr>
          <w:p w14:paraId="1B0CE35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587B2E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6348408" w14:textId="77777777" w:rsidTr="009F7571">
        <w:trPr>
          <w:trHeight w:val="439"/>
        </w:trPr>
        <w:tc>
          <w:tcPr>
            <w:tcW w:w="7763" w:type="dxa"/>
            <w:shd w:val="clear" w:color="auto" w:fill="F2F2F2"/>
            <w:vAlign w:val="center"/>
          </w:tcPr>
          <w:p w14:paraId="09937D2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Manual files (i.e. in paper form)?</w:t>
            </w:r>
          </w:p>
        </w:tc>
        <w:tc>
          <w:tcPr>
            <w:tcW w:w="992" w:type="dxa"/>
            <w:shd w:val="clear" w:color="auto" w:fill="BFBFBF"/>
            <w:vAlign w:val="center"/>
          </w:tcPr>
          <w:sdt>
            <w:sdtPr>
              <w:rPr>
                <w:rFonts w:ascii="Arial" w:eastAsia="Times New Roman" w:hAnsi="Arial" w:cs="Arial"/>
                <w:bCs/>
              </w:rPr>
              <w:id w:val="1520894451"/>
              <w14:checkbox>
                <w14:checked w14:val="0"/>
                <w14:checkedState w14:val="2612" w14:font="MS Gothic"/>
                <w14:uncheckedState w14:val="2610" w14:font="MS Gothic"/>
              </w14:checkbox>
            </w:sdtPr>
            <w:sdtContent>
              <w:p w14:paraId="7A360D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01083447"/>
              <w14:checkbox>
                <w14:checked w14:val="1"/>
                <w14:checkedState w14:val="2612" w14:font="MS Gothic"/>
                <w14:uncheckedState w14:val="2610" w14:font="MS Gothic"/>
              </w14:checkbox>
            </w:sdtPr>
            <w:sdtContent>
              <w:p w14:paraId="06A72B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8ADD62B" w14:textId="77777777" w:rsidTr="009F7571">
        <w:trPr>
          <w:trHeight w:val="403"/>
        </w:trPr>
        <w:tc>
          <w:tcPr>
            <w:tcW w:w="7763" w:type="dxa"/>
            <w:shd w:val="clear" w:color="auto" w:fill="F2F2F2"/>
            <w:vAlign w:val="center"/>
          </w:tcPr>
          <w:p w14:paraId="37BA120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University computers?</w:t>
            </w:r>
          </w:p>
        </w:tc>
        <w:tc>
          <w:tcPr>
            <w:tcW w:w="992" w:type="dxa"/>
            <w:shd w:val="clear" w:color="auto" w:fill="BFBFBF"/>
            <w:vAlign w:val="center"/>
          </w:tcPr>
          <w:sdt>
            <w:sdtPr>
              <w:rPr>
                <w:rFonts w:ascii="Arial" w:eastAsia="Times New Roman" w:hAnsi="Arial" w:cs="Arial"/>
                <w:bCs/>
              </w:rPr>
              <w:id w:val="-711423214"/>
              <w14:checkbox>
                <w14:checked w14:val="0"/>
                <w14:checkedState w14:val="2612" w14:font="MS Gothic"/>
                <w14:uncheckedState w14:val="2610" w14:font="MS Gothic"/>
              </w14:checkbox>
            </w:sdtPr>
            <w:sdtContent>
              <w:p w14:paraId="7853732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77744237"/>
              <w14:checkbox>
                <w14:checked w14:val="1"/>
                <w14:checkedState w14:val="2612" w14:font="MS Gothic"/>
                <w14:uncheckedState w14:val="2610" w14:font="MS Gothic"/>
              </w14:checkbox>
            </w:sdtPr>
            <w:sdtContent>
              <w:p w14:paraId="3476B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4123751" w14:textId="77777777" w:rsidTr="009F7571">
        <w:trPr>
          <w:trHeight w:val="439"/>
        </w:trPr>
        <w:tc>
          <w:tcPr>
            <w:tcW w:w="7763" w:type="dxa"/>
            <w:shd w:val="clear" w:color="auto" w:fill="F2F2F2"/>
            <w:vAlign w:val="center"/>
          </w:tcPr>
          <w:p w14:paraId="4FFE19D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Private company computers?</w:t>
            </w:r>
          </w:p>
        </w:tc>
        <w:tc>
          <w:tcPr>
            <w:tcW w:w="992" w:type="dxa"/>
            <w:shd w:val="clear" w:color="auto" w:fill="BFBFBF"/>
            <w:vAlign w:val="center"/>
          </w:tcPr>
          <w:sdt>
            <w:sdtPr>
              <w:rPr>
                <w:rFonts w:ascii="Arial" w:eastAsia="Times New Roman" w:hAnsi="Arial" w:cs="Arial"/>
                <w:bCs/>
              </w:rPr>
              <w:id w:val="2098751376"/>
              <w14:checkbox>
                <w14:checked w14:val="0"/>
                <w14:checkedState w14:val="2612" w14:font="MS Gothic"/>
                <w14:uncheckedState w14:val="2610" w14:font="MS Gothic"/>
              </w14:checkbox>
            </w:sdtPr>
            <w:sdtContent>
              <w:p w14:paraId="6233493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74385748"/>
              <w14:checkbox>
                <w14:checked w14:val="1"/>
                <w14:checkedState w14:val="2612" w14:font="MS Gothic"/>
                <w14:uncheckedState w14:val="2610" w14:font="MS Gothic"/>
              </w14:checkbox>
            </w:sdtPr>
            <w:sdtContent>
              <w:p w14:paraId="648CAE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61B4C3F" w14:textId="77777777" w:rsidTr="009F7571">
        <w:trPr>
          <w:trHeight w:val="403"/>
        </w:trPr>
        <w:tc>
          <w:tcPr>
            <w:tcW w:w="7763" w:type="dxa"/>
            <w:shd w:val="clear" w:color="auto" w:fill="F2F2F2"/>
            <w:vAlign w:val="center"/>
          </w:tcPr>
          <w:p w14:paraId="49E0BFD8"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0" w:name="_Hlk99445214"/>
            <w:r w:rsidRPr="009F7571">
              <w:rPr>
                <w:rFonts w:ascii="Arial" w:eastAsia="Times New Roman" w:hAnsi="Arial" w:cs="Arial"/>
              </w:rPr>
              <w:t>Home or other personal computers?</w:t>
            </w:r>
            <w:bookmarkEnd w:id="90"/>
          </w:p>
        </w:tc>
        <w:tc>
          <w:tcPr>
            <w:tcW w:w="992" w:type="dxa"/>
            <w:shd w:val="clear" w:color="auto" w:fill="BFBFBF"/>
            <w:vAlign w:val="center"/>
          </w:tcPr>
          <w:sdt>
            <w:sdtPr>
              <w:rPr>
                <w:rFonts w:ascii="Arial" w:eastAsia="Times New Roman" w:hAnsi="Arial" w:cs="Arial"/>
                <w:bCs/>
              </w:rPr>
              <w:id w:val="-1306844352"/>
              <w14:checkbox>
                <w14:checked w14:val="0"/>
                <w14:checkedState w14:val="2612" w14:font="MS Gothic"/>
                <w14:uncheckedState w14:val="2610" w14:font="MS Gothic"/>
              </w14:checkbox>
            </w:sdtPr>
            <w:sdtContent>
              <w:p w14:paraId="4E2C9B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4971652"/>
              <w14:checkbox>
                <w14:checked w14:val="1"/>
                <w14:checkedState w14:val="2612" w14:font="MS Gothic"/>
                <w14:uncheckedState w14:val="2610" w14:font="MS Gothic"/>
              </w14:checkbox>
            </w:sdtPr>
            <w:sdtContent>
              <w:p w14:paraId="2060369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2E5F243" w14:textId="77777777" w:rsidTr="009F7571">
        <w:trPr>
          <w:trHeight w:val="403"/>
        </w:trPr>
        <w:tc>
          <w:tcPr>
            <w:tcW w:w="7763" w:type="dxa"/>
            <w:shd w:val="clear" w:color="auto" w:fill="F2F2F2"/>
            <w:vAlign w:val="center"/>
          </w:tcPr>
          <w:p w14:paraId="0048DD5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Laptop computers/ CDs/ Portable disk-drives/ memory sticks?</w:t>
            </w:r>
          </w:p>
        </w:tc>
        <w:tc>
          <w:tcPr>
            <w:tcW w:w="992" w:type="dxa"/>
            <w:shd w:val="clear" w:color="auto" w:fill="BFBFBF"/>
            <w:vAlign w:val="center"/>
          </w:tcPr>
          <w:sdt>
            <w:sdtPr>
              <w:rPr>
                <w:rFonts w:ascii="Arial" w:eastAsia="Times New Roman" w:hAnsi="Arial" w:cs="Arial"/>
                <w:bCs/>
              </w:rPr>
              <w:id w:val="-1411378994"/>
              <w14:checkbox>
                <w14:checked w14:val="0"/>
                <w14:checkedState w14:val="2612" w14:font="MS Gothic"/>
                <w14:uncheckedState w14:val="2610" w14:font="MS Gothic"/>
              </w14:checkbox>
            </w:sdtPr>
            <w:sdtContent>
              <w:p w14:paraId="0660EF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0924928"/>
              <w14:checkbox>
                <w14:checked w14:val="1"/>
                <w14:checkedState w14:val="2612" w14:font="MS Gothic"/>
                <w14:uncheckedState w14:val="2610" w14:font="MS Gothic"/>
              </w14:checkbox>
            </w:sdtPr>
            <w:sdtContent>
              <w:p w14:paraId="4FCD5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04BD2E8" w14:textId="77777777" w:rsidTr="009F7571">
        <w:trPr>
          <w:trHeight w:val="403"/>
        </w:trPr>
        <w:tc>
          <w:tcPr>
            <w:tcW w:w="7763" w:type="dxa"/>
            <w:shd w:val="clear" w:color="auto" w:fill="F2F2F2"/>
            <w:vAlign w:val="center"/>
          </w:tcPr>
          <w:p w14:paraId="1A8BB6A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“Cloud” storage or websites?</w:t>
            </w:r>
          </w:p>
        </w:tc>
        <w:tc>
          <w:tcPr>
            <w:tcW w:w="992" w:type="dxa"/>
            <w:shd w:val="clear" w:color="auto" w:fill="BFBFBF"/>
            <w:vAlign w:val="center"/>
          </w:tcPr>
          <w:sdt>
            <w:sdtPr>
              <w:rPr>
                <w:rFonts w:ascii="Arial" w:eastAsia="Times New Roman" w:hAnsi="Arial" w:cs="Arial"/>
                <w:bCs/>
              </w:rPr>
              <w:id w:val="-1537427712"/>
              <w14:checkbox>
                <w14:checked w14:val="0"/>
                <w14:checkedState w14:val="2612" w14:font="MS Gothic"/>
                <w14:uncheckedState w14:val="2610" w14:font="MS Gothic"/>
              </w14:checkbox>
            </w:sdtPr>
            <w:sdtContent>
              <w:p w14:paraId="7CEAF4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3690724"/>
              <w14:checkbox>
                <w14:checked w14:val="1"/>
                <w14:checkedState w14:val="2612" w14:font="MS Gothic"/>
                <w14:uncheckedState w14:val="2610" w14:font="MS Gothic"/>
              </w14:checkbox>
            </w:sdtPr>
            <w:sdtContent>
              <w:p w14:paraId="5CC5835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60A5BE" w14:textId="77777777" w:rsidTr="009F7571">
        <w:trPr>
          <w:trHeight w:val="403"/>
        </w:trPr>
        <w:tc>
          <w:tcPr>
            <w:tcW w:w="7763" w:type="dxa"/>
            <w:shd w:val="clear" w:color="auto" w:fill="F2F2F2"/>
            <w:vAlign w:val="center"/>
          </w:tcPr>
          <w:p w14:paraId="17E6DA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 specify:</w:t>
            </w:r>
          </w:p>
          <w:p w14:paraId="0E4FF6DD"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457996423"/>
              <w14:checkbox>
                <w14:checked w14:val="0"/>
                <w14:checkedState w14:val="2612" w14:font="MS Gothic"/>
                <w14:uncheckedState w14:val="2610" w14:font="MS Gothic"/>
              </w14:checkbox>
            </w:sdtPr>
            <w:sdtContent>
              <w:p w14:paraId="2CBE2A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6266971"/>
              <w14:checkbox>
                <w14:checked w14:val="1"/>
                <w14:checkedState w14:val="2612" w14:font="MS Gothic"/>
                <w14:uncheckedState w14:val="2610" w14:font="MS Gothic"/>
              </w14:checkbox>
            </w:sdtPr>
            <w:sdtContent>
              <w:p w14:paraId="166F06B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81506B2" w14:textId="77777777" w:rsidTr="009F7571">
        <w:trPr>
          <w:trHeight w:val="403"/>
        </w:trPr>
        <w:tc>
          <w:tcPr>
            <w:tcW w:w="9889" w:type="dxa"/>
            <w:gridSpan w:val="3"/>
            <w:shd w:val="clear" w:color="auto" w:fill="F2F2F2"/>
            <w:vAlign w:val="center"/>
          </w:tcPr>
          <w:p w14:paraId="62C34403"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1" w:name="_Hlk99445170"/>
            <w:r w:rsidRPr="009F7571">
              <w:rPr>
                <w:rFonts w:ascii="Arial" w:eastAsia="Times New Roman" w:hAnsi="Arial" w:cs="Arial"/>
                <w:bCs/>
              </w:rPr>
              <w:t>For all stored data, explain the measures in place to ensure data confidentiality, including details of password protection, encryption and anonymisation</w:t>
            </w:r>
            <w:r w:rsidRPr="009F7571">
              <w:rPr>
                <w:rFonts w:ascii="Arial" w:eastAsia="Times New Roman" w:hAnsi="Arial" w:cs="Arial"/>
              </w:rPr>
              <w:t>:</w:t>
            </w:r>
            <w:bookmarkEnd w:id="91"/>
          </w:p>
        </w:tc>
      </w:tr>
      <w:tr w:rsidR="009F7571" w:rsidRPr="009F7571" w14:paraId="26262E4A" w14:textId="77777777" w:rsidTr="00DC521F">
        <w:trPr>
          <w:trHeight w:val="403"/>
        </w:trPr>
        <w:tc>
          <w:tcPr>
            <w:tcW w:w="9889" w:type="dxa"/>
            <w:gridSpan w:val="3"/>
            <w:vAlign w:val="center"/>
          </w:tcPr>
          <w:p w14:paraId="59AED22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2C1D76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1712FB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41044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4F095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21CAA500"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9F7571" w:rsidRPr="009F7571" w14:paraId="13BB85A5" w14:textId="77777777" w:rsidTr="009F7571">
        <w:trPr>
          <w:trHeight w:val="403"/>
        </w:trPr>
        <w:tc>
          <w:tcPr>
            <w:tcW w:w="9889" w:type="dxa"/>
            <w:shd w:val="clear" w:color="auto" w:fill="F2F2F2"/>
            <w:vAlign w:val="center"/>
          </w:tcPr>
          <w:p w14:paraId="7628BBD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all who will have access to the data generated by the research activity</w:t>
            </w:r>
            <w:r w:rsidRPr="009F7571">
              <w:rPr>
                <w:rFonts w:ascii="Arial" w:eastAsia="Times New Roman" w:hAnsi="Arial" w:cs="Arial"/>
              </w:rPr>
              <w:t>:</w:t>
            </w:r>
          </w:p>
        </w:tc>
      </w:tr>
      <w:tr w:rsidR="009F7571" w:rsidRPr="009F7571" w14:paraId="68EE973C" w14:textId="77777777" w:rsidTr="00DC521F">
        <w:trPr>
          <w:trHeight w:val="403"/>
        </w:trPr>
        <w:tc>
          <w:tcPr>
            <w:tcW w:w="9889" w:type="dxa"/>
            <w:vAlign w:val="center"/>
          </w:tcPr>
          <w:p w14:paraId="1C02D0B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0D40F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1E82FB3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Dissertation Supervisor</w:t>
            </w:r>
          </w:p>
          <w:p w14:paraId="21EBFD2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55C1716"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62636229" w14:textId="77777777" w:rsidTr="00DC521F">
        <w:trPr>
          <w:trHeight w:val="233"/>
        </w:trPr>
        <w:tc>
          <w:tcPr>
            <w:tcW w:w="9889" w:type="dxa"/>
            <w:vAlign w:val="center"/>
          </w:tcPr>
          <w:p w14:paraId="242CB68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02755B55" w14:textId="77777777" w:rsidTr="009F7571">
        <w:trPr>
          <w:trHeight w:val="403"/>
        </w:trPr>
        <w:tc>
          <w:tcPr>
            <w:tcW w:w="9889" w:type="dxa"/>
            <w:shd w:val="clear" w:color="auto" w:fill="F2F2F2"/>
          </w:tcPr>
          <w:p w14:paraId="19B9A8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who will have control of, and act as custodian(s) for, data generated by the research activity</w:t>
            </w:r>
            <w:r w:rsidRPr="009F7571">
              <w:rPr>
                <w:rFonts w:ascii="Arial" w:eastAsia="Times New Roman" w:hAnsi="Arial" w:cs="Arial"/>
              </w:rPr>
              <w:t>:</w:t>
            </w:r>
          </w:p>
        </w:tc>
      </w:tr>
      <w:tr w:rsidR="009F7571" w:rsidRPr="009F7571" w14:paraId="5C21B8BF" w14:textId="77777777" w:rsidTr="00DC521F">
        <w:trPr>
          <w:trHeight w:val="403"/>
        </w:trPr>
        <w:tc>
          <w:tcPr>
            <w:tcW w:w="9889" w:type="dxa"/>
          </w:tcPr>
          <w:p w14:paraId="6B3D79F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07CA10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383B094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BDF99F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26427AAA" w14:textId="77777777" w:rsidTr="00DC521F">
        <w:trPr>
          <w:trHeight w:val="233"/>
        </w:trPr>
        <w:tc>
          <w:tcPr>
            <w:tcW w:w="9889" w:type="dxa"/>
          </w:tcPr>
          <w:p w14:paraId="14B95D7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9A632C9" w14:textId="77777777" w:rsidTr="009F7571">
        <w:trPr>
          <w:trHeight w:val="403"/>
        </w:trPr>
        <w:tc>
          <w:tcPr>
            <w:tcW w:w="9889" w:type="dxa"/>
            <w:shd w:val="clear" w:color="auto" w:fill="F2F2F2"/>
          </w:tcPr>
          <w:p w14:paraId="5F68919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 xml:space="preserve">Give details of data storage arrangements, including where data will be stored, how long for, and in what form. Will data be archived – if so how and if not why not.  </w:t>
            </w:r>
          </w:p>
        </w:tc>
      </w:tr>
      <w:tr w:rsidR="009F7571" w:rsidRPr="009F7571" w14:paraId="19701AF3" w14:textId="77777777" w:rsidTr="00DC521F">
        <w:trPr>
          <w:trHeight w:val="403"/>
        </w:trPr>
        <w:tc>
          <w:tcPr>
            <w:tcW w:w="9889" w:type="dxa"/>
          </w:tcPr>
          <w:p w14:paraId="07F7163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Data will be saved to cloud-based storage on a personal OneDrive application as part of Powys County Council’s Microsoft Office 365 for Business account. This information can only be accessed by myself and is password protected. On completion of the research project the information will be deleted.</w:t>
            </w:r>
          </w:p>
          <w:p w14:paraId="2D1B5974"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0D43701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6F2FD7A0"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7CC69FA2" w14:textId="77777777" w:rsidR="009F7571" w:rsidRPr="009F7571" w:rsidRDefault="009F7571" w:rsidP="009F7571">
      <w:pPr>
        <w:spacing w:after="0" w:line="240" w:lineRule="auto"/>
        <w:rPr>
          <w:rFonts w:ascii="Arial" w:eastAsia="Times New Roman" w:hAnsi="Arial" w:cs="Arial"/>
        </w:rPr>
      </w:pPr>
    </w:p>
    <w:p w14:paraId="6AE7155E"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E2B9961"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K: Declaration</w:t>
      </w:r>
    </w:p>
    <w:p w14:paraId="29A7FD2D" w14:textId="77777777" w:rsidR="009F7571" w:rsidRPr="009F7571" w:rsidRDefault="009F7571" w:rsidP="009F757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1"/>
        <w:gridCol w:w="3869"/>
        <w:gridCol w:w="1073"/>
        <w:gridCol w:w="1788"/>
      </w:tblGrid>
      <w:tr w:rsidR="009F7571" w:rsidRPr="009F7571" w14:paraId="667F181E" w14:textId="77777777" w:rsidTr="009F7571">
        <w:trPr>
          <w:trHeight w:val="1807"/>
        </w:trPr>
        <w:tc>
          <w:tcPr>
            <w:tcW w:w="9881" w:type="dxa"/>
            <w:gridSpan w:val="4"/>
            <w:shd w:val="clear" w:color="auto" w:fill="F2F2F2"/>
            <w:vAlign w:val="center"/>
          </w:tcPr>
          <w:p w14:paraId="2CA86025" w14:textId="77777777" w:rsidR="009F7571" w:rsidRPr="009F7571" w:rsidRDefault="009F7571" w:rsidP="009F7571">
            <w:pPr>
              <w:spacing w:after="0" w:line="240" w:lineRule="auto"/>
              <w:jc w:val="both"/>
              <w:rPr>
                <w:rFonts w:ascii="Arial" w:eastAsia="Times New Roman" w:hAnsi="Arial" w:cs="Arial"/>
                <w:b/>
                <w:bCs/>
                <w:color w:val="000000"/>
              </w:rPr>
            </w:pPr>
            <w:r w:rsidRPr="009F757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F7571">
              <w:rPr>
                <w:rFonts w:ascii="Arial" w:eastAsia="Times New Roman" w:hAnsi="Arial" w:cs="Arial"/>
                <w:b/>
                <w:bCs/>
                <w:color w:val="000000"/>
              </w:rPr>
              <w:t>.</w:t>
            </w:r>
          </w:p>
          <w:p w14:paraId="527D3924" w14:textId="77777777" w:rsidR="009F7571" w:rsidRPr="009F7571" w:rsidRDefault="009F7571" w:rsidP="009F7571">
            <w:pPr>
              <w:spacing w:after="0" w:line="240" w:lineRule="auto"/>
              <w:jc w:val="both"/>
              <w:rPr>
                <w:rFonts w:ascii="Arial" w:eastAsia="Times New Roman" w:hAnsi="Arial" w:cs="Arial"/>
                <w:b/>
                <w:bCs/>
                <w:color w:val="000000"/>
              </w:rPr>
            </w:pPr>
          </w:p>
          <w:p w14:paraId="290601C8" w14:textId="77777777" w:rsidR="009F7571" w:rsidRPr="009F7571" w:rsidRDefault="009F7571" w:rsidP="009F7571">
            <w:pPr>
              <w:spacing w:after="0" w:line="240" w:lineRule="auto"/>
              <w:jc w:val="both"/>
              <w:rPr>
                <w:rFonts w:ascii="Arial" w:eastAsia="Times New Roman" w:hAnsi="Arial" w:cs="Arial"/>
                <w:color w:val="000080"/>
              </w:rPr>
            </w:pPr>
            <w:r w:rsidRPr="009F7571">
              <w:rPr>
                <w:rFonts w:ascii="Arial" w:eastAsia="Times New Roman" w:hAnsi="Arial" w:cs="Arial"/>
              </w:rPr>
              <w:t xml:space="preserve">In submitting this application I hereby confirm that I undertake to ensure that the above named research activity will meet the University’s </w:t>
            </w:r>
            <w:hyperlink r:id="rId143" w:history="1">
              <w:r w:rsidRPr="009F7571">
                <w:rPr>
                  <w:rFonts w:ascii="Arial" w:eastAsia="Times New Roman" w:hAnsi="Arial" w:cs="Arial"/>
                  <w:color w:val="0000FF"/>
                  <w:u w:val="single"/>
                </w:rPr>
                <w:t>Research Ethics and Integrity Code of Practice</w:t>
              </w:r>
            </w:hyperlink>
          </w:p>
        </w:tc>
      </w:tr>
      <w:tr w:rsidR="009F7571" w:rsidRPr="009F7571" w14:paraId="72ACA6C4" w14:textId="77777777" w:rsidTr="00DC521F">
        <w:trPr>
          <w:trHeight w:val="657"/>
        </w:trPr>
        <w:tc>
          <w:tcPr>
            <w:tcW w:w="3219" w:type="dxa"/>
            <w:tcBorders>
              <w:right w:val="nil"/>
            </w:tcBorders>
            <w:vAlign w:val="center"/>
          </w:tcPr>
          <w:p w14:paraId="34CD1529"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Signature of applicant:</w:t>
            </w:r>
            <w:r w:rsidRPr="009F7571">
              <w:rPr>
                <w:rFonts w:ascii="Times New Roman" w:eastAsia="Times New Roman" w:hAnsi="Times New Roman"/>
                <w:sz w:val="20"/>
                <w:szCs w:val="20"/>
              </w:rPr>
              <w:t xml:space="preserve"> </w:t>
            </w:r>
          </w:p>
        </w:tc>
        <w:tc>
          <w:tcPr>
            <w:tcW w:w="3969" w:type="dxa"/>
            <w:tcBorders>
              <w:left w:val="nil"/>
            </w:tcBorders>
            <w:vAlign w:val="center"/>
          </w:tcPr>
          <w:p w14:paraId="3AB18CB4"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Times New Roman" w:eastAsia="Times New Roman" w:hAnsi="Times New Roman"/>
                <w:noProof/>
                <w:sz w:val="20"/>
                <w:szCs w:val="20"/>
              </w:rPr>
              <w:drawing>
                <wp:inline distT="0" distB="0" distL="0" distR="0" wp14:anchorId="11CC6480" wp14:editId="69384A0E">
                  <wp:extent cx="517069" cy="276077"/>
                  <wp:effectExtent l="0" t="0" r="0" b="0"/>
                  <wp:docPr id="11" name="Picture 11" descr="A picture contain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water&#10;&#10;Description automatically generated"/>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538128" cy="287321"/>
                          </a:xfrm>
                          <a:prstGeom prst="rect">
                            <a:avLst/>
                          </a:prstGeom>
                          <a:noFill/>
                          <a:ln>
                            <a:noFill/>
                          </a:ln>
                        </pic:spPr>
                      </pic:pic>
                    </a:graphicData>
                  </a:graphic>
                </wp:inline>
              </w:drawing>
            </w:r>
          </w:p>
        </w:tc>
        <w:tc>
          <w:tcPr>
            <w:tcW w:w="850" w:type="dxa"/>
            <w:tcBorders>
              <w:right w:val="nil"/>
            </w:tcBorders>
            <w:vAlign w:val="center"/>
          </w:tcPr>
          <w:p w14:paraId="486FA1D1"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 xml:space="preserve">Date: </w:t>
            </w:r>
            <w:r w:rsidRPr="009F7571">
              <w:rPr>
                <w:rFonts w:ascii="Arial" w:eastAsia="Times New Roman" w:hAnsi="Arial" w:cs="Arial"/>
              </w:rPr>
              <w:t>28.03.22</w:t>
            </w:r>
          </w:p>
        </w:tc>
        <w:tc>
          <w:tcPr>
            <w:tcW w:w="1843" w:type="dxa"/>
            <w:tcBorders>
              <w:left w:val="nil"/>
            </w:tcBorders>
            <w:vAlign w:val="center"/>
          </w:tcPr>
          <w:p w14:paraId="7D9FB340" w14:textId="77777777" w:rsidR="009F7571" w:rsidRPr="009F7571" w:rsidRDefault="009F7571" w:rsidP="009F7571">
            <w:pPr>
              <w:spacing w:before="100" w:beforeAutospacing="1" w:after="100" w:afterAutospacing="1" w:line="240" w:lineRule="auto"/>
              <w:rPr>
                <w:rFonts w:ascii="Arial" w:eastAsia="Times New Roman" w:hAnsi="Arial" w:cs="Arial"/>
              </w:rPr>
            </w:pPr>
          </w:p>
        </w:tc>
      </w:tr>
    </w:tbl>
    <w:p w14:paraId="6486AB9B" w14:textId="77777777" w:rsidR="009F7571" w:rsidRPr="009F7571" w:rsidRDefault="009F7571" w:rsidP="009F7571">
      <w:pPr>
        <w:spacing w:after="0" w:line="240" w:lineRule="auto"/>
        <w:rPr>
          <w:rFonts w:ascii="Arial" w:eastAsia="Times New Roman" w:hAnsi="Arial" w:cs="Arial"/>
        </w:rPr>
      </w:pPr>
    </w:p>
    <w:p w14:paraId="1D7243A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6744D7F3" w14:textId="77777777" w:rsidTr="009F7571">
        <w:trPr>
          <w:trHeight w:val="346"/>
        </w:trPr>
        <w:tc>
          <w:tcPr>
            <w:tcW w:w="3227" w:type="dxa"/>
            <w:shd w:val="clear" w:color="auto" w:fill="F2F2F2"/>
            <w:vAlign w:val="center"/>
          </w:tcPr>
          <w:p w14:paraId="43996E0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Director of Studies/Supervisor:</w:t>
            </w:r>
          </w:p>
        </w:tc>
        <w:tc>
          <w:tcPr>
            <w:tcW w:w="3969" w:type="dxa"/>
            <w:shd w:val="clear" w:color="auto" w:fill="auto"/>
            <w:vAlign w:val="center"/>
          </w:tcPr>
          <w:p w14:paraId="701EC3A7"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Anthony Burns</w:t>
            </w:r>
          </w:p>
        </w:tc>
      </w:tr>
      <w:tr w:rsidR="009F7571" w:rsidRPr="009F7571" w14:paraId="2C8FB49B" w14:textId="77777777" w:rsidTr="009F7571">
        <w:trPr>
          <w:trHeight w:val="347"/>
        </w:trPr>
        <w:tc>
          <w:tcPr>
            <w:tcW w:w="3227" w:type="dxa"/>
            <w:shd w:val="clear" w:color="auto" w:fill="F2F2F2"/>
            <w:vAlign w:val="center"/>
          </w:tcPr>
          <w:p w14:paraId="571D6FE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1F5AB69B" w14:textId="77777777" w:rsidR="009F7571" w:rsidRPr="009F7571" w:rsidRDefault="009F7571" w:rsidP="009F7571">
            <w:pPr>
              <w:spacing w:after="0" w:line="240" w:lineRule="auto"/>
              <w:contextualSpacing/>
              <w:rPr>
                <w:rFonts w:ascii="Bradley Hand ITC" w:hAnsi="Bradley Hand ITC" w:cs="Arial"/>
              </w:rPr>
            </w:pPr>
            <w:r w:rsidRPr="009F7571">
              <w:rPr>
                <w:rFonts w:ascii="Bradley Hand ITC" w:hAnsi="Bradley Hand ITC" w:cs="Arial"/>
              </w:rPr>
              <w:t>A.Burns</w:t>
            </w:r>
          </w:p>
          <w:p w14:paraId="761C08EF" w14:textId="77777777" w:rsidR="009F7571" w:rsidRPr="009F7571" w:rsidRDefault="009F7571" w:rsidP="009F7571">
            <w:pPr>
              <w:spacing w:after="0" w:line="240" w:lineRule="auto"/>
              <w:contextualSpacing/>
              <w:rPr>
                <w:rFonts w:ascii="Arial" w:hAnsi="Arial" w:cs="Arial"/>
              </w:rPr>
            </w:pPr>
          </w:p>
        </w:tc>
      </w:tr>
      <w:tr w:rsidR="009F7571" w:rsidRPr="009F7571" w14:paraId="0FB7D4C7" w14:textId="77777777" w:rsidTr="009F7571">
        <w:trPr>
          <w:trHeight w:val="347"/>
        </w:trPr>
        <w:tc>
          <w:tcPr>
            <w:tcW w:w="3227" w:type="dxa"/>
            <w:shd w:val="clear" w:color="auto" w:fill="F2F2F2"/>
            <w:vAlign w:val="center"/>
          </w:tcPr>
          <w:p w14:paraId="20107AD9"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334596D2"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27 06 2022</w:t>
            </w:r>
          </w:p>
        </w:tc>
      </w:tr>
    </w:tbl>
    <w:p w14:paraId="1A6A8BA5" w14:textId="77777777" w:rsidR="009F7571" w:rsidRPr="009F7571" w:rsidRDefault="009F7571" w:rsidP="009F7571">
      <w:pPr>
        <w:spacing w:after="0" w:line="240" w:lineRule="auto"/>
        <w:rPr>
          <w:rFonts w:ascii="Arial" w:eastAsia="Times New Roman" w:hAnsi="Arial" w:cs="Arial"/>
        </w:rPr>
      </w:pPr>
    </w:p>
    <w:p w14:paraId="047BF90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479213C1" w14:textId="77777777" w:rsidTr="009F7571">
        <w:trPr>
          <w:trHeight w:val="346"/>
        </w:trPr>
        <w:tc>
          <w:tcPr>
            <w:tcW w:w="3227" w:type="dxa"/>
            <w:shd w:val="clear" w:color="auto" w:fill="F2F2F2"/>
            <w:vAlign w:val="center"/>
          </w:tcPr>
          <w:p w14:paraId="230C80D1"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Head of School/Assistant Dean:</w:t>
            </w:r>
          </w:p>
        </w:tc>
        <w:tc>
          <w:tcPr>
            <w:tcW w:w="3969" w:type="dxa"/>
            <w:shd w:val="clear" w:color="auto" w:fill="auto"/>
            <w:vAlign w:val="center"/>
          </w:tcPr>
          <w:p w14:paraId="31B6A985" w14:textId="77777777" w:rsidR="009F7571" w:rsidRPr="009F7571" w:rsidRDefault="009F7571" w:rsidP="009F7571">
            <w:pPr>
              <w:spacing w:after="0" w:line="240" w:lineRule="auto"/>
              <w:contextualSpacing/>
              <w:rPr>
                <w:rFonts w:ascii="Arial" w:hAnsi="Arial" w:cs="Arial"/>
              </w:rPr>
            </w:pPr>
          </w:p>
        </w:tc>
      </w:tr>
      <w:tr w:rsidR="009F7571" w:rsidRPr="009F7571" w14:paraId="10D91245" w14:textId="77777777" w:rsidTr="009F7571">
        <w:trPr>
          <w:trHeight w:val="347"/>
        </w:trPr>
        <w:tc>
          <w:tcPr>
            <w:tcW w:w="3227" w:type="dxa"/>
            <w:shd w:val="clear" w:color="auto" w:fill="F2F2F2"/>
            <w:vAlign w:val="center"/>
          </w:tcPr>
          <w:p w14:paraId="4A0CB50B"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648A5058" w14:textId="77777777" w:rsidR="009F7571" w:rsidRPr="009F7571" w:rsidRDefault="009F7571" w:rsidP="009F7571">
            <w:pPr>
              <w:spacing w:after="0" w:line="240" w:lineRule="auto"/>
              <w:contextualSpacing/>
              <w:rPr>
                <w:rFonts w:ascii="Arial" w:hAnsi="Arial" w:cs="Arial"/>
              </w:rPr>
            </w:pPr>
          </w:p>
          <w:p w14:paraId="293928A5" w14:textId="77777777" w:rsidR="009F7571" w:rsidRPr="009F7571" w:rsidRDefault="009F7571" w:rsidP="009F7571">
            <w:pPr>
              <w:spacing w:after="0" w:line="240" w:lineRule="auto"/>
              <w:contextualSpacing/>
              <w:rPr>
                <w:rFonts w:ascii="Arial" w:hAnsi="Arial" w:cs="Arial"/>
              </w:rPr>
            </w:pPr>
          </w:p>
        </w:tc>
      </w:tr>
      <w:tr w:rsidR="009F7571" w:rsidRPr="009F7571" w14:paraId="6B1B3CE7" w14:textId="77777777" w:rsidTr="009F7571">
        <w:trPr>
          <w:trHeight w:val="347"/>
        </w:trPr>
        <w:tc>
          <w:tcPr>
            <w:tcW w:w="3227" w:type="dxa"/>
            <w:shd w:val="clear" w:color="auto" w:fill="F2F2F2"/>
            <w:vAlign w:val="center"/>
          </w:tcPr>
          <w:p w14:paraId="729E89C0"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47177CCA" w14:textId="77777777" w:rsidR="009F7571" w:rsidRPr="009F7571" w:rsidRDefault="009F7571" w:rsidP="009F7571">
            <w:pPr>
              <w:spacing w:after="0" w:line="240" w:lineRule="auto"/>
              <w:contextualSpacing/>
              <w:rPr>
                <w:rFonts w:ascii="Arial" w:hAnsi="Arial" w:cs="Arial"/>
              </w:rPr>
            </w:pPr>
          </w:p>
        </w:tc>
      </w:tr>
    </w:tbl>
    <w:p w14:paraId="0EFC5CDC" w14:textId="77777777" w:rsidR="009F7571" w:rsidRPr="009F7571" w:rsidRDefault="009F7571" w:rsidP="009F7571">
      <w:pPr>
        <w:spacing w:after="0" w:line="240" w:lineRule="auto"/>
        <w:rPr>
          <w:rFonts w:ascii="Arial" w:eastAsia="Times New Roman" w:hAnsi="Arial" w:cs="Arial"/>
        </w:rPr>
      </w:pPr>
    </w:p>
    <w:p w14:paraId="02832FFA" w14:textId="77777777" w:rsidR="009F7571" w:rsidRPr="009F7571" w:rsidRDefault="009F7571" w:rsidP="009F7571">
      <w:pPr>
        <w:spacing w:after="0" w:line="240" w:lineRule="auto"/>
        <w:rPr>
          <w:rFonts w:ascii="Arial" w:eastAsia="Times New Roman" w:hAnsi="Arial" w:cs="Arial"/>
        </w:rPr>
      </w:pPr>
    </w:p>
    <w:p w14:paraId="7DD44B4E"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rPr>
        <w:t xml:space="preserve">Checklist: </w:t>
      </w:r>
      <w:r w:rsidRPr="009F757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F7571" w:rsidRPr="009F7571" w14:paraId="1D0ADC4D" w14:textId="77777777" w:rsidTr="009F7571">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5459E619"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17DD3A1B" w14:textId="77777777" w:rsidR="009F7571" w:rsidRPr="009F7571" w:rsidRDefault="009F7571" w:rsidP="009F7571">
            <w:pPr>
              <w:spacing w:after="0" w:line="240" w:lineRule="auto"/>
              <w:rPr>
                <w:rFonts w:ascii="Arial" w:eastAsia="MS Gothic" w:hAnsi="Arial" w:cs="Arial"/>
                <w:bCs/>
              </w:rPr>
            </w:pPr>
            <w:r w:rsidRPr="009F7571">
              <w:rPr>
                <w:rFonts w:ascii="Arial" w:eastAsia="MS Gothic" w:hAnsi="Arial" w:cs="Arial"/>
                <w:bCs/>
              </w:rPr>
              <w:t>I have read the guidance notes supplied before completing the form.</w:t>
            </w:r>
          </w:p>
        </w:tc>
      </w:tr>
      <w:tr w:rsidR="009F7571" w:rsidRPr="009F7571" w14:paraId="2AE167D6" w14:textId="77777777" w:rsidTr="009F7571">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44B23C2E"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04BB921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 have completed </w:t>
            </w:r>
            <w:r w:rsidRPr="009F7571">
              <w:rPr>
                <w:rFonts w:ascii="Arial" w:eastAsia="Times New Roman" w:hAnsi="Arial" w:cs="Arial"/>
                <w:b/>
              </w:rPr>
              <w:t>ALL RELEVANT</w:t>
            </w:r>
            <w:r w:rsidRPr="009F7571">
              <w:rPr>
                <w:rFonts w:ascii="Arial" w:eastAsia="Times New Roman" w:hAnsi="Arial" w:cs="Arial"/>
              </w:rPr>
              <w:t xml:space="preserve"> sections of the form in full.</w:t>
            </w:r>
          </w:p>
        </w:tc>
      </w:tr>
      <w:tr w:rsidR="009F7571" w:rsidRPr="009F7571" w14:paraId="5FC41F14" w14:textId="77777777" w:rsidTr="009F7571">
        <w:trPr>
          <w:trHeight w:val="419"/>
        </w:trPr>
        <w:tc>
          <w:tcPr>
            <w:tcW w:w="675" w:type="dxa"/>
            <w:shd w:val="clear" w:color="auto" w:fill="BFBFBF"/>
            <w:vAlign w:val="center"/>
          </w:tcPr>
          <w:sdt>
            <w:sdtPr>
              <w:rPr>
                <w:rFonts w:ascii="Arial" w:eastAsia="Times New Roman" w:hAnsi="Arial" w:cs="Arial"/>
              </w:rPr>
              <w:id w:val="1393921880"/>
              <w14:checkbox>
                <w14:checked w14:val="1"/>
                <w14:checkedState w14:val="2612" w14:font="MS Gothic"/>
                <w14:uncheckedState w14:val="2610" w14:font="MS Gothic"/>
              </w14:checkbox>
            </w:sdtPr>
            <w:sdtContent>
              <w:p w14:paraId="2459358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0D67BC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confirm that the research activity has received approval in principle</w:t>
            </w:r>
          </w:p>
        </w:tc>
      </w:tr>
      <w:tr w:rsidR="009F7571" w:rsidRPr="009F7571" w14:paraId="15C34736" w14:textId="77777777" w:rsidTr="009F7571">
        <w:trPr>
          <w:trHeight w:val="492"/>
        </w:trPr>
        <w:tc>
          <w:tcPr>
            <w:tcW w:w="675" w:type="dxa"/>
            <w:shd w:val="clear" w:color="auto" w:fill="BFBFBF"/>
            <w:vAlign w:val="center"/>
          </w:tcPr>
          <w:sdt>
            <w:sdtPr>
              <w:rPr>
                <w:rFonts w:ascii="Arial" w:eastAsia="Times New Roman" w:hAnsi="Arial" w:cs="Arial"/>
              </w:rPr>
              <w:id w:val="-1978295672"/>
              <w14:checkbox>
                <w14:checked w14:val="0"/>
                <w14:checkedState w14:val="2612" w14:font="MS Gothic"/>
                <w14:uncheckedState w14:val="2610" w14:font="MS Gothic"/>
              </w14:checkbox>
            </w:sdtPr>
            <w:sdtContent>
              <w:p w14:paraId="01E92B18"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6926EF9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have attached a copy of final/interim approval from external organisation (where appropriate)</w:t>
            </w:r>
          </w:p>
        </w:tc>
      </w:tr>
      <w:tr w:rsidR="009F7571" w:rsidRPr="009F7571" w14:paraId="167E0FE0" w14:textId="77777777" w:rsidTr="009F7571">
        <w:trPr>
          <w:trHeight w:val="626"/>
        </w:trPr>
        <w:tc>
          <w:tcPr>
            <w:tcW w:w="675" w:type="dxa"/>
            <w:shd w:val="clear" w:color="auto" w:fill="BFBFBF"/>
            <w:vAlign w:val="center"/>
          </w:tcPr>
          <w:sdt>
            <w:sdtPr>
              <w:rPr>
                <w:rFonts w:ascii="Arial" w:eastAsia="Times New Roman" w:hAnsi="Arial" w:cs="Arial"/>
              </w:rPr>
              <w:id w:val="1189257540"/>
              <w14:checkbox>
                <w14:checked w14:val="1"/>
                <w14:checkedState w14:val="2612" w14:font="MS Gothic"/>
                <w14:uncheckedState w14:val="2610" w14:font="MS Gothic"/>
              </w14:checkbox>
            </w:sdtPr>
            <w:sdtContent>
              <w:p w14:paraId="7F8F9FAE"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3EDD7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understand that it is my responsibility to ensure that the above named research activity will meet the University’s Research Ethics and Integrity Code of Practice.</w:t>
            </w:r>
          </w:p>
        </w:tc>
      </w:tr>
      <w:tr w:rsidR="009F7571" w:rsidRPr="009F7571" w14:paraId="3D8D9DBB" w14:textId="77777777" w:rsidTr="009F7571">
        <w:trPr>
          <w:trHeight w:val="968"/>
        </w:trPr>
        <w:tc>
          <w:tcPr>
            <w:tcW w:w="675" w:type="dxa"/>
            <w:shd w:val="clear" w:color="auto" w:fill="BFBFBF"/>
            <w:vAlign w:val="center"/>
          </w:tcPr>
          <w:sdt>
            <w:sdtPr>
              <w:rPr>
                <w:rFonts w:ascii="Arial" w:eastAsia="Times New Roman" w:hAnsi="Arial" w:cs="Arial"/>
              </w:rPr>
              <w:id w:val="1030683582"/>
              <w14:checkbox>
                <w14:checked w14:val="1"/>
                <w14:checkedState w14:val="2612" w14:font="MS Gothic"/>
                <w14:uncheckedState w14:val="2610" w14:font="MS Gothic"/>
              </w14:checkbox>
            </w:sdtPr>
            <w:sdtContent>
              <w:p w14:paraId="7D33C3C3"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5EA034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CE8D2F7" w14:textId="77777777" w:rsidR="009F7571" w:rsidRPr="009F7571" w:rsidRDefault="009F7571" w:rsidP="009F7571">
      <w:pPr>
        <w:tabs>
          <w:tab w:val="left" w:pos="5103"/>
        </w:tabs>
        <w:spacing w:after="0" w:line="240" w:lineRule="auto"/>
        <w:rPr>
          <w:rFonts w:ascii="Arial" w:eastAsia="Times New Roman" w:hAnsi="Arial" w:cs="Arial"/>
          <w:b/>
          <w:bCs/>
        </w:rPr>
      </w:pPr>
    </w:p>
    <w:p w14:paraId="0AF24B3D" w14:textId="77777777" w:rsidR="009F7571" w:rsidRPr="009F7571" w:rsidRDefault="009F7571" w:rsidP="009F757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F7571" w:rsidRPr="009F7571" w14:paraId="3F8F1EBD" w14:textId="77777777" w:rsidTr="009F7571">
        <w:tc>
          <w:tcPr>
            <w:tcW w:w="10060" w:type="dxa"/>
            <w:shd w:val="clear" w:color="auto" w:fill="F2F2F2"/>
          </w:tcPr>
          <w:p w14:paraId="0C3D203B"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RESEARCH STUDENTS AND STAFF ONLY</w:t>
            </w:r>
          </w:p>
          <w:p w14:paraId="200A2C5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All communications relating to this application during its processing must be in writing and emailed to </w:t>
            </w:r>
            <w:hyperlink r:id="rId145" w:history="1">
              <w:r w:rsidRPr="009F7571">
                <w:rPr>
                  <w:rFonts w:ascii="Arial" w:eastAsia="Times New Roman" w:hAnsi="Arial" w:cs="Arial"/>
                  <w:color w:val="0000FF"/>
                  <w:u w:val="single"/>
                </w:rPr>
                <w:t>pgresearch@uwtsd.ac.uk</w:t>
              </w:r>
            </w:hyperlink>
            <w:r w:rsidRPr="009F7571">
              <w:rPr>
                <w:rFonts w:ascii="Arial" w:eastAsia="Times New Roman" w:hAnsi="Arial" w:cs="Arial"/>
              </w:rPr>
              <w:t xml:space="preserve"> , with the title ‘Ethical Approval’ followed by your name.</w:t>
            </w:r>
          </w:p>
          <w:p w14:paraId="41539B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color w:val="000000"/>
              </w:rPr>
              <w:t>You will be informed of the outcome of your claim by email; therefore</w:t>
            </w:r>
            <w:r w:rsidRPr="009F7571">
              <w:rPr>
                <w:rFonts w:ascii="Arial" w:eastAsia="Times New Roman" w:hAnsi="Arial" w:cs="Arial"/>
                <w:b/>
                <w:color w:val="000000"/>
              </w:rPr>
              <w:t xml:space="preserve"> </w:t>
            </w:r>
            <w:r w:rsidRPr="009F7571">
              <w:rPr>
                <w:rFonts w:ascii="Arial" w:eastAsia="Times New Roman" w:hAnsi="Arial" w:cs="Arial"/>
                <w:color w:val="000000"/>
              </w:rPr>
              <w:t>it is important that you check your University and personal email accounts regularly</w:t>
            </w:r>
            <w:r w:rsidRPr="009F7571">
              <w:rPr>
                <w:rFonts w:ascii="Arial" w:eastAsia="Times New Roman" w:hAnsi="Arial" w:cs="Arial"/>
                <w:b/>
                <w:bCs/>
              </w:rPr>
              <w:t>.</w:t>
            </w:r>
          </w:p>
        </w:tc>
      </w:tr>
    </w:tbl>
    <w:p w14:paraId="709B0E00" w14:textId="77777777" w:rsidR="009F7571" w:rsidRPr="009F7571" w:rsidRDefault="009F7571" w:rsidP="009F7571">
      <w:pPr>
        <w:tabs>
          <w:tab w:val="left" w:pos="5103"/>
        </w:tabs>
        <w:spacing w:after="0" w:line="240" w:lineRule="auto"/>
        <w:rPr>
          <w:rFonts w:ascii="Arial" w:eastAsia="Times New Roman" w:hAnsi="Arial" w:cs="Arial"/>
          <w:b/>
          <w:bCs/>
        </w:rPr>
      </w:pPr>
    </w:p>
    <w:p w14:paraId="077511EF" w14:textId="77777777" w:rsidR="009F7571" w:rsidRPr="009F7571" w:rsidRDefault="009F7571" w:rsidP="009F757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9F7571">
        <w:rPr>
          <w:rFonts w:ascii="Arial" w:eastAsia="Times New Roman" w:hAnsi="Arial" w:cs="Arial"/>
          <w:b/>
          <w:bCs/>
        </w:rPr>
        <w:t xml:space="preserve">STUDENTS ON UNDERGRADUATE OR TAUGHT MASTERS PROGRAMMES </w:t>
      </w:r>
      <w:r w:rsidRPr="009F7571">
        <w:rPr>
          <w:rFonts w:ascii="Arial" w:eastAsia="Times New Roman" w:hAnsi="Arial" w:cs="Arial"/>
          <w:bCs/>
        </w:rPr>
        <w:t>should submit  this form (and receive the outcome) via systems explained to you by the supervisor/module leader.</w:t>
      </w:r>
    </w:p>
    <w:p w14:paraId="313DC216" w14:textId="77777777" w:rsidR="009F7571" w:rsidRPr="009F7571" w:rsidRDefault="009F7571" w:rsidP="009F7571">
      <w:pPr>
        <w:tabs>
          <w:tab w:val="left" w:pos="5103"/>
        </w:tabs>
        <w:spacing w:after="0" w:line="240" w:lineRule="auto"/>
        <w:rPr>
          <w:rFonts w:ascii="Arial" w:eastAsia="Times New Roman" w:hAnsi="Arial" w:cs="Arial"/>
          <w:bCs/>
        </w:rPr>
      </w:pPr>
    </w:p>
    <w:p w14:paraId="294B8BAD" w14:textId="77777777" w:rsidR="009F7571" w:rsidRPr="009F7571" w:rsidRDefault="009F7571" w:rsidP="009F7571">
      <w:pPr>
        <w:tabs>
          <w:tab w:val="left" w:pos="5103"/>
        </w:tabs>
        <w:spacing w:after="0" w:line="240" w:lineRule="auto"/>
        <w:rPr>
          <w:rFonts w:ascii="Arial" w:eastAsia="Times New Roman" w:hAnsi="Arial" w:cs="Arial"/>
          <w:color w:val="0000FF"/>
          <w:u w:val="single"/>
        </w:rPr>
      </w:pPr>
      <w:r w:rsidRPr="009F7571">
        <w:rPr>
          <w:rFonts w:ascii="Arial" w:eastAsia="Times New Roman" w:hAnsi="Arial" w:cs="Arial"/>
          <w:b/>
          <w:bCs/>
        </w:rPr>
        <w:t xml:space="preserve">This form is available electronically from the Academic Office web pages: </w:t>
      </w:r>
      <w:hyperlink r:id="rId146" w:history="1">
        <w:r w:rsidRPr="009F7571">
          <w:rPr>
            <w:rFonts w:ascii="Arial" w:eastAsia="Times New Roman" w:hAnsi="Arial" w:cs="Arial"/>
            <w:color w:val="0000FF"/>
            <w:u w:val="single"/>
          </w:rPr>
          <w:t>http://www.uwtsd.ac.uk/academic-office/</w:t>
        </w:r>
      </w:hyperlink>
    </w:p>
    <w:p w14:paraId="523A42D7" w14:textId="77777777" w:rsidR="009F7571" w:rsidRPr="009F7571" w:rsidRDefault="009F7571" w:rsidP="009F7571">
      <w:pPr>
        <w:tabs>
          <w:tab w:val="left" w:pos="5103"/>
        </w:tabs>
        <w:spacing w:after="0" w:line="240" w:lineRule="auto"/>
        <w:rPr>
          <w:rFonts w:ascii="Arial" w:eastAsia="Times New Roman" w:hAnsi="Arial" w:cs="Arial"/>
          <w:bCs/>
        </w:rPr>
      </w:pPr>
    </w:p>
    <w:p w14:paraId="20230787" w14:textId="77777777" w:rsidR="009F7571" w:rsidRPr="009F7571" w:rsidRDefault="009F7571" w:rsidP="009F7571">
      <w:pPr>
        <w:spacing w:after="0" w:line="240" w:lineRule="auto"/>
        <w:jc w:val="center"/>
        <w:rPr>
          <w:rFonts w:ascii="Arial" w:eastAsia="Times New Roman" w:hAnsi="Arial" w:cs="Arial"/>
          <w:b/>
        </w:rPr>
      </w:pPr>
      <w:r w:rsidRPr="009F7571">
        <w:rPr>
          <w:rFonts w:ascii="Arial" w:eastAsia="Times New Roman" w:hAnsi="Arial" w:cs="Arial"/>
          <w:b/>
        </w:rPr>
        <w:t>Application Process</w:t>
      </w:r>
    </w:p>
    <w:p w14:paraId="7AE47C36" w14:textId="77777777" w:rsidR="009F7571" w:rsidRPr="009F7571" w:rsidRDefault="009F7571" w:rsidP="009F7571">
      <w:pPr>
        <w:spacing w:after="0" w:line="240" w:lineRule="auto"/>
        <w:jc w:val="both"/>
        <w:rPr>
          <w:rFonts w:ascii="Arial" w:eastAsia="Times New Roman" w:hAnsi="Arial" w:cs="Arial"/>
          <w:sz w:val="20"/>
          <w:szCs w:val="20"/>
        </w:rPr>
      </w:pPr>
    </w:p>
    <w:p w14:paraId="2A7E3056"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All staff research projects and all research students</w:t>
      </w:r>
      <w:r w:rsidRPr="009F7571">
        <w:rPr>
          <w:rFonts w:ascii="Arial" w:eastAsia="Times New Roman" w:hAnsi="Arial" w:cs="Arial"/>
          <w:sz w:val="20"/>
          <w:szCs w:val="20"/>
        </w:rPr>
        <w:t xml:space="preserve"> must submit the Ethical Approval Form to the </w:t>
      </w:r>
      <w:r w:rsidRPr="009F7571">
        <w:rPr>
          <w:rFonts w:ascii="Arial" w:eastAsia="Times New Roman" w:hAnsi="Arial" w:cs="Arial"/>
          <w:b/>
          <w:sz w:val="20"/>
          <w:szCs w:val="20"/>
        </w:rPr>
        <w:t>University Ethics Committee</w:t>
      </w:r>
      <w:r w:rsidRPr="009F7571">
        <w:rPr>
          <w:rFonts w:ascii="Arial" w:eastAsia="Times New Roman" w:hAnsi="Arial" w:cs="Arial"/>
          <w:sz w:val="20"/>
          <w:szCs w:val="20"/>
        </w:rPr>
        <w:t xml:space="preserve"> via the Postgraduate Research office (</w:t>
      </w:r>
      <w:hyperlink r:id="rId147" w:history="1">
        <w:r w:rsidRPr="009F7571">
          <w:rPr>
            <w:rFonts w:ascii="Arial" w:eastAsia="Times New Roman" w:hAnsi="Arial" w:cs="Arial"/>
            <w:u w:val="single"/>
          </w:rPr>
          <w:t>pgresearch@uwtsd.ac.uk</w:t>
        </w:r>
      </w:hyperlink>
      <w:r w:rsidRPr="009F7571">
        <w:rPr>
          <w:rFonts w:ascii="Arial" w:eastAsia="Times New Roman" w:hAnsi="Arial" w:cs="Arial"/>
          <w:u w:val="single"/>
        </w:rPr>
        <w:t>)</w:t>
      </w:r>
      <w:r w:rsidRPr="009F7571">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46110B83" w14:textId="77777777" w:rsidR="009F7571" w:rsidRPr="009F7571" w:rsidRDefault="009F7571" w:rsidP="009F7571">
      <w:pPr>
        <w:spacing w:after="0" w:line="240" w:lineRule="auto"/>
        <w:jc w:val="both"/>
        <w:rPr>
          <w:rFonts w:ascii="Arial" w:eastAsia="Times New Roman" w:hAnsi="Arial" w:cs="Arial"/>
          <w:sz w:val="20"/>
          <w:szCs w:val="20"/>
        </w:rPr>
      </w:pPr>
    </w:p>
    <w:p w14:paraId="16F38A3E"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Taught masters and taught undergraduate research Ethical Approval Forms</w:t>
      </w:r>
      <w:r w:rsidRPr="009F7571">
        <w:rPr>
          <w:rFonts w:ascii="Arial" w:eastAsia="Times New Roman" w:hAnsi="Arial" w:cs="Arial"/>
          <w:sz w:val="20"/>
          <w:szCs w:val="20"/>
        </w:rPr>
        <w:t xml:space="preserve"> are considered </w:t>
      </w:r>
      <w:r w:rsidRPr="009F7571">
        <w:rPr>
          <w:rFonts w:ascii="Arial" w:eastAsia="Times New Roman" w:hAnsi="Arial" w:cs="Arial"/>
          <w:b/>
          <w:sz w:val="20"/>
          <w:szCs w:val="20"/>
        </w:rPr>
        <w:t>within Faculties.</w:t>
      </w:r>
      <w:r w:rsidRPr="009F757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80B2459" w14:textId="77777777" w:rsidR="009F7571" w:rsidRPr="009F7571" w:rsidRDefault="009F7571" w:rsidP="009F7571">
      <w:pPr>
        <w:spacing w:after="0" w:line="240" w:lineRule="auto"/>
        <w:jc w:val="both"/>
        <w:rPr>
          <w:rFonts w:ascii="Arial" w:eastAsia="Times New Roman" w:hAnsi="Arial" w:cs="Arial"/>
          <w:sz w:val="20"/>
          <w:szCs w:val="20"/>
        </w:rPr>
      </w:pPr>
    </w:p>
    <w:p w14:paraId="7E7E2A2B" w14:textId="77777777" w:rsidR="009F7571" w:rsidRPr="009F7571" w:rsidRDefault="009F7571" w:rsidP="009F7571">
      <w:pPr>
        <w:tabs>
          <w:tab w:val="left" w:pos="5103"/>
        </w:tabs>
        <w:spacing w:after="0" w:line="240" w:lineRule="auto"/>
        <w:jc w:val="both"/>
        <w:rPr>
          <w:rFonts w:ascii="Arial" w:eastAsia="Times New Roman" w:hAnsi="Arial" w:cs="Arial"/>
          <w:b/>
          <w:bCs/>
        </w:rPr>
      </w:pPr>
      <w:r w:rsidRPr="009F7571">
        <w:rPr>
          <w:rFonts w:ascii="Arial" w:eastAsia="Times New Roman" w:hAnsi="Arial" w:cs="Arial"/>
          <w:b/>
          <w:bCs/>
        </w:rPr>
        <w:t>Notes for guidance in completion of this form</w:t>
      </w:r>
    </w:p>
    <w:p w14:paraId="4924AA8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EAF0770"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A:  About You</w:t>
      </w:r>
    </w:p>
    <w:p w14:paraId="3BBD19F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complete all relevant sections</w:t>
      </w:r>
    </w:p>
    <w:p w14:paraId="609A277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4E9016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B:  Approval for research activity</w:t>
      </w:r>
    </w:p>
    <w:p w14:paraId="49E7D25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5D7C379A" w14:textId="77777777" w:rsidR="009F7571" w:rsidRPr="009F7571" w:rsidRDefault="009F7571" w:rsidP="009F7571">
      <w:pPr>
        <w:tabs>
          <w:tab w:val="left" w:pos="5103"/>
        </w:tabs>
        <w:spacing w:after="0" w:line="240" w:lineRule="auto"/>
        <w:jc w:val="both"/>
        <w:rPr>
          <w:rFonts w:ascii="Arial" w:eastAsia="Times New Roman" w:hAnsi="Arial" w:cs="Arial"/>
          <w:bCs/>
          <w:sz w:val="12"/>
          <w:szCs w:val="12"/>
        </w:rPr>
      </w:pPr>
    </w:p>
    <w:p w14:paraId="016E086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The process for proposal approval varies according the individual and programme of study:</w:t>
      </w:r>
    </w:p>
    <w:p w14:paraId="7545421D"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Research students, by application on form PG1 to the Research Degrees Committee</w:t>
      </w:r>
    </w:p>
    <w:p w14:paraId="7D06458C"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Taught students by review of research proposal within Faculties (Faculties provide specific details of these processes)</w:t>
      </w:r>
    </w:p>
    <w:p w14:paraId="74A710B4"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Staff, by agreement by the Head of School/Assistant Dean</w:t>
      </w:r>
    </w:p>
    <w:p w14:paraId="4838CB8A"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45E55A9A"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C:  External Ethical Guidance materials</w:t>
      </w:r>
    </w:p>
    <w:p w14:paraId="0AD1AE40"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29167AB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5E6F3B9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D:  External Collaborative Research Activity</w:t>
      </w:r>
    </w:p>
    <w:p w14:paraId="6C4DD9A8"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1A3FF0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B7AEF0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E:  Details of Research Activity</w:t>
      </w:r>
    </w:p>
    <w:p w14:paraId="0630D0B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19C2B98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Indicative Title:  please use the same title as used on the research proposal.</w:t>
      </w:r>
    </w:p>
    <w:p w14:paraId="5E5554F6"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Purpose:</w:t>
      </w:r>
      <w:r w:rsidRPr="009F7571">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0AA957C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Proposed Methods:</w:t>
      </w:r>
      <w:r w:rsidRPr="009F7571">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1D99D0A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Location</w:t>
      </w:r>
      <w:r w:rsidRPr="009F7571">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0E567B6"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 xml:space="preserve">Research Activity outside of the UK:  </w:t>
      </w:r>
      <w:r w:rsidRPr="009F7571">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6BC885E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06C7135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F:  Scope of Research Activity</w:t>
      </w:r>
    </w:p>
    <w:p w14:paraId="1E3DD1A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44A03CA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52445FE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241F534B"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0CB373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F112F8F"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15A7C3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G:  Intended Participants</w:t>
      </w:r>
    </w:p>
    <w:p w14:paraId="075BCF7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tick all categories that might apply.</w:t>
      </w:r>
    </w:p>
    <w:p w14:paraId="683252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Numbers &amp; Source:</w:t>
      </w:r>
      <w:r w:rsidRPr="009F757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D97015E"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Information for participants</w:t>
      </w:r>
      <w:r w:rsidRPr="009F757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51C769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3FFDAFF5"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H:  Anticipate Risks</w:t>
      </w:r>
    </w:p>
    <w:p w14:paraId="025419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6F6618DB"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Risk to participants   </w:t>
      </w:r>
      <w:r w:rsidRPr="009F7571">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AD47E7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 xml:space="preserve">If these are business owners, time with you may reduce profit.  </w:t>
      </w:r>
    </w:p>
    <w:p w14:paraId="0503DA1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In some locations physical risk is very real to both participants and yourself, please consider this.</w:t>
      </w:r>
    </w:p>
    <w:p w14:paraId="7FD390A7"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you, the researcher   </w:t>
      </w:r>
      <w:r w:rsidRPr="009F7571">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9F7571">
        <w:rPr>
          <w:rFonts w:ascii="Arial" w:hAnsi="Arial" w:cs="Arial"/>
          <w:b/>
          <w:sz w:val="20"/>
          <w:szCs w:val="20"/>
        </w:rPr>
        <w:t xml:space="preserve">  </w:t>
      </w:r>
      <w:r w:rsidRPr="009F7571">
        <w:rPr>
          <w:rFonts w:ascii="Arial" w:hAnsi="Arial" w:cs="Arial"/>
          <w:sz w:val="20"/>
          <w:szCs w:val="20"/>
        </w:rPr>
        <w:t>If you are talking to individuals about certain issues think about how their responses might affect you emotionally.  What about the risk of collecting insufficient data?</w:t>
      </w:r>
    </w:p>
    <w:p w14:paraId="72615C1D"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the University   </w:t>
      </w:r>
      <w:r w:rsidRPr="009F7571">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C17B1B5"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fabrication: making up results or other outputs (eg, artefacts) and presenting them as if they were real</w:t>
      </w:r>
    </w:p>
    <w:p w14:paraId="54093941"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falsification: manipulating research processes or changing or omitting data without good cause</w:t>
      </w:r>
    </w:p>
    <w:p w14:paraId="00E65DE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plagiarism: using other people’s material without giving proper credit</w:t>
      </w:r>
    </w:p>
    <w:p w14:paraId="20AD91AF"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DBA987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improper dealing with allegations of misconduct: failing to address possible infringements such as attempts to cover up misconduct and reprisals against whistle-blowers</w:t>
      </w:r>
    </w:p>
    <w:p w14:paraId="3A78649D" w14:textId="77777777" w:rsidR="009F7571" w:rsidRPr="009F7571" w:rsidRDefault="009F7571" w:rsidP="009F7571">
      <w:pPr>
        <w:spacing w:after="0" w:line="240" w:lineRule="auto"/>
        <w:contextualSpacing/>
        <w:jc w:val="both"/>
        <w:rPr>
          <w:rFonts w:ascii="Arial" w:hAnsi="Arial" w:cs="Arial"/>
          <w:b/>
          <w:sz w:val="20"/>
          <w:szCs w:val="20"/>
        </w:rPr>
      </w:pPr>
    </w:p>
    <w:p w14:paraId="37B8A690"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Adverse Outcomes.  </w:t>
      </w:r>
      <w:r w:rsidRPr="009F7571">
        <w:rPr>
          <w:rFonts w:ascii="Arial" w:hAnsi="Arial" w:cs="Arial"/>
          <w:sz w:val="20"/>
          <w:szCs w:val="20"/>
        </w:rPr>
        <w:t>Think carefully about the possibilities, and cover here</w:t>
      </w:r>
    </w:p>
    <w:p w14:paraId="41DABFC0" w14:textId="77777777" w:rsidR="009F7571" w:rsidRPr="009F7571" w:rsidRDefault="009F7571" w:rsidP="009F7571">
      <w:pPr>
        <w:spacing w:after="0" w:line="240" w:lineRule="auto"/>
        <w:contextualSpacing/>
        <w:jc w:val="both"/>
        <w:rPr>
          <w:rFonts w:ascii="Arial" w:hAnsi="Arial" w:cs="Arial"/>
          <w:sz w:val="20"/>
          <w:szCs w:val="20"/>
        </w:rPr>
      </w:pPr>
    </w:p>
    <w:p w14:paraId="7FFAEFA1"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lastRenderedPageBreak/>
        <w:t>Section I:  Feedback, Consent and Confidentiality</w:t>
      </w:r>
    </w:p>
    <w:p w14:paraId="58C7ED3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Feedback to participants:</w:t>
      </w:r>
      <w:r w:rsidRPr="009F7571">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08E56A2C"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Informed consent</w:t>
      </w:r>
      <w:r w:rsidRPr="009F7571">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6426DD1E"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Confidentiality/Anonymity.  Explain clearly how you will ensure confidentiality and anonymity.</w:t>
      </w:r>
    </w:p>
    <w:p w14:paraId="41FDBE83" w14:textId="77777777" w:rsidR="009F7571" w:rsidRPr="009F7571" w:rsidRDefault="009F7571" w:rsidP="009F7571">
      <w:pPr>
        <w:spacing w:after="0" w:line="240" w:lineRule="auto"/>
        <w:jc w:val="both"/>
        <w:rPr>
          <w:rFonts w:ascii="Arial" w:eastAsia="Times New Roman" w:hAnsi="Arial" w:cs="Arial"/>
          <w:sz w:val="20"/>
          <w:szCs w:val="20"/>
        </w:rPr>
      </w:pPr>
    </w:p>
    <w:p w14:paraId="3E826FAC" w14:textId="77777777" w:rsidR="009F7571" w:rsidRPr="009F7571" w:rsidRDefault="009F7571" w:rsidP="009F7571">
      <w:pPr>
        <w:spacing w:after="0" w:line="240" w:lineRule="auto"/>
        <w:jc w:val="both"/>
        <w:rPr>
          <w:rFonts w:ascii="Arial" w:eastAsia="Times New Roman" w:hAnsi="Arial" w:cs="Arial"/>
          <w:b/>
          <w:sz w:val="20"/>
          <w:szCs w:val="20"/>
        </w:rPr>
      </w:pPr>
      <w:r w:rsidRPr="009F7571">
        <w:rPr>
          <w:rFonts w:ascii="Arial" w:eastAsia="Times New Roman" w:hAnsi="Arial" w:cs="Arial"/>
          <w:b/>
          <w:sz w:val="20"/>
          <w:szCs w:val="20"/>
        </w:rPr>
        <w:t>Section J:  Data Protection and Storage</w:t>
      </w:r>
    </w:p>
    <w:p w14:paraId="2D02E949"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63BC5A27" w14:textId="77777777" w:rsidR="009F7571" w:rsidRPr="009F7571" w:rsidRDefault="009F7571" w:rsidP="009F7571">
      <w:pPr>
        <w:spacing w:after="0" w:line="240" w:lineRule="auto"/>
        <w:jc w:val="both"/>
        <w:rPr>
          <w:rFonts w:ascii="Arial" w:eastAsia="Times New Roman" w:hAnsi="Arial" w:cs="Arial"/>
          <w:sz w:val="20"/>
          <w:szCs w:val="20"/>
        </w:rPr>
      </w:pPr>
    </w:p>
    <w:p w14:paraId="4BDB72B1"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3CCBD90D" w14:textId="77777777" w:rsidR="009F7571" w:rsidRPr="009F7571" w:rsidRDefault="009F7571" w:rsidP="009F7571">
      <w:pPr>
        <w:spacing w:after="0" w:line="240" w:lineRule="auto"/>
        <w:jc w:val="both"/>
        <w:rPr>
          <w:rFonts w:ascii="Arial" w:hAnsi="Arial" w:cs="Arial"/>
          <w:sz w:val="20"/>
          <w:szCs w:val="20"/>
        </w:rPr>
      </w:pPr>
      <w:r w:rsidRPr="009F757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9F7571">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529F0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In terms of storage of data please ensure security, and also mitigate against loss of data.</w:t>
      </w:r>
    </w:p>
    <w:p w14:paraId="43AB2762" w14:textId="77777777" w:rsidR="009F7571" w:rsidRPr="009F7571" w:rsidRDefault="009F7571" w:rsidP="009F7571">
      <w:pPr>
        <w:spacing w:after="0" w:line="240" w:lineRule="auto"/>
        <w:jc w:val="both"/>
        <w:rPr>
          <w:rFonts w:ascii="Arial" w:hAnsi="Arial" w:cs="Arial"/>
          <w:sz w:val="20"/>
          <w:szCs w:val="20"/>
        </w:rPr>
      </w:pPr>
    </w:p>
    <w:p w14:paraId="1812A6A8" w14:textId="77777777" w:rsidR="009F7571" w:rsidRPr="009F7571" w:rsidRDefault="009F7571" w:rsidP="009F7571">
      <w:pPr>
        <w:spacing w:after="0" w:line="240" w:lineRule="auto"/>
        <w:jc w:val="both"/>
        <w:rPr>
          <w:rFonts w:ascii="Arial" w:hAnsi="Arial" w:cs="Arial"/>
          <w:b/>
          <w:sz w:val="20"/>
          <w:szCs w:val="20"/>
        </w:rPr>
      </w:pPr>
      <w:r w:rsidRPr="009F7571">
        <w:rPr>
          <w:rFonts w:ascii="Arial" w:hAnsi="Arial" w:cs="Arial"/>
          <w:b/>
          <w:sz w:val="20"/>
          <w:szCs w:val="20"/>
        </w:rPr>
        <w:t>Section K:  Declaration</w:t>
      </w:r>
    </w:p>
    <w:p w14:paraId="1E903C85"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Ensure the appropriate countersignatures have been provided</w:t>
      </w:r>
    </w:p>
    <w:p w14:paraId="1E6E8AB8" w14:textId="2FA2A4B6" w:rsid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Look carefully at the checklist and ensure that you comply with and tick all that are relevant to your research.</w:t>
      </w:r>
    </w:p>
    <w:p w14:paraId="0D959564" w14:textId="1C0054A9" w:rsidR="009E147D" w:rsidRDefault="009E147D" w:rsidP="009F7571">
      <w:pPr>
        <w:spacing w:after="0" w:line="240" w:lineRule="auto"/>
        <w:jc w:val="both"/>
        <w:rPr>
          <w:rFonts w:ascii="Arial" w:hAnsi="Arial" w:cs="Arial"/>
          <w:sz w:val="20"/>
          <w:szCs w:val="20"/>
        </w:rPr>
      </w:pPr>
    </w:p>
    <w:p w14:paraId="53BC8E2B" w14:textId="03A6D8FF" w:rsidR="009E147D" w:rsidRDefault="009E147D" w:rsidP="009F7571">
      <w:pPr>
        <w:spacing w:after="0" w:line="240" w:lineRule="auto"/>
        <w:jc w:val="both"/>
        <w:rPr>
          <w:rFonts w:ascii="Arial" w:hAnsi="Arial" w:cs="Arial"/>
          <w:sz w:val="20"/>
          <w:szCs w:val="20"/>
        </w:rPr>
      </w:pPr>
    </w:p>
    <w:p w14:paraId="32DF6C27" w14:textId="4044F2E1" w:rsidR="009E147D" w:rsidRDefault="009E147D" w:rsidP="009F7571">
      <w:pPr>
        <w:spacing w:after="0" w:line="240" w:lineRule="auto"/>
        <w:jc w:val="both"/>
        <w:rPr>
          <w:rFonts w:ascii="Arial" w:hAnsi="Arial" w:cs="Arial"/>
          <w:sz w:val="20"/>
          <w:szCs w:val="20"/>
        </w:rPr>
      </w:pPr>
    </w:p>
    <w:p w14:paraId="30266BFE" w14:textId="4D09C956" w:rsidR="009E147D" w:rsidRDefault="009E147D" w:rsidP="009F7571">
      <w:pPr>
        <w:spacing w:after="0" w:line="240" w:lineRule="auto"/>
        <w:jc w:val="both"/>
        <w:rPr>
          <w:rFonts w:ascii="Arial" w:hAnsi="Arial" w:cs="Arial"/>
          <w:sz w:val="20"/>
          <w:szCs w:val="20"/>
        </w:rPr>
      </w:pPr>
    </w:p>
    <w:p w14:paraId="0B7DCED3" w14:textId="74741B50" w:rsidR="009E147D" w:rsidRDefault="009E147D" w:rsidP="009F7571">
      <w:pPr>
        <w:spacing w:after="0" w:line="240" w:lineRule="auto"/>
        <w:jc w:val="both"/>
        <w:rPr>
          <w:rFonts w:ascii="Arial" w:hAnsi="Arial" w:cs="Arial"/>
          <w:sz w:val="20"/>
          <w:szCs w:val="20"/>
        </w:rPr>
      </w:pPr>
    </w:p>
    <w:p w14:paraId="2548C1C7" w14:textId="733EB08D" w:rsidR="009E147D" w:rsidRDefault="009E147D" w:rsidP="009F7571">
      <w:pPr>
        <w:spacing w:after="0" w:line="240" w:lineRule="auto"/>
        <w:jc w:val="both"/>
        <w:rPr>
          <w:rFonts w:ascii="Arial" w:hAnsi="Arial" w:cs="Arial"/>
          <w:sz w:val="20"/>
          <w:szCs w:val="20"/>
        </w:rPr>
      </w:pPr>
    </w:p>
    <w:p w14:paraId="47081971" w14:textId="1CC4E695" w:rsidR="009E147D" w:rsidRDefault="009E147D" w:rsidP="009F7571">
      <w:pPr>
        <w:spacing w:after="0" w:line="240" w:lineRule="auto"/>
        <w:jc w:val="both"/>
        <w:rPr>
          <w:rFonts w:ascii="Arial" w:hAnsi="Arial" w:cs="Arial"/>
          <w:sz w:val="20"/>
          <w:szCs w:val="20"/>
        </w:rPr>
      </w:pPr>
    </w:p>
    <w:p w14:paraId="48CEB67F" w14:textId="3D3C1435" w:rsidR="009E147D" w:rsidRDefault="009E147D" w:rsidP="009F7571">
      <w:pPr>
        <w:spacing w:after="0" w:line="240" w:lineRule="auto"/>
        <w:jc w:val="both"/>
        <w:rPr>
          <w:rFonts w:ascii="Arial" w:hAnsi="Arial" w:cs="Arial"/>
          <w:sz w:val="20"/>
          <w:szCs w:val="20"/>
        </w:rPr>
      </w:pPr>
    </w:p>
    <w:p w14:paraId="44E00893" w14:textId="61B5C8A4" w:rsidR="009E147D" w:rsidRDefault="009E147D" w:rsidP="009F7571">
      <w:pPr>
        <w:spacing w:after="0" w:line="240" w:lineRule="auto"/>
        <w:jc w:val="both"/>
        <w:rPr>
          <w:rFonts w:ascii="Arial" w:hAnsi="Arial" w:cs="Arial"/>
          <w:sz w:val="20"/>
          <w:szCs w:val="20"/>
        </w:rPr>
      </w:pPr>
    </w:p>
    <w:p w14:paraId="15DF223C" w14:textId="2C31056E" w:rsidR="009E147D" w:rsidRDefault="009E147D" w:rsidP="009F7571">
      <w:pPr>
        <w:spacing w:after="0" w:line="240" w:lineRule="auto"/>
        <w:jc w:val="both"/>
        <w:rPr>
          <w:rFonts w:ascii="Arial" w:hAnsi="Arial" w:cs="Arial"/>
          <w:sz w:val="20"/>
          <w:szCs w:val="20"/>
        </w:rPr>
      </w:pPr>
    </w:p>
    <w:p w14:paraId="6FAA1830" w14:textId="6B6ED15C" w:rsidR="009E147D" w:rsidRDefault="009E147D" w:rsidP="009F7571">
      <w:pPr>
        <w:spacing w:after="0" w:line="240" w:lineRule="auto"/>
        <w:jc w:val="both"/>
        <w:rPr>
          <w:rFonts w:ascii="Arial" w:hAnsi="Arial" w:cs="Arial"/>
          <w:sz w:val="20"/>
          <w:szCs w:val="20"/>
        </w:rPr>
      </w:pPr>
    </w:p>
    <w:p w14:paraId="1562B43B" w14:textId="06A8EE04" w:rsidR="009E147D" w:rsidRDefault="009E147D" w:rsidP="009F7571">
      <w:pPr>
        <w:spacing w:after="0" w:line="240" w:lineRule="auto"/>
        <w:jc w:val="both"/>
        <w:rPr>
          <w:rFonts w:ascii="Arial" w:hAnsi="Arial" w:cs="Arial"/>
          <w:sz w:val="20"/>
          <w:szCs w:val="20"/>
        </w:rPr>
      </w:pPr>
    </w:p>
    <w:p w14:paraId="19BFB3DF" w14:textId="6A643020" w:rsidR="009E147D" w:rsidRDefault="009E147D" w:rsidP="009F7571">
      <w:pPr>
        <w:spacing w:after="0" w:line="240" w:lineRule="auto"/>
        <w:jc w:val="both"/>
        <w:rPr>
          <w:rFonts w:ascii="Arial" w:hAnsi="Arial" w:cs="Arial"/>
          <w:sz w:val="20"/>
          <w:szCs w:val="20"/>
        </w:rPr>
      </w:pPr>
    </w:p>
    <w:p w14:paraId="20972BB8" w14:textId="6275017E" w:rsidR="009E147D" w:rsidRDefault="009E147D" w:rsidP="009F7571">
      <w:pPr>
        <w:spacing w:after="0" w:line="240" w:lineRule="auto"/>
        <w:jc w:val="both"/>
        <w:rPr>
          <w:rFonts w:ascii="Arial" w:hAnsi="Arial" w:cs="Arial"/>
          <w:sz w:val="20"/>
          <w:szCs w:val="20"/>
        </w:rPr>
      </w:pPr>
    </w:p>
    <w:p w14:paraId="3DC71BD6" w14:textId="1A83AB26" w:rsidR="009E147D" w:rsidRDefault="009E147D" w:rsidP="009F7571">
      <w:pPr>
        <w:spacing w:after="0" w:line="240" w:lineRule="auto"/>
        <w:jc w:val="both"/>
        <w:rPr>
          <w:rFonts w:ascii="Arial" w:hAnsi="Arial" w:cs="Arial"/>
          <w:sz w:val="20"/>
          <w:szCs w:val="20"/>
        </w:rPr>
      </w:pPr>
    </w:p>
    <w:p w14:paraId="48499271" w14:textId="4983D763" w:rsidR="009E147D" w:rsidRDefault="009E147D" w:rsidP="009F7571">
      <w:pPr>
        <w:spacing w:after="0" w:line="240" w:lineRule="auto"/>
        <w:jc w:val="both"/>
        <w:rPr>
          <w:rFonts w:ascii="Arial" w:hAnsi="Arial" w:cs="Arial"/>
          <w:sz w:val="20"/>
          <w:szCs w:val="20"/>
        </w:rPr>
      </w:pPr>
    </w:p>
    <w:p w14:paraId="61EABEBD" w14:textId="05A44755" w:rsidR="009E147D" w:rsidRDefault="009E147D" w:rsidP="009F7571">
      <w:pPr>
        <w:spacing w:after="0" w:line="240" w:lineRule="auto"/>
        <w:jc w:val="both"/>
        <w:rPr>
          <w:rFonts w:ascii="Arial" w:hAnsi="Arial" w:cs="Arial"/>
          <w:sz w:val="20"/>
          <w:szCs w:val="20"/>
        </w:rPr>
      </w:pPr>
    </w:p>
    <w:p w14:paraId="0A514639" w14:textId="6AFFB0FA" w:rsidR="009E147D" w:rsidRDefault="009E147D" w:rsidP="009F7571">
      <w:pPr>
        <w:spacing w:after="0" w:line="240" w:lineRule="auto"/>
        <w:jc w:val="both"/>
        <w:rPr>
          <w:rFonts w:ascii="Arial" w:hAnsi="Arial" w:cs="Arial"/>
          <w:sz w:val="20"/>
          <w:szCs w:val="20"/>
        </w:rPr>
      </w:pPr>
    </w:p>
    <w:p w14:paraId="6E355077" w14:textId="0E5CE9EF" w:rsidR="009E147D" w:rsidRDefault="009E147D" w:rsidP="009F7571">
      <w:pPr>
        <w:spacing w:after="0" w:line="240" w:lineRule="auto"/>
        <w:jc w:val="both"/>
        <w:rPr>
          <w:rFonts w:ascii="Arial" w:hAnsi="Arial" w:cs="Arial"/>
          <w:sz w:val="20"/>
          <w:szCs w:val="20"/>
        </w:rPr>
      </w:pPr>
    </w:p>
    <w:p w14:paraId="1D871D50" w14:textId="637C5556" w:rsidR="009E147D" w:rsidRDefault="009E147D" w:rsidP="009F7571">
      <w:pPr>
        <w:spacing w:after="0" w:line="240" w:lineRule="auto"/>
        <w:jc w:val="both"/>
        <w:rPr>
          <w:rFonts w:ascii="Arial" w:hAnsi="Arial" w:cs="Arial"/>
          <w:sz w:val="20"/>
          <w:szCs w:val="20"/>
        </w:rPr>
      </w:pPr>
    </w:p>
    <w:p w14:paraId="33E2A4D3" w14:textId="18DA11AA" w:rsidR="009E147D" w:rsidRDefault="009E147D" w:rsidP="009F7571">
      <w:pPr>
        <w:spacing w:after="0" w:line="240" w:lineRule="auto"/>
        <w:jc w:val="both"/>
        <w:rPr>
          <w:rFonts w:ascii="Arial" w:hAnsi="Arial" w:cs="Arial"/>
          <w:sz w:val="20"/>
          <w:szCs w:val="20"/>
        </w:rPr>
      </w:pPr>
    </w:p>
    <w:p w14:paraId="00E46687" w14:textId="553DEC42" w:rsidR="009E147D" w:rsidRDefault="009E147D" w:rsidP="009F7571">
      <w:pPr>
        <w:spacing w:after="0" w:line="240" w:lineRule="auto"/>
        <w:jc w:val="both"/>
        <w:rPr>
          <w:rFonts w:ascii="Arial" w:hAnsi="Arial" w:cs="Arial"/>
          <w:sz w:val="20"/>
          <w:szCs w:val="20"/>
        </w:rPr>
      </w:pPr>
    </w:p>
    <w:p w14:paraId="439D880E" w14:textId="0D794B7E" w:rsidR="009E147D" w:rsidRDefault="009E147D" w:rsidP="009F7571">
      <w:pPr>
        <w:spacing w:after="0" w:line="240" w:lineRule="auto"/>
        <w:jc w:val="both"/>
        <w:rPr>
          <w:rFonts w:ascii="Arial" w:hAnsi="Arial" w:cs="Arial"/>
          <w:sz w:val="20"/>
          <w:szCs w:val="20"/>
        </w:rPr>
      </w:pPr>
    </w:p>
    <w:p w14:paraId="0151E26A" w14:textId="3D67B47B" w:rsidR="009E147D" w:rsidRDefault="009E147D" w:rsidP="009F7571">
      <w:pPr>
        <w:spacing w:after="0" w:line="240" w:lineRule="auto"/>
        <w:jc w:val="both"/>
        <w:rPr>
          <w:rFonts w:ascii="Arial" w:hAnsi="Arial" w:cs="Arial"/>
          <w:sz w:val="20"/>
          <w:szCs w:val="20"/>
        </w:rPr>
      </w:pPr>
    </w:p>
    <w:p w14:paraId="4E83A076" w14:textId="2AAFA2A3" w:rsidR="009E147D" w:rsidRDefault="009E147D" w:rsidP="009F7571">
      <w:pPr>
        <w:spacing w:after="0" w:line="240" w:lineRule="auto"/>
        <w:jc w:val="both"/>
        <w:rPr>
          <w:rFonts w:ascii="Arial" w:hAnsi="Arial" w:cs="Arial"/>
          <w:sz w:val="20"/>
          <w:szCs w:val="20"/>
        </w:rPr>
      </w:pPr>
    </w:p>
    <w:p w14:paraId="2EFF23E7" w14:textId="0D1122D9" w:rsidR="009E147D" w:rsidRDefault="009E147D" w:rsidP="009F7571">
      <w:pPr>
        <w:spacing w:after="0" w:line="240" w:lineRule="auto"/>
        <w:jc w:val="both"/>
        <w:rPr>
          <w:rFonts w:ascii="Arial" w:hAnsi="Arial" w:cs="Arial"/>
          <w:sz w:val="20"/>
          <w:szCs w:val="20"/>
        </w:rPr>
      </w:pPr>
    </w:p>
    <w:p w14:paraId="65728EB6" w14:textId="77777777" w:rsidR="009E147D" w:rsidRPr="009F7571" w:rsidRDefault="009E147D" w:rsidP="009F7571">
      <w:pPr>
        <w:spacing w:after="0" w:line="240" w:lineRule="auto"/>
        <w:jc w:val="both"/>
        <w:rPr>
          <w:rFonts w:ascii="Arial" w:hAnsi="Arial" w:cs="Arial"/>
          <w:sz w:val="20"/>
          <w:szCs w:val="20"/>
        </w:rPr>
      </w:pPr>
    </w:p>
    <w:p w14:paraId="3CC839D3" w14:textId="77777777" w:rsidR="00C362BC" w:rsidRPr="00C362BC" w:rsidRDefault="00C362BC" w:rsidP="00C362BC"/>
    <w:p w14:paraId="75523DE0" w14:textId="0FFA2DF4" w:rsidR="005478C4" w:rsidRDefault="005478C4" w:rsidP="005478C4">
      <w:pPr>
        <w:pStyle w:val="Heading2"/>
        <w:rPr>
          <w:rFonts w:ascii="Arial" w:hAnsi="Arial" w:cs="Arial"/>
          <w:sz w:val="24"/>
          <w:szCs w:val="24"/>
        </w:rPr>
      </w:pPr>
      <w:bookmarkStart w:id="92" w:name="_Ref123561150"/>
      <w:bookmarkStart w:id="93" w:name="_Toc123562355"/>
      <w:r>
        <w:rPr>
          <w:rFonts w:ascii="Arial" w:hAnsi="Arial" w:cs="Arial"/>
          <w:sz w:val="24"/>
          <w:szCs w:val="24"/>
        </w:rPr>
        <w:lastRenderedPageBreak/>
        <w:t xml:space="preserve">Appendix </w:t>
      </w:r>
      <w:r w:rsidR="00E23F50">
        <w:rPr>
          <w:rFonts w:ascii="Arial" w:hAnsi="Arial" w:cs="Arial"/>
          <w:sz w:val="24"/>
          <w:szCs w:val="24"/>
        </w:rPr>
        <w:t>3</w:t>
      </w:r>
      <w:r>
        <w:rPr>
          <w:rFonts w:ascii="Arial" w:hAnsi="Arial" w:cs="Arial"/>
          <w:sz w:val="24"/>
          <w:szCs w:val="24"/>
        </w:rPr>
        <w:t>: Interview Consent Form</w:t>
      </w:r>
      <w:bookmarkEnd w:id="92"/>
      <w:bookmarkEnd w:id="93"/>
    </w:p>
    <w:p w14:paraId="55FD68AC" w14:textId="75A580D2" w:rsidR="005478C4" w:rsidRDefault="005478C4" w:rsidP="005478C4"/>
    <w:p w14:paraId="248ACC5A" w14:textId="77777777" w:rsidR="00CE5B7D" w:rsidRPr="00CE5B7D" w:rsidRDefault="00CE5B7D" w:rsidP="00CE5B7D">
      <w:pPr>
        <w:spacing w:after="0" w:line="240" w:lineRule="auto"/>
        <w:rPr>
          <w:rFonts w:ascii="Arial" w:eastAsia="Times New Roman" w:hAnsi="Arial" w:cs="Arial"/>
          <w:lang w:eastAsia="en-GB"/>
        </w:rPr>
      </w:pPr>
      <w:r w:rsidRPr="00CE5B7D">
        <w:rPr>
          <w:rFonts w:ascii="Arial" w:eastAsia="Times New Roman" w:hAnsi="Arial" w:cs="Arial"/>
          <w:noProof/>
          <w:lang w:eastAsia="en-GB"/>
        </w:rPr>
        <w:drawing>
          <wp:inline distT="0" distB="0" distL="0" distR="0" wp14:anchorId="1A675C3F" wp14:editId="0A4AA9EB">
            <wp:extent cx="2857500" cy="571500"/>
            <wp:effectExtent l="0" t="0" r="0" b="0"/>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7BCE5A41" w14:textId="77777777" w:rsidR="00CE5B7D" w:rsidRPr="00CE5B7D" w:rsidRDefault="00CE5B7D" w:rsidP="00CE5B7D">
      <w:pPr>
        <w:spacing w:after="0" w:line="240" w:lineRule="auto"/>
        <w:rPr>
          <w:rFonts w:ascii="Arial" w:eastAsia="Times New Roman" w:hAnsi="Arial" w:cs="Arial"/>
          <w:lang w:eastAsia="en-GB"/>
        </w:rPr>
      </w:pPr>
    </w:p>
    <w:p w14:paraId="36696D58" w14:textId="77777777" w:rsidR="00CE5B7D" w:rsidRPr="00CE5B7D" w:rsidRDefault="00CE5B7D" w:rsidP="00CE5B7D">
      <w:pPr>
        <w:spacing w:after="0" w:line="240" w:lineRule="auto"/>
        <w:rPr>
          <w:rFonts w:eastAsia="Times New Roman" w:cs="Calibri"/>
          <w:sz w:val="32"/>
          <w:szCs w:val="32"/>
          <w:lang w:eastAsia="en-GB"/>
        </w:rPr>
      </w:pPr>
      <w:r w:rsidRPr="00CE5B7D">
        <w:rPr>
          <w:rFonts w:eastAsia="Times New Roman" w:cs="Calibri"/>
          <w:sz w:val="32"/>
          <w:szCs w:val="32"/>
          <w:lang w:eastAsia="en-GB"/>
        </w:rPr>
        <w:t>Carmarthen Business School</w:t>
      </w:r>
    </w:p>
    <w:p w14:paraId="05949B05" w14:textId="77777777" w:rsidR="00CE5B7D" w:rsidRPr="00CE5B7D" w:rsidRDefault="00CE5B7D" w:rsidP="00CE5B7D">
      <w:pPr>
        <w:spacing w:after="0" w:line="240" w:lineRule="auto"/>
        <w:rPr>
          <w:rFonts w:eastAsia="Times New Roman" w:cs="Calibri"/>
          <w:sz w:val="24"/>
          <w:szCs w:val="24"/>
          <w:lang w:eastAsia="en-GB"/>
        </w:rPr>
      </w:pPr>
    </w:p>
    <w:p w14:paraId="310BBE52" w14:textId="77777777" w:rsidR="00CE5B7D" w:rsidRPr="00CE5B7D" w:rsidRDefault="00CE5B7D" w:rsidP="00CE5B7D">
      <w:pPr>
        <w:spacing w:after="0" w:line="240" w:lineRule="auto"/>
        <w:rPr>
          <w:rFonts w:eastAsia="Times New Roman" w:cs="Calibri"/>
          <w:b/>
          <w:bCs/>
          <w:sz w:val="24"/>
          <w:szCs w:val="24"/>
          <w:lang w:eastAsia="en-GB"/>
        </w:rPr>
      </w:pPr>
      <w:r w:rsidRPr="00CE5B7D">
        <w:rPr>
          <w:rFonts w:eastAsia="Times New Roman" w:cs="Calibri"/>
          <w:b/>
          <w:bCs/>
          <w:sz w:val="24"/>
          <w:szCs w:val="24"/>
          <w:lang w:eastAsia="en-GB"/>
        </w:rPr>
        <w:t>Interview Consent Form</w:t>
      </w:r>
    </w:p>
    <w:p w14:paraId="2A912FC6" w14:textId="77777777" w:rsidR="00CE5B7D" w:rsidRPr="00CE5B7D" w:rsidRDefault="00CE5B7D" w:rsidP="00CE5B7D">
      <w:pPr>
        <w:spacing w:after="0" w:line="240" w:lineRule="auto"/>
        <w:rPr>
          <w:rFonts w:eastAsia="Times New Roman" w:cs="Calibri"/>
          <w:sz w:val="24"/>
          <w:szCs w:val="24"/>
          <w:lang w:eastAsia="en-GB"/>
        </w:rPr>
      </w:pPr>
    </w:p>
    <w:p w14:paraId="1EE28C8F"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Dissertation research project title: Income generation in Libraries, Museums and Archives: developing a strategy for StoriPowys</w:t>
      </w:r>
    </w:p>
    <w:p w14:paraId="74370451"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course: Master of Business Administration (MBA)</w:t>
      </w:r>
    </w:p>
    <w:p w14:paraId="7DAD845E"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investigator: Nichola Farr</w:t>
      </w:r>
    </w:p>
    <w:p w14:paraId="04BC0E8D"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 xml:space="preserve">Research Participants’ name: </w:t>
      </w:r>
    </w:p>
    <w:p w14:paraId="3D86E933" w14:textId="77777777" w:rsidR="00CE5B7D" w:rsidRPr="00CE5B7D" w:rsidRDefault="00CE5B7D" w:rsidP="00CE5B7D">
      <w:pPr>
        <w:spacing w:after="0" w:line="240" w:lineRule="auto"/>
        <w:rPr>
          <w:rFonts w:eastAsia="Times New Roman" w:cs="Calibri"/>
          <w:sz w:val="24"/>
          <w:szCs w:val="24"/>
          <w:lang w:eastAsia="en-GB"/>
        </w:rPr>
      </w:pPr>
    </w:p>
    <w:p w14:paraId="7BAD2948"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Dear Participant,</w:t>
      </w:r>
    </w:p>
    <w:p w14:paraId="3D15B49B" w14:textId="77777777" w:rsidR="00CE5B7D" w:rsidRPr="00CE5B7D" w:rsidRDefault="00CE5B7D" w:rsidP="00CE5B7D">
      <w:pPr>
        <w:spacing w:after="0" w:line="240" w:lineRule="auto"/>
        <w:rPr>
          <w:rFonts w:eastAsia="Times New Roman" w:cs="Calibri"/>
          <w:lang w:eastAsia="en-GB"/>
        </w:rPr>
      </w:pPr>
    </w:p>
    <w:p w14:paraId="04BE651F"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sz w:val="24"/>
          <w:szCs w:val="24"/>
          <w:lang w:eastAsia="en-GB"/>
        </w:rPr>
        <w:t xml:space="preserve">Thank you for agreeing to be interviewed as part of the above research project. </w:t>
      </w:r>
      <w:r w:rsidRPr="00CE5B7D">
        <w:rPr>
          <w:rFonts w:cs="Calibri"/>
          <w:color w:val="000000"/>
          <w:sz w:val="24"/>
          <w:szCs w:val="24"/>
          <w:lang w:eastAsia="en-GB"/>
        </w:rPr>
        <w:t>*Attached to this letter are the interview questions that I have developed</w:t>
      </w:r>
      <w:r w:rsidRPr="00CE5B7D">
        <w:rPr>
          <w:rFonts w:cs="Calibri"/>
          <w:color w:val="FF0000"/>
          <w:sz w:val="24"/>
          <w:szCs w:val="24"/>
          <w:lang w:eastAsia="en-GB"/>
        </w:rPr>
        <w:t xml:space="preserve">, </w:t>
      </w:r>
      <w:r w:rsidRPr="00CE5B7D">
        <w:rPr>
          <w:rFonts w:cs="Calibri"/>
          <w:color w:val="000000"/>
          <w:sz w:val="24"/>
          <w:szCs w:val="24"/>
          <w:lang w:eastAsia="en-GB"/>
        </w:rPr>
        <w:t xml:space="preserve">which will assess the appetite for income generation initiatives in Powys County Council’s libraries, museums and archives through the answers you provide to the questions posed. There are no right or wrong answers and your opinion will be valuable to knowledge building around income generation activity in the cultural sector. </w:t>
      </w:r>
    </w:p>
    <w:p w14:paraId="1739FC54" w14:textId="77777777" w:rsidR="00CE5B7D" w:rsidRPr="00CE5B7D" w:rsidRDefault="00CE5B7D" w:rsidP="00CE5B7D">
      <w:pPr>
        <w:spacing w:after="0" w:line="302" w:lineRule="atLeast"/>
        <w:jc w:val="both"/>
        <w:rPr>
          <w:rFonts w:cs="Calibri"/>
          <w:color w:val="000000"/>
          <w:sz w:val="24"/>
          <w:szCs w:val="24"/>
          <w:lang w:eastAsia="en-GB"/>
        </w:rPr>
      </w:pPr>
    </w:p>
    <w:p w14:paraId="2691E07C"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455DB0D7" w14:textId="77777777" w:rsidR="00CE5B7D" w:rsidRPr="00CE5B7D" w:rsidRDefault="00CE5B7D" w:rsidP="00CE5B7D">
      <w:pPr>
        <w:spacing w:after="0" w:line="302" w:lineRule="atLeast"/>
        <w:jc w:val="both"/>
        <w:rPr>
          <w:rFonts w:cs="Calibri"/>
          <w:color w:val="000000"/>
          <w:sz w:val="24"/>
          <w:szCs w:val="24"/>
          <w:lang w:eastAsia="en-GB"/>
        </w:rPr>
      </w:pPr>
    </w:p>
    <w:p w14:paraId="3655FFFF"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1C4AB5F3" w14:textId="77777777" w:rsidR="00CE5B7D" w:rsidRPr="00CE5B7D" w:rsidRDefault="00CE5B7D" w:rsidP="00CE5B7D">
      <w:pPr>
        <w:spacing w:after="0" w:line="240" w:lineRule="auto"/>
        <w:rPr>
          <w:rFonts w:eastAsia="Times New Roman" w:cs="Calibri"/>
          <w:sz w:val="24"/>
          <w:szCs w:val="24"/>
          <w:lang w:eastAsia="en-GB"/>
        </w:rPr>
      </w:pPr>
    </w:p>
    <w:p w14:paraId="7932FCB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interview will be recorded, and a transcript will be produced</w:t>
      </w:r>
    </w:p>
    <w:p w14:paraId="3416300E" w14:textId="77777777" w:rsidR="00CE5B7D" w:rsidRPr="00CE5B7D" w:rsidRDefault="00CE5B7D" w:rsidP="00CE5B7D">
      <w:pPr>
        <w:numPr>
          <w:ilvl w:val="0"/>
          <w:numId w:val="7"/>
        </w:numPr>
        <w:spacing w:after="0" w:line="240" w:lineRule="auto"/>
        <w:contextualSpacing/>
        <w:rPr>
          <w:rFonts w:cs="Calibri"/>
          <w:sz w:val="24"/>
          <w:szCs w:val="24"/>
          <w:lang w:eastAsia="en-GB"/>
        </w:rPr>
      </w:pPr>
      <w:r w:rsidRPr="00CE5B7D">
        <w:rPr>
          <w:rFonts w:cs="Calibri"/>
          <w:sz w:val="24"/>
          <w:szCs w:val="24"/>
          <w:lang w:eastAsia="en-GB"/>
        </w:rPr>
        <w:t>All answers will be anonymised, and no identifiable information will be requested from the interviewee</w:t>
      </w:r>
    </w:p>
    <w:p w14:paraId="523E63D3"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transcript of the interview will be analysed by Nichola Farr as research investigator</w:t>
      </w:r>
    </w:p>
    <w:p w14:paraId="3E886E38"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access to the interview transcript will be limited to the research investigator and dissertation tutor</w:t>
      </w:r>
    </w:p>
    <w:p w14:paraId="12F928A6"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lastRenderedPageBreak/>
        <w:t>any direct quotations from the interview, or summary content, that are made available through academic publication or other academic outlets will be anonymized and care will be taken to ensure that no identifiable information will be made public</w:t>
      </w:r>
    </w:p>
    <w:p w14:paraId="7B9914A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interview will be recorded on a personal device, accessible only to the research investigator. The recording will be deleted as soon as the interview has been transcribed</w:t>
      </w:r>
    </w:p>
    <w:p w14:paraId="3ABA859D"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transcript of the interview will be stored on the research investigator’s personal OneDrive for Business application within Powys County Council’s secure Microsoft Office 365 account. The transcript will be deleted on completion of the dissertation</w:t>
      </w:r>
    </w:p>
    <w:p w14:paraId="20A4B95F"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storage of information will comply with Powys County Council’s data protection regulations, in line with national GDPR guidance</w:t>
      </w:r>
    </w:p>
    <w:p w14:paraId="6A68231D" w14:textId="77777777" w:rsidR="00CE5B7D" w:rsidRPr="00CE5B7D" w:rsidRDefault="00CE5B7D" w:rsidP="00CE5B7D">
      <w:pPr>
        <w:spacing w:after="0" w:line="302" w:lineRule="atLeast"/>
        <w:jc w:val="both"/>
        <w:rPr>
          <w:rFonts w:cs="Calibri"/>
          <w:color w:val="FF0000"/>
          <w:sz w:val="24"/>
          <w:szCs w:val="24"/>
          <w:lang w:eastAsia="en-GB"/>
        </w:rPr>
      </w:pPr>
    </w:p>
    <w:p w14:paraId="3817F2D1"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By signing this form, I agree that:</w:t>
      </w:r>
    </w:p>
    <w:p w14:paraId="09CB0941" w14:textId="77777777" w:rsidR="00CE5B7D" w:rsidRPr="00CE5B7D" w:rsidRDefault="00CE5B7D" w:rsidP="00CE5B7D">
      <w:pPr>
        <w:spacing w:after="0" w:line="302" w:lineRule="atLeast"/>
        <w:jc w:val="both"/>
        <w:rPr>
          <w:rFonts w:cs="Calibri"/>
          <w:color w:val="000000"/>
          <w:sz w:val="24"/>
          <w:szCs w:val="24"/>
          <w:lang w:eastAsia="en-GB"/>
        </w:rPr>
      </w:pPr>
    </w:p>
    <w:p w14:paraId="4D2EC779"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am voluntarily taking part in this project. I understand that I don’t have to take part, and I can stop the interview at any time</w:t>
      </w:r>
    </w:p>
    <w:p w14:paraId="16A74407"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The transcribed interview or extracts from it may be used as described above</w:t>
      </w:r>
    </w:p>
    <w:p w14:paraId="29E97691"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have read the Information sheet</w:t>
      </w:r>
    </w:p>
    <w:p w14:paraId="7C767116"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do not expect to receive any benefit or payment for my participation</w:t>
      </w:r>
    </w:p>
    <w:p w14:paraId="66DD6615"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am comfortable with the arrangements outlined, and I understand that I am able to contact the researcher with any questions I may have in the future</w:t>
      </w:r>
    </w:p>
    <w:p w14:paraId="56A20EAA" w14:textId="77777777" w:rsidR="00CE5B7D" w:rsidRPr="00CE5B7D" w:rsidRDefault="00CE5B7D" w:rsidP="00CE5B7D">
      <w:pPr>
        <w:spacing w:after="0" w:line="302" w:lineRule="atLeast"/>
        <w:ind w:left="720"/>
        <w:jc w:val="both"/>
        <w:rPr>
          <w:rFonts w:cs="Calibri"/>
          <w:color w:val="000000"/>
          <w:sz w:val="24"/>
          <w:szCs w:val="24"/>
          <w:lang w:eastAsia="en-GB"/>
        </w:rPr>
      </w:pPr>
    </w:p>
    <w:p w14:paraId="22198433" w14:textId="77777777" w:rsidR="00CE5B7D" w:rsidRPr="00CE5B7D" w:rsidRDefault="00CE5B7D" w:rsidP="00CE5B7D">
      <w:pPr>
        <w:spacing w:after="0" w:line="302" w:lineRule="atLeast"/>
        <w:ind w:left="720"/>
        <w:jc w:val="both"/>
        <w:rPr>
          <w:rFonts w:cs="Calibri"/>
          <w:color w:val="000000"/>
          <w:sz w:val="24"/>
          <w:szCs w:val="24"/>
          <w:lang w:eastAsia="en-GB"/>
        </w:rPr>
      </w:pPr>
    </w:p>
    <w:p w14:paraId="47F15658" w14:textId="77777777" w:rsidR="00CE5B7D" w:rsidRPr="00CE5B7D" w:rsidRDefault="00CE5B7D" w:rsidP="00CE5B7D">
      <w:pPr>
        <w:spacing w:after="0" w:line="302" w:lineRule="atLeast"/>
        <w:ind w:left="720"/>
        <w:jc w:val="both"/>
        <w:rPr>
          <w:rFonts w:cs="Calibri"/>
          <w:color w:val="000000"/>
          <w:sz w:val="24"/>
          <w:szCs w:val="24"/>
          <w:lang w:eastAsia="en-GB"/>
        </w:rPr>
      </w:pPr>
    </w:p>
    <w:p w14:paraId="108A4231" w14:textId="77777777" w:rsidR="00CE5B7D" w:rsidRPr="00CE5B7D" w:rsidRDefault="00CE5B7D" w:rsidP="00CE5B7D">
      <w:pPr>
        <w:spacing w:after="0" w:line="302" w:lineRule="atLeast"/>
        <w:jc w:val="both"/>
        <w:rPr>
          <w:rFonts w:cs="Calibri"/>
          <w:color w:val="000000"/>
          <w:sz w:val="24"/>
          <w:szCs w:val="24"/>
          <w:lang w:eastAsia="en-GB"/>
        </w:rPr>
      </w:pPr>
    </w:p>
    <w:p w14:paraId="231A0B93" w14:textId="77777777" w:rsidR="00CE5B7D" w:rsidRPr="00CE5B7D" w:rsidRDefault="00CE5B7D" w:rsidP="00CE5B7D">
      <w:pPr>
        <w:spacing w:after="0" w:line="302" w:lineRule="atLeast"/>
        <w:jc w:val="both"/>
        <w:rPr>
          <w:rFonts w:cs="Calibri"/>
          <w:color w:val="000000"/>
          <w:sz w:val="24"/>
          <w:szCs w:val="24"/>
          <w:lang w:eastAsia="en-GB"/>
        </w:rPr>
      </w:pPr>
    </w:p>
    <w:p w14:paraId="393ABB9A"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w:t>
      </w:r>
      <w:r w:rsidRPr="00CE5B7D">
        <w:rPr>
          <w:rFonts w:cs="Calibri"/>
          <w:color w:val="000000"/>
          <w:sz w:val="24"/>
          <w:szCs w:val="24"/>
          <w:lang w:eastAsia="en-GB"/>
        </w:rPr>
        <w:br/>
        <w:t>Printed Name</w:t>
      </w:r>
    </w:p>
    <w:p w14:paraId="1D3BDB70" w14:textId="77777777" w:rsidR="00CE5B7D" w:rsidRPr="00CE5B7D" w:rsidRDefault="00CE5B7D" w:rsidP="00CE5B7D">
      <w:pPr>
        <w:spacing w:after="0" w:line="302" w:lineRule="atLeast"/>
        <w:jc w:val="both"/>
        <w:rPr>
          <w:rFonts w:cs="Calibri"/>
          <w:color w:val="000000"/>
          <w:sz w:val="24"/>
          <w:szCs w:val="24"/>
          <w:lang w:eastAsia="en-GB"/>
        </w:rPr>
      </w:pPr>
    </w:p>
    <w:p w14:paraId="1C5E1F06"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1D8D9A8"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Participant Signature                                                                      Date</w:t>
      </w:r>
    </w:p>
    <w:p w14:paraId="5722EFE0" w14:textId="77777777" w:rsidR="00CE5B7D" w:rsidRPr="00CE5B7D" w:rsidRDefault="00CE5B7D" w:rsidP="00CE5B7D">
      <w:pPr>
        <w:spacing w:after="0" w:line="302" w:lineRule="atLeast"/>
        <w:jc w:val="both"/>
        <w:rPr>
          <w:rFonts w:cs="Calibri"/>
          <w:color w:val="000000"/>
          <w:sz w:val="24"/>
          <w:szCs w:val="24"/>
          <w:lang w:eastAsia="en-GB"/>
        </w:rPr>
      </w:pPr>
    </w:p>
    <w:p w14:paraId="72594927"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65842C5"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Researcher Signature                                                                      Date</w:t>
      </w:r>
    </w:p>
    <w:p w14:paraId="63066518" w14:textId="77777777" w:rsidR="00CE5B7D" w:rsidRPr="00CE5B7D" w:rsidRDefault="00CE5B7D" w:rsidP="00CE5B7D">
      <w:pPr>
        <w:spacing w:after="0" w:line="302" w:lineRule="atLeast"/>
        <w:jc w:val="both"/>
        <w:rPr>
          <w:rFonts w:cs="Calibri"/>
          <w:color w:val="000000"/>
          <w:sz w:val="24"/>
          <w:szCs w:val="24"/>
          <w:lang w:eastAsia="en-GB"/>
        </w:rPr>
      </w:pPr>
    </w:p>
    <w:p w14:paraId="07612848" w14:textId="77777777" w:rsidR="00CE5B7D" w:rsidRPr="00CE5B7D" w:rsidRDefault="00CE5B7D" w:rsidP="00CE5B7D">
      <w:pPr>
        <w:spacing w:after="0" w:line="302" w:lineRule="atLeast"/>
        <w:jc w:val="both"/>
        <w:rPr>
          <w:rFonts w:cs="Calibri"/>
          <w:color w:val="000000"/>
          <w:sz w:val="24"/>
          <w:szCs w:val="24"/>
          <w:lang w:eastAsia="en-GB"/>
        </w:rPr>
      </w:pPr>
    </w:p>
    <w:p w14:paraId="35530E79" w14:textId="77777777" w:rsidR="00CE5B7D" w:rsidRPr="00CE5B7D" w:rsidRDefault="00CE5B7D" w:rsidP="00CE5B7D">
      <w:pPr>
        <w:spacing w:after="0" w:line="302" w:lineRule="atLeast"/>
        <w:jc w:val="both"/>
        <w:rPr>
          <w:rFonts w:cs="Calibri"/>
          <w:color w:val="000000"/>
          <w:sz w:val="24"/>
          <w:szCs w:val="24"/>
          <w:lang w:eastAsia="en-GB"/>
        </w:rPr>
      </w:pPr>
    </w:p>
    <w:p w14:paraId="4E5F1A43"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If you would like me to share details of my findings on completion of the research, please let me know. </w:t>
      </w:r>
    </w:p>
    <w:p w14:paraId="317F622B" w14:textId="77777777" w:rsidR="00CE5B7D" w:rsidRPr="00CE5B7D" w:rsidRDefault="00CE5B7D" w:rsidP="00CE5B7D">
      <w:pPr>
        <w:spacing w:after="0" w:line="302" w:lineRule="atLeast"/>
        <w:jc w:val="both"/>
        <w:rPr>
          <w:rFonts w:cs="Calibri"/>
          <w:sz w:val="24"/>
          <w:szCs w:val="24"/>
          <w:lang w:eastAsia="en-GB"/>
        </w:rPr>
      </w:pPr>
    </w:p>
    <w:p w14:paraId="7EE5DFB0" w14:textId="77777777"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I thank you for your time and participation. If any questions do arise, feel free to contact me at your convenience.</w:t>
      </w:r>
    </w:p>
    <w:p w14:paraId="53C35B7F"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0899FB05"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163FA72A" w14:textId="4DEF70EB" w:rsidR="00CE5B7D" w:rsidRPr="00CE5B7D" w:rsidRDefault="00CD6555" w:rsidP="00CE5B7D">
      <w:pPr>
        <w:spacing w:after="0" w:line="240" w:lineRule="auto"/>
        <w:jc w:val="both"/>
        <w:rPr>
          <w:rFonts w:eastAsia="Times New Roman" w:cs="Calibri"/>
          <w:color w:val="000000"/>
          <w:sz w:val="24"/>
          <w:szCs w:val="24"/>
          <w:lang w:eastAsia="en-GB"/>
        </w:rPr>
      </w:pPr>
      <w:r>
        <w:rPr>
          <w:rFonts w:eastAsia="Times New Roman" w:cs="Calibri"/>
          <w:color w:val="000000"/>
          <w:sz w:val="24"/>
          <w:szCs w:val="24"/>
          <w:lang w:eastAsia="en-GB"/>
        </w:rPr>
        <w:t>XXXXXXX XXXX</w:t>
      </w:r>
    </w:p>
    <w:p w14:paraId="22FCC084" w14:textId="06154503"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 xml:space="preserve">Tel: </w:t>
      </w:r>
      <w:r>
        <w:rPr>
          <w:rFonts w:eastAsia="Times New Roman" w:cs="Calibri"/>
          <w:color w:val="000000"/>
          <w:sz w:val="24"/>
          <w:szCs w:val="24"/>
          <w:lang w:eastAsia="en-GB"/>
        </w:rPr>
        <w:t>XXXXX XXXXXX</w:t>
      </w:r>
    </w:p>
    <w:p w14:paraId="55723BA7" w14:textId="5C86A958"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lastRenderedPageBreak/>
        <w:t xml:space="preserve">Email: </w:t>
      </w:r>
      <w:r w:rsidR="005E55E3">
        <w:rPr>
          <w:rFonts w:eastAsia="Times New Roman" w:cs="Calibri"/>
          <w:color w:val="000000"/>
          <w:sz w:val="24"/>
          <w:szCs w:val="24"/>
          <w:lang w:eastAsia="en-GB"/>
        </w:rPr>
        <w:t>XXX</w:t>
      </w:r>
      <w:r w:rsidR="00CD6555">
        <w:rPr>
          <w:rFonts w:eastAsia="Times New Roman" w:cs="Calibri"/>
          <w:color w:val="000000"/>
          <w:sz w:val="24"/>
          <w:szCs w:val="24"/>
          <w:lang w:eastAsia="en-GB"/>
        </w:rPr>
        <w:t>XXXXXXXXXXXXXXXXXXXXXX</w:t>
      </w:r>
    </w:p>
    <w:p w14:paraId="694BFF88" w14:textId="7A6CF3BD" w:rsidR="005478C4" w:rsidRDefault="005478C4" w:rsidP="005478C4"/>
    <w:p w14:paraId="40CF8076" w14:textId="738010CC" w:rsidR="00DB4EAD" w:rsidRDefault="00DB4EAD" w:rsidP="005478C4"/>
    <w:p w14:paraId="13114B76" w14:textId="4F763F93" w:rsidR="00DB4EAD" w:rsidRDefault="00DB4EAD" w:rsidP="00DB4EAD">
      <w:pPr>
        <w:pStyle w:val="Heading2"/>
        <w:rPr>
          <w:rFonts w:ascii="Arial" w:hAnsi="Arial" w:cs="Arial"/>
          <w:sz w:val="24"/>
          <w:szCs w:val="24"/>
        </w:rPr>
      </w:pPr>
      <w:bookmarkStart w:id="94" w:name="_Ref123561200"/>
      <w:bookmarkStart w:id="95" w:name="_Toc123562356"/>
      <w:r w:rsidRPr="00DB4EAD">
        <w:rPr>
          <w:rFonts w:ascii="Arial" w:hAnsi="Arial" w:cs="Arial"/>
          <w:sz w:val="24"/>
          <w:szCs w:val="24"/>
        </w:rPr>
        <w:t>Appendix 4: Data Analysis Table</w:t>
      </w:r>
      <w:bookmarkEnd w:id="94"/>
      <w:bookmarkEnd w:id="95"/>
    </w:p>
    <w:p w14:paraId="0671D5C7" w14:textId="77777777" w:rsidR="00816406" w:rsidRPr="00816406" w:rsidRDefault="00816406" w:rsidP="00816406"/>
    <w:p w14:paraId="3D8A11E9" w14:textId="77777777" w:rsidR="003C1B12" w:rsidRDefault="00855E96" w:rsidP="00DB4EAD">
      <w:pPr>
        <w:rPr>
          <w:rFonts w:ascii="Arial" w:hAnsi="Arial" w:cs="Arial"/>
          <w:sz w:val="24"/>
          <w:szCs w:val="24"/>
        </w:rPr>
      </w:pPr>
      <w:r w:rsidRPr="002028F3">
        <w:rPr>
          <w:rFonts w:ascii="Arial" w:hAnsi="Arial" w:cs="Arial"/>
          <w:sz w:val="24"/>
          <w:szCs w:val="24"/>
        </w:rPr>
        <w:t xml:space="preserve">The </w:t>
      </w:r>
      <w:r w:rsidR="0030393A" w:rsidRPr="002028F3">
        <w:rPr>
          <w:rFonts w:ascii="Arial" w:hAnsi="Arial" w:cs="Arial"/>
          <w:sz w:val="24"/>
          <w:szCs w:val="24"/>
        </w:rPr>
        <w:t xml:space="preserve">table below presents </w:t>
      </w:r>
      <w:r w:rsidR="00BA2F4A">
        <w:rPr>
          <w:rFonts w:ascii="Arial" w:hAnsi="Arial" w:cs="Arial"/>
          <w:sz w:val="24"/>
          <w:szCs w:val="24"/>
        </w:rPr>
        <w:t>evidence of codes that were generated through a</w:t>
      </w:r>
      <w:r w:rsidR="00855523" w:rsidRPr="002028F3">
        <w:rPr>
          <w:rFonts w:ascii="Arial" w:hAnsi="Arial" w:cs="Arial"/>
          <w:sz w:val="24"/>
          <w:szCs w:val="24"/>
        </w:rPr>
        <w:t xml:space="preserve"> thematic analysis of the semi-structured interview data.</w:t>
      </w:r>
      <w:r w:rsidR="009F56C1">
        <w:rPr>
          <w:rFonts w:ascii="Arial" w:hAnsi="Arial" w:cs="Arial"/>
          <w:sz w:val="24"/>
          <w:szCs w:val="24"/>
        </w:rPr>
        <w:t xml:space="preserve"> </w:t>
      </w:r>
      <w:r w:rsidR="00572AF9">
        <w:rPr>
          <w:rFonts w:ascii="Arial" w:hAnsi="Arial" w:cs="Arial"/>
          <w:sz w:val="24"/>
          <w:szCs w:val="24"/>
        </w:rPr>
        <w:t>The first column details each of the primary questions posed to</w:t>
      </w:r>
      <w:r w:rsidR="00737BDA">
        <w:rPr>
          <w:rFonts w:ascii="Arial" w:hAnsi="Arial" w:cs="Arial"/>
          <w:sz w:val="24"/>
          <w:szCs w:val="24"/>
        </w:rPr>
        <w:t xml:space="preserve"> interview participants. </w:t>
      </w:r>
    </w:p>
    <w:p w14:paraId="30667F37" w14:textId="7F59B243" w:rsidR="00321F3A" w:rsidRDefault="00FD0818" w:rsidP="00DB4EAD">
      <w:pPr>
        <w:rPr>
          <w:rFonts w:ascii="Arial" w:hAnsi="Arial" w:cs="Arial"/>
          <w:sz w:val="24"/>
          <w:szCs w:val="24"/>
        </w:rPr>
      </w:pPr>
      <w:r>
        <w:rPr>
          <w:rFonts w:ascii="Arial" w:hAnsi="Arial" w:cs="Arial"/>
          <w:sz w:val="24"/>
          <w:szCs w:val="24"/>
        </w:rPr>
        <w:t xml:space="preserve">The list of answer categories that feature in the second column, against each question, </w:t>
      </w:r>
      <w:r w:rsidR="002A180C">
        <w:rPr>
          <w:rFonts w:ascii="Arial" w:hAnsi="Arial" w:cs="Arial"/>
          <w:sz w:val="24"/>
          <w:szCs w:val="24"/>
        </w:rPr>
        <w:t xml:space="preserve">are </w:t>
      </w:r>
      <w:r w:rsidR="00D90777">
        <w:rPr>
          <w:rFonts w:ascii="Arial" w:hAnsi="Arial" w:cs="Arial"/>
          <w:sz w:val="24"/>
          <w:szCs w:val="24"/>
        </w:rPr>
        <w:t>groupings</w:t>
      </w:r>
      <w:r w:rsidR="002A180C">
        <w:rPr>
          <w:rFonts w:ascii="Arial" w:hAnsi="Arial" w:cs="Arial"/>
          <w:sz w:val="24"/>
          <w:szCs w:val="24"/>
        </w:rPr>
        <w:t xml:space="preserve"> </w:t>
      </w:r>
      <w:r w:rsidR="00864AFE">
        <w:rPr>
          <w:rFonts w:ascii="Arial" w:hAnsi="Arial" w:cs="Arial"/>
          <w:sz w:val="24"/>
          <w:szCs w:val="24"/>
        </w:rPr>
        <w:t>that were determined by the researcher</w:t>
      </w:r>
      <w:r w:rsidR="0026444E">
        <w:rPr>
          <w:rFonts w:ascii="Arial" w:hAnsi="Arial" w:cs="Arial"/>
          <w:sz w:val="24"/>
          <w:szCs w:val="24"/>
        </w:rPr>
        <w:t xml:space="preserve"> through </w:t>
      </w:r>
      <w:r w:rsidR="007A12EB">
        <w:rPr>
          <w:rFonts w:ascii="Arial" w:hAnsi="Arial" w:cs="Arial"/>
          <w:sz w:val="24"/>
          <w:szCs w:val="24"/>
        </w:rPr>
        <w:t xml:space="preserve">an in-depth analysis of the interview transcripts. </w:t>
      </w:r>
      <w:r w:rsidR="0010635B">
        <w:rPr>
          <w:rFonts w:ascii="Arial" w:hAnsi="Arial" w:cs="Arial"/>
          <w:sz w:val="24"/>
          <w:szCs w:val="24"/>
        </w:rPr>
        <w:t xml:space="preserve">The categories listed </w:t>
      </w:r>
      <w:r w:rsidR="001942FB">
        <w:rPr>
          <w:rFonts w:ascii="Arial" w:hAnsi="Arial" w:cs="Arial"/>
          <w:sz w:val="24"/>
          <w:szCs w:val="24"/>
        </w:rPr>
        <w:t>were generated through the discovery of</w:t>
      </w:r>
      <w:r w:rsidR="00BA55FA">
        <w:rPr>
          <w:rFonts w:ascii="Arial" w:hAnsi="Arial" w:cs="Arial"/>
          <w:sz w:val="24"/>
          <w:szCs w:val="24"/>
        </w:rPr>
        <w:t xml:space="preserve"> </w:t>
      </w:r>
      <w:r w:rsidR="00734D65">
        <w:rPr>
          <w:rFonts w:ascii="Arial" w:hAnsi="Arial" w:cs="Arial"/>
          <w:sz w:val="24"/>
          <w:szCs w:val="24"/>
        </w:rPr>
        <w:t xml:space="preserve">repeat </w:t>
      </w:r>
      <w:r w:rsidR="005D435B">
        <w:rPr>
          <w:rFonts w:ascii="Arial" w:hAnsi="Arial" w:cs="Arial"/>
          <w:sz w:val="24"/>
          <w:szCs w:val="24"/>
        </w:rPr>
        <w:t>patterns tha</w:t>
      </w:r>
      <w:r w:rsidR="00DA6E88">
        <w:rPr>
          <w:rFonts w:ascii="Arial" w:hAnsi="Arial" w:cs="Arial"/>
          <w:sz w:val="24"/>
          <w:szCs w:val="24"/>
        </w:rPr>
        <w:t xml:space="preserve">t appeared in the interview </w:t>
      </w:r>
      <w:r w:rsidR="00C05BB1">
        <w:rPr>
          <w:rFonts w:ascii="Arial" w:hAnsi="Arial" w:cs="Arial"/>
          <w:sz w:val="24"/>
          <w:szCs w:val="24"/>
        </w:rPr>
        <w:t>narrative,</w:t>
      </w:r>
      <w:r w:rsidR="001B31ED">
        <w:rPr>
          <w:rFonts w:ascii="Arial" w:hAnsi="Arial" w:cs="Arial"/>
          <w:sz w:val="24"/>
          <w:szCs w:val="24"/>
        </w:rPr>
        <w:t xml:space="preserve"> where ideas and </w:t>
      </w:r>
      <w:r w:rsidR="00F8353B">
        <w:rPr>
          <w:rFonts w:ascii="Arial" w:hAnsi="Arial" w:cs="Arial"/>
          <w:sz w:val="24"/>
          <w:szCs w:val="24"/>
        </w:rPr>
        <w:t xml:space="preserve">topics </w:t>
      </w:r>
      <w:r w:rsidR="00A96070">
        <w:rPr>
          <w:rFonts w:ascii="Arial" w:hAnsi="Arial" w:cs="Arial"/>
          <w:sz w:val="24"/>
          <w:szCs w:val="24"/>
        </w:rPr>
        <w:t>presented were expressed by more than one participant.</w:t>
      </w:r>
      <w:r w:rsidR="00A9095A">
        <w:rPr>
          <w:rFonts w:ascii="Arial" w:hAnsi="Arial" w:cs="Arial"/>
          <w:sz w:val="24"/>
          <w:szCs w:val="24"/>
        </w:rPr>
        <w:t xml:space="preserve"> Generation of these codes also depended on</w:t>
      </w:r>
      <w:r w:rsidR="003F28E8">
        <w:rPr>
          <w:rFonts w:ascii="Arial" w:hAnsi="Arial" w:cs="Arial"/>
          <w:sz w:val="24"/>
          <w:szCs w:val="24"/>
        </w:rPr>
        <w:t xml:space="preserve"> the </w:t>
      </w:r>
      <w:r w:rsidR="001B31ED">
        <w:rPr>
          <w:rFonts w:ascii="Arial" w:hAnsi="Arial" w:cs="Arial"/>
          <w:sz w:val="24"/>
          <w:szCs w:val="24"/>
        </w:rPr>
        <w:t>researcher’s</w:t>
      </w:r>
      <w:r w:rsidR="00C238F7">
        <w:rPr>
          <w:rFonts w:ascii="Arial" w:hAnsi="Arial" w:cs="Arial"/>
          <w:sz w:val="24"/>
          <w:szCs w:val="24"/>
        </w:rPr>
        <w:t xml:space="preserve"> interpretation of</w:t>
      </w:r>
      <w:r w:rsidR="0097028C">
        <w:rPr>
          <w:rFonts w:ascii="Arial" w:hAnsi="Arial" w:cs="Arial"/>
          <w:sz w:val="24"/>
          <w:szCs w:val="24"/>
        </w:rPr>
        <w:t xml:space="preserve"> this qualitative data,</w:t>
      </w:r>
      <w:r w:rsidR="0010421A">
        <w:rPr>
          <w:rFonts w:ascii="Arial" w:hAnsi="Arial" w:cs="Arial"/>
          <w:sz w:val="24"/>
          <w:szCs w:val="24"/>
        </w:rPr>
        <w:t xml:space="preserve"> through an </w:t>
      </w:r>
      <w:r w:rsidR="00332958">
        <w:rPr>
          <w:rFonts w:ascii="Arial" w:hAnsi="Arial" w:cs="Arial"/>
          <w:sz w:val="24"/>
          <w:szCs w:val="24"/>
        </w:rPr>
        <w:t>inductive analysis process</w:t>
      </w:r>
      <w:r w:rsidR="000B0357">
        <w:rPr>
          <w:rFonts w:ascii="Arial" w:hAnsi="Arial" w:cs="Arial"/>
          <w:sz w:val="24"/>
          <w:szCs w:val="24"/>
        </w:rPr>
        <w:t xml:space="preserve">, and </w:t>
      </w:r>
      <w:r w:rsidR="00E65A98">
        <w:rPr>
          <w:rFonts w:ascii="Arial" w:hAnsi="Arial" w:cs="Arial"/>
          <w:sz w:val="24"/>
          <w:szCs w:val="24"/>
        </w:rPr>
        <w:t>due consideration of the research aims and objectives</w:t>
      </w:r>
      <w:r w:rsidR="00332958">
        <w:rPr>
          <w:rFonts w:ascii="Arial" w:hAnsi="Arial" w:cs="Arial"/>
          <w:sz w:val="24"/>
          <w:szCs w:val="24"/>
        </w:rPr>
        <w:t xml:space="preserve">. </w:t>
      </w:r>
      <w:r w:rsidR="0097028C">
        <w:rPr>
          <w:rFonts w:ascii="Arial" w:hAnsi="Arial" w:cs="Arial"/>
          <w:sz w:val="24"/>
          <w:szCs w:val="24"/>
        </w:rPr>
        <w:t xml:space="preserve"> </w:t>
      </w:r>
    </w:p>
    <w:p w14:paraId="718A3DF5" w14:textId="1C025F8D" w:rsidR="00332958" w:rsidRPr="002028F3" w:rsidRDefault="00F70715" w:rsidP="00DB4EAD">
      <w:pPr>
        <w:rPr>
          <w:rFonts w:ascii="Arial" w:hAnsi="Arial" w:cs="Arial"/>
          <w:sz w:val="24"/>
          <w:szCs w:val="24"/>
        </w:rPr>
      </w:pPr>
      <w:r>
        <w:rPr>
          <w:rFonts w:ascii="Arial" w:hAnsi="Arial" w:cs="Arial"/>
          <w:sz w:val="24"/>
          <w:szCs w:val="24"/>
        </w:rPr>
        <w:t xml:space="preserve">The third and fourth columns </w:t>
      </w:r>
      <w:r w:rsidR="00AB1401">
        <w:rPr>
          <w:rFonts w:ascii="Arial" w:hAnsi="Arial" w:cs="Arial"/>
          <w:sz w:val="24"/>
          <w:szCs w:val="24"/>
        </w:rPr>
        <w:t>provide some quantifiable data</w:t>
      </w:r>
      <w:r w:rsidR="00321F3A">
        <w:rPr>
          <w:rFonts w:ascii="Arial" w:hAnsi="Arial" w:cs="Arial"/>
          <w:sz w:val="24"/>
          <w:szCs w:val="24"/>
        </w:rPr>
        <w:t>, to justify the</w:t>
      </w:r>
      <w:r w:rsidR="00A56DA8">
        <w:rPr>
          <w:rFonts w:ascii="Arial" w:hAnsi="Arial" w:cs="Arial"/>
          <w:sz w:val="24"/>
          <w:szCs w:val="24"/>
        </w:rPr>
        <w:t xml:space="preserve"> decision to include each category. ‘Respondent Code’ refers to the </w:t>
      </w:r>
      <w:r w:rsidR="008A41E9">
        <w:rPr>
          <w:rFonts w:ascii="Arial" w:hAnsi="Arial" w:cs="Arial"/>
          <w:sz w:val="24"/>
          <w:szCs w:val="24"/>
        </w:rPr>
        <w:t xml:space="preserve">assumed names allocated to each of the </w:t>
      </w:r>
      <w:r w:rsidR="00551346">
        <w:rPr>
          <w:rFonts w:ascii="Arial" w:hAnsi="Arial" w:cs="Arial"/>
          <w:sz w:val="24"/>
          <w:szCs w:val="24"/>
        </w:rPr>
        <w:t>ten participants, to ensure anonymity</w:t>
      </w:r>
      <w:r w:rsidR="00275656">
        <w:rPr>
          <w:rFonts w:ascii="Arial" w:hAnsi="Arial" w:cs="Arial"/>
          <w:sz w:val="24"/>
          <w:szCs w:val="24"/>
        </w:rPr>
        <w:t xml:space="preserve">. ‘A’ refers to </w:t>
      </w:r>
      <w:r w:rsidR="00551346">
        <w:rPr>
          <w:rFonts w:ascii="Arial" w:hAnsi="Arial" w:cs="Arial"/>
          <w:sz w:val="24"/>
          <w:szCs w:val="24"/>
        </w:rPr>
        <w:t>Participant A</w:t>
      </w:r>
      <w:r w:rsidR="00275656">
        <w:rPr>
          <w:rFonts w:ascii="Arial" w:hAnsi="Arial" w:cs="Arial"/>
          <w:sz w:val="24"/>
          <w:szCs w:val="24"/>
        </w:rPr>
        <w:t>, ‘B’ to Participant B, etc</w:t>
      </w:r>
      <w:r w:rsidR="00551346">
        <w:rPr>
          <w:rFonts w:ascii="Arial" w:hAnsi="Arial" w:cs="Arial"/>
          <w:sz w:val="24"/>
          <w:szCs w:val="24"/>
        </w:rPr>
        <w:t xml:space="preserve">. </w:t>
      </w:r>
      <w:r w:rsidR="00971005">
        <w:rPr>
          <w:rFonts w:ascii="Arial" w:hAnsi="Arial" w:cs="Arial"/>
          <w:sz w:val="24"/>
          <w:szCs w:val="24"/>
        </w:rPr>
        <w:t xml:space="preserve">Respondents that </w:t>
      </w:r>
      <w:r w:rsidR="00654B9A">
        <w:rPr>
          <w:rFonts w:ascii="Arial" w:hAnsi="Arial" w:cs="Arial"/>
          <w:sz w:val="24"/>
          <w:szCs w:val="24"/>
        </w:rPr>
        <w:t xml:space="preserve">provided data for each of the categories </w:t>
      </w:r>
      <w:r w:rsidR="000A6CB9">
        <w:rPr>
          <w:rFonts w:ascii="Arial" w:hAnsi="Arial" w:cs="Arial"/>
          <w:sz w:val="24"/>
          <w:szCs w:val="24"/>
        </w:rPr>
        <w:t xml:space="preserve">is listed, and the final column provides </w:t>
      </w:r>
      <w:r w:rsidR="00A706A3">
        <w:rPr>
          <w:rFonts w:ascii="Arial" w:hAnsi="Arial" w:cs="Arial"/>
          <w:sz w:val="24"/>
          <w:szCs w:val="24"/>
        </w:rPr>
        <w:t>a tally of the total number of responses for each category.</w:t>
      </w:r>
    </w:p>
    <w:p w14:paraId="1C61CEC3" w14:textId="762D02C0" w:rsidR="00A706A3" w:rsidRPr="00816406" w:rsidRDefault="00A90528" w:rsidP="00816406">
      <w:pPr>
        <w:spacing w:after="160" w:line="259" w:lineRule="auto"/>
        <w:rPr>
          <w:rFonts w:ascii="Arial" w:eastAsiaTheme="minorHAnsi" w:hAnsi="Arial" w:cs="Arial"/>
          <w:sz w:val="24"/>
          <w:szCs w:val="24"/>
        </w:rPr>
      </w:pPr>
      <w:r w:rsidRPr="008E5CA2">
        <w:rPr>
          <w:rFonts w:ascii="Arial" w:eastAsiaTheme="minorHAnsi" w:hAnsi="Arial" w:cs="Arial"/>
          <w:sz w:val="24"/>
          <w:szCs w:val="24"/>
        </w:rPr>
        <w:t xml:space="preserve">The </w:t>
      </w:r>
      <w:r w:rsidR="00F662FE" w:rsidRPr="008E5CA2">
        <w:rPr>
          <w:rFonts w:ascii="Arial" w:eastAsiaTheme="minorHAnsi" w:hAnsi="Arial" w:cs="Arial"/>
          <w:sz w:val="24"/>
          <w:szCs w:val="24"/>
        </w:rPr>
        <w:t xml:space="preserve">frequency of patterns and the codes generated </w:t>
      </w:r>
      <w:r w:rsidR="00BA585F" w:rsidRPr="008E5CA2">
        <w:rPr>
          <w:rFonts w:ascii="Arial" w:eastAsiaTheme="minorHAnsi" w:hAnsi="Arial" w:cs="Arial"/>
          <w:sz w:val="24"/>
          <w:szCs w:val="24"/>
        </w:rPr>
        <w:t xml:space="preserve">were the basis of the themes that </w:t>
      </w:r>
      <w:r w:rsidR="008E5CA2" w:rsidRPr="008E5CA2">
        <w:rPr>
          <w:rFonts w:ascii="Arial" w:eastAsiaTheme="minorHAnsi" w:hAnsi="Arial" w:cs="Arial"/>
          <w:sz w:val="24"/>
          <w:szCs w:val="24"/>
        </w:rPr>
        <w:t>ultimately emerged from the data.</w:t>
      </w:r>
    </w:p>
    <w:p w14:paraId="4F35390B" w14:textId="77777777" w:rsidR="00B4075B" w:rsidRPr="00B4075B" w:rsidRDefault="00B4075B" w:rsidP="00B4075B">
      <w:pPr>
        <w:spacing w:after="160" w:line="259" w:lineRule="auto"/>
        <w:rPr>
          <w:rFonts w:asciiTheme="minorHAnsi" w:eastAsiaTheme="minorHAnsi" w:hAnsiTheme="minorHAnsi" w:cstheme="minorBidi"/>
        </w:rPr>
      </w:pPr>
    </w:p>
    <w:tbl>
      <w:tblPr>
        <w:tblStyle w:val="TableGrid"/>
        <w:tblW w:w="0" w:type="auto"/>
        <w:tblLook w:val="04A0" w:firstRow="1" w:lastRow="0" w:firstColumn="1" w:lastColumn="0" w:noHBand="0" w:noVBand="1"/>
      </w:tblPr>
      <w:tblGrid>
        <w:gridCol w:w="2405"/>
        <w:gridCol w:w="3204"/>
        <w:gridCol w:w="2337"/>
        <w:gridCol w:w="1070"/>
      </w:tblGrid>
      <w:tr w:rsidR="00B4075B" w:rsidRPr="00B4075B" w14:paraId="0DE829F2" w14:textId="77777777" w:rsidTr="00B4075B">
        <w:tc>
          <w:tcPr>
            <w:tcW w:w="2405" w:type="dxa"/>
            <w:shd w:val="clear" w:color="auto" w:fill="D9D9D9" w:themeFill="background1" w:themeFillShade="D9"/>
          </w:tcPr>
          <w:p w14:paraId="47DA35F5"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Question</w:t>
            </w:r>
          </w:p>
        </w:tc>
        <w:tc>
          <w:tcPr>
            <w:tcW w:w="3204" w:type="dxa"/>
            <w:shd w:val="clear" w:color="auto" w:fill="D9D9D9" w:themeFill="background1" w:themeFillShade="D9"/>
          </w:tcPr>
          <w:p w14:paraId="1954E57A"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Answer Categories</w:t>
            </w:r>
          </w:p>
        </w:tc>
        <w:tc>
          <w:tcPr>
            <w:tcW w:w="2337" w:type="dxa"/>
            <w:shd w:val="clear" w:color="auto" w:fill="D9D9D9" w:themeFill="background1" w:themeFillShade="D9"/>
          </w:tcPr>
          <w:p w14:paraId="68F43B4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Respondent Code</w:t>
            </w:r>
          </w:p>
        </w:tc>
        <w:tc>
          <w:tcPr>
            <w:tcW w:w="1070" w:type="dxa"/>
            <w:shd w:val="clear" w:color="auto" w:fill="D9D9D9" w:themeFill="background1" w:themeFillShade="D9"/>
          </w:tcPr>
          <w:p w14:paraId="7C9226D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Number</w:t>
            </w:r>
          </w:p>
        </w:tc>
      </w:tr>
      <w:tr w:rsidR="00B4075B" w:rsidRPr="00B4075B" w14:paraId="50A69BE0" w14:textId="77777777" w:rsidTr="00FA1294">
        <w:tc>
          <w:tcPr>
            <w:tcW w:w="2405" w:type="dxa"/>
          </w:tcPr>
          <w:p w14:paraId="1E9DF2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Q1. How receptive would you be to having a special event organised and hosted by StoriPowys?</w:t>
            </w:r>
          </w:p>
        </w:tc>
        <w:tc>
          <w:tcPr>
            <w:tcW w:w="3204" w:type="dxa"/>
          </w:tcPr>
          <w:p w14:paraId="2C7B133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w:t>
            </w:r>
          </w:p>
          <w:p w14:paraId="089C829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core services</w:t>
            </w:r>
          </w:p>
          <w:p w14:paraId="774AA66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Attitudes/perceptions</w:t>
            </w:r>
          </w:p>
          <w:p w14:paraId="05DDDB0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p w14:paraId="2B28D5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Being competitive</w:t>
            </w:r>
          </w:p>
          <w:p w14:paraId="5896DC3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2E8B2C6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museum vs library</w:t>
            </w:r>
          </w:p>
          <w:p w14:paraId="2C345AD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Benefits and outcomes</w:t>
            </w:r>
          </w:p>
          <w:p w14:paraId="6F8EC77E" w14:textId="77777777" w:rsidR="00B4075B" w:rsidRPr="00B4075B" w:rsidRDefault="00B4075B" w:rsidP="00B4075B">
            <w:pPr>
              <w:spacing w:after="0"/>
              <w:rPr>
                <w:rFonts w:ascii="Arial" w:eastAsiaTheme="minorHAnsi" w:hAnsi="Arial" w:cs="Arial"/>
                <w:color w:val="000000" w:themeColor="text1"/>
                <w:sz w:val="24"/>
                <w:szCs w:val="24"/>
                <w:lang w:val="en-US"/>
              </w:rPr>
            </w:pPr>
          </w:p>
        </w:tc>
        <w:tc>
          <w:tcPr>
            <w:tcW w:w="2337" w:type="dxa"/>
          </w:tcPr>
          <w:p w14:paraId="53882C9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2A23E5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3E201D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A/E/F/I/J</w:t>
            </w:r>
          </w:p>
          <w:p w14:paraId="7116AF3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A/B/C/D/F/G/H/J</w:t>
            </w:r>
          </w:p>
          <w:p w14:paraId="0E4E08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62A390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C/G/I </w:t>
            </w:r>
          </w:p>
          <w:p w14:paraId="37F151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3FD823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A/E/F/G/I</w:t>
            </w:r>
          </w:p>
        </w:tc>
        <w:tc>
          <w:tcPr>
            <w:tcW w:w="1070" w:type="dxa"/>
          </w:tcPr>
          <w:p w14:paraId="61DADA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23FD87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55E74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0A971C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623CE9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5D1830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619B9E9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2A210A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33CB6194" w14:textId="77777777" w:rsidTr="00FA1294">
        <w:tc>
          <w:tcPr>
            <w:tcW w:w="2405" w:type="dxa"/>
          </w:tcPr>
          <w:p w14:paraId="22B6D3B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Q2. Do you think our facilities should provide cafes?</w:t>
            </w:r>
          </w:p>
        </w:tc>
        <w:tc>
          <w:tcPr>
            <w:tcW w:w="3204" w:type="dxa"/>
          </w:tcPr>
          <w:p w14:paraId="5AE3F5A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Depends on location</w:t>
            </w:r>
          </w:p>
          <w:p w14:paraId="7654FFE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Public perceptions</w:t>
            </w:r>
          </w:p>
          <w:p w14:paraId="35E95B9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services</w:t>
            </w:r>
          </w:p>
          <w:p w14:paraId="546C80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Accessibility</w:t>
            </w:r>
          </w:p>
          <w:p w14:paraId="61799A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Community/social focus</w:t>
            </w:r>
          </w:p>
          <w:p w14:paraId="111A1C2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Local connections</w:t>
            </w:r>
          </w:p>
          <w:p w14:paraId="31B616C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Competition</w:t>
            </w:r>
          </w:p>
          <w:p w14:paraId="31947C4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 different audiences</w:t>
            </w:r>
          </w:p>
          <w:p w14:paraId="28707B2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Sustainability</w:t>
            </w:r>
          </w:p>
        </w:tc>
        <w:tc>
          <w:tcPr>
            <w:tcW w:w="2337" w:type="dxa"/>
          </w:tcPr>
          <w:p w14:paraId="7E3216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A/B/C/D/E/F/G/H/I/J</w:t>
            </w:r>
          </w:p>
          <w:p w14:paraId="6295622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A/D/E/F/G/H/J</w:t>
            </w:r>
          </w:p>
          <w:p w14:paraId="17E404A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21927B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A/E/F/G/H</w:t>
            </w:r>
          </w:p>
          <w:p w14:paraId="0BA1E7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B/C/H/I/J</w:t>
            </w:r>
          </w:p>
          <w:p w14:paraId="5D293B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w:t>
            </w:r>
          </w:p>
          <w:p w14:paraId="11D3178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J</w:t>
            </w:r>
          </w:p>
          <w:p w14:paraId="6A3AC45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A/B/D/E/F/G/H/I/J</w:t>
            </w:r>
          </w:p>
          <w:p w14:paraId="6B8A910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E/J</w:t>
            </w:r>
          </w:p>
        </w:tc>
        <w:tc>
          <w:tcPr>
            <w:tcW w:w="1070" w:type="dxa"/>
          </w:tcPr>
          <w:p w14:paraId="3DEA6A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10</w:t>
            </w:r>
          </w:p>
          <w:p w14:paraId="64F50F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2861B5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476C0C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5</w:t>
            </w:r>
          </w:p>
          <w:p w14:paraId="173383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E445D4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FBB77B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25EC51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760B8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tc>
      </w:tr>
      <w:tr w:rsidR="00B4075B" w:rsidRPr="00B4075B" w14:paraId="52090251" w14:textId="77777777" w:rsidTr="00FA1294">
        <w:tc>
          <w:tcPr>
            <w:tcW w:w="2405" w:type="dxa"/>
          </w:tcPr>
          <w:p w14:paraId="1C6B31B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Q3. Would you support a shop in StoriPowys facilities?</w:t>
            </w:r>
          </w:p>
        </w:tc>
        <w:tc>
          <w:tcPr>
            <w:tcW w:w="3204" w:type="dxa"/>
          </w:tcPr>
          <w:p w14:paraId="575F609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Expected in museums</w:t>
            </w:r>
          </w:p>
          <w:p w14:paraId="01089D2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locality</w:t>
            </w:r>
          </w:p>
          <w:p w14:paraId="4280B78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the unique area/collections</w:t>
            </w:r>
          </w:p>
          <w:p w14:paraId="5F0DAD4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Meet a social need</w:t>
            </w:r>
          </w:p>
          <w:p w14:paraId="2ABC7B8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Don’t compete with local business</w:t>
            </w:r>
          </w:p>
          <w:p w14:paraId="1BDC50A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audience</w:t>
            </w:r>
          </w:p>
          <w:p w14:paraId="6E0FB3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Affordability</w:t>
            </w:r>
          </w:p>
          <w:p w14:paraId="6B706B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Reinvest in the community</w:t>
            </w:r>
          </w:p>
          <w:p w14:paraId="52E74C0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Invest in user experience</w:t>
            </w:r>
            <w:r w:rsidRPr="00B4075B">
              <w:rPr>
                <w:rFonts w:ascii="Arial" w:eastAsiaTheme="minorHAnsi" w:hAnsi="Arial" w:cs="Arial"/>
                <w:color w:val="000000" w:themeColor="text1"/>
                <w:sz w:val="24"/>
                <w:szCs w:val="24"/>
                <w:lang w:val="en-US"/>
              </w:rPr>
              <w:br/>
              <w:t>Impact on service delivery</w:t>
            </w:r>
            <w:r w:rsidRPr="00B4075B">
              <w:rPr>
                <w:rFonts w:ascii="Arial" w:eastAsiaTheme="minorHAnsi" w:hAnsi="Arial" w:cs="Arial"/>
                <w:color w:val="000000" w:themeColor="text1"/>
                <w:sz w:val="24"/>
                <w:szCs w:val="24"/>
                <w:lang w:val="en-US"/>
              </w:rPr>
              <w:br/>
              <w:t>How is the income used?</w:t>
            </w:r>
          </w:p>
        </w:tc>
        <w:tc>
          <w:tcPr>
            <w:tcW w:w="2337" w:type="dxa"/>
          </w:tcPr>
          <w:p w14:paraId="0E5BEEA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77DE3A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w:t>
            </w:r>
          </w:p>
          <w:p w14:paraId="236F956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0AC487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0980A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A/B/E</w:t>
            </w:r>
          </w:p>
          <w:p w14:paraId="53E7A8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B/C/E/F/G/H</w:t>
            </w:r>
          </w:p>
          <w:p w14:paraId="79298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8A3E8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A/B/C/G/H/I/J</w:t>
            </w:r>
          </w:p>
          <w:p w14:paraId="53198DB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165EB50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A/C/E/I/J</w:t>
            </w:r>
          </w:p>
          <w:p w14:paraId="4A5441B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A/B/F/J</w:t>
            </w:r>
          </w:p>
          <w:p w14:paraId="1D6AA1D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B/E/H/I/J</w:t>
            </w:r>
          </w:p>
          <w:p w14:paraId="1ED0699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w:t>
            </w:r>
          </w:p>
        </w:tc>
        <w:tc>
          <w:tcPr>
            <w:tcW w:w="1070" w:type="dxa"/>
          </w:tcPr>
          <w:p w14:paraId="3C6F72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1A7D6FD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593845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EE23E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897A4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5C7CE09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3DC0A2E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23530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D99841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356D2A0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37F1B6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EE74E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AB63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BED207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30496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29EE4EF2" w14:textId="77777777" w:rsidTr="00FA1294">
        <w:tc>
          <w:tcPr>
            <w:tcW w:w="2405" w:type="dxa"/>
          </w:tcPr>
          <w:p w14:paraId="3EAAAE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Q4. How do you feel about corporate support of StoriPowys developments and activities?</w:t>
            </w:r>
          </w:p>
        </w:tc>
        <w:tc>
          <w:tcPr>
            <w:tcW w:w="3204" w:type="dxa"/>
          </w:tcPr>
          <w:p w14:paraId="34F24CA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4E72D62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It's necessary to sustain services</w:t>
            </w:r>
          </w:p>
          <w:p w14:paraId="268EF80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Suspicious of corporate agendas</w:t>
            </w:r>
          </w:p>
          <w:p w14:paraId="55CD03A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Conflict with library ethos</w:t>
            </w:r>
          </w:p>
          <w:p w14:paraId="3512B80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Ethical considerations</w:t>
            </w:r>
          </w:p>
          <w:p w14:paraId="2A299BA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the business support to the service</w:t>
            </w:r>
          </w:p>
          <w:p w14:paraId="19457D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agreements transparent</w:t>
            </w:r>
          </w:p>
          <w:p w14:paraId="19DB7A0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Companies that offer more than financial support</w:t>
            </w:r>
          </w:p>
        </w:tc>
        <w:tc>
          <w:tcPr>
            <w:tcW w:w="2337" w:type="dxa"/>
          </w:tcPr>
          <w:p w14:paraId="13E5F0C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w:t>
            </w:r>
          </w:p>
          <w:p w14:paraId="7752FB0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A/B/D/E/F/G/H/I/J</w:t>
            </w:r>
          </w:p>
          <w:p w14:paraId="457420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318E8A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A/C/D/F/I/J</w:t>
            </w:r>
          </w:p>
          <w:p w14:paraId="3DA2EB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E33244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A/B/C/F/G/H/I/J</w:t>
            </w:r>
          </w:p>
          <w:p w14:paraId="7B0306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E1715F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B/D/F/I/J</w:t>
            </w:r>
          </w:p>
          <w:p w14:paraId="16B18C6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4641AB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A/C/F/G/H/J</w:t>
            </w:r>
          </w:p>
          <w:p w14:paraId="7F60D8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16D3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A/D/F/I/J</w:t>
            </w:r>
          </w:p>
          <w:p w14:paraId="159B59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c>
          <w:tcPr>
            <w:tcW w:w="1070" w:type="dxa"/>
          </w:tcPr>
          <w:p w14:paraId="03BDA8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1DF811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BC75E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9045BA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673D517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66A16D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1EFC33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4C3EF2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5DCB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F1CBF1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CDB15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BE0CB9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7B7DD26B" w14:textId="77777777" w:rsidTr="00FA1294">
        <w:tc>
          <w:tcPr>
            <w:tcW w:w="2405" w:type="dxa"/>
          </w:tcPr>
          <w:p w14:paraId="365768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Q5. Do you think that online opportunities for donating money would encourage you to donate?</w:t>
            </w:r>
          </w:p>
        </w:tc>
        <w:tc>
          <w:tcPr>
            <w:tcW w:w="3204" w:type="dxa"/>
          </w:tcPr>
          <w:p w14:paraId="525717E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online engagement</w:t>
            </w:r>
          </w:p>
          <w:p w14:paraId="723DB4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Detracting from core service</w:t>
            </w:r>
          </w:p>
          <w:p w14:paraId="4445E85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internet security</w:t>
            </w:r>
          </w:p>
          <w:p w14:paraId="48EFF3A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38632C8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of donation</w:t>
            </w:r>
          </w:p>
          <w:p w14:paraId="4FB00F3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Use campaigns to drive service use</w:t>
            </w:r>
          </w:p>
        </w:tc>
        <w:tc>
          <w:tcPr>
            <w:tcW w:w="2337" w:type="dxa"/>
          </w:tcPr>
          <w:p w14:paraId="30454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6C198EB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2B853B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14A83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E/H</w:t>
            </w:r>
          </w:p>
          <w:p w14:paraId="12998E0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B/C/D/G/H</w:t>
            </w:r>
          </w:p>
          <w:p w14:paraId="27EA9E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C/D/E/F/H/I/J</w:t>
            </w:r>
          </w:p>
          <w:p w14:paraId="6ED712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C/E/F/I/J</w:t>
            </w:r>
          </w:p>
        </w:tc>
        <w:tc>
          <w:tcPr>
            <w:tcW w:w="1070" w:type="dxa"/>
          </w:tcPr>
          <w:p w14:paraId="4BDC01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23BB67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7D3779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69F30C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041EE4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03AD59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5C2110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02652627" w14:textId="77777777" w:rsidTr="00FA1294">
        <w:tc>
          <w:tcPr>
            <w:tcW w:w="2405" w:type="dxa"/>
          </w:tcPr>
          <w:p w14:paraId="24FE3E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Q6. Would you pay to attend any online StoriPowys events or activities?</w:t>
            </w:r>
          </w:p>
        </w:tc>
        <w:tc>
          <w:tcPr>
            <w:tcW w:w="3204" w:type="dxa"/>
          </w:tcPr>
          <w:p w14:paraId="48BAD49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427BB5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reasons for charging</w:t>
            </w:r>
          </w:p>
          <w:p w14:paraId="1EEBCC0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Quality of content</w:t>
            </w:r>
          </w:p>
          <w:p w14:paraId="56FEC93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Unique selling point</w:t>
            </w:r>
          </w:p>
          <w:p w14:paraId="0779FDF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Equality of access</w:t>
            </w:r>
          </w:p>
          <w:p w14:paraId="6E102B3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7D57CCC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Know the audience</w:t>
            </w:r>
          </w:p>
        </w:tc>
        <w:tc>
          <w:tcPr>
            <w:tcW w:w="2337" w:type="dxa"/>
          </w:tcPr>
          <w:p w14:paraId="2C58C8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D/G/H</w:t>
            </w:r>
          </w:p>
          <w:p w14:paraId="6506981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A/B/F/G/H/I/J</w:t>
            </w:r>
          </w:p>
          <w:p w14:paraId="490477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B71F33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A/B/C/E/F/I/J</w:t>
            </w:r>
          </w:p>
          <w:p w14:paraId="6D8C33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A/B/C/E/F/G/I/J</w:t>
            </w:r>
          </w:p>
          <w:p w14:paraId="36AF5A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A/B/E/F/G/I/J</w:t>
            </w:r>
          </w:p>
          <w:p w14:paraId="001F0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A/B/G/H/I/J</w:t>
            </w:r>
          </w:p>
          <w:p w14:paraId="4148816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B/C/E/F/G/I/J</w:t>
            </w:r>
          </w:p>
        </w:tc>
        <w:tc>
          <w:tcPr>
            <w:tcW w:w="1070" w:type="dxa"/>
          </w:tcPr>
          <w:p w14:paraId="159891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19169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20390C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DD663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4B82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7733D89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B0860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B62A51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tc>
      </w:tr>
      <w:tr w:rsidR="00B4075B" w:rsidRPr="00B4075B" w14:paraId="048AF996" w14:textId="77777777" w:rsidTr="00FA1294">
        <w:tc>
          <w:tcPr>
            <w:tcW w:w="2405" w:type="dxa"/>
          </w:tcPr>
          <w:p w14:paraId="7D7546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Q7. Would you consider making a financial donation to a crowdfunding campaign for StoriPowys?</w:t>
            </w:r>
          </w:p>
        </w:tc>
        <w:tc>
          <w:tcPr>
            <w:tcW w:w="3204" w:type="dxa"/>
          </w:tcPr>
          <w:p w14:paraId="1728813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07F19B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 campaigns simple</w:t>
            </w:r>
          </w:p>
          <w:p w14:paraId="5AD648E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Know the audience</w:t>
            </w:r>
          </w:p>
          <w:p w14:paraId="69B746B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Pay for the cause, not a reward</w:t>
            </w:r>
          </w:p>
          <w:p w14:paraId="3721C0C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Reward items are wasteful</w:t>
            </w:r>
          </w:p>
          <w:p w14:paraId="24EDD01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it something tangible</w:t>
            </w:r>
          </w:p>
          <w:p w14:paraId="5254B98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service value</w:t>
            </w:r>
          </w:p>
          <w:p w14:paraId="175D57B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incentives within reach</w:t>
            </w:r>
          </w:p>
          <w:p w14:paraId="72FAD6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Develop relationships with users</w:t>
            </w:r>
          </w:p>
        </w:tc>
        <w:tc>
          <w:tcPr>
            <w:tcW w:w="2337" w:type="dxa"/>
          </w:tcPr>
          <w:p w14:paraId="1C0D8A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4E8EADB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w:t>
            </w:r>
          </w:p>
          <w:p w14:paraId="52AC65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C/F/G/I</w:t>
            </w:r>
          </w:p>
          <w:p w14:paraId="3ABE0B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A/B/C/D/G/H</w:t>
            </w:r>
          </w:p>
          <w:p w14:paraId="27CC3C5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132AAD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w:t>
            </w:r>
          </w:p>
          <w:p w14:paraId="6FD0FB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E/I/J</w:t>
            </w:r>
          </w:p>
          <w:p w14:paraId="3F5BD7A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E/F/G</w:t>
            </w:r>
          </w:p>
          <w:p w14:paraId="416D17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w:t>
            </w:r>
          </w:p>
          <w:p w14:paraId="11324B4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17E86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E/F/I/J</w:t>
            </w:r>
          </w:p>
        </w:tc>
        <w:tc>
          <w:tcPr>
            <w:tcW w:w="1070" w:type="dxa"/>
          </w:tcPr>
          <w:p w14:paraId="7E07816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00FB449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428289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24D851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19CA5D8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372419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514AC6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CAFC56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E349A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03067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9FC286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9A691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61A28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r w:rsidR="00B4075B" w:rsidRPr="00B4075B" w14:paraId="18BDCA55" w14:textId="77777777" w:rsidTr="00FA1294">
        <w:tc>
          <w:tcPr>
            <w:tcW w:w="2405" w:type="dxa"/>
          </w:tcPr>
          <w:p w14:paraId="6295B0C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Q8. Do you think you would pay to be a member of StoriPowys?</w:t>
            </w:r>
          </w:p>
        </w:tc>
        <w:tc>
          <w:tcPr>
            <w:tcW w:w="3204" w:type="dxa"/>
          </w:tcPr>
          <w:p w14:paraId="23AABDF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6846B5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funding public services</w:t>
            </w:r>
          </w:p>
          <w:p w14:paraId="7BACCF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Charges to facilitate additional services</w:t>
            </w:r>
          </w:p>
          <w:p w14:paraId="2FAAEF1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Different audiences to target</w:t>
            </w:r>
          </w:p>
          <w:p w14:paraId="4BA20B7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Attract community-minded people</w:t>
            </w:r>
          </w:p>
          <w:p w14:paraId="229E6E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Consider cost of living</w:t>
            </w:r>
          </w:p>
          <w:p w14:paraId="330BC77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offer</w:t>
            </w:r>
          </w:p>
          <w:p w14:paraId="65F0FD6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the benefits</w:t>
            </w:r>
          </w:p>
          <w:p w14:paraId="6935F69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Consider the competition</w:t>
            </w:r>
          </w:p>
          <w:p w14:paraId="5642C6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 impact</w:t>
            </w:r>
          </w:p>
        </w:tc>
        <w:tc>
          <w:tcPr>
            <w:tcW w:w="2337" w:type="dxa"/>
          </w:tcPr>
          <w:p w14:paraId="5AC97B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7E9C65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w:t>
            </w:r>
          </w:p>
          <w:p w14:paraId="50EE3AD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E54EA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A/D/F/G/H</w:t>
            </w:r>
          </w:p>
          <w:p w14:paraId="7ABAF5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716D65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B/F/H/I/J</w:t>
            </w:r>
          </w:p>
          <w:p w14:paraId="0CEBD9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EF5FB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p w14:paraId="4DC959A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0827E9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w:t>
            </w:r>
          </w:p>
          <w:p w14:paraId="693F55E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B/C/D/E/F</w:t>
            </w:r>
          </w:p>
          <w:p w14:paraId="3DCF39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B/G/H/I</w:t>
            </w:r>
          </w:p>
          <w:p w14:paraId="51E6D1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C/F/I</w:t>
            </w:r>
          </w:p>
          <w:p w14:paraId="1F07387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B/E/G/J</w:t>
            </w:r>
          </w:p>
        </w:tc>
        <w:tc>
          <w:tcPr>
            <w:tcW w:w="1070" w:type="dxa"/>
          </w:tcPr>
          <w:p w14:paraId="730DD37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75885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BFB656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66E73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6645F6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51E603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195E56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31C02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8AEF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10391F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1044CC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D02858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4C8481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22830E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51020E3B" w14:textId="77777777" w:rsidTr="00FA1294">
        <w:tc>
          <w:tcPr>
            <w:tcW w:w="2405" w:type="dxa"/>
          </w:tcPr>
          <w:p w14:paraId="4407E3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Q9. Would you be interested in joining a StoriPowys Friends group to undertake activities?</w:t>
            </w:r>
          </w:p>
        </w:tc>
        <w:tc>
          <w:tcPr>
            <w:tcW w:w="3204" w:type="dxa"/>
          </w:tcPr>
          <w:p w14:paraId="7DB5C0D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Cocreation of activities</w:t>
            </w:r>
          </w:p>
          <w:p w14:paraId="40B4721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Raising the profile</w:t>
            </w:r>
          </w:p>
          <w:p w14:paraId="6588CE3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benefits</w:t>
            </w:r>
          </w:p>
          <w:p w14:paraId="4C5BFE3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0034E6A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Generate service use</w:t>
            </w:r>
          </w:p>
          <w:p w14:paraId="0880E6D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cause</w:t>
            </w:r>
          </w:p>
          <w:p w14:paraId="54238D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Build relationships</w:t>
            </w:r>
          </w:p>
        </w:tc>
        <w:tc>
          <w:tcPr>
            <w:tcW w:w="2337" w:type="dxa"/>
          </w:tcPr>
          <w:p w14:paraId="72E9415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w:t>
            </w:r>
          </w:p>
          <w:p w14:paraId="797C201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C/D/F</w:t>
            </w:r>
          </w:p>
          <w:p w14:paraId="29E7CD7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A/D/E/F/G/I/J</w:t>
            </w:r>
          </w:p>
          <w:p w14:paraId="3CC280E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A/C/D/H/I/J</w:t>
            </w:r>
          </w:p>
          <w:p w14:paraId="0CD932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w:t>
            </w:r>
          </w:p>
          <w:p w14:paraId="037FDF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A/B/D/E/F/G/I/J</w:t>
            </w:r>
          </w:p>
          <w:p w14:paraId="5BA7A46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B/E/F/J</w:t>
            </w:r>
          </w:p>
        </w:tc>
        <w:tc>
          <w:tcPr>
            <w:tcW w:w="1070" w:type="dxa"/>
          </w:tcPr>
          <w:p w14:paraId="495C07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6A863CB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AD3C9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9DA23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7097C3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945E14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58E1298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468C8C7F" w14:textId="77777777" w:rsidTr="00FA1294">
        <w:tc>
          <w:tcPr>
            <w:tcW w:w="2405" w:type="dxa"/>
          </w:tcPr>
          <w:p w14:paraId="56E8DB8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Q10. Would you be interested in supporting a development trust if one were set up alongside StoriPowys?</w:t>
            </w:r>
          </w:p>
        </w:tc>
        <w:tc>
          <w:tcPr>
            <w:tcW w:w="3204" w:type="dxa"/>
          </w:tcPr>
          <w:p w14:paraId="3E39B72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Funding public services</w:t>
            </w:r>
          </w:p>
          <w:p w14:paraId="47355F5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Working in collaboration</w:t>
            </w:r>
          </w:p>
          <w:p w14:paraId="659666B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w:t>
            </w:r>
          </w:p>
          <w:p w14:paraId="55EF4E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benefits and impact</w:t>
            </w:r>
          </w:p>
          <w:p w14:paraId="58A2698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Protecting funds</w:t>
            </w:r>
          </w:p>
          <w:p w14:paraId="69B807C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Local ownership</w:t>
            </w:r>
          </w:p>
          <w:p w14:paraId="540F816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Telling the story of the org</w:t>
            </w:r>
          </w:p>
          <w:p w14:paraId="71E384D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tc>
        <w:tc>
          <w:tcPr>
            <w:tcW w:w="2337" w:type="dxa"/>
          </w:tcPr>
          <w:p w14:paraId="406CDA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w:t>
            </w:r>
          </w:p>
          <w:p w14:paraId="2AFC583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A/J</w:t>
            </w:r>
          </w:p>
          <w:p w14:paraId="2DD0B62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A/B/D/E/G/H/I/J</w:t>
            </w:r>
          </w:p>
          <w:p w14:paraId="3AE7F7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A/B/C/E/F/G/H/I/J</w:t>
            </w:r>
          </w:p>
          <w:p w14:paraId="7018E3A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5E197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A90B2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A/J</w:t>
            </w:r>
          </w:p>
          <w:p w14:paraId="5C1DDB4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007224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tc>
        <w:tc>
          <w:tcPr>
            <w:tcW w:w="1070" w:type="dxa"/>
          </w:tcPr>
          <w:p w14:paraId="35F90A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2E2342D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19C8F78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4DCC7DF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390A102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21984D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38096D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CB66D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DA2B87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bl>
    <w:p w14:paraId="6393F629" w14:textId="77777777" w:rsidR="00DB4EAD" w:rsidRPr="00DB4EAD" w:rsidRDefault="00DB4EAD" w:rsidP="00DB4EAD"/>
    <w:sectPr w:rsidR="00DB4EAD" w:rsidRPr="00DB4EAD" w:rsidSect="00692501">
      <w:headerReference w:type="default" r:id="rId148"/>
      <w:footerReference w:type="default" r:id="rId1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74A60" w14:textId="77777777" w:rsidR="00F33E94" w:rsidRDefault="00F33E94" w:rsidP="00333E92">
      <w:pPr>
        <w:spacing w:after="0" w:line="240" w:lineRule="auto"/>
      </w:pPr>
      <w:r>
        <w:separator/>
      </w:r>
    </w:p>
  </w:endnote>
  <w:endnote w:type="continuationSeparator" w:id="0">
    <w:p w14:paraId="667A5E42" w14:textId="77777777" w:rsidR="00F33E94" w:rsidRDefault="00F33E94" w:rsidP="0033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401009"/>
      <w:docPartObj>
        <w:docPartGallery w:val="Page Numbers (Bottom of Page)"/>
        <w:docPartUnique/>
      </w:docPartObj>
    </w:sdtPr>
    <w:sdtEndPr>
      <w:rPr>
        <w:noProof/>
      </w:rPr>
    </w:sdtEndPr>
    <w:sdtContent>
      <w:p w14:paraId="4C7A9DBE" w14:textId="6F825290" w:rsidR="009A33E1" w:rsidRDefault="009A3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0ECE0" w14:textId="77777777" w:rsidR="003362DB" w:rsidRDefault="00336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D01EB" w14:textId="77777777" w:rsidR="00F33E94" w:rsidRDefault="00F33E94" w:rsidP="00333E92">
      <w:pPr>
        <w:spacing w:after="0" w:line="240" w:lineRule="auto"/>
      </w:pPr>
      <w:r>
        <w:separator/>
      </w:r>
    </w:p>
  </w:footnote>
  <w:footnote w:type="continuationSeparator" w:id="0">
    <w:p w14:paraId="16C5206A" w14:textId="77777777" w:rsidR="00F33E94" w:rsidRDefault="00F33E94" w:rsidP="00333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0DF3" w14:textId="18E243DC" w:rsidR="00333E92" w:rsidRPr="00752F92" w:rsidRDefault="00752F92">
    <w:pPr>
      <w:pStyle w:val="Header"/>
      <w:rPr>
        <w:rFonts w:ascii="Arial" w:hAnsi="Arial" w:cs="Arial"/>
      </w:rPr>
    </w:pPr>
    <w:r>
      <w:rPr>
        <w:rFonts w:ascii="Arial" w:hAnsi="Arial" w:cs="Arial"/>
      </w:rPr>
      <w:t>Nichola Farr</w:t>
    </w:r>
    <w:r w:rsidR="000F1F81">
      <w:rPr>
        <w:rFonts w:ascii="Arial" w:hAnsi="Arial" w:cs="Arial"/>
      </w:rPr>
      <w:t xml:space="preserve"> 1906931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02703"/>
    <w:multiLevelType w:val="multilevel"/>
    <w:tmpl w:val="AA7A85E8"/>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403A8"/>
    <w:multiLevelType w:val="hybridMultilevel"/>
    <w:tmpl w:val="24F0778A"/>
    <w:lvl w:ilvl="0" w:tplc="7662E77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77FD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112ACA"/>
    <w:multiLevelType w:val="hybridMultilevel"/>
    <w:tmpl w:val="951E19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43013E"/>
    <w:multiLevelType w:val="multilevel"/>
    <w:tmpl w:val="2384E4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84F65"/>
    <w:multiLevelType w:val="hybridMultilevel"/>
    <w:tmpl w:val="E66A1F8C"/>
    <w:lvl w:ilvl="0" w:tplc="CA606C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C0482A"/>
    <w:multiLevelType w:val="hybridMultilevel"/>
    <w:tmpl w:val="4AD65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DC167C"/>
    <w:multiLevelType w:val="hybridMultilevel"/>
    <w:tmpl w:val="18CA7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2E6169"/>
    <w:multiLevelType w:val="multilevel"/>
    <w:tmpl w:val="3E8E5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B920DA"/>
    <w:multiLevelType w:val="hybridMultilevel"/>
    <w:tmpl w:val="FA460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1401C7"/>
    <w:multiLevelType w:val="hybridMultilevel"/>
    <w:tmpl w:val="4B3EE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750FBA"/>
    <w:multiLevelType w:val="hybridMultilevel"/>
    <w:tmpl w:val="23221C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85823624">
    <w:abstractNumId w:val="0"/>
  </w:num>
  <w:num w:numId="2" w16cid:durableId="1484618232">
    <w:abstractNumId w:val="6"/>
  </w:num>
  <w:num w:numId="3" w16cid:durableId="2007634276">
    <w:abstractNumId w:val="15"/>
  </w:num>
  <w:num w:numId="4" w16cid:durableId="1858157159">
    <w:abstractNumId w:val="18"/>
  </w:num>
  <w:num w:numId="5" w16cid:durableId="967009159">
    <w:abstractNumId w:val="3"/>
  </w:num>
  <w:num w:numId="6" w16cid:durableId="1582642763">
    <w:abstractNumId w:val="31"/>
  </w:num>
  <w:num w:numId="7" w16cid:durableId="396435523">
    <w:abstractNumId w:val="21"/>
  </w:num>
  <w:num w:numId="8" w16cid:durableId="1535850407">
    <w:abstractNumId w:val="1"/>
  </w:num>
  <w:num w:numId="9" w16cid:durableId="1273784297">
    <w:abstractNumId w:val="16"/>
  </w:num>
  <w:num w:numId="10" w16cid:durableId="898437262">
    <w:abstractNumId w:val="30"/>
  </w:num>
  <w:num w:numId="11" w16cid:durableId="1171873862">
    <w:abstractNumId w:val="7"/>
  </w:num>
  <w:num w:numId="12" w16cid:durableId="942568306">
    <w:abstractNumId w:val="36"/>
  </w:num>
  <w:num w:numId="13" w16cid:durableId="91706144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610599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9042748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126386855">
    <w:abstractNumId w:val="9"/>
  </w:num>
  <w:num w:numId="17" w16cid:durableId="990715704">
    <w:abstractNumId w:val="13"/>
  </w:num>
  <w:num w:numId="18" w16cid:durableId="1772777290">
    <w:abstractNumId w:val="14"/>
  </w:num>
  <w:num w:numId="19" w16cid:durableId="903758986">
    <w:abstractNumId w:val="34"/>
  </w:num>
  <w:num w:numId="20" w16cid:durableId="407927720">
    <w:abstractNumId w:val="32"/>
  </w:num>
  <w:num w:numId="21" w16cid:durableId="488328179">
    <w:abstractNumId w:val="33"/>
  </w:num>
  <w:num w:numId="22" w16cid:durableId="1555771095">
    <w:abstractNumId w:val="2"/>
  </w:num>
  <w:num w:numId="23" w16cid:durableId="425151046">
    <w:abstractNumId w:val="11"/>
  </w:num>
  <w:num w:numId="24" w16cid:durableId="835077013">
    <w:abstractNumId w:val="12"/>
  </w:num>
  <w:num w:numId="25" w16cid:durableId="1906211098">
    <w:abstractNumId w:val="17"/>
  </w:num>
  <w:num w:numId="26" w16cid:durableId="992299042">
    <w:abstractNumId w:val="20"/>
  </w:num>
  <w:num w:numId="27" w16cid:durableId="247230599">
    <w:abstractNumId w:val="35"/>
  </w:num>
  <w:num w:numId="28" w16cid:durableId="791095275">
    <w:abstractNumId w:val="10"/>
  </w:num>
  <w:num w:numId="29" w16cid:durableId="300967597">
    <w:abstractNumId w:val="23"/>
  </w:num>
  <w:num w:numId="30" w16cid:durableId="1034119160">
    <w:abstractNumId w:val="28"/>
  </w:num>
  <w:num w:numId="31" w16cid:durableId="1757747116">
    <w:abstractNumId w:val="4"/>
  </w:num>
  <w:num w:numId="32" w16cid:durableId="1718774297">
    <w:abstractNumId w:val="29"/>
  </w:num>
  <w:num w:numId="33" w16cid:durableId="570117209">
    <w:abstractNumId w:val="22"/>
  </w:num>
  <w:num w:numId="34" w16cid:durableId="981082194">
    <w:abstractNumId w:val="19"/>
  </w:num>
  <w:num w:numId="35" w16cid:durableId="509494054">
    <w:abstractNumId w:val="26"/>
  </w:num>
  <w:num w:numId="36" w16cid:durableId="144704465">
    <w:abstractNumId w:val="5"/>
  </w:num>
  <w:num w:numId="37" w16cid:durableId="458501000">
    <w:abstractNumId w:val="24"/>
  </w:num>
  <w:num w:numId="38" w16cid:durableId="11394201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1F"/>
    <w:rsid w:val="00003697"/>
    <w:rsid w:val="000138B8"/>
    <w:rsid w:val="00053037"/>
    <w:rsid w:val="000557DF"/>
    <w:rsid w:val="00063AFA"/>
    <w:rsid w:val="000706B0"/>
    <w:rsid w:val="000928F7"/>
    <w:rsid w:val="000A6CB9"/>
    <w:rsid w:val="000B0357"/>
    <w:rsid w:val="000C4DCF"/>
    <w:rsid w:val="000E1DF3"/>
    <w:rsid w:val="000F0692"/>
    <w:rsid w:val="000F1F81"/>
    <w:rsid w:val="0010421A"/>
    <w:rsid w:val="0010635B"/>
    <w:rsid w:val="00111EC5"/>
    <w:rsid w:val="0011424D"/>
    <w:rsid w:val="001275EB"/>
    <w:rsid w:val="001445DB"/>
    <w:rsid w:val="001477B3"/>
    <w:rsid w:val="00151547"/>
    <w:rsid w:val="00154F1B"/>
    <w:rsid w:val="0016359C"/>
    <w:rsid w:val="00170AFE"/>
    <w:rsid w:val="0018080A"/>
    <w:rsid w:val="00190F72"/>
    <w:rsid w:val="001942FB"/>
    <w:rsid w:val="0019538B"/>
    <w:rsid w:val="001A7489"/>
    <w:rsid w:val="001B31ED"/>
    <w:rsid w:val="001C691C"/>
    <w:rsid w:val="001E3481"/>
    <w:rsid w:val="002028F3"/>
    <w:rsid w:val="00233CE3"/>
    <w:rsid w:val="002420C1"/>
    <w:rsid w:val="00243F7D"/>
    <w:rsid w:val="00247057"/>
    <w:rsid w:val="0026444E"/>
    <w:rsid w:val="002673C6"/>
    <w:rsid w:val="00275656"/>
    <w:rsid w:val="0027570A"/>
    <w:rsid w:val="0027621F"/>
    <w:rsid w:val="002823EB"/>
    <w:rsid w:val="00287DE3"/>
    <w:rsid w:val="00294427"/>
    <w:rsid w:val="002A180C"/>
    <w:rsid w:val="002A5529"/>
    <w:rsid w:val="002B484A"/>
    <w:rsid w:val="002B6842"/>
    <w:rsid w:val="002C3B5C"/>
    <w:rsid w:val="002D1067"/>
    <w:rsid w:val="002D1356"/>
    <w:rsid w:val="002D59B9"/>
    <w:rsid w:val="002E0D98"/>
    <w:rsid w:val="002F4538"/>
    <w:rsid w:val="0030393A"/>
    <w:rsid w:val="00304A17"/>
    <w:rsid w:val="003054C0"/>
    <w:rsid w:val="00306DDE"/>
    <w:rsid w:val="00321F3A"/>
    <w:rsid w:val="00330C7A"/>
    <w:rsid w:val="00332958"/>
    <w:rsid w:val="00333E92"/>
    <w:rsid w:val="00335669"/>
    <w:rsid w:val="003362DB"/>
    <w:rsid w:val="00347283"/>
    <w:rsid w:val="00351C47"/>
    <w:rsid w:val="00351D88"/>
    <w:rsid w:val="00357EA9"/>
    <w:rsid w:val="003604B7"/>
    <w:rsid w:val="00387F64"/>
    <w:rsid w:val="003A3D9A"/>
    <w:rsid w:val="003B1301"/>
    <w:rsid w:val="003B39ED"/>
    <w:rsid w:val="003C1B12"/>
    <w:rsid w:val="003C2BA1"/>
    <w:rsid w:val="003D035F"/>
    <w:rsid w:val="003D2155"/>
    <w:rsid w:val="003D307D"/>
    <w:rsid w:val="003D316B"/>
    <w:rsid w:val="003E0C6C"/>
    <w:rsid w:val="003F28E8"/>
    <w:rsid w:val="003F36F6"/>
    <w:rsid w:val="003F4D59"/>
    <w:rsid w:val="003F66DD"/>
    <w:rsid w:val="003F7A0A"/>
    <w:rsid w:val="004016DB"/>
    <w:rsid w:val="00404507"/>
    <w:rsid w:val="00405067"/>
    <w:rsid w:val="00406CCD"/>
    <w:rsid w:val="00420FC9"/>
    <w:rsid w:val="004237DE"/>
    <w:rsid w:val="00424A6D"/>
    <w:rsid w:val="00427697"/>
    <w:rsid w:val="0046054D"/>
    <w:rsid w:val="00470CBA"/>
    <w:rsid w:val="00481076"/>
    <w:rsid w:val="004841A4"/>
    <w:rsid w:val="004A1138"/>
    <w:rsid w:val="004D2F07"/>
    <w:rsid w:val="004D6EE9"/>
    <w:rsid w:val="004F6FF0"/>
    <w:rsid w:val="00502C9B"/>
    <w:rsid w:val="005075F6"/>
    <w:rsid w:val="0050764E"/>
    <w:rsid w:val="005147A5"/>
    <w:rsid w:val="00516ADD"/>
    <w:rsid w:val="00526016"/>
    <w:rsid w:val="005304D8"/>
    <w:rsid w:val="00544AB0"/>
    <w:rsid w:val="005457F4"/>
    <w:rsid w:val="005478C4"/>
    <w:rsid w:val="0054790F"/>
    <w:rsid w:val="00551346"/>
    <w:rsid w:val="005518A3"/>
    <w:rsid w:val="00553315"/>
    <w:rsid w:val="00564252"/>
    <w:rsid w:val="00572AF9"/>
    <w:rsid w:val="00573E9F"/>
    <w:rsid w:val="005843E8"/>
    <w:rsid w:val="00584673"/>
    <w:rsid w:val="0058544F"/>
    <w:rsid w:val="00597F86"/>
    <w:rsid w:val="005B149B"/>
    <w:rsid w:val="005C46E4"/>
    <w:rsid w:val="005C5A05"/>
    <w:rsid w:val="005C7DBF"/>
    <w:rsid w:val="005D1B0C"/>
    <w:rsid w:val="005D435B"/>
    <w:rsid w:val="005D5EFC"/>
    <w:rsid w:val="005E2922"/>
    <w:rsid w:val="005E4AF6"/>
    <w:rsid w:val="005E55E3"/>
    <w:rsid w:val="005E7010"/>
    <w:rsid w:val="006050A9"/>
    <w:rsid w:val="0062051B"/>
    <w:rsid w:val="00620D9F"/>
    <w:rsid w:val="00630DCA"/>
    <w:rsid w:val="0063187B"/>
    <w:rsid w:val="00644919"/>
    <w:rsid w:val="00653124"/>
    <w:rsid w:val="00654B9A"/>
    <w:rsid w:val="0067170D"/>
    <w:rsid w:val="0067392C"/>
    <w:rsid w:val="00692501"/>
    <w:rsid w:val="00695DE5"/>
    <w:rsid w:val="00697BE5"/>
    <w:rsid w:val="006B1062"/>
    <w:rsid w:val="006B3D16"/>
    <w:rsid w:val="006B55D5"/>
    <w:rsid w:val="006B5614"/>
    <w:rsid w:val="006D0292"/>
    <w:rsid w:val="006E48DA"/>
    <w:rsid w:val="0070235A"/>
    <w:rsid w:val="00734D65"/>
    <w:rsid w:val="00737BDA"/>
    <w:rsid w:val="00750EC8"/>
    <w:rsid w:val="00752F92"/>
    <w:rsid w:val="007545B3"/>
    <w:rsid w:val="007600F2"/>
    <w:rsid w:val="00785958"/>
    <w:rsid w:val="00786857"/>
    <w:rsid w:val="007A12EB"/>
    <w:rsid w:val="007A4477"/>
    <w:rsid w:val="007B1ADE"/>
    <w:rsid w:val="007B5C6E"/>
    <w:rsid w:val="007F19AC"/>
    <w:rsid w:val="008118AF"/>
    <w:rsid w:val="00816406"/>
    <w:rsid w:val="00844F79"/>
    <w:rsid w:val="008537C4"/>
    <w:rsid w:val="00855523"/>
    <w:rsid w:val="00855E96"/>
    <w:rsid w:val="00864AFE"/>
    <w:rsid w:val="008915B6"/>
    <w:rsid w:val="00891679"/>
    <w:rsid w:val="008A41E9"/>
    <w:rsid w:val="008C0170"/>
    <w:rsid w:val="008C0DAB"/>
    <w:rsid w:val="008C3B01"/>
    <w:rsid w:val="008D2370"/>
    <w:rsid w:val="008E4D44"/>
    <w:rsid w:val="008E5CA2"/>
    <w:rsid w:val="009279E9"/>
    <w:rsid w:val="00936478"/>
    <w:rsid w:val="0096374F"/>
    <w:rsid w:val="0097028C"/>
    <w:rsid w:val="00971005"/>
    <w:rsid w:val="00982F1E"/>
    <w:rsid w:val="00986214"/>
    <w:rsid w:val="009A33E1"/>
    <w:rsid w:val="009B0E1F"/>
    <w:rsid w:val="009B7677"/>
    <w:rsid w:val="009E147D"/>
    <w:rsid w:val="009E2DF7"/>
    <w:rsid w:val="009F56C1"/>
    <w:rsid w:val="009F7571"/>
    <w:rsid w:val="00A02901"/>
    <w:rsid w:val="00A05DEE"/>
    <w:rsid w:val="00A21B9F"/>
    <w:rsid w:val="00A2454A"/>
    <w:rsid w:val="00A27B7E"/>
    <w:rsid w:val="00A30202"/>
    <w:rsid w:val="00A36481"/>
    <w:rsid w:val="00A47F5B"/>
    <w:rsid w:val="00A55563"/>
    <w:rsid w:val="00A56DA8"/>
    <w:rsid w:val="00A677BC"/>
    <w:rsid w:val="00A67F12"/>
    <w:rsid w:val="00A706A3"/>
    <w:rsid w:val="00A758B8"/>
    <w:rsid w:val="00A81709"/>
    <w:rsid w:val="00A90528"/>
    <w:rsid w:val="00A9095A"/>
    <w:rsid w:val="00A95A93"/>
    <w:rsid w:val="00A96070"/>
    <w:rsid w:val="00A96C21"/>
    <w:rsid w:val="00AA20AF"/>
    <w:rsid w:val="00AB1401"/>
    <w:rsid w:val="00AB3430"/>
    <w:rsid w:val="00AC32B4"/>
    <w:rsid w:val="00AC7A21"/>
    <w:rsid w:val="00AD0278"/>
    <w:rsid w:val="00AD08CE"/>
    <w:rsid w:val="00AD348C"/>
    <w:rsid w:val="00AD64FA"/>
    <w:rsid w:val="00AE0272"/>
    <w:rsid w:val="00AE2B37"/>
    <w:rsid w:val="00AF0781"/>
    <w:rsid w:val="00B16863"/>
    <w:rsid w:val="00B170FD"/>
    <w:rsid w:val="00B21818"/>
    <w:rsid w:val="00B31B1F"/>
    <w:rsid w:val="00B33EF3"/>
    <w:rsid w:val="00B353D9"/>
    <w:rsid w:val="00B35B79"/>
    <w:rsid w:val="00B35E4D"/>
    <w:rsid w:val="00B4075B"/>
    <w:rsid w:val="00B652F5"/>
    <w:rsid w:val="00B75C17"/>
    <w:rsid w:val="00B85EAA"/>
    <w:rsid w:val="00BA1F56"/>
    <w:rsid w:val="00BA2F4A"/>
    <w:rsid w:val="00BA55FA"/>
    <w:rsid w:val="00BA585F"/>
    <w:rsid w:val="00BB195C"/>
    <w:rsid w:val="00BB4C90"/>
    <w:rsid w:val="00BC76D6"/>
    <w:rsid w:val="00BD3C13"/>
    <w:rsid w:val="00BD5A66"/>
    <w:rsid w:val="00BF21B7"/>
    <w:rsid w:val="00BF5484"/>
    <w:rsid w:val="00C05BB1"/>
    <w:rsid w:val="00C14308"/>
    <w:rsid w:val="00C238F7"/>
    <w:rsid w:val="00C26E73"/>
    <w:rsid w:val="00C362BC"/>
    <w:rsid w:val="00C3675A"/>
    <w:rsid w:val="00C54AF2"/>
    <w:rsid w:val="00C54BF6"/>
    <w:rsid w:val="00C55CA6"/>
    <w:rsid w:val="00C74E7A"/>
    <w:rsid w:val="00C82401"/>
    <w:rsid w:val="00C8654F"/>
    <w:rsid w:val="00C972C3"/>
    <w:rsid w:val="00CA3811"/>
    <w:rsid w:val="00CA5927"/>
    <w:rsid w:val="00CA7DD8"/>
    <w:rsid w:val="00CB7166"/>
    <w:rsid w:val="00CC4E47"/>
    <w:rsid w:val="00CC57C2"/>
    <w:rsid w:val="00CD6555"/>
    <w:rsid w:val="00CE4680"/>
    <w:rsid w:val="00CE5B7D"/>
    <w:rsid w:val="00CF03F5"/>
    <w:rsid w:val="00CF19C2"/>
    <w:rsid w:val="00CF19E2"/>
    <w:rsid w:val="00CF2243"/>
    <w:rsid w:val="00D05A94"/>
    <w:rsid w:val="00D14C3E"/>
    <w:rsid w:val="00D34F10"/>
    <w:rsid w:val="00D40731"/>
    <w:rsid w:val="00D6281F"/>
    <w:rsid w:val="00D633F7"/>
    <w:rsid w:val="00D73997"/>
    <w:rsid w:val="00D7490E"/>
    <w:rsid w:val="00D81AED"/>
    <w:rsid w:val="00D85079"/>
    <w:rsid w:val="00D90777"/>
    <w:rsid w:val="00DA6E88"/>
    <w:rsid w:val="00DB4EAD"/>
    <w:rsid w:val="00DC571B"/>
    <w:rsid w:val="00DD3935"/>
    <w:rsid w:val="00E002A7"/>
    <w:rsid w:val="00E01AE1"/>
    <w:rsid w:val="00E13635"/>
    <w:rsid w:val="00E169CC"/>
    <w:rsid w:val="00E22532"/>
    <w:rsid w:val="00E23F50"/>
    <w:rsid w:val="00E24EAF"/>
    <w:rsid w:val="00E256D4"/>
    <w:rsid w:val="00E303B0"/>
    <w:rsid w:val="00E34AF2"/>
    <w:rsid w:val="00E35CB3"/>
    <w:rsid w:val="00E50C3B"/>
    <w:rsid w:val="00E52587"/>
    <w:rsid w:val="00E53F3A"/>
    <w:rsid w:val="00E637FC"/>
    <w:rsid w:val="00E65A98"/>
    <w:rsid w:val="00E67E65"/>
    <w:rsid w:val="00E70A68"/>
    <w:rsid w:val="00E710A0"/>
    <w:rsid w:val="00E74BD5"/>
    <w:rsid w:val="00E74F72"/>
    <w:rsid w:val="00E817D9"/>
    <w:rsid w:val="00E947A4"/>
    <w:rsid w:val="00E96730"/>
    <w:rsid w:val="00EA0A21"/>
    <w:rsid w:val="00ED6524"/>
    <w:rsid w:val="00F01CC0"/>
    <w:rsid w:val="00F05347"/>
    <w:rsid w:val="00F33E94"/>
    <w:rsid w:val="00F56182"/>
    <w:rsid w:val="00F662FE"/>
    <w:rsid w:val="00F70715"/>
    <w:rsid w:val="00F82D7A"/>
    <w:rsid w:val="00F8353B"/>
    <w:rsid w:val="00FA3354"/>
    <w:rsid w:val="00FA35E4"/>
    <w:rsid w:val="00FA79DE"/>
    <w:rsid w:val="00FB7F1A"/>
    <w:rsid w:val="00FC1316"/>
    <w:rsid w:val="00FC754F"/>
    <w:rsid w:val="00FD0818"/>
    <w:rsid w:val="00FD5BAF"/>
    <w:rsid w:val="00FE2240"/>
    <w:rsid w:val="00FE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1DADC"/>
  <w15:chartTrackingRefBased/>
  <w15:docId w15:val="{C3FFFC7F-5D89-41F5-9536-8D196827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21F"/>
    <w:pPr>
      <w:spacing w:after="200" w:line="276" w:lineRule="auto"/>
    </w:pPr>
    <w:rPr>
      <w:rFonts w:ascii="Calibri" w:eastAsia="Calibri" w:hAnsi="Calibri" w:cs="Times New Roman"/>
    </w:rPr>
  </w:style>
  <w:style w:type="paragraph" w:styleId="Heading1">
    <w:name w:val="heading 1"/>
    <w:basedOn w:val="Normal"/>
    <w:next w:val="Normal"/>
    <w:link w:val="Heading1Char"/>
    <w:uiPriority w:val="99"/>
    <w:qFormat/>
    <w:rsid w:val="00A05D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6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2F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9F7571"/>
    <w:pPr>
      <w:keepNext/>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7621F"/>
    <w:pPr>
      <w:spacing w:before="100" w:beforeAutospacing="1" w:after="100" w:afterAutospacing="1" w:line="240" w:lineRule="auto"/>
    </w:pPr>
    <w:rPr>
      <w:rFonts w:ascii="Arial Unicode MS" w:hAnsi="Arial Unicode MS" w:cs="Arial Unicode MS"/>
      <w:sz w:val="24"/>
      <w:szCs w:val="24"/>
    </w:rPr>
  </w:style>
  <w:style w:type="character" w:styleId="Hyperlink">
    <w:name w:val="Hyperlink"/>
    <w:basedOn w:val="DefaultParagraphFont"/>
    <w:uiPriority w:val="99"/>
    <w:unhideWhenUsed/>
    <w:rsid w:val="0027621F"/>
    <w:rPr>
      <w:color w:val="0563C1" w:themeColor="hyperlink"/>
      <w:u w:val="single"/>
    </w:rPr>
  </w:style>
  <w:style w:type="paragraph" w:styleId="Caption">
    <w:name w:val="caption"/>
    <w:basedOn w:val="Normal"/>
    <w:next w:val="Normal"/>
    <w:qFormat/>
    <w:rsid w:val="0027621F"/>
    <w:pPr>
      <w:spacing w:after="0" w:line="240" w:lineRule="auto"/>
    </w:pPr>
    <w:rPr>
      <w:rFonts w:ascii="Times New Roman" w:eastAsia="Times New Roman" w:hAnsi="Times New Roman"/>
      <w:sz w:val="24"/>
      <w:szCs w:val="20"/>
    </w:rPr>
  </w:style>
  <w:style w:type="paragraph" w:styleId="Header">
    <w:name w:val="header"/>
    <w:basedOn w:val="Normal"/>
    <w:link w:val="HeaderChar"/>
    <w:uiPriority w:val="99"/>
    <w:unhideWhenUsed/>
    <w:rsid w:val="00333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E92"/>
    <w:rPr>
      <w:rFonts w:ascii="Calibri" w:eastAsia="Calibri" w:hAnsi="Calibri" w:cs="Times New Roman"/>
    </w:rPr>
  </w:style>
  <w:style w:type="paragraph" w:styleId="Footer">
    <w:name w:val="footer"/>
    <w:basedOn w:val="Normal"/>
    <w:link w:val="FooterChar"/>
    <w:uiPriority w:val="99"/>
    <w:unhideWhenUsed/>
    <w:rsid w:val="00333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E92"/>
    <w:rPr>
      <w:rFonts w:ascii="Calibri" w:eastAsia="Calibri" w:hAnsi="Calibri" w:cs="Times New Roman"/>
    </w:rPr>
  </w:style>
  <w:style w:type="paragraph" w:styleId="NoSpacing">
    <w:name w:val="No Spacing"/>
    <w:link w:val="NoSpacingChar"/>
    <w:uiPriority w:val="1"/>
    <w:qFormat/>
    <w:rsid w:val="006925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501"/>
    <w:rPr>
      <w:rFonts w:eastAsiaTheme="minorEastAsia"/>
      <w:lang w:val="en-US"/>
    </w:rPr>
  </w:style>
  <w:style w:type="character" w:customStyle="1" w:styleId="Heading1Char">
    <w:name w:val="Heading 1 Char"/>
    <w:basedOn w:val="DefaultParagraphFont"/>
    <w:link w:val="Heading1"/>
    <w:uiPriority w:val="99"/>
    <w:rsid w:val="00A05D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DEE"/>
    <w:pPr>
      <w:spacing w:line="259" w:lineRule="auto"/>
      <w:outlineLvl w:val="9"/>
    </w:pPr>
    <w:rPr>
      <w:lang w:val="en-US"/>
    </w:rPr>
  </w:style>
  <w:style w:type="paragraph" w:styleId="TOC1">
    <w:name w:val="toc 1"/>
    <w:basedOn w:val="Normal"/>
    <w:next w:val="Normal"/>
    <w:autoRedefine/>
    <w:uiPriority w:val="39"/>
    <w:unhideWhenUsed/>
    <w:rsid w:val="00063AFA"/>
    <w:pPr>
      <w:spacing w:after="100"/>
    </w:pPr>
  </w:style>
  <w:style w:type="character" w:customStyle="1" w:styleId="Heading2Char">
    <w:name w:val="Heading 2 Char"/>
    <w:basedOn w:val="DefaultParagraphFont"/>
    <w:link w:val="Heading2"/>
    <w:uiPriority w:val="9"/>
    <w:rsid w:val="00516AD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27B7E"/>
    <w:pPr>
      <w:spacing w:after="100"/>
      <w:ind w:left="220"/>
    </w:pPr>
  </w:style>
  <w:style w:type="character" w:styleId="CommentReference">
    <w:name w:val="annotation reference"/>
    <w:basedOn w:val="DefaultParagraphFont"/>
    <w:uiPriority w:val="99"/>
    <w:semiHidden/>
    <w:unhideWhenUsed/>
    <w:rsid w:val="00653124"/>
    <w:rPr>
      <w:sz w:val="16"/>
      <w:szCs w:val="16"/>
    </w:rPr>
  </w:style>
  <w:style w:type="paragraph" w:styleId="CommentText">
    <w:name w:val="annotation text"/>
    <w:basedOn w:val="Normal"/>
    <w:link w:val="CommentTextChar"/>
    <w:uiPriority w:val="99"/>
    <w:unhideWhenUsed/>
    <w:rsid w:val="00653124"/>
    <w:pPr>
      <w:spacing w:after="160"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rsid w:val="00653124"/>
    <w:rPr>
      <w:sz w:val="20"/>
      <w:szCs w:val="20"/>
    </w:rPr>
  </w:style>
  <w:style w:type="character" w:styleId="UnresolvedMention">
    <w:name w:val="Unresolved Mention"/>
    <w:basedOn w:val="DefaultParagraphFont"/>
    <w:uiPriority w:val="99"/>
    <w:semiHidden/>
    <w:unhideWhenUsed/>
    <w:rsid w:val="00E67E65"/>
    <w:rPr>
      <w:color w:val="605E5C"/>
      <w:shd w:val="clear" w:color="auto" w:fill="E1DFDD"/>
    </w:rPr>
  </w:style>
  <w:style w:type="table" w:styleId="TableGrid">
    <w:name w:val="Table Grid"/>
    <w:basedOn w:val="TableNormal"/>
    <w:uiPriority w:val="59"/>
    <w:rsid w:val="00BB1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D2F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5079"/>
    <w:pPr>
      <w:spacing w:after="100"/>
      <w:ind w:left="440"/>
    </w:pPr>
  </w:style>
  <w:style w:type="character" w:customStyle="1" w:styleId="Heading4Char">
    <w:name w:val="Heading 4 Char"/>
    <w:basedOn w:val="DefaultParagraphFont"/>
    <w:link w:val="Heading4"/>
    <w:uiPriority w:val="99"/>
    <w:rsid w:val="009F757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F7571"/>
  </w:style>
  <w:style w:type="paragraph" w:styleId="BodyText2">
    <w:name w:val="Body Text 2"/>
    <w:basedOn w:val="Normal"/>
    <w:link w:val="BodyText2Char"/>
    <w:uiPriority w:val="99"/>
    <w:rsid w:val="009F7571"/>
    <w:pPr>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link w:val="BodyText2"/>
    <w:uiPriority w:val="99"/>
    <w:rsid w:val="009F7571"/>
    <w:rPr>
      <w:rFonts w:ascii="Times New Roman" w:eastAsia="Times New Roman" w:hAnsi="Times New Roman" w:cs="Times New Roman"/>
      <w:b/>
      <w:bCs/>
    </w:rPr>
  </w:style>
  <w:style w:type="paragraph" w:customStyle="1" w:styleId="deannah1">
    <w:name w:val="deannah1"/>
    <w:basedOn w:val="Normal"/>
    <w:uiPriority w:val="99"/>
    <w:rsid w:val="009F7571"/>
    <w:pPr>
      <w:keepNext/>
      <w:spacing w:after="240" w:line="240" w:lineRule="auto"/>
    </w:pPr>
    <w:rPr>
      <w:rFonts w:ascii="Times New Roman" w:eastAsia="Times New Roman" w:hAnsi="Times New Roman"/>
      <w:b/>
      <w:bCs/>
      <w:sz w:val="24"/>
      <w:szCs w:val="24"/>
    </w:rPr>
  </w:style>
  <w:style w:type="paragraph" w:styleId="BalloonText">
    <w:name w:val="Balloon Text"/>
    <w:basedOn w:val="Normal"/>
    <w:link w:val="BalloonTextChar"/>
    <w:uiPriority w:val="99"/>
    <w:semiHidden/>
    <w:rsid w:val="009F757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F7571"/>
    <w:rPr>
      <w:rFonts w:ascii="Tahoma" w:eastAsia="Times New Roman" w:hAnsi="Tahoma" w:cs="Tahoma"/>
      <w:sz w:val="16"/>
      <w:szCs w:val="16"/>
    </w:rPr>
  </w:style>
  <w:style w:type="table" w:customStyle="1" w:styleId="TableGrid1">
    <w:name w:val="Table Grid1"/>
    <w:basedOn w:val="TableNormal"/>
    <w:next w:val="TableGrid"/>
    <w:uiPriority w:val="59"/>
    <w:rsid w:val="009F757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7571"/>
    <w:rPr>
      <w:color w:val="800080"/>
      <w:u w:val="single"/>
    </w:rPr>
  </w:style>
  <w:style w:type="character" w:customStyle="1" w:styleId="Hyperlink1">
    <w:name w:val="Hyperlink1"/>
    <w:uiPriority w:val="99"/>
    <w:rsid w:val="009F7571"/>
    <w:rPr>
      <w:color w:val="535353"/>
      <w:u w:val="single"/>
      <w:effect w:val="none"/>
    </w:rPr>
  </w:style>
  <w:style w:type="paragraph" w:customStyle="1" w:styleId="NormalWeb1">
    <w:name w:val="Normal (Web)1"/>
    <w:basedOn w:val="Normal"/>
    <w:uiPriority w:val="99"/>
    <w:rsid w:val="009F7571"/>
    <w:pPr>
      <w:spacing w:before="100" w:beforeAutospacing="1" w:after="300"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rsid w:val="009F7571"/>
  </w:style>
  <w:style w:type="paragraph" w:styleId="CommentSubject">
    <w:name w:val="annotation subject"/>
    <w:basedOn w:val="CommentText"/>
    <w:next w:val="CommentText"/>
    <w:link w:val="CommentSubjectChar"/>
    <w:uiPriority w:val="99"/>
    <w:semiHidden/>
    <w:unhideWhenUsed/>
    <w:rsid w:val="009F7571"/>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F7571"/>
    <w:rPr>
      <w:rFonts w:ascii="Times New Roman" w:eastAsia="Times New Roman" w:hAnsi="Times New Roman" w:cs="Times New Roman"/>
      <w:b/>
      <w:bCs/>
      <w:sz w:val="20"/>
      <w:szCs w:val="20"/>
    </w:rPr>
  </w:style>
  <w:style w:type="paragraph" w:styleId="ListParagraph">
    <w:name w:val="List Paragraph"/>
    <w:basedOn w:val="Normal"/>
    <w:uiPriority w:val="34"/>
    <w:qFormat/>
    <w:rsid w:val="009F7571"/>
    <w:pPr>
      <w:spacing w:after="0" w:line="240" w:lineRule="auto"/>
      <w:ind w:left="720"/>
      <w:contextualSpacing/>
    </w:pPr>
  </w:style>
  <w:style w:type="character" w:styleId="Strong">
    <w:name w:val="Strong"/>
    <w:uiPriority w:val="22"/>
    <w:qFormat/>
    <w:rsid w:val="009F75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en.alfilo.com/" TargetMode="External"/><Relationship Id="rId21" Type="http://schemas.openxmlformats.org/officeDocument/2006/relationships/hyperlink" Target="https://www.artistorybrands.net/cases" TargetMode="External"/><Relationship Id="rId42" Type="http://schemas.openxmlformats.org/officeDocument/2006/relationships/hyperlink" Target="https://www.gov.uk/government/case-studies/amazon-lockers-in-libraries" TargetMode="External"/><Relationship Id="rId63" Type="http://schemas.openxmlformats.org/officeDocument/2006/relationships/hyperlink" Target="https://dx.doi.org/10.4135/9781412950589.n909" TargetMode="External"/><Relationship Id="rId84" Type="http://schemas.openxmlformats.org/officeDocument/2006/relationships/hyperlink" Target="https://www.nationalarchives.gov.uk/archives-sector/finding-funding/how-to-fundraise/4-different-types-of-fundraising/crowdfunding/" TargetMode="External"/><Relationship Id="rId138" Type="http://schemas.openxmlformats.org/officeDocument/2006/relationships/hyperlink" Target="https://www.steinbeck.org/support/" TargetMode="External"/><Relationship Id="rId107" Type="http://schemas.openxmlformats.org/officeDocument/2006/relationships/hyperlink" Target="https://www.twmuseums.org.uk/governance/development-trust" TargetMode="External"/><Relationship Id="rId11" Type="http://schemas.openxmlformats.org/officeDocument/2006/relationships/image" Target="media/image3.png"/><Relationship Id="rId32" Type="http://schemas.openxmlformats.org/officeDocument/2006/relationships/hyperlink" Target="https://www.bklynlibrary.org/support/corporate-sponsors" TargetMode="External"/><Relationship Id="rId53" Type="http://schemas.openxmlformats.org/officeDocument/2006/relationships/hyperlink" Target="https://www.fidelitycharitable.org/content/dam/fc-public/docs/resources/the-role-of-volunteering-in-philanthropy.pdf" TargetMode="External"/><Relationship Id="rId74" Type="http://schemas.openxmlformats.org/officeDocument/2006/relationships/hyperlink" Target="http://www.mitsitamcafe.com/" TargetMode="External"/><Relationship Id="rId128" Type="http://schemas.openxmlformats.org/officeDocument/2006/relationships/hyperlink" Target="https://www.dcl.org/birthday-parties/" TargetMode="External"/><Relationship Id="rId149" Type="http://schemas.openxmlformats.org/officeDocument/2006/relationships/footer" Target="footer1.xml"/><Relationship Id="rId5" Type="http://schemas.openxmlformats.org/officeDocument/2006/relationships/webSettings" Target="webSettings.xml"/><Relationship Id="rId95" Type="http://schemas.openxmlformats.org/officeDocument/2006/relationships/hyperlink" Target="https://www.publiclibrariesnews.com/campaigning/increasing-income/increasing-income-retail" TargetMode="External"/><Relationship Id="rId22" Type="http://schemas.openxmlformats.org/officeDocument/2006/relationships/hyperlink" Target="https://www.aandbscotland.org.uk/the-state-of-heritage-funding-now/" TargetMode="External"/><Relationship Id="rId27" Type="http://schemas.openxmlformats.org/officeDocument/2006/relationships/hyperlink" Target="https://doi.org/10.1016/j.annals.2020.103056" TargetMode="External"/><Relationship Id="rId43" Type="http://schemas.openxmlformats.org/officeDocument/2006/relationships/hyperlink" Target="https://www.gov.uk/government/case-studies/manchester-central-library-development-trust" TargetMode="External"/><Relationship Id="rId48" Type="http://schemas.openxmlformats.org/officeDocument/2006/relationships/hyperlink" Target="https://dtawales.org.uk/resouces/" TargetMode="External"/><Relationship Id="rId64" Type="http://schemas.openxmlformats.org/officeDocument/2006/relationships/hyperlink" Target="https://www.librariesconnected.org.uk/page/future-funding-programme" TargetMode="External"/><Relationship Id="rId69" Type="http://schemas.openxmlformats.org/officeDocument/2006/relationships/hyperlink" Target="https://www.madisonpubliclibrary.org/special-events/weddings" TargetMode="External"/><Relationship Id="rId113" Type="http://schemas.openxmlformats.org/officeDocument/2006/relationships/hyperlink" Target="http://partnerships.org.uk/pguide/trusts.htm" TargetMode="External"/><Relationship Id="rId118" Type="http://schemas.openxmlformats.org/officeDocument/2006/relationships/hyperlink" Target="https://www.citymuseum.org/tickets-memberships/" TargetMode="External"/><Relationship Id="rId134" Type="http://schemas.openxmlformats.org/officeDocument/2006/relationships/hyperlink" Target="https://mountainsidelibrary.org/friends-of-the-library/about-friends-of-the-library" TargetMode="External"/><Relationship Id="rId139" Type="http://schemas.openxmlformats.org/officeDocument/2006/relationships/hyperlink" Target="https://www.crowdfunder.co.uk/p/fashionandtextilesforever" TargetMode="External"/><Relationship Id="rId80" Type="http://schemas.openxmlformats.org/officeDocument/2006/relationships/hyperlink" Target="https://advisor.museumsandheritage.com/features/income-generation-museums-creating-better-visitor-experiences-raising-revenues/" TargetMode="External"/><Relationship Id="rId85" Type="http://schemas.openxmlformats.org/officeDocument/2006/relationships/hyperlink" Target="https://cdn.nationalarchives.gov.uk/documents/archives/income-generation-guidance.pdf" TargetMode="External"/><Relationship Id="rId150" Type="http://schemas.openxmlformats.org/officeDocument/2006/relationships/fontTable" Target="fontTable.xml"/><Relationship Id="rId12" Type="http://schemas.openxmlformats.org/officeDocument/2006/relationships/image" Target="media/image4.jpeg"/><Relationship Id="rId17" Type="http://schemas.openxmlformats.org/officeDocument/2006/relationships/hyperlink" Target="https://www.ala.org/united/altaff/friends/friend-your-library" TargetMode="External"/><Relationship Id="rId33" Type="http://schemas.openxmlformats.org/officeDocument/2006/relationships/hyperlink" Target="https://doi.org/10.1080/10495142.2021.1953669" TargetMode="External"/><Relationship Id="rId38" Type="http://schemas.openxmlformats.org/officeDocument/2006/relationships/hyperlink" Target="https://www.citymuseum.org/tickets-memberships/" TargetMode="External"/><Relationship Id="rId59" Type="http://schemas.openxmlformats.org/officeDocument/2006/relationships/hyperlink" Target="https://en.powys.gov.uk/article/7469/Council-Accounts" TargetMode="External"/><Relationship Id="rId103" Type="http://schemas.openxmlformats.org/officeDocument/2006/relationships/hyperlink" Target="https://www.slleisureandculture.co.uk/info/5/outdoor_and_active/957/birthday_parties" TargetMode="External"/><Relationship Id="rId108" Type="http://schemas.openxmlformats.org/officeDocument/2006/relationships/hyperlink" Target="https://www.thematicanalysis.net/understanding-ta/" TargetMode="External"/><Relationship Id="rId124" Type="http://schemas.openxmlformats.org/officeDocument/2006/relationships/hyperlink" Target="https://www.nationalminingmuseum.com/experience/venue-hire/" TargetMode="External"/><Relationship Id="rId129" Type="http://schemas.openxmlformats.org/officeDocument/2006/relationships/hyperlink" Target="https://www.bklynlibrary.org/support/corporate-sponsors" TargetMode="External"/><Relationship Id="rId54" Type="http://schemas.openxmlformats.org/officeDocument/2006/relationships/hyperlink" Target="https://www.lbhf.gov.uk/libraries/find-your-library/fulham-library/have-your-ceremony-fulham-library" TargetMode="External"/><Relationship Id="rId70" Type="http://schemas.openxmlformats.org/officeDocument/2006/relationships/hyperlink" Target="https://www.manchesterlibrarytrust.org/" TargetMode="External"/><Relationship Id="rId75" Type="http://schemas.openxmlformats.org/officeDocument/2006/relationships/hyperlink" Target="https://www.artscouncil.org.uk/sites/default/files/download-file/Capturing_outcomes_hub_museums_sustainability_final_report.pdf" TargetMode="External"/><Relationship Id="rId91" Type="http://schemas.openxmlformats.org/officeDocument/2006/relationships/hyperlink" Target="https://www.museums.norfolk.gov.uk/norwich-castle/venue-hire" TargetMode="External"/><Relationship Id="rId96" Type="http://schemas.openxmlformats.org/officeDocument/2006/relationships/hyperlink" Target="https://www.queenslibrary.org/support" TargetMode="External"/><Relationship Id="rId140" Type="http://schemas.openxmlformats.org/officeDocument/2006/relationships/hyperlink" Target="https://www.crowdfunder.co.uk/p/national-museums-liverpool-needs-your-help" TargetMode="External"/><Relationship Id="rId145"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artscouncil.org.uk/publication/arts-council-funded-cultural-infrastructure" TargetMode="External"/><Relationship Id="rId28" Type="http://schemas.openxmlformats.org/officeDocument/2006/relationships/hyperlink" Target="https://www.blackbaud.co.uk/industry-insights/resources/ebook-the-status-of-uk-fundraising-2021-benchmark-report" TargetMode="External"/><Relationship Id="rId49" Type="http://schemas.openxmlformats.org/officeDocument/2006/relationships/hyperlink" Target="https://research-methodology.net/sampling-in-primary-data-collection/purposive-sampling/" TargetMode="External"/><Relationship Id="rId114" Type="http://schemas.openxmlformats.org/officeDocument/2006/relationships/hyperlink" Target="https://www.hbs.edu/ris/Publication%20Files/WhitePaper_ac7c4ea5-a635-4338-8d1e-4aa736fbe263_b9a54c18-be5e-4cd8-b166-7442361fb64b.pdf" TargetMode="External"/><Relationship Id="rId119" Type="http://schemas.openxmlformats.org/officeDocument/2006/relationships/hyperlink" Target="https://www.citymuseum.org/tickets-memberships/" TargetMode="External"/><Relationship Id="rId44" Type="http://schemas.openxmlformats.org/officeDocument/2006/relationships/hyperlink" Target="https://assets.publishing.service.gov.uk/government/uploads/system/uploads/attachment_data/file/687519/TT_v4.pdf" TargetMode="External"/><Relationship Id="rId60" Type="http://schemas.openxmlformats.org/officeDocument/2006/relationships/hyperlink" Target="https://www.kpl.org/cits" TargetMode="External"/><Relationship Id="rId65" Type="http://schemas.openxmlformats.org/officeDocument/2006/relationships/hyperlink" Target="https://www.librariesunlimited.org.uk/support-us/legacy/" TargetMode="External"/><Relationship Id="rId81" Type="http://schemas.openxmlformats.org/officeDocument/2006/relationships/hyperlink" Target="https://www.museumsassociation.org/campaigns/advocacy/covid-19/crowdfunding/" TargetMode="External"/><Relationship Id="rId86" Type="http://schemas.openxmlformats.org/officeDocument/2006/relationships/hyperlink" Target="https://www.nationalminingmuseum.com/experience/venue-hire/" TargetMode="External"/><Relationship Id="rId130" Type="http://schemas.openxmlformats.org/officeDocument/2006/relationships/hyperlink" Target="https://www.nypl.org/support/corporate" TargetMode="External"/><Relationship Id="rId135" Type="http://schemas.openxmlformats.org/officeDocument/2006/relationships/hyperlink" Target="https://www.queenslibrary.org/support" TargetMode="External"/><Relationship Id="rId151" Type="http://schemas.openxmlformats.org/officeDocument/2006/relationships/theme" Target="theme/theme1.xml"/><Relationship Id="rId13" Type="http://schemas.openxmlformats.org/officeDocument/2006/relationships/image" Target="media/image5.jpeg"/><Relationship Id="rId18" Type="http://schemas.openxmlformats.org/officeDocument/2006/relationships/hyperlink" Target="https://museum.wales/donate/corporate/" TargetMode="External"/><Relationship Id="rId39" Type="http://schemas.openxmlformats.org/officeDocument/2006/relationships/hyperlink" Target="https://www.crowdfunder.co.uk/p/fashionandtextilesforever" TargetMode="External"/><Relationship Id="rId109" Type="http://schemas.openxmlformats.org/officeDocument/2006/relationships/hyperlink" Target="https://www.uwtsd.ac.uk/research/research-ethics/" TargetMode="External"/><Relationship Id="rId34" Type="http://schemas.openxmlformats.org/officeDocument/2006/relationships/hyperlink" Target="https://www.cafonline.org/docs/default-source/about-us-research/uk_giving_2022.pdf" TargetMode="External"/><Relationship Id="rId50" Type="http://schemas.openxmlformats.org/officeDocument/2006/relationships/hyperlink" Target="https://eiteljorg.org/quest-for-the-west/" TargetMode="External"/><Relationship Id="rId55" Type="http://schemas.openxmlformats.org/officeDocument/2006/relationships/hyperlink" Target="https://www.fundlibraries.org/" TargetMode="External"/><Relationship Id="rId76" Type="http://schemas.openxmlformats.org/officeDocument/2006/relationships/hyperlink" Target="https://hbr.org/2016/04/the-unique-value-of-crowdfunding-is-not-money-its-community" TargetMode="External"/><Relationship Id="rId97" Type="http://schemas.openxmlformats.org/officeDocument/2006/relationships/hyperlink" Target="https://readingagency.org.uk/children/quick-guides/summer-reading-challenge/" TargetMode="External"/><Relationship Id="rId104" Type="http://schemas.openxmlformats.org/officeDocument/2006/relationships/hyperlink" Target="https://www.artscouncil.org.uk/publication/research-understand-resilience-and-challenges-local-authority-museums" TargetMode="External"/><Relationship Id="rId120" Type="http://schemas.openxmlformats.org/officeDocument/2006/relationships/hyperlink" Target="https://www.nypl.org/support/membership" TargetMode="External"/><Relationship Id="rId125" Type="http://schemas.openxmlformats.org/officeDocument/2006/relationships/hyperlink" Target="https://www.madisonpubliclibrary.org/special-events/weddings" TargetMode="External"/><Relationship Id="rId141" Type="http://schemas.openxmlformats.org/officeDocument/2006/relationships/image" Target="media/image6.png"/><Relationship Id="rId146" Type="http://schemas.openxmlformats.org/officeDocument/2006/relationships/hyperlink" Target="http://www.uwtsd.ac.uk/academic-office/" TargetMode="External"/><Relationship Id="rId7" Type="http://schemas.openxmlformats.org/officeDocument/2006/relationships/endnotes" Target="endnotes.xml"/><Relationship Id="rId71" Type="http://schemas.openxmlformats.org/officeDocument/2006/relationships/hyperlink" Target="https://www.culturehive.co.uk/resources/why-donor-retention-should-be-top-of-your-list/" TargetMode="External"/><Relationship Id="rId92" Type="http://schemas.openxmlformats.org/officeDocument/2006/relationships/hyperlink" Target="https://www.orielmon.org/en-gb/about-us/support-us" TargetMode="External"/><Relationship Id="rId2" Type="http://schemas.openxmlformats.org/officeDocument/2006/relationships/numbering" Target="numbering.xml"/><Relationship Id="rId29" Type="http://schemas.openxmlformats.org/officeDocument/2006/relationships/hyperlink" Target="https://www.bafm.co.uk/members-links/" TargetMode="External"/><Relationship Id="rId24" Type="http://schemas.openxmlformats.org/officeDocument/2006/relationships/hyperlink" Target="https://www.sea.museum/whats-on/events/swashbuckling-birthday-parties" TargetMode="External"/><Relationship Id="rId40" Type="http://schemas.openxmlformats.org/officeDocument/2006/relationships/hyperlink" Target="https://www.crowdfunder.co.uk/p/national-museums-liverpool-needs-your-help" TargetMode="External"/><Relationship Id="rId45" Type="http://schemas.openxmlformats.org/officeDocument/2006/relationships/hyperlink" Target="https://dtawales.org.uk/" TargetMode="External"/><Relationship Id="rId66" Type="http://schemas.openxmlformats.org/officeDocument/2006/relationships/hyperlink" Target="https://librarycampaign.com/friends-groups/" TargetMode="External"/><Relationship Id="rId87" Type="http://schemas.openxmlformats.org/officeDocument/2006/relationships/hyperlink" Target="https://www.steinbeck.org/support/" TargetMode="External"/><Relationship Id="rId110" Type="http://schemas.openxmlformats.org/officeDocument/2006/relationships/hyperlink" Target="https://www.vam.ac.uk/info/va-cafe/" TargetMode="External"/><Relationship Id="rId115" Type="http://schemas.openxmlformats.org/officeDocument/2006/relationships/hyperlink" Target="https://www.customink.com/fundraising/whartonsummerreading" TargetMode="External"/><Relationship Id="rId131" Type="http://schemas.openxmlformats.org/officeDocument/2006/relationships/hyperlink" Target="https://www.manchesterlibrarytrust.org/" TargetMode="External"/><Relationship Id="rId136" Type="http://schemas.openxmlformats.org/officeDocument/2006/relationships/hyperlink" Target="https://www.goodbox.com/2021/10/the-best-social-media-fundraising-campaigns/" TargetMode="External"/><Relationship Id="rId61" Type="http://schemas.openxmlformats.org/officeDocument/2006/relationships/hyperlink" Target="https://www.academia.edu/33999877/Ranjit_Kumar_Research_Methodology_A_Step_by_Step_G?msclkid=9f7ce0cbbd8011ec8f63ea867933bd26" TargetMode="External"/><Relationship Id="rId82" Type="http://schemas.openxmlformats.org/officeDocument/2006/relationships/hyperlink" Target="https://www.museumsassociation.org/campaigns/advocacy/la-funding-report/" TargetMode="External"/><Relationship Id="rId19" Type="http://schemas.openxmlformats.org/officeDocument/2006/relationships/hyperlink" Target="https://www.artfund.org/supporting-museums/programmes/art-happens" TargetMode="External"/><Relationship Id="rId14" Type="http://schemas.openxmlformats.org/officeDocument/2006/relationships/hyperlink" Target="https://www.aim-museums.co.uk/wp-content/uploads/2017/03/Successful-Fundraising-at-Museums-2017.pdf" TargetMode="External"/><Relationship Id="rId30" Type="http://schemas.openxmlformats.org/officeDocument/2006/relationships/hyperlink" Target="https://www.brooklynkids.org/give/" TargetMode="External"/><Relationship Id="rId35" Type="http://schemas.openxmlformats.org/officeDocument/2006/relationships/hyperlink" Target="https://www.cafonline.org/docs/default-source/about-us-research/charity_landscape_report_2022.pdf" TargetMode="External"/><Relationship Id="rId56" Type="http://schemas.openxmlformats.org/officeDocument/2006/relationships/hyperlink" Target="https://www.gofundme.com/f/2021-summer-reading-program-tails-tales" TargetMode="External"/><Relationship Id="rId77" Type="http://schemas.openxmlformats.org/officeDocument/2006/relationships/hyperlink" Target="https://mountainsidelibrary.org/friends-of-the-library/about-friends-of-the-library" TargetMode="External"/><Relationship Id="rId100" Type="http://schemas.openxmlformats.org/officeDocument/2006/relationships/hyperlink" Target="https://news.artnet.com/opinion/art-merchandise-market-2080427" TargetMode="External"/><Relationship Id="rId105" Type="http://schemas.openxmlformats.org/officeDocument/2006/relationships/hyperlink" Target="https://venuerentals.tpl.ca/wedding-packages" TargetMode="External"/><Relationship Id="rId126" Type="http://schemas.openxmlformats.org/officeDocument/2006/relationships/hyperlink" Target="https://kpl.org/celebrations" TargetMode="External"/><Relationship Id="rId147"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hyperlink" Target="https://evergreenparklibrary.librarymarket.com/events/ready-summer-reading-fundraiser-basket" TargetMode="External"/><Relationship Id="rId72" Type="http://schemas.openxmlformats.org/officeDocument/2006/relationships/hyperlink" Target="https://www.localis.org.uk/wp-content/uploads/2021/06/Commercial-Edge-Full.pdf" TargetMode="External"/><Relationship Id="rId93" Type="http://schemas.openxmlformats.org/officeDocument/2006/relationships/hyperlink" Target="https://en.powys.gov.uk/privacy" TargetMode="External"/><Relationship Id="rId98" Type="http://schemas.openxmlformats.org/officeDocument/2006/relationships/hyperlink" Target="https://gov.wales/sites/default/files/publications/2019-07/independent-trust-and-community-libraries-in-wales.pdf" TargetMode="External"/><Relationship Id="rId121" Type="http://schemas.openxmlformats.org/officeDocument/2006/relationships/hyperlink" Target="http://www.mitsitamcafe.com/content/about.asp" TargetMode="External"/><Relationship Id="rId142" Type="http://schemas.openxmlformats.org/officeDocument/2006/relationships/hyperlink" Target="http://uwtsd.ac.uk/library/research-data-management/" TargetMode="External"/><Relationship Id="rId3" Type="http://schemas.openxmlformats.org/officeDocument/2006/relationships/styles" Target="styles.xml"/><Relationship Id="rId25" Type="http://schemas.openxmlformats.org/officeDocument/2006/relationships/hyperlink" Target="https://www.bmht.org/make-a-donation/" TargetMode="External"/><Relationship Id="rId46" Type="http://schemas.openxmlformats.org/officeDocument/2006/relationships/hyperlink" Target="https://dtawales.org.uk/about-us/what-is-a-development-trust/" TargetMode="External"/><Relationship Id="rId67" Type="http://schemas.openxmlformats.org/officeDocument/2006/relationships/hyperlink" Target="https://librarygivingday.org/" TargetMode="External"/><Relationship Id="rId116" Type="http://schemas.openxmlformats.org/officeDocument/2006/relationships/hyperlink" Target="https://www.artistorybrands.net/cases" TargetMode="External"/><Relationship Id="rId137" Type="http://schemas.openxmlformats.org/officeDocument/2006/relationships/hyperlink" Target="https://jingculturecrypto.com/louvre-joins-forces-with-alibaba-to-bring-great-works-of-art-to-chinese-consumers/" TargetMode="External"/><Relationship Id="rId20" Type="http://schemas.openxmlformats.org/officeDocument/2006/relationships/hyperlink" Target="https://www.artfund.org/donate/art-happens" TargetMode="External"/><Relationship Id="rId41" Type="http://schemas.openxmlformats.org/officeDocument/2006/relationships/hyperlink" Target="https://www.customink.com/fundraising/whartonsummerreading" TargetMode="External"/><Relationship Id="rId62" Type="http://schemas.openxmlformats.org/officeDocument/2006/relationships/hyperlink" Target="https://dx.doi.org/10.4135/9781412950589.n710" TargetMode="External"/><Relationship Id="rId83" Type="http://schemas.openxmlformats.org/officeDocument/2006/relationships/hyperlink" Target="https://www.museumsassociation.org/museums-journal/people/2020/03/05032020-food-in-museums-q-and-a/" TargetMode="External"/><Relationship Id="rId88" Type="http://schemas.openxmlformats.org/officeDocument/2006/relationships/hyperlink" Target="https://www.nypl.org/support/membership" TargetMode="External"/><Relationship Id="rId111" Type="http://schemas.openxmlformats.org/officeDocument/2006/relationships/hyperlink" Target="https://doi.org/10.1057/s41299-019-00093-x" TargetMode="External"/><Relationship Id="rId132" Type="http://schemas.openxmlformats.org/officeDocument/2006/relationships/hyperlink" Target="https://www.museums.norfolk.gov.uk/join-and-support/norfolk-museums-development-foundation" TargetMode="External"/><Relationship Id="rId15" Type="http://schemas.openxmlformats.org/officeDocument/2006/relationships/hyperlink" Target="http://en.alfilo.com/" TargetMode="External"/><Relationship Id="rId36" Type="http://schemas.openxmlformats.org/officeDocument/2006/relationships/hyperlink" Target="https://register-of-charities.charitycommission.gov.uk/charity-search/-/charity-details/5033549/financial-history" TargetMode="External"/><Relationship Id="rId57" Type="http://schemas.openxmlformats.org/officeDocument/2006/relationships/hyperlink" Target="https://www.goodbox.com/2021/10/the-best-social-media-fundraising-campaigns/" TargetMode="External"/><Relationship Id="rId106" Type="http://schemas.openxmlformats.org/officeDocument/2006/relationships/hyperlink" Target="https://tracyaviary.org/events/event/198-virtual-paint-along-with-tracy-aviary?fbclid=IwAR1sd-ngtgBLxQC9n5cSDVwHyDcRtJ61NQ7VRaW-8VEww7-9gztc-GL-Hvs" TargetMode="External"/><Relationship Id="rId127" Type="http://schemas.openxmlformats.org/officeDocument/2006/relationships/hyperlink" Target="https://www.sea.museum/whats-on/events/swashbuckling-birthday-parties" TargetMode="External"/><Relationship Id="rId10" Type="http://schemas.openxmlformats.org/officeDocument/2006/relationships/image" Target="media/image2.jpeg"/><Relationship Id="rId31" Type="http://schemas.openxmlformats.org/officeDocument/2006/relationships/hyperlink" Target="https://www.brooklynmuseum.org/support/corporate_support/corporate_sponsorship/" TargetMode="External"/><Relationship Id="rId52" Type="http://schemas.openxmlformats.org/officeDocument/2006/relationships/hyperlink" Target="https://www.everylibraryinstitute.org/launch_fundlibraries?_gl=1*1tqf68o*_ga*MTQ4MTA0ODcyMi4xNjU4MDgxODI2*_ga_VZK93MLXT3*MTY2NTE0NjcwMi4yLjEuMTY2NTE0Njc5OS4wLjAuMA" TargetMode="External"/><Relationship Id="rId73" Type="http://schemas.openxmlformats.org/officeDocument/2006/relationships/hyperlink" Target="https://mam.org/membership/" TargetMode="External"/><Relationship Id="rId78" Type="http://schemas.openxmlformats.org/officeDocument/2006/relationships/hyperlink" Target="https://www.museumnext.com/article/how-can-museums-make-money-online/" TargetMode="External"/><Relationship Id="rId94" Type="http://schemas.openxmlformats.org/officeDocument/2006/relationships/hyperlink" Target="https://www.publiclibrariesnews.com/practitioners/ideas-and-innovations-in-public-libraries" TargetMode="External"/><Relationship Id="rId99" Type="http://schemas.openxmlformats.org/officeDocument/2006/relationships/hyperlink" Target="https://www.theartnewspaper.com/2022/01/05/the-man-making-millions-for-western-museums" TargetMode="External"/><Relationship Id="rId101" Type="http://schemas.openxmlformats.org/officeDocument/2006/relationships/hyperlink" Target="https://www.smm.org/support/legacy-giving" TargetMode="External"/><Relationship Id="rId122" Type="http://schemas.openxmlformats.org/officeDocument/2006/relationships/hyperlink" Target="https://beloitlibrary.org/the-blender-cafe-is-open/" TargetMode="External"/><Relationship Id="rId143" Type="http://schemas.openxmlformats.org/officeDocument/2006/relationships/hyperlink" Target="http://www.uwtsd.ac.uk/media/uwtsd-website/content-assets/documents/research/Research-Integrity-and-Ethics---Code-of-Practice-(2015-18).pdf" TargetMode="External"/><Relationship Id="rId148"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acebook.com/pages/MBA-Alumni-at-UWTSD-formerly-Swansea-Metropolitan-University/277397355630914" TargetMode="External"/><Relationship Id="rId26" Type="http://schemas.openxmlformats.org/officeDocument/2006/relationships/hyperlink" Target="https://beloitlibrary.org/about-us/blender-cafe/" TargetMode="External"/><Relationship Id="rId47" Type="http://schemas.openxmlformats.org/officeDocument/2006/relationships/hyperlink" Target="https://www.dcl.org/birthday-parties/" TargetMode="External"/><Relationship Id="rId68" Type="http://schemas.openxmlformats.org/officeDocument/2006/relationships/hyperlink" Target="https://locality.org.uk/wp-content/uploads/2018/10/Income-Generation-for-Public-Libraries-Feb-2017.pdf" TargetMode="External"/><Relationship Id="rId89" Type="http://schemas.openxmlformats.org/officeDocument/2006/relationships/hyperlink" Target="https://www.nypl.org/spacerental/weddings/images" TargetMode="External"/><Relationship Id="rId112" Type="http://schemas.openxmlformats.org/officeDocument/2006/relationships/hyperlink" Target="http://partnerships.org.uk/pguide/create.htm" TargetMode="External"/><Relationship Id="rId133" Type="http://schemas.openxmlformats.org/officeDocument/2006/relationships/hyperlink" Target="https://alpinepubliclibrary.org/support/apls-artwalk-auction-fundraiser/" TargetMode="External"/><Relationship Id="rId16" Type="http://schemas.openxmlformats.org/officeDocument/2006/relationships/hyperlink" Target="https://www.aam-us.org/2020/07/22/how-museums-can-generate-revenue-through-digital-content-and-virtual-experiences/" TargetMode="External"/><Relationship Id="rId37" Type="http://schemas.openxmlformats.org/officeDocument/2006/relationships/hyperlink" Target="https://register-of-charities.charitycommission.gov.uk/charity-search/-/charity-details/5048155/financial-history" TargetMode="External"/><Relationship Id="rId58" Type="http://schemas.openxmlformats.org/officeDocument/2006/relationships/hyperlink" Target="https://www.goodbox.com/category/case-studies/" TargetMode="External"/><Relationship Id="rId79" Type="http://schemas.openxmlformats.org/officeDocument/2006/relationships/hyperlink" Target="https://www.museumnext.com/article/unravelling-the-potential-of-digital-fundraising-for-museums/" TargetMode="External"/><Relationship Id="rId102" Type="http://schemas.openxmlformats.org/officeDocument/2006/relationships/hyperlink" Target="https://www.sharemuseumseast.org.uk/wp-content/uploads/2018/07/Norfolk-Museums-Service.pdf" TargetMode="External"/><Relationship Id="rId123" Type="http://schemas.openxmlformats.org/officeDocument/2006/relationships/hyperlink" Target="https://www.lbhf.gov.uk/libraries/find-your-library/fulham-library/have-your-ceremony-fulham-library" TargetMode="External"/><Relationship Id="rId144" Type="http://schemas.openxmlformats.org/officeDocument/2006/relationships/image" Target="media/image7.jpeg"/><Relationship Id="rId90" Type="http://schemas.openxmlformats.org/officeDocument/2006/relationships/hyperlink" Target="https://www.museums.norfolk.gov.uk/join-and-support/norfolk-museums-development-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2A0784-C97E-4D21-B130-014612F5C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120</Pages>
  <Words>34438</Words>
  <Characters>196298</Characters>
  <Application>Microsoft Office Word</Application>
  <DocSecurity>0</DocSecurity>
  <Lines>1635</Lines>
  <Paragraphs>460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Nichola Farr</cp:lastModifiedBy>
  <cp:revision>322</cp:revision>
  <dcterms:created xsi:type="dcterms:W3CDTF">2022-12-17T13:04:00Z</dcterms:created>
  <dcterms:modified xsi:type="dcterms:W3CDTF">2023-01-02T14:31:00Z</dcterms:modified>
</cp:coreProperties>
</file>