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360"/>
        <w:jc w:val="center"/>
        <w:rPr>
          <w:rFonts w:ascii="Times New Roman" w:hAnsi="Times New Roman" w:cs="Times New Roman"/>
          <w:b/>
          <w:b/>
          <w:bCs/>
          <w:sz w:val="28"/>
          <w:szCs w:val="24"/>
        </w:rPr>
      </w:pPr>
      <w:r>
        <w:rPr>
          <w:rFonts w:cs="Times New Roman" w:ascii="Times New Roman" w:hAnsi="Times New Roman"/>
          <w:b/>
          <w:bCs/>
          <w:sz w:val="28"/>
          <w:szCs w:val="24"/>
        </w:rPr>
      </w:r>
    </w:p>
    <w:p>
      <w:pPr>
        <w:pStyle w:val="Normal"/>
        <w:spacing w:lineRule="auto" w:line="360"/>
        <w:jc w:val="center"/>
        <w:rPr>
          <w:rFonts w:ascii="Times New Roman" w:hAnsi="Times New Roman" w:cs="Times New Roman"/>
          <w:b/>
          <w:b/>
          <w:bCs/>
          <w:sz w:val="28"/>
          <w:szCs w:val="24"/>
        </w:rPr>
      </w:pPr>
      <w:r>
        <w:rPr>
          <w:rFonts w:cs="Times New Roman" w:ascii="Times New Roman" w:hAnsi="Times New Roman"/>
          <w:b/>
          <w:bCs/>
          <w:sz w:val="28"/>
          <w:szCs w:val="24"/>
        </w:rPr>
      </w:r>
    </w:p>
    <w:p>
      <w:pPr>
        <w:pStyle w:val="NoSpacing"/>
        <w:spacing w:lineRule="auto" w:line="360"/>
        <w:jc w:val="center"/>
        <w:rPr>
          <w:rFonts w:ascii="Arial" w:hAnsi="Arial"/>
          <w:sz w:val="24"/>
          <w:szCs w:val="24"/>
        </w:rPr>
      </w:pPr>
      <w:r>
        <w:rPr>
          <w:rFonts w:cs="Times New Roman" w:ascii="Arial" w:hAnsi="Arial"/>
          <w:sz w:val="24"/>
          <w:szCs w:val="24"/>
        </w:rPr>
        <w:t xml:space="preserve">Principles of Health and Social Care Practice </w:t>
      </w:r>
    </w:p>
    <w:p>
      <w:pPr>
        <w:pStyle w:val="NoSpacing"/>
        <w:spacing w:lineRule="auto" w:line="360"/>
        <w:jc w:val="center"/>
        <w:rPr>
          <w:rFonts w:ascii="Arial" w:hAnsi="Arial"/>
          <w:sz w:val="24"/>
          <w:szCs w:val="24"/>
        </w:rPr>
      </w:pPr>
      <w:r>
        <w:rPr>
          <w:rFonts w:cs="Times New Roman" w:ascii="Arial" w:hAnsi="Arial"/>
          <w:sz w:val="24"/>
          <w:szCs w:val="24"/>
        </w:rPr>
        <w:t>BMHP6009 – L</w:t>
      </w:r>
      <w:r>
        <w:rPr>
          <w:rFonts w:cs="Times New Roman" w:ascii="Arial" w:hAnsi="Arial"/>
          <w:sz w:val="24"/>
          <w:szCs w:val="24"/>
        </w:rPr>
        <w:t xml:space="preserve">iving </w:t>
      </w:r>
      <w:r>
        <w:rPr>
          <w:rFonts w:cs="Times New Roman" w:ascii="Arial" w:hAnsi="Arial"/>
          <w:sz w:val="24"/>
          <w:szCs w:val="24"/>
        </w:rPr>
        <w:t>W</w:t>
      </w:r>
      <w:r>
        <w:rPr>
          <w:rFonts w:cs="Times New Roman" w:ascii="Arial" w:hAnsi="Arial"/>
          <w:sz w:val="24"/>
          <w:szCs w:val="24"/>
        </w:rPr>
        <w:t>ith</w:t>
      </w:r>
      <w:r>
        <w:rPr>
          <w:rFonts w:cs="Times New Roman" w:ascii="Arial" w:hAnsi="Arial"/>
          <w:sz w:val="24"/>
          <w:szCs w:val="24"/>
        </w:rPr>
        <w:t xml:space="preserve"> C</w:t>
      </w:r>
      <w:r>
        <w:rPr>
          <w:rFonts w:cs="Times New Roman" w:ascii="Arial" w:hAnsi="Arial"/>
          <w:sz w:val="24"/>
          <w:szCs w:val="24"/>
        </w:rPr>
        <w:t>are:</w:t>
      </w:r>
      <w:r>
        <w:rPr>
          <w:rFonts w:cs="Times New Roman" w:ascii="Arial" w:hAnsi="Arial"/>
          <w:sz w:val="24"/>
          <w:szCs w:val="24"/>
        </w:rPr>
        <w:t xml:space="preserve"> T</w:t>
      </w:r>
      <w:r>
        <w:rPr>
          <w:rFonts w:cs="Times New Roman" w:ascii="Arial" w:hAnsi="Arial"/>
          <w:sz w:val="24"/>
          <w:szCs w:val="24"/>
        </w:rPr>
        <w:t xml:space="preserve">he </w:t>
      </w:r>
      <w:r>
        <w:rPr>
          <w:rFonts w:cs="Times New Roman" w:ascii="Arial" w:hAnsi="Arial"/>
          <w:sz w:val="24"/>
          <w:szCs w:val="24"/>
        </w:rPr>
        <w:t>O</w:t>
      </w:r>
      <w:r>
        <w:rPr>
          <w:rFonts w:cs="Times New Roman" w:ascii="Arial" w:hAnsi="Arial"/>
          <w:sz w:val="24"/>
          <w:szCs w:val="24"/>
        </w:rPr>
        <w:t>lder</w:t>
      </w:r>
      <w:r>
        <w:rPr>
          <w:rFonts w:cs="Times New Roman" w:ascii="Arial" w:hAnsi="Arial"/>
          <w:sz w:val="24"/>
          <w:szCs w:val="24"/>
        </w:rPr>
        <w:t xml:space="preserve"> </w:t>
      </w:r>
      <w:r>
        <w:rPr>
          <w:rFonts w:cs="Times New Roman" w:ascii="Arial" w:hAnsi="Arial"/>
          <w:sz w:val="24"/>
          <w:szCs w:val="24"/>
        </w:rPr>
        <w:t xml:space="preserve">Person </w:t>
      </w:r>
    </w:p>
    <w:p>
      <w:pPr>
        <w:pStyle w:val="NoSpacing"/>
        <w:spacing w:lineRule="auto" w:line="360"/>
        <w:jc w:val="center"/>
        <w:rPr>
          <w:rFonts w:ascii="Arial" w:hAnsi="Arial"/>
          <w:sz w:val="24"/>
          <w:szCs w:val="24"/>
        </w:rPr>
      </w:pPr>
      <w:r>
        <w:rPr>
          <w:rFonts w:cs="Times New Roman" w:ascii="Arial" w:hAnsi="Arial"/>
          <w:sz w:val="24"/>
          <w:szCs w:val="24"/>
        </w:rPr>
        <w:t xml:space="preserve">Topic 2: Does population ageing pose challenges for health and social care systems? </w:t>
      </w:r>
    </w:p>
    <w:p>
      <w:pPr>
        <w:pStyle w:val="NoSpacing"/>
        <w:spacing w:lineRule="auto" w:line="360"/>
        <w:jc w:val="center"/>
        <w:rPr>
          <w:rFonts w:ascii="Arial" w:hAnsi="Arial"/>
          <w:sz w:val="22"/>
          <w:szCs w:val="22"/>
        </w:rPr>
      </w:pPr>
      <w:r>
        <w:rPr>
          <w:rFonts w:cs="Times New Roman" w:ascii="Arial" w:hAnsi="Arial"/>
          <w:sz w:val="22"/>
          <w:szCs w:val="22"/>
        </w:rPr>
        <w:t>-Assessment 2</w:t>
      </w:r>
    </w:p>
    <w:p>
      <w:pPr>
        <w:pStyle w:val="NoSpacing"/>
        <w:spacing w:lineRule="auto" w:line="360"/>
        <w:jc w:val="center"/>
        <w:rPr>
          <w:rFonts w:ascii="Arial" w:hAnsi="Arial"/>
          <w:sz w:val="22"/>
          <w:szCs w:val="22"/>
        </w:rPr>
      </w:pPr>
      <w:r>
        <w:rPr>
          <w:rFonts w:cs="Times New Roman" w:ascii="Arial" w:hAnsi="Arial"/>
          <w:sz w:val="22"/>
          <w:szCs w:val="22"/>
        </w:rPr>
        <w:t>Debate supporting paper</w:t>
      </w:r>
    </w:p>
    <w:p>
      <w:pPr>
        <w:pStyle w:val="NoSpacing"/>
        <w:spacing w:lineRule="auto" w:line="360"/>
        <w:jc w:val="center"/>
        <w:rPr>
          <w:rFonts w:cs="Times New Roman"/>
        </w:rPr>
      </w:pPr>
      <w:r>
        <w:rPr>
          <w:rFonts w:ascii="Arial" w:hAnsi="Arial"/>
          <w:sz w:val="22"/>
          <w:szCs w:val="22"/>
        </w:rPr>
      </w:r>
    </w:p>
    <w:p>
      <w:pPr>
        <w:pStyle w:val="NoSpacing"/>
        <w:spacing w:lineRule="auto" w:line="360"/>
        <w:jc w:val="center"/>
        <w:rPr>
          <w:rFonts w:cs="Times New Roman"/>
        </w:rPr>
      </w:pPr>
      <w:r>
        <w:rPr>
          <w:rFonts w:ascii="Arial" w:hAnsi="Arial"/>
          <w:sz w:val="22"/>
          <w:szCs w:val="22"/>
        </w:rPr>
      </w:r>
    </w:p>
    <w:p>
      <w:pPr>
        <w:pStyle w:val="NoSpacing"/>
        <w:spacing w:lineRule="auto" w:line="360"/>
        <w:jc w:val="center"/>
        <w:rPr>
          <w:rFonts w:cs="Times New Roman"/>
        </w:rPr>
      </w:pPr>
      <w:r>
        <w:rPr>
          <w:rFonts w:ascii="Arial" w:hAnsi="Arial"/>
          <w:sz w:val="22"/>
          <w:szCs w:val="22"/>
        </w:rPr>
      </w:r>
    </w:p>
    <w:p>
      <w:pPr>
        <w:pStyle w:val="NoSpacing"/>
        <w:spacing w:lineRule="auto" w:line="360"/>
        <w:jc w:val="center"/>
        <w:rPr>
          <w:rFonts w:cs="Times New Roman"/>
        </w:rPr>
      </w:pPr>
      <w:r>
        <w:rPr>
          <w:rFonts w:ascii="Arial" w:hAnsi="Arial"/>
          <w:sz w:val="22"/>
          <w:szCs w:val="22"/>
        </w:rPr>
      </w:r>
    </w:p>
    <w:p>
      <w:pPr>
        <w:pStyle w:val="NoSpacing"/>
        <w:spacing w:lineRule="auto" w:line="360"/>
        <w:jc w:val="center"/>
        <w:rPr>
          <w:rFonts w:cs="Times New Roman"/>
        </w:rPr>
      </w:pPr>
      <w:r>
        <w:rPr>
          <w:rFonts w:ascii="Arial" w:hAnsi="Arial"/>
          <w:sz w:val="22"/>
          <w:szCs w:val="22"/>
        </w:rPr>
      </w:r>
    </w:p>
    <w:p>
      <w:pPr>
        <w:pStyle w:val="Normal"/>
        <w:spacing w:lineRule="auto" w:line="360" w:before="0" w:after="200"/>
        <w:rPr>
          <w:rFonts w:ascii="Arial" w:hAnsi="Arial" w:cs="Times New Roman"/>
          <w:b w:val="false"/>
          <w:b w:val="false"/>
          <w:bCs w:val="false"/>
          <w:sz w:val="22"/>
          <w:szCs w:val="22"/>
        </w:rPr>
      </w:pPr>
      <w:r>
        <w:rPr>
          <w:rFonts w:cs="Times New Roman" w:ascii="Arial" w:hAnsi="Arial"/>
          <w:b w:val="false"/>
          <w:bCs w:val="false"/>
          <w:sz w:val="22"/>
          <w:szCs w:val="22"/>
        </w:rPr>
        <w:t xml:space="preserve">Student name: Maria Dandu </w:t>
      </w:r>
    </w:p>
    <w:p>
      <w:pPr>
        <w:pStyle w:val="Normal"/>
        <w:spacing w:lineRule="auto" w:line="360" w:before="0" w:after="200"/>
        <w:rPr>
          <w:rFonts w:ascii="Arial" w:hAnsi="Arial" w:cs="Times New Roman"/>
          <w:b w:val="false"/>
          <w:b w:val="false"/>
          <w:bCs w:val="false"/>
          <w:sz w:val="22"/>
          <w:szCs w:val="22"/>
        </w:rPr>
      </w:pPr>
      <w:r>
        <w:rPr>
          <w:rFonts w:cs="Times New Roman" w:ascii="Arial" w:hAnsi="Arial"/>
          <w:b w:val="false"/>
          <w:bCs w:val="false"/>
          <w:sz w:val="22"/>
          <w:szCs w:val="22"/>
        </w:rPr>
        <w:t>Student ID: 1810151</w:t>
      </w:r>
    </w:p>
    <w:p>
      <w:pPr>
        <w:pStyle w:val="Normal"/>
        <w:spacing w:lineRule="auto" w:line="360" w:before="0" w:after="200"/>
        <w:rPr>
          <w:rFonts w:ascii="Arial" w:hAnsi="Arial" w:cs="Times New Roman"/>
          <w:b w:val="false"/>
          <w:b w:val="false"/>
          <w:bCs w:val="false"/>
          <w:sz w:val="22"/>
          <w:szCs w:val="22"/>
        </w:rPr>
      </w:pPr>
      <w:r>
        <w:rPr>
          <w:rFonts w:cs="Times New Roman" w:ascii="Arial" w:hAnsi="Arial"/>
          <w:b w:val="false"/>
          <w:bCs w:val="false"/>
          <w:sz w:val="22"/>
          <w:szCs w:val="22"/>
        </w:rPr>
        <w:t xml:space="preserve">Module name: </w:t>
      </w:r>
      <w:r>
        <w:rPr>
          <w:rFonts w:cs="Times New Roman" w:ascii="Arial" w:hAnsi="Arial"/>
          <w:b w:val="false"/>
          <w:bCs w:val="false"/>
          <w:sz w:val="24"/>
          <w:szCs w:val="24"/>
        </w:rPr>
        <w:t xml:space="preserve">Living With Care: The Older Person </w:t>
      </w:r>
    </w:p>
    <w:p>
      <w:pPr>
        <w:pStyle w:val="Normal"/>
        <w:spacing w:lineRule="auto" w:line="360" w:before="0" w:after="200"/>
        <w:rPr>
          <w:rFonts w:ascii="Arial" w:hAnsi="Arial" w:cs="Times New Roman"/>
          <w:b w:val="false"/>
          <w:b w:val="false"/>
          <w:bCs w:val="false"/>
          <w:sz w:val="22"/>
          <w:szCs w:val="22"/>
        </w:rPr>
      </w:pPr>
      <w:r>
        <w:rPr>
          <w:rFonts w:cs="Times New Roman" w:ascii="Arial" w:hAnsi="Arial"/>
          <w:b w:val="false"/>
          <w:bCs w:val="false"/>
          <w:sz w:val="24"/>
          <w:szCs w:val="24"/>
        </w:rPr>
        <w:t xml:space="preserve">Module code: BMHP6009 </w:t>
      </w:r>
    </w:p>
    <w:p>
      <w:pPr>
        <w:pStyle w:val="Normal"/>
        <w:spacing w:lineRule="auto" w:line="360" w:before="0" w:after="200"/>
        <w:rPr>
          <w:rFonts w:ascii="Arial" w:hAnsi="Arial" w:cs="Times New Roman"/>
          <w:b w:val="false"/>
          <w:b w:val="false"/>
          <w:bCs w:val="false"/>
          <w:sz w:val="22"/>
          <w:szCs w:val="22"/>
        </w:rPr>
      </w:pPr>
      <w:r>
        <w:rPr>
          <w:rFonts w:cs="Times New Roman" w:ascii="Arial" w:hAnsi="Arial"/>
          <w:b w:val="false"/>
          <w:bCs w:val="false"/>
          <w:sz w:val="22"/>
          <w:szCs w:val="22"/>
        </w:rPr>
        <w:t xml:space="preserve">Lecturer name: Edward Goka </w:t>
      </w:r>
    </w:p>
    <w:p>
      <w:pPr>
        <w:pStyle w:val="Normal"/>
        <w:spacing w:lineRule="auto" w:line="360" w:before="0" w:after="200"/>
        <w:rPr>
          <w:rFonts w:ascii="Arial" w:hAnsi="Arial" w:cs="Times New Roman"/>
          <w:b w:val="false"/>
          <w:b w:val="false"/>
          <w:bCs w:val="false"/>
          <w:sz w:val="22"/>
          <w:szCs w:val="22"/>
        </w:rPr>
      </w:pPr>
      <w:r>
        <w:rPr>
          <w:rFonts w:cs="Times New Roman" w:ascii="Arial" w:hAnsi="Arial"/>
          <w:b w:val="false"/>
          <w:bCs w:val="false"/>
          <w:sz w:val="22"/>
          <w:szCs w:val="22"/>
        </w:rPr>
      </w:r>
    </w:p>
    <w:p>
      <w:pPr>
        <w:pStyle w:val="Normal"/>
        <w:spacing w:lineRule="auto" w:line="360" w:before="0" w:after="200"/>
        <w:rPr>
          <w:rFonts w:ascii="Arial" w:hAnsi="Arial" w:cs="Times New Roman"/>
          <w:b w:val="false"/>
          <w:b w:val="false"/>
          <w:bCs w:val="false"/>
          <w:sz w:val="22"/>
          <w:szCs w:val="22"/>
        </w:rPr>
      </w:pPr>
      <w:r>
        <w:rPr>
          <w:rFonts w:cs="Times New Roman" w:ascii="Arial" w:hAnsi="Arial"/>
          <w:b w:val="false"/>
          <w:bCs w:val="false"/>
          <w:sz w:val="22"/>
          <w:szCs w:val="22"/>
        </w:rPr>
      </w:r>
    </w:p>
    <w:p>
      <w:pPr>
        <w:pStyle w:val="Normal"/>
        <w:spacing w:lineRule="auto" w:line="360" w:before="0" w:after="200"/>
        <w:rPr>
          <w:rFonts w:ascii="Times New Roman" w:hAnsi="Times New Roman" w:cs="Times New Roman"/>
          <w:b/>
          <w:b/>
          <w:bCs/>
          <w:sz w:val="28"/>
          <w:szCs w:val="24"/>
        </w:rPr>
      </w:pPr>
      <w:r>
        <w:rPr>
          <w:rFonts w:cs="Times New Roman" w:ascii="Times New Roman" w:hAnsi="Times New Roman"/>
          <w:b/>
          <w:bCs/>
          <w:sz w:val="28"/>
          <w:szCs w:val="24"/>
        </w:rPr>
      </w:r>
    </w:p>
    <w:sdt>
      <w:sdtPr>
        <w:docPartObj>
          <w:docPartGallery w:val="Table of Contents"/>
          <w:docPartUnique w:val="true"/>
        </w:docPartObj>
      </w:sdtPr>
      <w:sdtContent>
        <w:p>
          <w:pPr>
            <w:pStyle w:val="TOCHeading"/>
            <w:rPr>
              <w:rFonts w:ascii="Times New Roman" w:hAnsi="Times New Roman" w:cs="Times New Roman"/>
              <w:color w:val="auto"/>
              <w:szCs w:val="24"/>
            </w:rPr>
          </w:pPr>
          <w:r>
            <w:br w:type="page"/>
          </w:r>
          <w:r>
            <w:rPr>
              <w:rFonts w:cs="Times New Roman" w:ascii="Times New Roman" w:hAnsi="Times New Roman"/>
              <w:color w:val="auto"/>
              <w:szCs w:val="24"/>
            </w:rPr>
            <w:t>Table of Contents</w:t>
          </w:r>
          <w:bookmarkStart w:id="0" w:name="_GoBack"/>
          <w:bookmarkEnd w:id="0"/>
        </w:p>
        <w:p>
          <w:pPr>
            <w:pStyle w:val="Contents1"/>
            <w:tabs>
              <w:tab w:val="clear" w:pos="720"/>
              <w:tab w:val="right" w:pos="9350" w:leader="dot"/>
            </w:tabs>
            <w:spacing w:lineRule="auto" w:line="276"/>
            <w:rPr>
              <w:rFonts w:ascii="Times New Roman" w:hAnsi="Times New Roman" w:cs="Times New Roman"/>
              <w:sz w:val="24"/>
              <w:szCs w:val="24"/>
            </w:rPr>
          </w:pPr>
          <w:r>
            <w:fldChar w:fldCharType="begin"/>
          </w:r>
          <w:r>
            <w:rPr>
              <w:webHidden/>
              <w:rStyle w:val="IndexLink"/>
              <w:sz w:val="24"/>
              <w:szCs w:val="24"/>
              <w:rFonts w:cs="Times New Roman" w:ascii="Times New Roman" w:hAnsi="Times New Roman"/>
            </w:rPr>
            <w:instrText> TOC \z \o "1-3" \u \h</w:instrText>
          </w:r>
          <w:r>
            <w:rPr>
              <w:webHidden/>
              <w:rStyle w:val="IndexLink"/>
              <w:sz w:val="24"/>
              <w:szCs w:val="24"/>
              <w:rFonts w:cs="Times New Roman" w:ascii="Times New Roman" w:hAnsi="Times New Roman"/>
            </w:rPr>
            <w:fldChar w:fldCharType="separate"/>
          </w:r>
          <w:hyperlink w:anchor="_Toc89180946">
            <w:r>
              <w:rPr>
                <w:webHidden/>
                <w:rStyle w:val="IndexLink"/>
                <w:rFonts w:cs="Times New Roman" w:ascii="Times New Roman" w:hAnsi="Times New Roman"/>
                <w:sz w:val="24"/>
                <w:szCs w:val="24"/>
              </w:rPr>
              <w:t>Introduction</w:t>
            </w:r>
            <w:r>
              <w:rPr>
                <w:webHidden/>
              </w:rPr>
              <w:fldChar w:fldCharType="begin"/>
            </w:r>
            <w:r>
              <w:rPr>
                <w:webHidden/>
              </w:rPr>
              <w:instrText>PAGEREF _Toc89180946 \h</w:instrText>
            </w:r>
            <w:r>
              <w:rPr>
                <w:webHidden/>
              </w:rPr>
              <w:fldChar w:fldCharType="separate"/>
            </w:r>
            <w:r>
              <w:rPr>
                <w:rStyle w:val="IndexLink"/>
                <w:rFonts w:cs="Times New Roman" w:ascii="Times New Roman" w:hAnsi="Times New Roman"/>
                <w:vanish w:val="false"/>
                <w:sz w:val="24"/>
                <w:szCs w:val="24"/>
              </w:rPr>
              <w:tab/>
              <w:t>3</w:t>
            </w:r>
            <w:r>
              <w:rPr>
                <w:webHidden/>
              </w:rPr>
              <w:fldChar w:fldCharType="end"/>
            </w:r>
          </w:hyperlink>
        </w:p>
        <w:p>
          <w:pPr>
            <w:pStyle w:val="Contents1"/>
            <w:tabs>
              <w:tab w:val="clear" w:pos="720"/>
              <w:tab w:val="right" w:pos="9350" w:leader="dot"/>
            </w:tabs>
            <w:spacing w:lineRule="auto" w:line="276"/>
            <w:rPr>
              <w:rFonts w:ascii="Times New Roman" w:hAnsi="Times New Roman" w:cs="Times New Roman"/>
              <w:sz w:val="24"/>
              <w:szCs w:val="24"/>
            </w:rPr>
          </w:pPr>
          <w:hyperlink w:anchor="_Toc89180947">
            <w:r>
              <w:rPr>
                <w:webHidden/>
                <w:rStyle w:val="IndexLink"/>
                <w:rFonts w:cs="Times New Roman" w:ascii="Times New Roman" w:hAnsi="Times New Roman"/>
                <w:sz w:val="24"/>
                <w:szCs w:val="24"/>
                <w:lang w:val="en-US"/>
              </w:rPr>
              <w:t>Discussion</w:t>
            </w:r>
            <w:r>
              <w:rPr>
                <w:webHidden/>
              </w:rPr>
              <w:fldChar w:fldCharType="begin"/>
            </w:r>
            <w:r>
              <w:rPr>
                <w:webHidden/>
              </w:rPr>
              <w:instrText>PAGEREF _Toc89180947 \h</w:instrText>
            </w:r>
            <w:r>
              <w:rPr>
                <w:webHidden/>
              </w:rPr>
              <w:fldChar w:fldCharType="separate"/>
            </w:r>
            <w:r>
              <w:rPr>
                <w:rStyle w:val="IndexLink"/>
                <w:rFonts w:cs="Times New Roman" w:ascii="Times New Roman" w:hAnsi="Times New Roman"/>
                <w:vanish w:val="false"/>
                <w:sz w:val="24"/>
                <w:szCs w:val="24"/>
              </w:rPr>
              <w:tab/>
              <w:t>3</w:t>
            </w:r>
            <w:r>
              <w:rPr>
                <w:webHidden/>
              </w:rPr>
              <w:fldChar w:fldCharType="end"/>
            </w:r>
          </w:hyperlink>
        </w:p>
        <w:p>
          <w:pPr>
            <w:pStyle w:val="Contents1"/>
            <w:tabs>
              <w:tab w:val="clear" w:pos="720"/>
              <w:tab w:val="right" w:pos="9350" w:leader="dot"/>
            </w:tabs>
            <w:spacing w:lineRule="auto" w:line="276"/>
            <w:rPr>
              <w:rFonts w:ascii="Times New Roman" w:hAnsi="Times New Roman" w:cs="Times New Roman"/>
              <w:sz w:val="24"/>
              <w:szCs w:val="24"/>
            </w:rPr>
          </w:pPr>
          <w:hyperlink w:anchor="_Toc89180948">
            <w:r>
              <w:rPr>
                <w:webHidden/>
                <w:rStyle w:val="IndexLink"/>
                <w:rFonts w:cs="Times New Roman" w:ascii="Times New Roman" w:hAnsi="Times New Roman"/>
                <w:sz w:val="24"/>
                <w:szCs w:val="24"/>
                <w:lang w:val="en-US"/>
              </w:rPr>
              <w:t>Evaluation</w:t>
            </w:r>
            <w:r>
              <w:rPr>
                <w:webHidden/>
              </w:rPr>
              <w:fldChar w:fldCharType="begin"/>
            </w:r>
            <w:r>
              <w:rPr>
                <w:webHidden/>
              </w:rPr>
              <w:instrText>PAGEREF _Toc89180948 \h</w:instrText>
            </w:r>
            <w:r>
              <w:rPr>
                <w:webHidden/>
              </w:rPr>
              <w:fldChar w:fldCharType="separate"/>
            </w:r>
            <w:r>
              <w:rPr>
                <w:rStyle w:val="IndexLink"/>
                <w:rFonts w:cs="Times New Roman" w:ascii="Times New Roman" w:hAnsi="Times New Roman"/>
                <w:vanish w:val="false"/>
                <w:sz w:val="24"/>
                <w:szCs w:val="24"/>
              </w:rPr>
              <w:tab/>
              <w:t>4</w:t>
            </w:r>
            <w:r>
              <w:rPr>
                <w:webHidden/>
              </w:rPr>
              <w:fldChar w:fldCharType="end"/>
            </w:r>
          </w:hyperlink>
        </w:p>
        <w:p>
          <w:pPr>
            <w:pStyle w:val="Contents2"/>
            <w:tabs>
              <w:tab w:val="clear" w:pos="720"/>
              <w:tab w:val="right" w:pos="9350" w:leader="dot"/>
            </w:tabs>
            <w:spacing w:lineRule="auto" w:line="276"/>
            <w:rPr>
              <w:rFonts w:ascii="Times New Roman" w:hAnsi="Times New Roman" w:cs="Times New Roman"/>
              <w:sz w:val="24"/>
              <w:szCs w:val="24"/>
            </w:rPr>
          </w:pPr>
          <w:hyperlink w:anchor="_Toc89180949">
            <w:r>
              <w:rPr>
                <w:webHidden/>
                <w:rStyle w:val="IndexLink"/>
                <w:rFonts w:cs="Times New Roman" w:ascii="Times New Roman" w:hAnsi="Times New Roman"/>
                <w:sz w:val="24"/>
                <w:szCs w:val="24"/>
                <w:lang w:val="en-US"/>
              </w:rPr>
              <w:t>Support services to the elderly in the UK</w:t>
            </w:r>
            <w:r>
              <w:rPr>
                <w:webHidden/>
              </w:rPr>
              <w:fldChar w:fldCharType="begin"/>
            </w:r>
            <w:r>
              <w:rPr>
                <w:webHidden/>
              </w:rPr>
              <w:instrText>PAGEREF _Toc89180949 \h</w:instrText>
            </w:r>
            <w:r>
              <w:rPr>
                <w:webHidden/>
              </w:rPr>
              <w:fldChar w:fldCharType="separate"/>
            </w:r>
            <w:r>
              <w:rPr>
                <w:rStyle w:val="IndexLink"/>
                <w:rFonts w:cs="Times New Roman" w:ascii="Times New Roman" w:hAnsi="Times New Roman"/>
                <w:vanish w:val="false"/>
                <w:sz w:val="24"/>
                <w:szCs w:val="24"/>
              </w:rPr>
              <w:tab/>
              <w:t>4</w:t>
            </w:r>
            <w:r>
              <w:rPr>
                <w:webHidden/>
              </w:rPr>
              <w:fldChar w:fldCharType="end"/>
            </w:r>
          </w:hyperlink>
        </w:p>
        <w:p>
          <w:pPr>
            <w:pStyle w:val="Contents2"/>
            <w:tabs>
              <w:tab w:val="clear" w:pos="720"/>
              <w:tab w:val="right" w:pos="9350" w:leader="dot"/>
            </w:tabs>
            <w:spacing w:lineRule="auto" w:line="276"/>
            <w:rPr>
              <w:rFonts w:ascii="Times New Roman" w:hAnsi="Times New Roman" w:cs="Times New Roman"/>
              <w:sz w:val="24"/>
              <w:szCs w:val="24"/>
            </w:rPr>
          </w:pPr>
          <w:hyperlink w:anchor="_Toc89180950">
            <w:r>
              <w:rPr>
                <w:webHidden/>
                <w:rStyle w:val="IndexLink"/>
                <w:rFonts w:cs="Times New Roman" w:ascii="Times New Roman" w:hAnsi="Times New Roman"/>
                <w:sz w:val="24"/>
                <w:szCs w:val="24"/>
              </w:rPr>
              <w:t>Impact of Covid-19 on the elderly</w:t>
            </w:r>
            <w:r>
              <w:rPr>
                <w:webHidden/>
              </w:rPr>
              <w:fldChar w:fldCharType="begin"/>
            </w:r>
            <w:r>
              <w:rPr>
                <w:webHidden/>
              </w:rPr>
              <w:instrText>PAGEREF _Toc89180950 \h</w:instrText>
            </w:r>
            <w:r>
              <w:rPr>
                <w:webHidden/>
              </w:rPr>
              <w:fldChar w:fldCharType="separate"/>
            </w:r>
            <w:r>
              <w:rPr>
                <w:rStyle w:val="IndexLink"/>
                <w:rFonts w:cs="Times New Roman" w:ascii="Times New Roman" w:hAnsi="Times New Roman"/>
                <w:vanish w:val="false"/>
                <w:sz w:val="24"/>
                <w:szCs w:val="24"/>
              </w:rPr>
              <w:tab/>
              <w:t>4</w:t>
            </w:r>
            <w:r>
              <w:rPr>
                <w:webHidden/>
              </w:rPr>
              <w:fldChar w:fldCharType="end"/>
            </w:r>
          </w:hyperlink>
        </w:p>
        <w:p>
          <w:pPr>
            <w:pStyle w:val="Contents2"/>
            <w:tabs>
              <w:tab w:val="clear" w:pos="720"/>
              <w:tab w:val="right" w:pos="9350" w:leader="dot"/>
            </w:tabs>
            <w:spacing w:lineRule="auto" w:line="276"/>
            <w:rPr>
              <w:rFonts w:ascii="Times New Roman" w:hAnsi="Times New Roman" w:cs="Times New Roman"/>
              <w:sz w:val="24"/>
              <w:szCs w:val="24"/>
            </w:rPr>
          </w:pPr>
          <w:hyperlink w:anchor="_Toc89180951">
            <w:r>
              <w:rPr>
                <w:webHidden/>
                <w:rStyle w:val="IndexLink"/>
                <w:rFonts w:cs="Times New Roman" w:ascii="Times New Roman" w:hAnsi="Times New Roman"/>
                <w:sz w:val="24"/>
                <w:szCs w:val="24"/>
              </w:rPr>
              <w:t>Recommendations</w:t>
            </w:r>
            <w:r>
              <w:rPr>
                <w:webHidden/>
              </w:rPr>
              <w:fldChar w:fldCharType="begin"/>
            </w:r>
            <w:r>
              <w:rPr>
                <w:webHidden/>
              </w:rPr>
              <w:instrText>PAGEREF _Toc89180951 \h</w:instrText>
            </w:r>
            <w:r>
              <w:rPr>
                <w:webHidden/>
              </w:rPr>
              <w:fldChar w:fldCharType="separate"/>
            </w:r>
            <w:r>
              <w:rPr>
                <w:rStyle w:val="IndexLink"/>
                <w:rFonts w:cs="Times New Roman" w:ascii="Times New Roman" w:hAnsi="Times New Roman"/>
                <w:vanish w:val="false"/>
                <w:sz w:val="24"/>
                <w:szCs w:val="24"/>
              </w:rPr>
              <w:tab/>
              <w:t>5</w:t>
            </w:r>
            <w:r>
              <w:rPr>
                <w:webHidden/>
              </w:rPr>
              <w:fldChar w:fldCharType="end"/>
            </w:r>
          </w:hyperlink>
        </w:p>
        <w:p>
          <w:pPr>
            <w:pStyle w:val="Contents1"/>
            <w:tabs>
              <w:tab w:val="clear" w:pos="720"/>
              <w:tab w:val="right" w:pos="9350" w:leader="dot"/>
            </w:tabs>
            <w:spacing w:lineRule="auto" w:line="276"/>
            <w:rPr>
              <w:rFonts w:ascii="Times New Roman" w:hAnsi="Times New Roman" w:cs="Times New Roman"/>
              <w:sz w:val="24"/>
              <w:szCs w:val="24"/>
            </w:rPr>
          </w:pPr>
          <w:hyperlink w:anchor="_Toc89180952">
            <w:r>
              <w:rPr>
                <w:webHidden/>
                <w:rStyle w:val="IndexLink"/>
                <w:rFonts w:cs="Times New Roman" w:ascii="Times New Roman" w:hAnsi="Times New Roman"/>
                <w:sz w:val="24"/>
                <w:szCs w:val="24"/>
              </w:rPr>
              <w:t>Conclusion</w:t>
            </w:r>
            <w:r>
              <w:rPr>
                <w:webHidden/>
              </w:rPr>
              <w:fldChar w:fldCharType="begin"/>
            </w:r>
            <w:r>
              <w:rPr>
                <w:webHidden/>
              </w:rPr>
              <w:instrText>PAGEREF _Toc89180952 \h</w:instrText>
            </w:r>
            <w:r>
              <w:rPr>
                <w:webHidden/>
              </w:rPr>
              <w:fldChar w:fldCharType="separate"/>
            </w:r>
            <w:r>
              <w:rPr>
                <w:rStyle w:val="IndexLink"/>
                <w:rFonts w:cs="Times New Roman" w:ascii="Times New Roman" w:hAnsi="Times New Roman"/>
                <w:vanish w:val="false"/>
                <w:sz w:val="24"/>
                <w:szCs w:val="24"/>
              </w:rPr>
              <w:tab/>
              <w:t>5</w:t>
            </w:r>
            <w:r>
              <w:rPr>
                <w:webHidden/>
              </w:rPr>
              <w:fldChar w:fldCharType="end"/>
            </w:r>
          </w:hyperlink>
        </w:p>
        <w:p>
          <w:pPr>
            <w:pStyle w:val="Normal"/>
            <w:tabs>
              <w:tab w:val="clear" w:pos="720"/>
              <w:tab w:val="right" w:pos="9350" w:leader="dot"/>
            </w:tabs>
            <w:spacing w:lineRule="auto" w:line="276"/>
            <w:rPr>
              <w:rFonts w:ascii="Times New Roman" w:hAnsi="Times New Roman" w:cs="Times New Roman"/>
              <w:sz w:val="24"/>
              <w:szCs w:val="24"/>
            </w:rPr>
          </w:pPr>
          <w:r>
            <w:rPr>
              <w:rFonts w:cs="Times New Roman" w:ascii="Times New Roman" w:hAnsi="Times New Roman"/>
              <w:vanish w:val="false"/>
              <w:sz w:val="24"/>
              <w:szCs w:val="24"/>
            </w:rPr>
            <w:t>Appendix…………………………………………………………………………………………..6</w:t>
          </w:r>
        </w:p>
        <w:p>
          <w:pPr>
            <w:pStyle w:val="Contents1"/>
            <w:tabs>
              <w:tab w:val="clear" w:pos="720"/>
              <w:tab w:val="right" w:pos="9350" w:leader="dot"/>
            </w:tabs>
            <w:spacing w:lineRule="auto" w:line="276"/>
            <w:rPr>
              <w:rFonts w:ascii="Times New Roman" w:hAnsi="Times New Roman" w:cs="Times New Roman"/>
              <w:sz w:val="24"/>
              <w:szCs w:val="24"/>
            </w:rPr>
          </w:pPr>
          <w:hyperlink w:anchor="_Toc89180953">
            <w:r>
              <w:rPr>
                <w:webHidden/>
              </w:rPr>
              <w:fldChar w:fldCharType="begin"/>
            </w:r>
            <w:r>
              <w:rPr>
                <w:webHidden/>
              </w:rPr>
              <w:instrText>PAGEREF _Toc89180953 \h</w:instrText>
            </w:r>
            <w:r>
              <w:rPr>
                <w:webHidden/>
              </w:rPr>
              <w:fldChar w:fldCharType="separate"/>
            </w:r>
            <w:r>
              <w:rPr>
                <w:webHidden/>
                <w:rStyle w:val="IndexLink"/>
                <w:rFonts w:cs="Times New Roman" w:ascii="Times New Roman" w:hAnsi="Times New Roman"/>
                <w:vanish w:val="false"/>
                <w:sz w:val="24"/>
                <w:szCs w:val="24"/>
              </w:rPr>
              <w:t>References</w:t>
              <w:tab/>
            </w:r>
            <w:r>
              <w:rPr>
                <w:webHidden/>
              </w:rPr>
              <w:fldChar w:fldCharType="end"/>
            </w:r>
          </w:hyperlink>
        </w:p>
        <w:p>
          <w:pPr>
            <w:pStyle w:val="Normal"/>
            <w:spacing w:lineRule="auto" w:line="276"/>
            <w:rPr/>
          </w:pPr>
          <w:r>
            <w:rPr/>
          </w:r>
          <w:r>
            <w:rPr/>
            <w:fldChar w:fldCharType="end"/>
          </w:r>
        </w:p>
      </w:sdtContent>
    </w:sdt>
    <w:p>
      <w:pPr>
        <w:pStyle w:val="Normal"/>
        <w:spacing w:lineRule="auto" w:line="276" w:before="0" w:after="200"/>
        <w:rPr>
          <w:rFonts w:ascii="Times New Roman" w:hAnsi="Times New Roman" w:eastAsia="" w:cs="" w:cstheme="majorBidi" w:eastAsiaTheme="majorEastAsia"/>
          <w:b/>
          <w:b/>
          <w:bCs/>
          <w:sz w:val="28"/>
          <w:szCs w:val="28"/>
        </w:rPr>
      </w:pPr>
      <w:r>
        <w:rPr>
          <w:rFonts w:eastAsia="" w:cs="" w:cstheme="majorBidi" w:eastAsiaTheme="majorEastAsia" w:ascii="Times New Roman" w:hAnsi="Times New Roman"/>
          <w:b/>
          <w:bCs/>
          <w:sz w:val="28"/>
          <w:szCs w:val="28"/>
        </w:rPr>
      </w:r>
      <w:r>
        <w:br w:type="page"/>
      </w:r>
    </w:p>
    <w:p>
      <w:pPr>
        <w:pStyle w:val="Heading1"/>
        <w:rPr/>
      </w:pPr>
      <w:bookmarkStart w:id="1" w:name="_Toc89180946"/>
      <w:r>
        <w:rPr/>
        <w:t>Introduction</w:t>
      </w:r>
      <w:bookmarkEnd w:id="1"/>
      <w:r>
        <w:rPr/>
        <w:t xml:space="preserve"> </w:t>
      </w:r>
    </w:p>
    <w:p>
      <w:pPr>
        <w:pStyle w:val="Normal"/>
        <w:spacing w:lineRule="auto" w:line="360"/>
        <w:jc w:val="both"/>
        <w:rPr>
          <w:rFonts w:ascii="Times New Roman" w:hAnsi="Times New Roman" w:cs="Times New Roman"/>
          <w:sz w:val="24"/>
          <w:lang w:val="en-US"/>
        </w:rPr>
      </w:pPr>
      <w:r>
        <w:rPr>
          <w:rFonts w:cs="Times New Roman" w:ascii="Times New Roman" w:hAnsi="Times New Roman"/>
          <w:sz w:val="24"/>
          <w:lang w:val="en-US"/>
        </w:rPr>
        <w:t xml:space="preserve">Increased demand for healthcare needs by the aging population can be seen as a challenge; however, it is not necessarily a challenge. </w:t>
      </w:r>
      <w:r>
        <w:rPr>
          <w:rFonts w:cs="Times New Roman" w:ascii="Times New Roman" w:hAnsi="Times New Roman"/>
          <w:sz w:val="24"/>
        </w:rPr>
        <w:t xml:space="preserve">It is a commonplace that the elderly have numerous healthcare demands since the natural ageing process comes with various age related issues, considering that the UK population is ageing so fast, one would most likely assume that they pose challenges to the healthcare system, but is that is not necessarily correct. Although </w:t>
      </w:r>
      <w:r>
        <w:rPr>
          <w:rFonts w:cs="Times New Roman" w:ascii="Times New Roman" w:hAnsi="Times New Roman"/>
          <w:sz w:val="24"/>
          <w:lang w:val="en-US"/>
        </w:rPr>
        <w:t>ageing being a biological process it has been established to result in physical and mental health decline which predisposes a person to various diseases and ultimately death (World Health Organization, 2021). The elderly are far from being a burden to the health and social care systems mainly because various literature's have supported established that they elderly remain active even at an advanced stage. This paper details why the ageing population is not going to bring challenges to the healthcare system because they are active taxpayers, physically active, contribute to care giving, are skilled and majority of the volunteers.</w:t>
      </w:r>
    </w:p>
    <w:p>
      <w:pPr>
        <w:pStyle w:val="Heading1"/>
        <w:rPr>
          <w:lang w:val="en-US"/>
        </w:rPr>
      </w:pPr>
      <w:bookmarkStart w:id="2" w:name="_Toc89180947"/>
      <w:r>
        <w:rPr>
          <w:lang w:val="en-US"/>
        </w:rPr>
        <w:t>Discussion</w:t>
      </w:r>
      <w:bookmarkEnd w:id="2"/>
    </w:p>
    <w:p>
      <w:pPr>
        <w:pStyle w:val="Normal"/>
        <w:spacing w:lineRule="auto" w:line="360"/>
        <w:jc w:val="both"/>
        <w:rPr>
          <w:rFonts w:ascii="Times New Roman" w:hAnsi="Times New Roman" w:cs="Times New Roman"/>
          <w:sz w:val="24"/>
          <w:lang w:val="en-US"/>
        </w:rPr>
      </w:pPr>
      <w:r>
        <w:rPr>
          <w:rFonts w:cs="Times New Roman" w:ascii="Times New Roman" w:hAnsi="Times New Roman"/>
          <w:sz w:val="24"/>
          <w:lang w:val="en-US"/>
        </w:rPr>
        <w:t xml:space="preserve">Considering that the number of the elderly person who are in employment who have increased in past 20 years it is almost fact of the matter that the elderly are actively contributing to government revenues through taxes. Statistics from the </w:t>
      </w:r>
      <w:r>
        <w:rPr>
          <w:rFonts w:cs="Times New Roman" w:ascii="Times New Roman" w:hAnsi="Times New Roman"/>
          <w:sz w:val="24"/>
        </w:rPr>
        <w:t>Office of National Statistics (2018) shows that employment ratios for those aged 65 years have risen twice as much between the year 1993 and 2018. Furthermore, in light that the aged population are still working in large volumes then they are still able to pay for their own essentials and thus not a burden to the healthcare system as they can still gather for their own welfare.</w:t>
      </w:r>
    </w:p>
    <w:p>
      <w:pPr>
        <w:pStyle w:val="Normal"/>
        <w:spacing w:lineRule="auto" w:line="360"/>
        <w:jc w:val="both"/>
        <w:rPr>
          <w:rFonts w:ascii="Times New Roman" w:hAnsi="Times New Roman" w:cs="Times New Roman"/>
          <w:sz w:val="24"/>
          <w:lang w:val="en-US"/>
        </w:rPr>
      </w:pPr>
      <w:r>
        <w:rPr>
          <w:rFonts w:cs="Times New Roman" w:ascii="Times New Roman" w:hAnsi="Times New Roman"/>
          <w:sz w:val="24"/>
          <w:lang w:val="en-US"/>
        </w:rPr>
        <w:t xml:space="preserve">Quite proportion of the elderly is still in employment; this is good for their health. The NHS (2021) has established that remaining active for long is a protective factor for condition such as dementia delirium and depression which are always caused by loneliness or being cut from work, family and friends. With all these benefits the elderly are likely to remain in good health for quite a length of time even when they are aged and thus do not have much health and social care needs which would have become a burden. </w:t>
      </w:r>
    </w:p>
    <w:p>
      <w:pPr>
        <w:pStyle w:val="Normal"/>
        <w:spacing w:lineRule="auto" w:line="360"/>
        <w:jc w:val="both"/>
        <w:rPr>
          <w:rFonts w:ascii="Times New Roman" w:hAnsi="Times New Roman" w:cs="Times New Roman"/>
          <w:sz w:val="24"/>
        </w:rPr>
      </w:pPr>
      <w:r>
        <w:rPr>
          <w:rFonts w:cs="Times New Roman" w:ascii="Times New Roman" w:hAnsi="Times New Roman"/>
          <w:sz w:val="24"/>
        </w:rPr>
        <w:t>From the point of view that the elderly are actively engaging themselves in care giving, they are reducing the healthcare demands for the health and social care services in various ways. First is that they remove burden on social services because data shows that over 5 million grandparents in the UK are actively committed to care giving for their grandchildren and thus allowing, their children who work to actively go to work and contribute to economy (Age UK, 2017).</w:t>
      </w:r>
    </w:p>
    <w:p>
      <w:pPr>
        <w:pStyle w:val="Normal"/>
        <w:spacing w:lineRule="auto" w:line="360" w:before="0" w:after="200"/>
        <w:jc w:val="both"/>
        <w:rPr>
          <w:rFonts w:ascii="Times New Roman" w:hAnsi="Times New Roman" w:cs="Times New Roman"/>
          <w:sz w:val="24"/>
        </w:rPr>
      </w:pPr>
      <w:r>
        <w:rPr>
          <w:rFonts w:cs="Times New Roman" w:ascii="Times New Roman" w:hAnsi="Times New Roman"/>
          <w:sz w:val="24"/>
        </w:rPr>
        <w:t xml:space="preserve">Data from the </w:t>
      </w:r>
      <w:r>
        <w:rPr>
          <w:rFonts w:cs="Times New Roman" w:ascii="Times New Roman" w:hAnsi="Times New Roman"/>
          <w:sz w:val="24"/>
          <w:lang w:val="en-US"/>
        </w:rPr>
        <w:t xml:space="preserve">Office for National Statistics shows that the highest proportion of the volunteers in the country are form the elderly; aged 65 years and above. A research conducted by WRVS Voluntary Charity arrived at a finding that the voluntary work from people aged 65 years and above, contributes over £40 billion to the UK economy which is by far more that what these elderly draw from the government as pension and also in meeting their healthcare needs </w:t>
      </w:r>
      <w:r>
        <w:rPr>
          <w:rFonts w:cs="Times New Roman" w:ascii="Times New Roman" w:hAnsi="Times New Roman"/>
          <w:sz w:val="24"/>
        </w:rPr>
        <w:t>(the Guardian, 2011)</w:t>
      </w:r>
      <w:r>
        <w:rPr>
          <w:rFonts w:cs="Times New Roman" w:ascii="Times New Roman" w:hAnsi="Times New Roman"/>
          <w:sz w:val="24"/>
          <w:lang w:val="en-US"/>
        </w:rPr>
        <w:t>.</w:t>
      </w:r>
      <w:r>
        <w:rPr>
          <w:rFonts w:cs="Times New Roman" w:ascii="Times New Roman" w:hAnsi="Times New Roman"/>
          <w:sz w:val="24"/>
        </w:rPr>
        <w:t xml:space="preserve"> Therefore, the elderly are assets to the economy in that they contribute more than they demand.</w:t>
      </w:r>
    </w:p>
    <w:p>
      <w:pPr>
        <w:pStyle w:val="Normal"/>
        <w:spacing w:lineRule="auto" w:line="360" w:before="0" w:after="200"/>
        <w:jc w:val="both"/>
        <w:rPr>
          <w:rFonts w:ascii="Times New Roman" w:hAnsi="Times New Roman" w:cs="Times New Roman"/>
          <w:sz w:val="24"/>
        </w:rPr>
      </w:pPr>
      <w:r>
        <w:rPr>
          <w:rFonts w:cs="Times New Roman" w:ascii="Times New Roman" w:hAnsi="Times New Roman"/>
          <w:sz w:val="24"/>
        </w:rPr>
        <w:t xml:space="preserve">The elderly are also not a burden because of their skilfully nature of them, which is essentially passed to the younger generation through their interactions. These skills include problem solving, critical thinking, social life, and in developing a sense of purpose. In this manner the elderly are positively contributing to the healthcare system as they are positively influencing the well-being of other younger people who are also service users – which through the shaping of the elderly their demands on healthcare system reduces. </w:t>
      </w:r>
    </w:p>
    <w:p>
      <w:pPr>
        <w:pStyle w:val="Heading1"/>
        <w:rPr>
          <w:lang w:val="en-US"/>
        </w:rPr>
      </w:pPr>
      <w:bookmarkStart w:id="3" w:name="_Toc89180948"/>
      <w:r>
        <w:rPr>
          <w:lang w:val="en-US"/>
        </w:rPr>
        <w:t>Evaluation</w:t>
      </w:r>
      <w:bookmarkEnd w:id="3"/>
    </w:p>
    <w:p>
      <w:pPr>
        <w:pStyle w:val="Heading2"/>
        <w:rPr>
          <w:lang w:val="en-US"/>
        </w:rPr>
      </w:pPr>
      <w:bookmarkStart w:id="4" w:name="_Toc89180949"/>
      <w:r>
        <w:rPr>
          <w:lang w:val="en-US"/>
        </w:rPr>
        <w:t>Support services to the elderly in the UK</w:t>
      </w:r>
      <w:bookmarkEnd w:id="4"/>
    </w:p>
    <w:p>
      <w:pPr>
        <w:pStyle w:val="Normal"/>
        <w:spacing w:lineRule="auto" w:line="360"/>
        <w:jc w:val="both"/>
        <w:rPr>
          <w:rFonts w:ascii="Times New Roman" w:hAnsi="Times New Roman" w:cs="Times New Roman"/>
          <w:sz w:val="24"/>
        </w:rPr>
      </w:pPr>
      <w:r>
        <w:rPr>
          <w:rFonts w:cs="Times New Roman" w:ascii="Times New Roman" w:hAnsi="Times New Roman"/>
          <w:sz w:val="24"/>
        </w:rPr>
        <w:t xml:space="preserve">Currently in the UK various support services are available to the elderly they include pension services, free health and subsidised social care services through the NHS (Government Digital Service, 2012; NHS Choices, 2019). </w:t>
      </w:r>
      <w:r>
        <w:rPr>
          <w:rFonts w:cs="Times New Roman" w:ascii="Times New Roman" w:hAnsi="Times New Roman"/>
          <w:sz w:val="24"/>
          <w:lang w:val="en-US"/>
        </w:rPr>
        <w:t xml:space="preserve">The government through the NHS and social services are able to sufficiently meet the health and social care demands for the elderly considering that government is fiscally strong, due to huge number of taxpayers. </w:t>
      </w:r>
      <w:r>
        <w:rPr>
          <w:rFonts w:cs="Times New Roman" w:ascii="Times New Roman" w:hAnsi="Times New Roman"/>
          <w:sz w:val="24"/>
        </w:rPr>
        <w:t xml:space="preserve">Relative to the discussed points the elderly are not necessary receiving free services of pension as they are active taxpayers and even work to later life (NHS Choices, 2019). </w:t>
      </w:r>
    </w:p>
    <w:p>
      <w:pPr>
        <w:pStyle w:val="Heading2"/>
        <w:rPr/>
      </w:pPr>
      <w:bookmarkStart w:id="5" w:name="_Toc89180950"/>
      <w:r>
        <w:rPr/>
        <w:t>Impact of Covid-19 on the elderly</w:t>
      </w:r>
      <w:bookmarkEnd w:id="5"/>
    </w:p>
    <w:p>
      <w:pPr>
        <w:pStyle w:val="Normal"/>
        <w:spacing w:lineRule="auto" w:line="360"/>
        <w:jc w:val="both"/>
        <w:rPr>
          <w:rFonts w:ascii="Times New Roman" w:hAnsi="Times New Roman" w:cs="Times New Roman"/>
          <w:sz w:val="24"/>
        </w:rPr>
      </w:pPr>
      <w:r>
        <w:rPr>
          <w:rFonts w:cs="Times New Roman" w:ascii="Times New Roman" w:hAnsi="Times New Roman"/>
          <w:sz w:val="24"/>
        </w:rPr>
        <w:t>Various studies have established that the elderly were impacted by the Covid-19 in various ways that include mentally, socially and economically. Relative to economy the elderly having been seen as the most vulnerable to the disease caused by the pandemic, most of the elderly lost their jobs as stay home orders were being implemented; in this regard the elderly contribution to the national coffers reduced during the pandemic. The pandemic also mentally affected the elderly in that it instilled fear in most of them and even to some it robbed their loved ones, thus it caused them mental conditions such as anxiety, panic disorders and depression. Socially due to social distancing and lockdown regulations the elderly were dipped into loneliness as they were more vulnerable; their participation in the care giving for their grand</w:t>
      </w:r>
      <w:r>
        <w:rPr>
          <w:rFonts w:cs="Times New Roman" w:ascii="Times New Roman" w:hAnsi="Times New Roman"/>
          <w:sz w:val="24"/>
        </w:rPr>
        <w:t>childrens</w:t>
      </w:r>
      <w:r>
        <w:rPr>
          <w:rFonts w:cs="Times New Roman" w:ascii="Times New Roman" w:hAnsi="Times New Roman"/>
          <w:sz w:val="24"/>
        </w:rPr>
        <w:t xml:space="preserve"> and even to charities through volunteering reduced.</w:t>
      </w:r>
    </w:p>
    <w:p>
      <w:pPr>
        <w:pStyle w:val="Heading2"/>
        <w:rPr/>
      </w:pPr>
      <w:bookmarkStart w:id="6" w:name="_Toc89180951"/>
      <w:r>
        <w:rPr/>
        <w:t>Recommendations</w:t>
      </w:r>
      <w:bookmarkEnd w:id="6"/>
    </w:p>
    <w:p>
      <w:pPr>
        <w:pStyle w:val="Normal"/>
        <w:spacing w:lineRule="auto" w:line="360"/>
        <w:rPr>
          <w:rFonts w:ascii="Times New Roman" w:hAnsi="Times New Roman" w:cs="Times New Roman"/>
          <w:sz w:val="24"/>
        </w:rPr>
      </w:pPr>
      <w:r>
        <w:rPr>
          <w:rFonts w:cs="Times New Roman" w:ascii="Times New Roman" w:hAnsi="Times New Roman"/>
          <w:sz w:val="24"/>
        </w:rPr>
        <w:t>From the discussion the following recommendations are put forward:</w:t>
      </w:r>
    </w:p>
    <w:p>
      <w:pPr>
        <w:pStyle w:val="ListParagraph"/>
        <w:numPr>
          <w:ilvl w:val="0"/>
          <w:numId w:val="1"/>
        </w:numPr>
        <w:spacing w:lineRule="auto" w:line="360"/>
        <w:jc w:val="both"/>
        <w:rPr/>
      </w:pPr>
      <w:r>
        <w:rPr/>
        <w:t>That the elder not to be viewed as a burden to the health and social care system by anybody as they are also part of the key stakeholders and even contribute to the systems directly.</w:t>
      </w:r>
    </w:p>
    <w:p>
      <w:pPr>
        <w:pStyle w:val="ListParagraph"/>
        <w:numPr>
          <w:ilvl w:val="0"/>
          <w:numId w:val="1"/>
        </w:numPr>
        <w:spacing w:lineRule="auto" w:line="360"/>
        <w:jc w:val="both"/>
        <w:rPr/>
      </w:pPr>
      <w:r>
        <w:rPr/>
        <w:t xml:space="preserve">That the elderly be provided with all the health and social care support services that are either free or largely subsidized as they contributed to the economy while they were active, this is shown by the fact that some were continually is service were it not for the Covid-19 pandemic. </w:t>
      </w:r>
    </w:p>
    <w:p>
      <w:pPr>
        <w:pStyle w:val="Heading1"/>
        <w:rPr/>
      </w:pPr>
      <w:bookmarkStart w:id="7" w:name="_Toc89180952"/>
      <w:r>
        <w:rPr/>
        <w:t>Conclusion</w:t>
      </w:r>
      <w:bookmarkEnd w:id="7"/>
    </w:p>
    <w:p>
      <w:pPr>
        <w:pStyle w:val="Normal"/>
        <w:spacing w:lineRule="auto" w:line="360"/>
        <w:jc w:val="both"/>
        <w:rPr>
          <w:rFonts w:ascii="Times New Roman" w:hAnsi="Times New Roman" w:cs="Times New Roman"/>
          <w:sz w:val="24"/>
        </w:rPr>
      </w:pPr>
      <w:r>
        <w:rPr>
          <w:rFonts w:cs="Times New Roman" w:ascii="Times New Roman" w:hAnsi="Times New Roman"/>
          <w:sz w:val="24"/>
        </w:rPr>
        <w:t>In summary, the ageing population of the UK does not pose a burden to the health system. This is because some are still actively contributing financially to the system and furthermore, at their communities they are contributing socially and as volunteers. Given that these elder people have been active in the society in the past they have been active contributions and thus their efforts must not be forgotten so fast. It is good that in the UK there are support services that are available for the elderly; however, it is unfortunate that they were negatively affected by the Covid-19 pandemic. Recommendations have been proposed on how the elderly should be supported going forward.</w:t>
      </w:r>
    </w:p>
    <w:p>
      <w:pPr>
        <w:pStyle w:val="Normal"/>
        <w:spacing w:lineRule="auto" w:line="360" w:before="0" w:after="200"/>
        <w:rPr>
          <w:rFonts w:ascii="Times New Roman" w:hAnsi="Times New Roman" w:cs="Times New Roman"/>
          <w:sz w:val="24"/>
        </w:rPr>
      </w:pPr>
      <w:r>
        <w:rPr>
          <w:rFonts w:cs="Times New Roman" w:ascii="Times New Roman" w:hAnsi="Times New Roman"/>
          <w:sz w:val="24"/>
        </w:rPr>
      </w:r>
      <w:r>
        <w:br w:type="page"/>
      </w:r>
    </w:p>
    <w:p>
      <w:pPr>
        <w:pStyle w:val="Heading1"/>
        <w:rPr/>
      </w:pPr>
      <w:bookmarkStart w:id="8" w:name="_Toc89180953"/>
      <w:r>
        <w:rPr/>
        <w:t>References</w:t>
      </w:r>
      <w:bookmarkEnd w:id="8"/>
    </w:p>
    <w:p>
      <w:pPr>
        <w:pStyle w:val="NoSpacing"/>
        <w:spacing w:lineRule="auto" w:line="276"/>
        <w:ind w:left="720" w:hanging="720"/>
        <w:rPr>
          <w:rFonts w:ascii="Times New Roman" w:hAnsi="Times New Roman" w:cs="Times New Roman"/>
          <w:sz w:val="24"/>
          <w:lang w:val="en-US"/>
        </w:rPr>
      </w:pPr>
      <w:r>
        <w:rPr>
          <w:rFonts w:cs="Times New Roman" w:ascii="Times New Roman" w:hAnsi="Times New Roman"/>
          <w:sz w:val="24"/>
        </w:rPr>
        <w:t xml:space="preserve">Age UK. (2017) </w:t>
      </w:r>
      <w:r>
        <w:rPr>
          <w:rFonts w:cs="Times New Roman" w:ascii="Times New Roman" w:hAnsi="Times New Roman"/>
          <w:i/>
          <w:iCs/>
          <w:sz w:val="24"/>
        </w:rPr>
        <w:t>5 million grandparents take on childcare responsibilities</w:t>
      </w:r>
      <w:r>
        <w:rPr>
          <w:rFonts w:cs="Times New Roman" w:ascii="Times New Roman" w:hAnsi="Times New Roman"/>
          <w:sz w:val="24"/>
        </w:rPr>
        <w:t xml:space="preserve">. Available at: </w:t>
      </w:r>
      <w:hyperlink r:id="rId2">
        <w:r>
          <w:rPr>
            <w:rStyle w:val="InternetLink"/>
            <w:rFonts w:cs="Times New Roman" w:ascii="Times New Roman" w:hAnsi="Times New Roman"/>
            <w:sz w:val="24"/>
          </w:rPr>
          <w:t>https://www.ageuk.org.uk/latest-news/articles/2017/september/five-million-grandparents-take-on-childcare-responsibilities/</w:t>
        </w:r>
      </w:hyperlink>
      <w:r>
        <w:rPr>
          <w:rFonts w:cs="Times New Roman" w:ascii="Times New Roman" w:hAnsi="Times New Roman"/>
          <w:sz w:val="24"/>
        </w:rPr>
        <w:t xml:space="preserve"> (Accessed: 18 November 2021). </w:t>
      </w:r>
    </w:p>
    <w:p>
      <w:pPr>
        <w:pStyle w:val="NoSpacing"/>
        <w:spacing w:lineRule="auto" w:line="276"/>
        <w:ind w:left="720" w:hanging="720"/>
        <w:rPr>
          <w:rFonts w:ascii="Times New Roman" w:hAnsi="Times New Roman" w:cs="Times New Roman"/>
          <w:sz w:val="24"/>
          <w:lang w:val="en-US"/>
        </w:rPr>
      </w:pPr>
      <w:r>
        <w:rPr>
          <w:rFonts w:cs="Times New Roman" w:ascii="Times New Roman" w:hAnsi="Times New Roman"/>
          <w:sz w:val="24"/>
          <w:lang w:val="en-US"/>
        </w:rPr>
        <w:t>‌</w:t>
      </w:r>
      <w:r>
        <w:rPr>
          <w:rFonts w:cs="Times New Roman" w:ascii="Times New Roman" w:hAnsi="Times New Roman"/>
          <w:sz w:val="24"/>
          <w:lang w:val="en-US"/>
        </w:rPr>
        <w:t xml:space="preserve">Government Digital Service (2012). </w:t>
      </w:r>
      <w:r>
        <w:rPr>
          <w:rFonts w:cs="Times New Roman" w:ascii="Times New Roman" w:hAnsi="Times New Roman"/>
          <w:i/>
          <w:iCs/>
          <w:sz w:val="24"/>
          <w:lang w:val="en-US"/>
        </w:rPr>
        <w:t>Contact the Pension Service</w:t>
      </w:r>
      <w:r>
        <w:rPr>
          <w:rFonts w:cs="Times New Roman" w:ascii="Times New Roman" w:hAnsi="Times New Roman"/>
          <w:sz w:val="24"/>
          <w:lang w:val="en-US"/>
        </w:rPr>
        <w:t>. [online] GOV.UK. Available at: https://www.gov.uk/contact-pension-service [Accessed 3 Sep. 2019].</w:t>
      </w:r>
    </w:p>
    <w:p>
      <w:pPr>
        <w:pStyle w:val="NoSpacing"/>
        <w:spacing w:lineRule="auto" w:line="276"/>
        <w:ind w:left="720" w:hanging="720"/>
        <w:rPr>
          <w:rFonts w:ascii="Times New Roman" w:hAnsi="Times New Roman" w:cs="Times New Roman"/>
          <w:sz w:val="24"/>
          <w:lang w:val="en-US"/>
        </w:rPr>
      </w:pPr>
      <w:r>
        <w:rPr>
          <w:rFonts w:cs="Times New Roman" w:ascii="Times New Roman" w:hAnsi="Times New Roman"/>
          <w:sz w:val="24"/>
          <w:lang w:val="en-US"/>
        </w:rPr>
        <w:t>‌</w:t>
      </w:r>
      <w:r>
        <w:rPr>
          <w:rFonts w:cs="Times New Roman" w:ascii="Times New Roman" w:hAnsi="Times New Roman"/>
          <w:sz w:val="24"/>
          <w:lang w:val="en-US"/>
        </w:rPr>
        <w:t xml:space="preserve">NHS Choices (2019). </w:t>
      </w:r>
      <w:r>
        <w:rPr>
          <w:rFonts w:cs="Times New Roman" w:ascii="Times New Roman" w:hAnsi="Times New Roman"/>
          <w:i/>
          <w:iCs/>
          <w:sz w:val="24"/>
          <w:lang w:val="en-US"/>
        </w:rPr>
        <w:t>Care and support you can get for free</w:t>
      </w:r>
      <w:r>
        <w:rPr>
          <w:rFonts w:cs="Times New Roman" w:ascii="Times New Roman" w:hAnsi="Times New Roman"/>
          <w:sz w:val="24"/>
          <w:lang w:val="en-US"/>
        </w:rPr>
        <w:t>. [online] NHS. Available at: https://www.nhs.uk/conditions/social-care-and-support-guide/care-services-equipment-and-care-homes/care-and-support-you-can-get-for-free/.</w:t>
      </w:r>
    </w:p>
    <w:p>
      <w:pPr>
        <w:pStyle w:val="NoSpacing"/>
        <w:spacing w:lineRule="auto" w:line="276"/>
        <w:ind w:left="720" w:hanging="720"/>
        <w:rPr>
          <w:rFonts w:ascii="Times New Roman" w:hAnsi="Times New Roman" w:cs="Times New Roman"/>
          <w:sz w:val="24"/>
          <w:lang w:val="en-US"/>
        </w:rPr>
      </w:pPr>
      <w:r>
        <w:rPr>
          <w:rFonts w:cs="Times New Roman" w:ascii="Times New Roman" w:hAnsi="Times New Roman"/>
          <w:sz w:val="24"/>
          <w:lang w:val="en-US"/>
        </w:rPr>
        <w:t>‌</w:t>
      </w:r>
      <w:r>
        <w:rPr>
          <w:rFonts w:cs="Times New Roman" w:ascii="Times New Roman" w:hAnsi="Times New Roman"/>
          <w:sz w:val="24"/>
        </w:rPr>
        <w:t xml:space="preserve">NHS. (2021) </w:t>
      </w:r>
      <w:r>
        <w:rPr>
          <w:rFonts w:cs="Times New Roman" w:ascii="Times New Roman" w:hAnsi="Times New Roman"/>
          <w:i/>
          <w:iCs/>
          <w:sz w:val="24"/>
        </w:rPr>
        <w:t>Causes - Clinical depression</w:t>
      </w:r>
      <w:r>
        <w:rPr>
          <w:rFonts w:cs="Times New Roman" w:ascii="Times New Roman" w:hAnsi="Times New Roman"/>
          <w:sz w:val="24"/>
        </w:rPr>
        <w:t>. Available at: </w:t>
      </w:r>
      <w:hyperlink r:id="rId3">
        <w:r>
          <w:rPr>
            <w:rStyle w:val="InternetLink"/>
            <w:rFonts w:cs="Times New Roman" w:ascii="Times New Roman" w:hAnsi="Times New Roman"/>
            <w:sz w:val="24"/>
          </w:rPr>
          <w:t>https://www.nhs.uk/mental-health/conditions/clinical-depression/causes/</w:t>
        </w:r>
      </w:hyperlink>
      <w:r>
        <w:rPr>
          <w:rFonts w:cs="Times New Roman" w:ascii="Times New Roman" w:hAnsi="Times New Roman"/>
          <w:sz w:val="24"/>
        </w:rPr>
        <w:t xml:space="preserve"> ( Accessed: 18 November 2021).</w:t>
      </w:r>
    </w:p>
    <w:p>
      <w:pPr>
        <w:pStyle w:val="NoSpacing"/>
        <w:spacing w:lineRule="auto" w:line="276"/>
        <w:ind w:left="720" w:hanging="720"/>
        <w:rPr>
          <w:rFonts w:ascii="Times New Roman" w:hAnsi="Times New Roman" w:cs="Times New Roman"/>
          <w:sz w:val="24"/>
          <w:lang w:val="en-US"/>
        </w:rPr>
      </w:pPr>
      <w:r>
        <w:rPr>
          <w:rFonts w:cs="Times New Roman" w:ascii="Times New Roman" w:hAnsi="Times New Roman"/>
          <w:sz w:val="24"/>
        </w:rPr>
        <w:t>Office of National Statistics. (2018</w:t>
      </w:r>
      <w:r>
        <w:rPr>
          <w:rFonts w:cs="Times New Roman" w:ascii="Times New Roman" w:hAnsi="Times New Roman"/>
          <w:i/>
          <w:iCs/>
          <w:sz w:val="24"/>
        </w:rPr>
        <w:t>) Living longer: how our population is changing and why it matters</w:t>
      </w:r>
      <w:r>
        <w:rPr>
          <w:rFonts w:cs="Times New Roman" w:ascii="Times New Roman" w:hAnsi="Times New Roman"/>
          <w:sz w:val="24"/>
        </w:rPr>
        <w:t xml:space="preserve">. Available at:  </w:t>
      </w:r>
      <w:hyperlink r:id="rId4">
        <w:r>
          <w:rPr>
            <w:rStyle w:val="InternetLink"/>
            <w:rFonts w:cs="Times New Roman" w:ascii="Times New Roman" w:hAnsi="Times New Roman"/>
            <w:sz w:val="24"/>
          </w:rPr>
          <w:t>https://www.ons.gov.uk/peoplepopulationandcommunity/birthsdeathsandmarriages/ageing/articles/livinglongerhowourpopulationischangingandwhyitmatters/2018-08-13#how-many-older-people-work-and-has-this-changed</w:t>
        </w:r>
      </w:hyperlink>
      <w:r>
        <w:rPr>
          <w:rFonts w:cs="Times New Roman" w:ascii="Times New Roman" w:hAnsi="Times New Roman"/>
          <w:sz w:val="24"/>
        </w:rPr>
        <w:t xml:space="preserve"> ( Accessed: 17 November 2021). </w:t>
      </w:r>
    </w:p>
    <w:p>
      <w:pPr>
        <w:pStyle w:val="NoSpacing"/>
        <w:spacing w:lineRule="auto" w:line="276"/>
        <w:ind w:left="720" w:hanging="720"/>
        <w:rPr>
          <w:rFonts w:ascii="Times New Roman" w:hAnsi="Times New Roman" w:cs="Times New Roman"/>
          <w:sz w:val="24"/>
          <w:lang w:val="en-US"/>
        </w:rPr>
      </w:pPr>
      <w:r>
        <w:rPr>
          <w:rFonts w:cs="Times New Roman" w:ascii="Times New Roman" w:hAnsi="Times New Roman"/>
          <w:sz w:val="24"/>
          <w:lang w:val="en-US"/>
        </w:rPr>
        <w:t xml:space="preserve">Storey, A. (2018). </w:t>
      </w:r>
      <w:r>
        <w:rPr>
          <w:rFonts w:cs="Times New Roman" w:ascii="Times New Roman" w:hAnsi="Times New Roman"/>
          <w:i/>
          <w:iCs/>
          <w:sz w:val="24"/>
          <w:lang w:val="en-US"/>
        </w:rPr>
        <w:t>Living longer - Office for National Statistics</w:t>
      </w:r>
      <w:r>
        <w:rPr>
          <w:rFonts w:cs="Times New Roman" w:ascii="Times New Roman" w:hAnsi="Times New Roman"/>
          <w:sz w:val="24"/>
          <w:lang w:val="en-US"/>
        </w:rPr>
        <w:t>. [online] Ons.gov.uk. Available at:https://www.ons.gov.uk/peoplepopulationandcommunity/birthsdeathsandmarriages/ageing/articles/livinglongerhowourpopulationischangingandwhyitmatters/2018-08-13.</w:t>
      </w:r>
    </w:p>
    <w:p>
      <w:pPr>
        <w:pStyle w:val="NoSpacing"/>
        <w:spacing w:lineRule="auto" w:line="276"/>
        <w:ind w:left="720" w:hanging="720"/>
        <w:rPr>
          <w:rFonts w:ascii="Times New Roman" w:hAnsi="Times New Roman" w:cs="Times New Roman"/>
          <w:sz w:val="24"/>
          <w:lang w:val="en-US"/>
        </w:rPr>
      </w:pPr>
      <w:r>
        <w:rPr>
          <w:rFonts w:cs="Times New Roman" w:ascii="Times New Roman" w:hAnsi="Times New Roman"/>
          <w:sz w:val="24"/>
          <w:lang w:val="en-US"/>
        </w:rPr>
        <w:t>‌</w:t>
      </w:r>
      <w:r>
        <w:rPr>
          <w:rFonts w:cs="Times New Roman" w:ascii="Times New Roman" w:hAnsi="Times New Roman"/>
          <w:sz w:val="24"/>
          <w:lang w:val="en-US"/>
        </w:rPr>
        <w:t xml:space="preserve">the Guardian. (2011). </w:t>
      </w:r>
      <w:r>
        <w:rPr>
          <w:rFonts w:cs="Times New Roman" w:ascii="Times New Roman" w:hAnsi="Times New Roman"/>
          <w:i/>
          <w:iCs/>
          <w:sz w:val="24"/>
          <w:lang w:val="en-US"/>
        </w:rPr>
        <w:t>Older people are an asset, not a drain</w:t>
      </w:r>
      <w:r>
        <w:rPr>
          <w:rFonts w:cs="Times New Roman" w:ascii="Times New Roman" w:hAnsi="Times New Roman"/>
          <w:sz w:val="24"/>
          <w:lang w:val="en-US"/>
        </w:rPr>
        <w:t>. [online] Available at: https://www.theguardian.com/society/2011/mar/02/older-people-net-contributors-volunteering.</w:t>
      </w:r>
    </w:p>
    <w:p>
      <w:pPr>
        <w:pStyle w:val="NoSpacing"/>
        <w:spacing w:lineRule="auto" w:line="276"/>
        <w:ind w:left="720" w:hanging="720"/>
        <w:rPr>
          <w:rFonts w:ascii="Times New Roman" w:hAnsi="Times New Roman" w:cs="Times New Roman"/>
          <w:sz w:val="24"/>
          <w:lang w:val="en-US"/>
        </w:rPr>
      </w:pPr>
      <w:r>
        <w:rPr>
          <w:rFonts w:cs="Times New Roman" w:ascii="Times New Roman" w:hAnsi="Times New Roman"/>
          <w:sz w:val="24"/>
          <w:lang w:val="en-US"/>
        </w:rPr>
        <w:t>‌</w:t>
      </w:r>
      <w:r>
        <w:rPr>
          <w:rFonts w:cs="Times New Roman" w:ascii="Times New Roman" w:hAnsi="Times New Roman"/>
          <w:sz w:val="24"/>
          <w:lang w:val="en-US"/>
        </w:rPr>
        <w:t xml:space="preserve">World Health Organization (2021). </w:t>
      </w:r>
      <w:r>
        <w:rPr>
          <w:rFonts w:cs="Times New Roman" w:ascii="Times New Roman" w:hAnsi="Times New Roman"/>
          <w:i/>
          <w:iCs/>
          <w:sz w:val="24"/>
          <w:lang w:val="en-US"/>
        </w:rPr>
        <w:t>Ageing and health</w:t>
      </w:r>
      <w:r>
        <w:rPr>
          <w:rFonts w:cs="Times New Roman" w:ascii="Times New Roman" w:hAnsi="Times New Roman"/>
          <w:sz w:val="24"/>
          <w:lang w:val="en-US"/>
        </w:rPr>
        <w:t>. [online] Who.int. Available at: https://www.who.int/news-room/fact-sheets/detail/ageing-and-health.</w:t>
      </w:r>
    </w:p>
    <w:p>
      <w:pPr>
        <w:pStyle w:val="Normal"/>
        <w:spacing w:lineRule="auto" w:line="360" w:before="0" w:after="160"/>
        <w:rPr>
          <w:rFonts w:ascii="Times New Roman" w:hAnsi="Times New Roman" w:cs="Times New Roman"/>
          <w:sz w:val="24"/>
        </w:rPr>
      </w:pPr>
      <w:r>
        <w:rPr/>
      </w:r>
    </w:p>
    <w:sectPr>
      <w:type w:val="nextPage"/>
      <w:pgSz w:w="12240" w:h="15840"/>
      <w:pgMar w:left="1440" w:right="1440" w:header="0" w:top="1440" w:footer="0" w:bottom="1440" w:gutter="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Tahoma">
    <w:charset w:val="00"/>
    <w:family w:val="roman"/>
    <w:pitch w:val="variable"/>
  </w:font>
  <w:font w:name="Liberation Sans">
    <w:altName w:val="Arial"/>
    <w:charset w:val="00"/>
    <w:family w:val="swiss"/>
    <w:pitch w:val="variable"/>
  </w:font>
  <w:font w:name="Cambria">
    <w:charset w:val="00"/>
    <w:family w:val="roman"/>
    <w:pitch w:val="variable"/>
  </w:font>
  <w:font w:name="Arial">
    <w:charset w:val="01"/>
    <w:family w:val="swiss"/>
    <w:pitch w:val="variable"/>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decimal"/>
      <w:lvlText w:val="%1."/>
      <w:lvlJc w:val="left"/>
      <w:pPr>
        <w:tabs>
          <w:tab w:val="num" w:pos="0"/>
        </w:tabs>
        <w:ind w:left="720" w:hanging="360"/>
      </w:pPr>
    </w:lvl>
    <w:lvl w:ilvl="1">
      <w:start w:val="1"/>
      <w:numFmt w:val="lowerLetter"/>
      <w:lvlText w:val="%2."/>
      <w:lvlJc w:val="left"/>
      <w:pPr>
        <w:tabs>
          <w:tab w:val="num" w:pos="0"/>
        </w:tabs>
        <w:ind w:left="1440" w:hanging="360"/>
      </w:pPr>
    </w:lvl>
    <w:lvl w:ilvl="2">
      <w:start w:val="1"/>
      <w:numFmt w:val="lowerRoman"/>
      <w:lvlText w:val="%3."/>
      <w:lvlJc w:val="right"/>
      <w:pPr>
        <w:tabs>
          <w:tab w:val="num" w:pos="0"/>
        </w:tabs>
        <w:ind w:left="2160" w:hanging="180"/>
      </w:pPr>
    </w:lvl>
    <w:lvl w:ilvl="3">
      <w:start w:val="1"/>
      <w:numFmt w:val="decimal"/>
      <w:lvlText w:val="%4."/>
      <w:lvlJc w:val="left"/>
      <w:pPr>
        <w:tabs>
          <w:tab w:val="num" w:pos="0"/>
        </w:tabs>
        <w:ind w:left="2880" w:hanging="360"/>
      </w:pPr>
    </w:lvl>
    <w:lvl w:ilvl="4">
      <w:start w:val="1"/>
      <w:numFmt w:val="lowerLetter"/>
      <w:lvlText w:val="%5."/>
      <w:lvlJc w:val="left"/>
      <w:pPr>
        <w:tabs>
          <w:tab w:val="num" w:pos="0"/>
        </w:tabs>
        <w:ind w:left="3600" w:hanging="360"/>
      </w:pPr>
    </w:lvl>
    <w:lvl w:ilvl="5">
      <w:start w:val="1"/>
      <w:numFmt w:val="lowerRoman"/>
      <w:lvlText w:val="%6."/>
      <w:lvlJc w:val="right"/>
      <w:pPr>
        <w:tabs>
          <w:tab w:val="num" w:pos="0"/>
        </w:tabs>
        <w:ind w:left="4320" w:hanging="180"/>
      </w:pPr>
    </w:lvl>
    <w:lvl w:ilvl="6">
      <w:start w:val="1"/>
      <w:numFmt w:val="decimal"/>
      <w:lvlText w:val="%7."/>
      <w:lvlJc w:val="left"/>
      <w:pPr>
        <w:tabs>
          <w:tab w:val="num" w:pos="0"/>
        </w:tabs>
        <w:ind w:left="5040" w:hanging="360"/>
      </w:pPr>
    </w:lvl>
    <w:lvl w:ilvl="7">
      <w:start w:val="1"/>
      <w:numFmt w:val="lowerLetter"/>
      <w:lvlText w:val="%8."/>
      <w:lvlJc w:val="left"/>
      <w:pPr>
        <w:tabs>
          <w:tab w:val="num" w:pos="0"/>
        </w:tabs>
        <w:ind w:left="5760" w:hanging="360"/>
      </w:pPr>
    </w:lvl>
    <w:lvl w:ilvl="8">
      <w:start w:val="1"/>
      <w:numFmt w:val="lowerRoman"/>
      <w:lvlText w:val="%9."/>
      <w:lvlJc w:val="right"/>
      <w:pPr>
        <w:tabs>
          <w:tab w:val="num" w:pos="0"/>
        </w:tabs>
        <w:ind w:left="6480" w:hanging="180"/>
      </w:pPr>
    </w:lvl>
  </w:abstractNum>
  <w:abstractNum w:abstractNumId="2">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bering>
</file>

<file path=word/settings.xml><?xml version="1.0" encoding="utf-8"?>
<w:settings xmlns:w="http://schemas.openxmlformats.org/wordprocessingml/2006/main">
  <w:zoom w:percent="100"/>
  <w:defaultTabStop w:val="720"/>
  <w:autoHyphenation w:val="true"/>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US" w:eastAsia="en-US" w:bidi="ar-SA"/>
      </w:rPr>
    </w:rPrDefault>
    <w:pPrDefault>
      <w:pPr>
        <w:suppressAutoHyphens w:val="true"/>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763159"/>
    <w:pPr>
      <w:widowControl/>
      <w:bidi w:val="0"/>
      <w:spacing w:lineRule="auto" w:line="259" w:before="0" w:after="160"/>
      <w:jc w:val="left"/>
    </w:pPr>
    <w:rPr>
      <w:rFonts w:ascii="Calibri" w:hAnsi="Calibri" w:eastAsia="Calibri" w:cs="" w:asciiTheme="minorHAnsi" w:cstheme="minorBidi" w:eastAsiaTheme="minorHAnsi" w:hAnsiTheme="minorHAnsi"/>
      <w:color w:val="auto"/>
      <w:kern w:val="0"/>
      <w:sz w:val="22"/>
      <w:szCs w:val="22"/>
      <w:lang w:val="en-GB" w:eastAsia="en-US" w:bidi="ar-SA"/>
    </w:rPr>
  </w:style>
  <w:style w:type="paragraph" w:styleId="Heading1">
    <w:name w:val="Heading 1"/>
    <w:basedOn w:val="Normal"/>
    <w:next w:val="Normal"/>
    <w:link w:val="Heading1Char"/>
    <w:uiPriority w:val="9"/>
    <w:qFormat/>
    <w:rsid w:val="00bc421c"/>
    <w:pPr>
      <w:keepNext w:val="true"/>
      <w:keepLines/>
      <w:spacing w:before="0" w:after="0"/>
      <w:outlineLvl w:val="0"/>
    </w:pPr>
    <w:rPr>
      <w:rFonts w:ascii="Times New Roman" w:hAnsi="Times New Roman" w:eastAsia="" w:cs="" w:cstheme="majorBidi" w:eastAsiaTheme="majorEastAsia"/>
      <w:b/>
      <w:bCs/>
      <w:sz w:val="28"/>
      <w:szCs w:val="28"/>
    </w:rPr>
  </w:style>
  <w:style w:type="paragraph" w:styleId="Heading2">
    <w:name w:val="Heading 2"/>
    <w:basedOn w:val="Normal"/>
    <w:next w:val="Normal"/>
    <w:link w:val="Heading2Char"/>
    <w:uiPriority w:val="9"/>
    <w:unhideWhenUsed/>
    <w:qFormat/>
    <w:rsid w:val="00ce2d08"/>
    <w:pPr>
      <w:keepNext w:val="true"/>
      <w:keepLines/>
      <w:spacing w:before="0" w:after="0"/>
      <w:outlineLvl w:val="1"/>
    </w:pPr>
    <w:rPr>
      <w:rFonts w:ascii="Times New Roman" w:hAnsi="Times New Roman" w:eastAsia="" w:cs="" w:cstheme="majorBidi" w:eastAsiaTheme="majorEastAsia"/>
      <w:b/>
      <w:bCs/>
      <w:sz w:val="24"/>
      <w:szCs w:val="26"/>
    </w:rPr>
  </w:style>
  <w:style w:type="character" w:styleId="DefaultParagraphFont" w:default="1">
    <w:name w:val="Default Paragraph Font"/>
    <w:uiPriority w:val="1"/>
    <w:unhideWhenUsed/>
    <w:qFormat/>
    <w:rPr/>
  </w:style>
  <w:style w:type="character" w:styleId="Heading1Char" w:customStyle="1">
    <w:name w:val="Heading 1 Char"/>
    <w:basedOn w:val="DefaultParagraphFont"/>
    <w:link w:val="Heading1"/>
    <w:uiPriority w:val="9"/>
    <w:qFormat/>
    <w:rsid w:val="00bc421c"/>
    <w:rPr>
      <w:rFonts w:ascii="Times New Roman" w:hAnsi="Times New Roman" w:eastAsia="" w:cs="" w:cstheme="majorBidi" w:eastAsiaTheme="majorEastAsia"/>
      <w:b/>
      <w:bCs/>
      <w:sz w:val="28"/>
      <w:szCs w:val="28"/>
      <w:lang w:val="en-GB"/>
    </w:rPr>
  </w:style>
  <w:style w:type="character" w:styleId="Heading2Char" w:customStyle="1">
    <w:name w:val="Heading 2 Char"/>
    <w:basedOn w:val="DefaultParagraphFont"/>
    <w:link w:val="Heading2"/>
    <w:uiPriority w:val="9"/>
    <w:qFormat/>
    <w:rsid w:val="00ce2d08"/>
    <w:rPr>
      <w:rFonts w:ascii="Times New Roman" w:hAnsi="Times New Roman" w:eastAsia="" w:cs="" w:cstheme="majorBidi" w:eastAsiaTheme="majorEastAsia"/>
      <w:b/>
      <w:bCs/>
      <w:sz w:val="24"/>
      <w:szCs w:val="26"/>
      <w:lang w:val="en-GB"/>
    </w:rPr>
  </w:style>
  <w:style w:type="character" w:styleId="InternetLink">
    <w:name w:val="Hyperlink"/>
    <w:basedOn w:val="DefaultParagraphFont"/>
    <w:uiPriority w:val="99"/>
    <w:unhideWhenUsed/>
    <w:rsid w:val="00dc07da"/>
    <w:rPr>
      <w:color w:val="0000FF" w:themeColor="hyperlink"/>
      <w:u w:val="single"/>
    </w:rPr>
  </w:style>
  <w:style w:type="character" w:styleId="BalloonTextChar" w:customStyle="1">
    <w:name w:val="Balloon Text Char"/>
    <w:basedOn w:val="DefaultParagraphFont"/>
    <w:link w:val="BalloonText"/>
    <w:uiPriority w:val="99"/>
    <w:semiHidden/>
    <w:qFormat/>
    <w:rsid w:val="00bb0fc8"/>
    <w:rPr>
      <w:rFonts w:ascii="Tahoma" w:hAnsi="Tahoma" w:cs="Tahoma"/>
      <w:sz w:val="16"/>
      <w:szCs w:val="16"/>
      <w:lang w:val="en-GB"/>
    </w:rPr>
  </w:style>
  <w:style w:type="character" w:styleId="IndexLink">
    <w:name w:val="Index Link"/>
    <w:qFormat/>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NoSpacing">
    <w:name w:val="No Spacing"/>
    <w:uiPriority w:val="1"/>
    <w:qFormat/>
    <w:rsid w:val="00cc592c"/>
    <w:pPr>
      <w:widowControl/>
      <w:bidi w:val="0"/>
      <w:spacing w:lineRule="auto" w:line="240" w:before="0" w:after="0"/>
      <w:jc w:val="left"/>
    </w:pPr>
    <w:rPr>
      <w:rFonts w:ascii="Calibri" w:hAnsi="Calibri" w:eastAsia="Calibri" w:cs="" w:asciiTheme="minorHAnsi" w:cstheme="minorBidi" w:eastAsiaTheme="minorHAnsi" w:hAnsiTheme="minorHAnsi"/>
      <w:color w:val="auto"/>
      <w:kern w:val="0"/>
      <w:sz w:val="22"/>
      <w:szCs w:val="22"/>
      <w:lang w:val="en-GB" w:eastAsia="en-US" w:bidi="ar-SA"/>
    </w:rPr>
  </w:style>
  <w:style w:type="paragraph" w:styleId="ListParagraph">
    <w:name w:val="List Paragraph"/>
    <w:basedOn w:val="Normal"/>
    <w:uiPriority w:val="34"/>
    <w:qFormat/>
    <w:rsid w:val="003e4552"/>
    <w:pPr>
      <w:spacing w:lineRule="auto" w:line="240" w:before="0" w:after="0"/>
      <w:ind w:left="720" w:hanging="0"/>
      <w:contextualSpacing/>
    </w:pPr>
    <w:rPr>
      <w:rFonts w:ascii="Times New Roman" w:hAnsi="Times New Roman" w:eastAsia="Times New Roman" w:cs="Times New Roman"/>
      <w:sz w:val="24"/>
      <w:szCs w:val="24"/>
      <w:lang w:val="en-US"/>
    </w:rPr>
  </w:style>
  <w:style w:type="paragraph" w:styleId="TOCHeading">
    <w:name w:val="TOC Heading"/>
    <w:basedOn w:val="Heading1"/>
    <w:next w:val="Normal"/>
    <w:uiPriority w:val="39"/>
    <w:semiHidden/>
    <w:unhideWhenUsed/>
    <w:qFormat/>
    <w:rsid w:val="00bb0fc8"/>
    <w:pPr>
      <w:spacing w:lineRule="auto" w:line="276" w:before="480" w:after="0"/>
    </w:pPr>
    <w:rPr>
      <w:rFonts w:ascii="Cambria" w:hAnsi="Cambria" w:asciiTheme="majorHAnsi" w:hAnsiTheme="majorHAnsi"/>
      <w:color w:val="365F91" w:themeColor="accent1" w:themeShade="bf"/>
      <w:lang w:val="en-US" w:eastAsia="ja-JP"/>
    </w:rPr>
  </w:style>
  <w:style w:type="paragraph" w:styleId="Contents1">
    <w:name w:val="TOC 1"/>
    <w:basedOn w:val="Normal"/>
    <w:next w:val="Normal"/>
    <w:autoRedefine/>
    <w:uiPriority w:val="39"/>
    <w:unhideWhenUsed/>
    <w:rsid w:val="00bb0fc8"/>
    <w:pPr>
      <w:spacing w:before="0" w:after="100"/>
    </w:pPr>
    <w:rPr/>
  </w:style>
  <w:style w:type="paragraph" w:styleId="Contents2">
    <w:name w:val="TOC 2"/>
    <w:basedOn w:val="Normal"/>
    <w:next w:val="Normal"/>
    <w:autoRedefine/>
    <w:uiPriority w:val="39"/>
    <w:unhideWhenUsed/>
    <w:rsid w:val="00bb0fc8"/>
    <w:pPr>
      <w:spacing w:before="0" w:after="100"/>
      <w:ind w:left="220" w:hanging="0"/>
    </w:pPr>
    <w:rPr/>
  </w:style>
  <w:style w:type="paragraph" w:styleId="BalloonText">
    <w:name w:val="Balloon Text"/>
    <w:basedOn w:val="Normal"/>
    <w:link w:val="BalloonTextChar"/>
    <w:uiPriority w:val="99"/>
    <w:semiHidden/>
    <w:unhideWhenUsed/>
    <w:qFormat/>
    <w:rsid w:val="00bb0fc8"/>
    <w:pPr>
      <w:spacing w:lineRule="auto" w:line="240" w:before="0" w:after="0"/>
    </w:pPr>
    <w:rPr>
      <w:rFonts w:ascii="Tahoma" w:hAnsi="Tahoma" w:cs="Tahoma"/>
      <w:sz w:val="16"/>
      <w:szCs w:val="16"/>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www.ageuk.org.uk/latest-news/articles/2017/september/five-million-grandparents-take-on-childcare-responsibilities/" TargetMode="External"/><Relationship Id="rId3" Type="http://schemas.openxmlformats.org/officeDocument/2006/relationships/hyperlink" Target="https://www.nhs.uk/mental-health/conditions/clinical-depression/causes/" TargetMode="External"/><Relationship Id="rId4" Type="http://schemas.openxmlformats.org/officeDocument/2006/relationships/hyperlink" Target="https://www.ons.gov.uk/peoplepopulationandcommunity/birthsdeathsandmarriages/ageing/articles/livinglongerhowourpopulationischangingandwhyitmatters/2018-08-13" TargetMode="External"/><Relationship Id="rId5" Type="http://schemas.openxmlformats.org/officeDocument/2006/relationships/numbering" Target="numbering.xml"/><Relationship Id="rId6" Type="http://schemas.openxmlformats.org/officeDocument/2006/relationships/fontTable" Target="fontTable.xml"/><Relationship Id="rId7" Type="http://schemas.openxmlformats.org/officeDocument/2006/relationships/settings" Target="settings.xml"/><Relationship Id="rId8" Type="http://schemas.openxmlformats.org/officeDocument/2006/relationships/theme" Target="theme/theme1.xml"/><Relationship Id="rId9"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18FD004-F937-47B4-85CC-84DA738B9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TotalTime>
  <Application>LibreOffice/7.1.4.2$Windows_X86_64 LibreOffice_project/a529a4fab45b75fefc5b6226684193eb000654f6</Application>
  <AppVersion>15.0000</AppVersion>
  <Pages>6</Pages>
  <Words>1315</Words>
  <Characters>7721</Characters>
  <CharactersWithSpaces>8999</CharactersWithSpaces>
  <Paragraphs>48</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2021-11-30T10:29:00Z</dcterms:created>
  <dc:creator>ad</dc:creator>
  <dc:description/>
  <dc:language>en-GB</dc:language>
  <cp:lastModifiedBy/>
  <dcterms:modified xsi:type="dcterms:W3CDTF">2021-12-06T13:44:46Z</dcterms:modified>
  <cp:revision>90</cp:revision>
  <dc:subject/>
  <dc:title/>
</cp:coreProperties>
</file>

<file path=docProps/custom.xml><?xml version="1.0" encoding="utf-8"?>
<Properties xmlns="http://schemas.openxmlformats.org/officeDocument/2006/custom-properties" xmlns:vt="http://schemas.openxmlformats.org/officeDocument/2006/docPropsVTypes"/>
</file>