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4401307"/>
        <w:docPartObj>
          <w:docPartGallery w:val="Cover Pages"/>
          <w:docPartUnique/>
        </w:docPartObj>
      </w:sdtPr>
      <w:sdtContent>
        <w:p w14:paraId="3203D7C4" w14:textId="590F70B6" w:rsidR="00480777" w:rsidRDefault="00480777">
          <w:r>
            <w:rPr>
              <w:noProof/>
            </w:rPr>
            <mc:AlternateContent>
              <mc:Choice Requires="wpg">
                <w:drawing>
                  <wp:anchor distT="0" distB="0" distL="114300" distR="114300" simplePos="0" relativeHeight="251659264" behindDoc="1" locked="0" layoutInCell="1" allowOverlap="1" wp14:anchorId="58795A69" wp14:editId="428E50A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1159EA" w14:textId="1F265635" w:rsidR="00480777" w:rsidRDefault="00480777">
                                      <w:pPr>
                                        <w:pStyle w:val="NoSpacing"/>
                                        <w:spacing w:before="120"/>
                                        <w:jc w:val="center"/>
                                        <w:rPr>
                                          <w:color w:val="FFFFFF" w:themeColor="background1"/>
                                        </w:rPr>
                                      </w:pPr>
                                      <w:r>
                                        <w:rPr>
                                          <w:color w:val="FFFFFF" w:themeColor="background1"/>
                                        </w:rPr>
                                        <w:t>Jack Jones (1902835)</w:t>
                                      </w:r>
                                    </w:p>
                                  </w:sdtContent>
                                </w:sdt>
                                <w:p w14:paraId="08B35D13" w14:textId="6FC1CFBC" w:rsidR="00480777" w:rsidRDefault="00480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FE1349C" w14:textId="1C655BCE" w:rsidR="00480777" w:rsidRDefault="004807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Jack Jones (1902835)</w:t>
                                      </w:r>
                                    </w:p>
                                  </w:sdtContent>
                                </w:sdt>
                                <w:p w14:paraId="777FA1E8" w14:textId="79F81339" w:rsidR="00480777" w:rsidRDefault="00480777">
                                  <w:pPr>
                                    <w:pStyle w:val="NoSpacing"/>
                                    <w:jc w:val="center"/>
                                    <w:rPr>
                                      <w:rFonts w:asciiTheme="majorHAnsi" w:eastAsiaTheme="majorEastAsia" w:hAnsiTheme="majorHAnsi" w:cstheme="majorBidi"/>
                                      <w:caps/>
                                      <w:color w:val="4472C4" w:themeColor="accent1"/>
                                      <w:sz w:val="72"/>
                                      <w:szCs w:val="72"/>
                                    </w:rPr>
                                  </w:pPr>
                                </w:p>
                                <w:p w14:paraId="3D067DC0" w14:textId="397158CF" w:rsidR="00480777" w:rsidRDefault="004807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Operational Policing Exam 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795A6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1159EA" w14:textId="1F265635" w:rsidR="00480777" w:rsidRDefault="00480777">
                                <w:pPr>
                                  <w:pStyle w:val="NoSpacing"/>
                                  <w:spacing w:before="120"/>
                                  <w:jc w:val="center"/>
                                  <w:rPr>
                                    <w:color w:val="FFFFFF" w:themeColor="background1"/>
                                  </w:rPr>
                                </w:pPr>
                                <w:r>
                                  <w:rPr>
                                    <w:color w:val="FFFFFF" w:themeColor="background1"/>
                                  </w:rPr>
                                  <w:t>Jack Jones (1902835)</w:t>
                                </w:r>
                              </w:p>
                            </w:sdtContent>
                          </w:sdt>
                          <w:p w14:paraId="08B35D13" w14:textId="6FC1CFBC" w:rsidR="00480777" w:rsidRDefault="00480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FE1349C" w14:textId="1C655BCE" w:rsidR="00480777" w:rsidRDefault="004807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Jack Jones (1902835)</w:t>
                                </w:r>
                              </w:p>
                            </w:sdtContent>
                          </w:sdt>
                          <w:p w14:paraId="777FA1E8" w14:textId="79F81339" w:rsidR="00480777" w:rsidRDefault="00480777">
                            <w:pPr>
                              <w:pStyle w:val="NoSpacing"/>
                              <w:jc w:val="center"/>
                              <w:rPr>
                                <w:rFonts w:asciiTheme="majorHAnsi" w:eastAsiaTheme="majorEastAsia" w:hAnsiTheme="majorHAnsi" w:cstheme="majorBidi"/>
                                <w:caps/>
                                <w:color w:val="4472C4" w:themeColor="accent1"/>
                                <w:sz w:val="72"/>
                                <w:szCs w:val="72"/>
                              </w:rPr>
                            </w:pPr>
                          </w:p>
                          <w:p w14:paraId="3D067DC0" w14:textId="397158CF" w:rsidR="00480777" w:rsidRDefault="004807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Operational Policing Exam 2021</w:t>
                            </w:r>
                          </w:p>
                        </w:txbxContent>
                      </v:textbox>
                    </v:shape>
                    <w10:wrap anchorx="page" anchory="page"/>
                  </v:group>
                </w:pict>
              </mc:Fallback>
            </mc:AlternateContent>
          </w:r>
        </w:p>
        <w:p w14:paraId="43896750" w14:textId="68B9D137" w:rsidR="00480777" w:rsidRDefault="00480777">
          <w:r>
            <w:br w:type="page"/>
          </w:r>
        </w:p>
      </w:sdtContent>
    </w:sdt>
    <w:p w14:paraId="7031FD6A" w14:textId="77777777" w:rsidR="005B4716" w:rsidRPr="00A27569" w:rsidRDefault="005B4716" w:rsidP="00A27569">
      <w:pPr>
        <w:pStyle w:val="ListParagraph"/>
        <w:numPr>
          <w:ilvl w:val="0"/>
          <w:numId w:val="2"/>
        </w:numPr>
        <w:spacing w:line="480" w:lineRule="auto"/>
        <w:rPr>
          <w:sz w:val="20"/>
          <w:szCs w:val="20"/>
        </w:rPr>
      </w:pPr>
    </w:p>
    <w:p w14:paraId="6623F88C" w14:textId="615646C8" w:rsidR="005B4716" w:rsidRPr="00A27569" w:rsidRDefault="005B4716" w:rsidP="00A27569">
      <w:pPr>
        <w:spacing w:line="480" w:lineRule="auto"/>
        <w:rPr>
          <w:sz w:val="20"/>
          <w:szCs w:val="20"/>
        </w:rPr>
      </w:pPr>
      <w:r w:rsidRPr="00A27569">
        <w:rPr>
          <w:sz w:val="20"/>
          <w:szCs w:val="20"/>
        </w:rPr>
        <w:t>Under the Theft Act 1968 it states in section 1 (1) that a person is guilty of theft if he ‘dishonestly appropriates property belonging to another with the intention of permanently depriving the other of it’. There are five key points to prove when considering the liability of theft, three of which are ‘property’, ‘appropriation’ and ‘belonging to another’. All of these are related to the actus reus element of the offence which means that these become apparent during the act itself. The remaining points to prove is the ‘dishonesty’ and the ‘intention to permanently deprive’. Both of which are accountable during the mens rea elements of the act, which means the thought process of the defendant. The penalty for theft is tribal either way. a less serious offence of theft would be seen at the Magistrates Court this is where they could issue up to six months and or a fine. a more serious theft offence would be seen at the Crown Court this is where the defendant could be seen with up to seven years imprisonment.</w:t>
      </w:r>
    </w:p>
    <w:p w14:paraId="45E653FA" w14:textId="52FA5CC3" w:rsidR="005B4716" w:rsidRPr="00A27569" w:rsidRDefault="005B4716" w:rsidP="00A27569">
      <w:pPr>
        <w:spacing w:line="480" w:lineRule="auto"/>
        <w:rPr>
          <w:sz w:val="20"/>
          <w:szCs w:val="20"/>
        </w:rPr>
      </w:pPr>
      <w:r w:rsidRPr="00A27569">
        <w:rPr>
          <w:sz w:val="20"/>
          <w:szCs w:val="20"/>
        </w:rPr>
        <w:t xml:space="preserve">                       </w:t>
      </w:r>
      <w:r w:rsidRPr="00A27569">
        <w:rPr>
          <w:sz w:val="20"/>
          <w:szCs w:val="20"/>
        </w:rPr>
        <w:t xml:space="preserve">Under Section 2 (1), it states that dishonesty is ‘impatiens appropriation of property which is not regarded as dishonest’ this is not the definition of dishonesty, but it is a statement of situations that are not dishonest. A person is not dishonest when they had lawful rights to take the property, when the person would have the owner’s consent if owner knew of the circumstances, the owner cannot be discovered by taking reasonable steps, and when mistaken belief is apparent. this is sometimes seen when a third party is misled. Previously, to prove that someone had acted dishonestly in theft, the jury had to find that the defendants conduct was dishonest by the standards of a reasonable person this was seen as the objective test. Or the defendant appreciated that what he or she was doing was dishonest by the standards of those ordinary person this was the subjective test which soon became outdated. The new test removes the requirement that the defendant must appreciate what he has done, by those standards was dishonest. The case law for the old dishonesty test was found in Gosh (1982), this is where the defendant was a consultant at a hospital who falsely claimed to have carried out a surgical operation to claim money even though the operation was carried out by someone else. the new case law is found in R v Ivey, this is where a professional poker player when millions of pounds at a casino their casino refused to pay him. they argued that the defendant apparently cheated. the defendant argued that cheating required dishonesty which the casino had not expressed. this brought about a wider definition of dishonesty. Section 2 provides a legal definition for the defences. the list </w:t>
      </w:r>
      <w:r w:rsidRPr="00A27569">
        <w:rPr>
          <w:sz w:val="20"/>
          <w:szCs w:val="20"/>
        </w:rPr>
        <w:lastRenderedPageBreak/>
        <w:t>contains of three defences that can be used for the liability of theft. These are ‘the right to law’. This is where the defendant appropriates the property in the belief that he has in law the right to deprive the other of it on behalf of himself or of a third person. Another defence would be ‘consent’, this is where the defendant appropriates the property in the belief that he would have the others consent if the other person knew of the appropriation and the circumstances of it. the final defence would be if the property was ‘lost’, this is where the defendant appropriates the property in the belief that the person to whom the property belongs to cannot be discovered by taking reasonable steps.</w:t>
      </w:r>
    </w:p>
    <w:p w14:paraId="084A9404" w14:textId="6A0FCF5A" w:rsidR="00A27569" w:rsidRPr="00A27569" w:rsidRDefault="005B4716" w:rsidP="00A27569">
      <w:pPr>
        <w:spacing w:line="480" w:lineRule="auto"/>
        <w:rPr>
          <w:sz w:val="20"/>
          <w:szCs w:val="20"/>
        </w:rPr>
      </w:pPr>
      <w:r w:rsidRPr="00A27569">
        <w:rPr>
          <w:sz w:val="20"/>
          <w:szCs w:val="20"/>
        </w:rPr>
        <w:t xml:space="preserve">                </w:t>
      </w:r>
      <w:r w:rsidRPr="00A27569">
        <w:rPr>
          <w:sz w:val="20"/>
          <w:szCs w:val="20"/>
        </w:rPr>
        <w:t>Under section 4 of the Theft Act, the key statute states that what ‘property includes money and all other property, real or personal, including things in action and other intangible property. Problems really arise with tangible property for example things with physical presence that can be touched, although money can always call confusion. Things that amount to property can be coins and notes but not cheques. An example of this in R v Davies (1989) where the defendant was stealing his girlfriend’s income when she was being paid by a bank transfer for renting out land she owned. The defendant started to take coins and notes out of his girlfriend’s purse as he believed he had the right to take some of the earnings. To further the list, in the case law R v Kelly (1992), the defendant was painting various body parts. The defendant was a trainee at a centre, he removed several body parts over the course of 6 months in order to have a clearer picture to paint. The defendant did not have the right to take the plastic body parts therefore he was liable for theft. Personal property is tangible objects, as stated by the volume 1 policing manual Blackstones 2021, personal property includes a TV and the sofa in your home. Intangible property, such as things in action can also cause some trouble in law. The Blackstones handbook (2017) states that intangible items are things that exist but cannot be touched. Examples of this is, an oxygen tank, space in a skip, and trademark logos. This does not include electricity. Under section 13 it states that electricity which is the abstraction of electricity can be classified as theft. It states that if a person commits an offence where he or she dishonestly uses without authority or dishonestly causes to be wasted or diverted any electricity. It also states that under Section 4, but it is possible to steal your own property. The case law for this is R v Turnball. Identifying theft can become complicated, ‘confidential information’ or ‘human bodies (dead or alive)’ are not classed as property under the Theft Act. Under Section 4 (2) it states that land does not amount to property. It also states that mushrooms, Flowers, fruit, and foliage growing wild does not include under the list of propert</w:t>
      </w:r>
      <w:r w:rsidR="00A27569">
        <w:rPr>
          <w:sz w:val="20"/>
          <w:szCs w:val="20"/>
        </w:rPr>
        <w:t>y.</w:t>
      </w:r>
    </w:p>
    <w:p w14:paraId="2EE66AFF" w14:textId="77777777" w:rsidR="005B4716" w:rsidRPr="00A27569" w:rsidRDefault="005B4716" w:rsidP="00A27569">
      <w:pPr>
        <w:pStyle w:val="ListParagraph"/>
        <w:numPr>
          <w:ilvl w:val="0"/>
          <w:numId w:val="2"/>
        </w:numPr>
        <w:spacing w:line="480" w:lineRule="auto"/>
        <w:rPr>
          <w:sz w:val="20"/>
          <w:szCs w:val="20"/>
        </w:rPr>
      </w:pPr>
    </w:p>
    <w:p w14:paraId="12CBD223" w14:textId="77777777" w:rsidR="00A27569" w:rsidRDefault="005B4716" w:rsidP="00A27569">
      <w:pPr>
        <w:spacing w:line="480" w:lineRule="auto"/>
        <w:rPr>
          <w:sz w:val="20"/>
          <w:szCs w:val="20"/>
        </w:rPr>
      </w:pPr>
      <w:r w:rsidRPr="00A27569">
        <w:rPr>
          <w:sz w:val="20"/>
          <w:szCs w:val="20"/>
        </w:rPr>
        <w:t xml:space="preserve">Burglary is a serious offence, not all burglaries are reported. According to the Blackstone’s Handbook 2017, recent research suggests that there has been an increase of number of burglaries with the main aim of obtaining vehicle keys to steal vehicles. Burglary has the highest victim rates of the elderly age range as they are seen the most vulnerable for this offence. Under section 9 of the Theft Act 1968, ‘a person is guilty of burglary if- (a) he enters a building or part of a building as a trespasser and with intent to commit any such offence as mentioned in sub section (2). Subsection (2) having entered any building or part of a building as a trespasser he steals or attempts to steal, cause unlawful damage or to inflict or attempts to inflict on any person any grievous bodily harm’.  </w:t>
      </w:r>
    </w:p>
    <w:p w14:paraId="07BC7D74" w14:textId="77777777" w:rsidR="00A27569" w:rsidRDefault="00A27569" w:rsidP="00A27569">
      <w:pPr>
        <w:spacing w:line="480" w:lineRule="auto"/>
        <w:rPr>
          <w:sz w:val="20"/>
          <w:szCs w:val="20"/>
        </w:rPr>
      </w:pPr>
      <w:r>
        <w:rPr>
          <w:sz w:val="20"/>
          <w:szCs w:val="20"/>
        </w:rPr>
        <w:t xml:space="preserve">                 </w:t>
      </w:r>
      <w:r w:rsidR="005B4716" w:rsidRPr="00A27569">
        <w:rPr>
          <w:sz w:val="20"/>
          <w:szCs w:val="20"/>
        </w:rPr>
        <w:t>Section 9 (1) (a) concerns entry with intent. There is no need to prove the second part of the offence was actually committed. For example, in Collins (1973) the defendant was charged with burglary when he climbed a ladder naked and was invited in by a lady laying in bed thinking it was her boyfriend. The defendant was charged with section 9 (1) (a) because he entered as a trespasser with intent. The defendant overstayed his permission which made the invitation invalid and mistaken which results in h</w:t>
      </w:r>
      <w:r>
        <w:rPr>
          <w:sz w:val="20"/>
          <w:szCs w:val="20"/>
        </w:rPr>
        <w:t>i</w:t>
      </w:r>
      <w:r w:rsidR="005B4716" w:rsidRPr="00A27569">
        <w:rPr>
          <w:sz w:val="20"/>
          <w:szCs w:val="20"/>
        </w:rPr>
        <w:t xml:space="preserve">m becoming a trespasser. Under section 9 (1) (b) the intent to commit burglary comes later in the act. </w:t>
      </w:r>
    </w:p>
    <w:p w14:paraId="57B69519" w14:textId="359CE404" w:rsidR="005B4716" w:rsidRPr="00A27569" w:rsidRDefault="00A27569" w:rsidP="00A27569">
      <w:pPr>
        <w:spacing w:line="480" w:lineRule="auto"/>
        <w:rPr>
          <w:sz w:val="20"/>
          <w:szCs w:val="20"/>
        </w:rPr>
      </w:pPr>
      <w:r>
        <w:rPr>
          <w:sz w:val="20"/>
          <w:szCs w:val="20"/>
        </w:rPr>
        <w:t xml:space="preserve">                  </w:t>
      </w:r>
      <w:r w:rsidR="005B4716" w:rsidRPr="00A27569">
        <w:rPr>
          <w:sz w:val="20"/>
          <w:szCs w:val="20"/>
        </w:rPr>
        <w:t>There are four main point to prove for burglary, three of which are actus reus elements these are ‘entry’, ‘building or part of’, ‘trespasser’. The remaining point to prove is the intention or recklessness to being a trespasser this is mens rea element. Burglary creates two separate offences with common elements both present in 9 (1) (a) and 9 (1) (b).</w:t>
      </w:r>
      <w:r w:rsidR="005B4716" w:rsidRPr="00A27569">
        <w:rPr>
          <w:sz w:val="20"/>
          <w:szCs w:val="20"/>
        </w:rPr>
        <w:t xml:space="preserve"> </w:t>
      </w:r>
      <w:r w:rsidR="005B4716" w:rsidRPr="00A27569">
        <w:rPr>
          <w:sz w:val="20"/>
          <w:szCs w:val="20"/>
        </w:rPr>
        <w:t>According to the criminal law book 2017 this section requires all five elements of theft</w:t>
      </w:r>
      <w:r w:rsidR="005B4716" w:rsidRPr="00A27569">
        <w:rPr>
          <w:sz w:val="20"/>
          <w:szCs w:val="20"/>
        </w:rPr>
        <w:t xml:space="preserve"> to be present for burglary to be committed. </w:t>
      </w:r>
    </w:p>
    <w:p w14:paraId="03B13078" w14:textId="4CC5125D" w:rsidR="005B4716" w:rsidRDefault="005B4716" w:rsidP="00A27569">
      <w:pPr>
        <w:spacing w:line="480" w:lineRule="auto"/>
        <w:rPr>
          <w:sz w:val="20"/>
          <w:szCs w:val="20"/>
        </w:rPr>
      </w:pPr>
      <w:r w:rsidRPr="00A27569">
        <w:rPr>
          <w:sz w:val="20"/>
          <w:szCs w:val="20"/>
        </w:rPr>
        <w:t xml:space="preserve">                                          </w:t>
      </w:r>
      <w:r w:rsidRPr="00A27569">
        <w:rPr>
          <w:sz w:val="20"/>
          <w:szCs w:val="20"/>
        </w:rPr>
        <w:t xml:space="preserve">One of the common elements is </w:t>
      </w:r>
      <w:r w:rsidR="00367D47" w:rsidRPr="00A27569">
        <w:rPr>
          <w:sz w:val="20"/>
          <w:szCs w:val="20"/>
        </w:rPr>
        <w:t>‘</w:t>
      </w:r>
      <w:r w:rsidRPr="00A27569">
        <w:rPr>
          <w:sz w:val="20"/>
          <w:szCs w:val="20"/>
        </w:rPr>
        <w:t>entry</w:t>
      </w:r>
      <w:r w:rsidR="00367D47" w:rsidRPr="00A27569">
        <w:rPr>
          <w:sz w:val="20"/>
          <w:szCs w:val="20"/>
        </w:rPr>
        <w:t>’</w:t>
      </w:r>
      <w:r w:rsidRPr="00A27569">
        <w:rPr>
          <w:sz w:val="20"/>
          <w:szCs w:val="20"/>
        </w:rPr>
        <w:t>. E</w:t>
      </w:r>
      <w:r w:rsidRPr="00A27569">
        <w:rPr>
          <w:sz w:val="20"/>
          <w:szCs w:val="20"/>
        </w:rPr>
        <w:t xml:space="preserve">ntry is suffice when any part of the body enters a part of the building. In some cases, partial entry will be present this means that the defendant put only part of his body into the building, this will suffice to satisfy the entry element. For example, in Brown (1985), the defendant put his hand through an open window to remove a purse from inside the building and in Ryan (1996), this is where the defendant was found stuck in a window with his head and one of his arms inside the building. He claimed that there was no effective entry, but this was later overturned to partial entry. In some cases, an instrument on innocent agent for example a child can be used to enter the building to commit </w:t>
      </w:r>
      <w:r w:rsidRPr="00A27569">
        <w:rPr>
          <w:sz w:val="20"/>
          <w:szCs w:val="20"/>
        </w:rPr>
        <w:lastRenderedPageBreak/>
        <w:t xml:space="preserve">burglary this is because the defendants aim is achieved by somewhat way of entering the building even though the body of the defendant did not enter. As stated in the blackstone's Handbook 2017, entry is sometimes </w:t>
      </w:r>
      <w:r w:rsidRPr="00A27569">
        <w:rPr>
          <w:sz w:val="20"/>
          <w:szCs w:val="20"/>
        </w:rPr>
        <w:t>sufficed</w:t>
      </w:r>
      <w:r w:rsidRPr="00A27569">
        <w:rPr>
          <w:sz w:val="20"/>
          <w:szCs w:val="20"/>
        </w:rPr>
        <w:t xml:space="preserve"> when exceeding an imaginary line.</w:t>
      </w:r>
    </w:p>
    <w:p w14:paraId="260CB1F7" w14:textId="03FAD0FC" w:rsidR="00930B9E" w:rsidRDefault="00930B9E" w:rsidP="00A27569">
      <w:pPr>
        <w:spacing w:line="480" w:lineRule="auto"/>
        <w:rPr>
          <w:sz w:val="20"/>
          <w:szCs w:val="20"/>
        </w:rPr>
      </w:pPr>
      <w:r>
        <w:rPr>
          <w:sz w:val="20"/>
          <w:szCs w:val="20"/>
        </w:rPr>
        <w:t xml:space="preserve">                  </w:t>
      </w:r>
      <w:r w:rsidR="00692B28">
        <w:rPr>
          <w:sz w:val="20"/>
          <w:szCs w:val="20"/>
        </w:rPr>
        <w:t xml:space="preserve"> </w:t>
      </w:r>
      <w:r w:rsidR="00692B28" w:rsidRPr="00692B28">
        <w:rPr>
          <w:sz w:val="20"/>
          <w:szCs w:val="20"/>
        </w:rPr>
        <w:t>If someone was to suffice entry under the Theft Act 1968, then they would of entered a building or a part of a building</w:t>
      </w:r>
      <w:r w:rsidR="00692B28">
        <w:rPr>
          <w:sz w:val="20"/>
          <w:szCs w:val="20"/>
        </w:rPr>
        <w:t xml:space="preserve">. </w:t>
      </w:r>
      <w:r w:rsidRPr="00930B9E">
        <w:rPr>
          <w:sz w:val="20"/>
          <w:szCs w:val="20"/>
        </w:rPr>
        <w:t>As stated in the blackstone's Handbook 2017, entry is sometimes suffice when exceeding an imaginary line. Another common element is a ‘building or part of a building’, according to the Criminal Law book 2017, a building is a non-typical structure as stated under section 9 this could be a habitable vehicle or vessel. Other structures are judged to see whether they are a sufficient size and permanence by the court. R v Leathley (1979) is an example of burglary of a non-permanent structure. This is where a lorry container was resting on sleepers and used as refrigeration storage. It was connected to the electricity supply and had been in the same place 3 years. When on trial, the court decided that the container did constitute a building for the purposes of the Theft Act 1968. According to volume 1 of the police manual Blackstone's 2021, ‘a building is generally considered to be a structure of a permanent nature’, following on a portable container measuring 25 foot by 7 foot and weighing 3 tonnes can be classed as a building.</w:t>
      </w:r>
    </w:p>
    <w:p w14:paraId="3F5E4C22" w14:textId="5DEC54D3" w:rsidR="00930B9E" w:rsidRPr="00A27569" w:rsidRDefault="00930B9E" w:rsidP="00A27569">
      <w:pPr>
        <w:spacing w:line="480" w:lineRule="auto"/>
        <w:rPr>
          <w:sz w:val="20"/>
          <w:szCs w:val="20"/>
        </w:rPr>
      </w:pPr>
      <w:r>
        <w:rPr>
          <w:sz w:val="20"/>
          <w:szCs w:val="20"/>
        </w:rPr>
        <w:t xml:space="preserve">                </w:t>
      </w:r>
      <w:r w:rsidRPr="00930B9E">
        <w:rPr>
          <w:sz w:val="20"/>
          <w:szCs w:val="20"/>
        </w:rPr>
        <w:t xml:space="preserve"> Following on a part of the building will suffice his entry, separate areas within a building with limited access of authorities such as a staff only area in a shop is a part of a building. For example, in Walkington (1979) the defendant went behind a shop counter an interfered with the till he argued that he was not liable for burglary as he had not formed the intention to steal before entering the shop, and also, he argued that the tell area was not a separate part of the building. This was later overturned as it was held as the part of the building was determined by the presence of the physical feature such as a separate room which is a restricted area or other forms of barriers in this case it was the till. According to the Blackstone's Handbook 2017, a building does not necessarily need to be a complete structure. For example, a house under construction becomes a building when it has all its walls and a roof.</w:t>
      </w:r>
    </w:p>
    <w:p w14:paraId="650878AD" w14:textId="110A6E5A" w:rsidR="00A27569" w:rsidRPr="00A27569" w:rsidRDefault="00A27569" w:rsidP="00A27569">
      <w:pPr>
        <w:spacing w:line="480" w:lineRule="auto"/>
        <w:rPr>
          <w:sz w:val="20"/>
          <w:szCs w:val="20"/>
        </w:rPr>
      </w:pPr>
    </w:p>
    <w:p w14:paraId="58381C94" w14:textId="7BAD4835" w:rsidR="00A27569" w:rsidRPr="00A27569" w:rsidRDefault="00A27569" w:rsidP="00A27569">
      <w:pPr>
        <w:spacing w:line="480" w:lineRule="auto"/>
        <w:rPr>
          <w:sz w:val="20"/>
          <w:szCs w:val="20"/>
        </w:rPr>
      </w:pPr>
    </w:p>
    <w:p w14:paraId="3F5E0C0E" w14:textId="4E7F0F4C" w:rsidR="00A27569" w:rsidRDefault="00A27569" w:rsidP="00A27569">
      <w:pPr>
        <w:spacing w:line="480" w:lineRule="auto"/>
        <w:rPr>
          <w:sz w:val="20"/>
          <w:szCs w:val="20"/>
        </w:rPr>
      </w:pPr>
    </w:p>
    <w:p w14:paraId="7B7ABEFB" w14:textId="77777777" w:rsidR="00930B9E" w:rsidRPr="00A27569" w:rsidRDefault="00930B9E" w:rsidP="00A27569">
      <w:pPr>
        <w:spacing w:line="480" w:lineRule="auto"/>
        <w:rPr>
          <w:sz w:val="20"/>
          <w:szCs w:val="20"/>
        </w:rPr>
      </w:pPr>
    </w:p>
    <w:p w14:paraId="4861F2C1" w14:textId="77777777" w:rsidR="0068032A" w:rsidRPr="00A27569" w:rsidRDefault="0068032A" w:rsidP="00A27569">
      <w:pPr>
        <w:pStyle w:val="ListParagraph"/>
        <w:numPr>
          <w:ilvl w:val="0"/>
          <w:numId w:val="2"/>
        </w:numPr>
        <w:spacing w:line="480" w:lineRule="auto"/>
        <w:rPr>
          <w:sz w:val="20"/>
          <w:szCs w:val="20"/>
        </w:rPr>
      </w:pPr>
    </w:p>
    <w:p w14:paraId="30140283" w14:textId="5F9E6F46" w:rsidR="0068032A" w:rsidRPr="00A27569" w:rsidRDefault="0068032A" w:rsidP="00A27569">
      <w:pPr>
        <w:spacing w:line="480" w:lineRule="auto"/>
        <w:rPr>
          <w:sz w:val="20"/>
          <w:szCs w:val="20"/>
        </w:rPr>
      </w:pPr>
      <w:r w:rsidRPr="00A27569">
        <w:rPr>
          <w:sz w:val="20"/>
          <w:szCs w:val="20"/>
        </w:rPr>
        <w:t>Non-fatal offences against the person are a collection of common law and statutory offences</w:t>
      </w:r>
      <w:r w:rsidRPr="00A27569">
        <w:rPr>
          <w:sz w:val="20"/>
          <w:szCs w:val="20"/>
        </w:rPr>
        <w:t xml:space="preserve">. </w:t>
      </w:r>
      <w:r w:rsidRPr="00A27569">
        <w:rPr>
          <w:sz w:val="20"/>
          <w:szCs w:val="20"/>
        </w:rPr>
        <w:t xml:space="preserve">The offences found in the </w:t>
      </w:r>
      <w:bookmarkStart w:id="0" w:name="_Hlk66173673"/>
      <w:r w:rsidR="005F4590" w:rsidRPr="00A27569">
        <w:rPr>
          <w:sz w:val="20"/>
          <w:szCs w:val="20"/>
        </w:rPr>
        <w:t>O</w:t>
      </w:r>
      <w:r w:rsidRPr="00A27569">
        <w:rPr>
          <w:sz w:val="20"/>
          <w:szCs w:val="20"/>
        </w:rPr>
        <w:t xml:space="preserve">ffences </w:t>
      </w:r>
      <w:r w:rsidR="005F4590" w:rsidRPr="00A27569">
        <w:rPr>
          <w:sz w:val="20"/>
          <w:szCs w:val="20"/>
        </w:rPr>
        <w:t>A</w:t>
      </w:r>
      <w:r w:rsidRPr="00A27569">
        <w:rPr>
          <w:sz w:val="20"/>
          <w:szCs w:val="20"/>
        </w:rPr>
        <w:t xml:space="preserve">gainst the </w:t>
      </w:r>
      <w:r w:rsidR="005F4590" w:rsidRPr="00A27569">
        <w:rPr>
          <w:sz w:val="20"/>
          <w:szCs w:val="20"/>
        </w:rPr>
        <w:t>P</w:t>
      </w:r>
      <w:r w:rsidRPr="00A27569">
        <w:rPr>
          <w:sz w:val="20"/>
          <w:szCs w:val="20"/>
        </w:rPr>
        <w:t xml:space="preserve">erson </w:t>
      </w:r>
      <w:r w:rsidR="005F4590" w:rsidRPr="00A27569">
        <w:rPr>
          <w:sz w:val="20"/>
          <w:szCs w:val="20"/>
        </w:rPr>
        <w:t>A</w:t>
      </w:r>
      <w:r w:rsidRPr="00A27569">
        <w:rPr>
          <w:sz w:val="20"/>
          <w:szCs w:val="20"/>
        </w:rPr>
        <w:t xml:space="preserve">ct 1861 </w:t>
      </w:r>
      <w:bookmarkEnd w:id="0"/>
      <w:r w:rsidRPr="00A27569">
        <w:rPr>
          <w:sz w:val="20"/>
          <w:szCs w:val="20"/>
        </w:rPr>
        <w:t xml:space="preserve">originally came from a variety of other sources but were obtained together in a statue that incorporates the less serious offences of assault and battery </w:t>
      </w:r>
      <w:r w:rsidRPr="00A27569">
        <w:rPr>
          <w:sz w:val="20"/>
          <w:szCs w:val="20"/>
        </w:rPr>
        <w:t>(</w:t>
      </w:r>
      <w:r w:rsidRPr="00A27569">
        <w:rPr>
          <w:sz w:val="20"/>
          <w:szCs w:val="20"/>
        </w:rPr>
        <w:t>which are common law offences</w:t>
      </w:r>
      <w:r w:rsidRPr="00A27569">
        <w:rPr>
          <w:sz w:val="20"/>
          <w:szCs w:val="20"/>
        </w:rPr>
        <w:t xml:space="preserve">) with more serious harm </w:t>
      </w:r>
      <w:r w:rsidR="005F4590" w:rsidRPr="00A27569">
        <w:rPr>
          <w:sz w:val="20"/>
          <w:szCs w:val="20"/>
        </w:rPr>
        <w:t xml:space="preserve">offence </w:t>
      </w:r>
      <w:r w:rsidRPr="00A27569">
        <w:rPr>
          <w:sz w:val="20"/>
          <w:szCs w:val="20"/>
        </w:rPr>
        <w:t>against a person</w:t>
      </w:r>
      <w:r w:rsidR="005F4590" w:rsidRPr="00A27569">
        <w:rPr>
          <w:sz w:val="20"/>
          <w:szCs w:val="20"/>
        </w:rPr>
        <w:t xml:space="preserve"> such as actual bodily harm (ABH) and grievously bodily harm (GBH). All offences that are included in the </w:t>
      </w:r>
      <w:r w:rsidR="005F4590" w:rsidRPr="00A27569">
        <w:rPr>
          <w:sz w:val="20"/>
          <w:szCs w:val="20"/>
        </w:rPr>
        <w:t>Offences Against the Person Act 1861</w:t>
      </w:r>
      <w:r w:rsidR="005F4590" w:rsidRPr="00A27569">
        <w:rPr>
          <w:sz w:val="20"/>
          <w:szCs w:val="20"/>
        </w:rPr>
        <w:t xml:space="preserve"> requires basic elements of assault. These include </w:t>
      </w:r>
      <w:r w:rsidR="005F4590" w:rsidRPr="00A27569">
        <w:rPr>
          <w:sz w:val="20"/>
          <w:szCs w:val="20"/>
        </w:rPr>
        <w:t>‘The act’</w:t>
      </w:r>
      <w:r w:rsidR="005F4590" w:rsidRPr="00A27569">
        <w:rPr>
          <w:sz w:val="20"/>
          <w:szCs w:val="20"/>
        </w:rPr>
        <w:t xml:space="preserve">, </w:t>
      </w:r>
      <w:r w:rsidR="005F4590" w:rsidRPr="00A27569">
        <w:rPr>
          <w:sz w:val="20"/>
          <w:szCs w:val="20"/>
        </w:rPr>
        <w:t>‘Apprehension’</w:t>
      </w:r>
      <w:r w:rsidR="005F4590" w:rsidRPr="00A27569">
        <w:rPr>
          <w:sz w:val="20"/>
          <w:szCs w:val="20"/>
        </w:rPr>
        <w:t xml:space="preserve"> and </w:t>
      </w:r>
      <w:r w:rsidR="005F4590" w:rsidRPr="00A27569">
        <w:rPr>
          <w:sz w:val="20"/>
          <w:szCs w:val="20"/>
        </w:rPr>
        <w:t>‘Immediate violence’</w:t>
      </w:r>
      <w:r w:rsidR="005F4590" w:rsidRPr="00A27569">
        <w:rPr>
          <w:sz w:val="20"/>
          <w:szCs w:val="20"/>
        </w:rPr>
        <w:t xml:space="preserve">. </w:t>
      </w:r>
      <w:r w:rsidR="005F4590" w:rsidRPr="00A27569">
        <w:rPr>
          <w:sz w:val="20"/>
          <w:szCs w:val="20"/>
        </w:rPr>
        <w:t>‘The act’ requires a carried-out act, it was first thought that the act was limited to conduct and did not need to include words, but this was overruled by the House of Lords in the case of R v Ireland (1998). In this case the defendant made several silent calls to the victim to suffer anxiety, depression, and stress. ‘Apprehension’ requires the act to cause apprehension of violence. In this, apprehension means expectation. Furthermore, if the victim fears violence without the expectation, then there is no offence of common assault. ‘Immediate violence’ is simply defined as an expectation of an imminent attack.</w:t>
      </w:r>
    </w:p>
    <w:p w14:paraId="00D2B37A" w14:textId="77777777" w:rsidR="00E115AC" w:rsidRPr="00A27569" w:rsidRDefault="008169BC" w:rsidP="00A27569">
      <w:pPr>
        <w:spacing w:line="480" w:lineRule="auto"/>
        <w:rPr>
          <w:sz w:val="20"/>
          <w:szCs w:val="20"/>
        </w:rPr>
      </w:pPr>
      <w:r w:rsidRPr="00A27569">
        <w:rPr>
          <w:sz w:val="20"/>
          <w:szCs w:val="20"/>
        </w:rPr>
        <w:t xml:space="preserve">                  </w:t>
      </w:r>
      <w:r w:rsidR="005F4590" w:rsidRPr="00A27569">
        <w:rPr>
          <w:sz w:val="20"/>
          <w:szCs w:val="20"/>
        </w:rPr>
        <w:t>In this case, person (A) has committed t</w:t>
      </w:r>
      <w:r w:rsidR="005F4590" w:rsidRPr="00A27569">
        <w:rPr>
          <w:sz w:val="20"/>
          <w:szCs w:val="20"/>
        </w:rPr>
        <w:t xml:space="preserve">he most serious non-fatal offence against </w:t>
      </w:r>
      <w:r w:rsidR="005F4590" w:rsidRPr="00A27569">
        <w:rPr>
          <w:sz w:val="20"/>
          <w:szCs w:val="20"/>
        </w:rPr>
        <w:t>a</w:t>
      </w:r>
      <w:r w:rsidR="005F4590" w:rsidRPr="00A27569">
        <w:rPr>
          <w:sz w:val="20"/>
          <w:szCs w:val="20"/>
        </w:rPr>
        <w:t xml:space="preserve"> person</w:t>
      </w:r>
      <w:r w:rsidR="005F4590" w:rsidRPr="00A27569">
        <w:rPr>
          <w:sz w:val="20"/>
          <w:szCs w:val="20"/>
        </w:rPr>
        <w:t xml:space="preserve"> which is </w:t>
      </w:r>
      <w:r w:rsidR="005F4590" w:rsidRPr="00A27569">
        <w:rPr>
          <w:sz w:val="20"/>
          <w:szCs w:val="20"/>
        </w:rPr>
        <w:t>found under section 18 which is grievous bodily harm (GBH) with intent. It states that ‘whosoever shall unlawfully and maliciously wound or cause any grievously bodily harm with intent to do some grievous bodily harm to any person or with intent to resist or prevent the lawful apprehension or detainer of any person shall be liable to imprisonment for life’. Like section 20, there are two different ways that the actus reus of section 18 can be satisfied, firstly it is the unlawful wounding or secondly causing the GBH. As stated in the criminal law book 2017, there is very little distinction between these both, which means that section 18 compared to section 20, the actus reus is the same</w:t>
      </w:r>
      <w:r w:rsidRPr="00A27569">
        <w:rPr>
          <w:sz w:val="20"/>
          <w:szCs w:val="20"/>
        </w:rPr>
        <w:t xml:space="preserve"> which is ‘u</w:t>
      </w:r>
      <w:r w:rsidRPr="00A27569">
        <w:rPr>
          <w:sz w:val="20"/>
          <w:szCs w:val="20"/>
        </w:rPr>
        <w:t>nlawfully</w:t>
      </w:r>
      <w:r w:rsidRPr="00A27569">
        <w:rPr>
          <w:sz w:val="20"/>
          <w:szCs w:val="20"/>
        </w:rPr>
        <w:t>’, ‘w</w:t>
      </w:r>
      <w:r w:rsidRPr="00A27569">
        <w:rPr>
          <w:sz w:val="20"/>
          <w:szCs w:val="20"/>
        </w:rPr>
        <w:t>ound</w:t>
      </w:r>
      <w:r w:rsidRPr="00A27569">
        <w:rPr>
          <w:sz w:val="20"/>
          <w:szCs w:val="20"/>
        </w:rPr>
        <w:t>’, ‘</w:t>
      </w:r>
      <w:r w:rsidRPr="00A27569">
        <w:rPr>
          <w:sz w:val="20"/>
          <w:szCs w:val="20"/>
        </w:rPr>
        <w:t>or inflict GBH</w:t>
      </w:r>
      <w:r w:rsidRPr="00A27569">
        <w:rPr>
          <w:sz w:val="20"/>
          <w:szCs w:val="20"/>
        </w:rPr>
        <w:t>’, ‘</w:t>
      </w:r>
      <w:r w:rsidRPr="00A27569">
        <w:rPr>
          <w:sz w:val="20"/>
          <w:szCs w:val="20"/>
        </w:rPr>
        <w:t>on another person</w:t>
      </w:r>
      <w:r w:rsidRPr="00A27569">
        <w:rPr>
          <w:sz w:val="20"/>
          <w:szCs w:val="20"/>
        </w:rPr>
        <w:t xml:space="preserve">’. </w:t>
      </w:r>
    </w:p>
    <w:p w14:paraId="45BB0427" w14:textId="18FD9A83" w:rsidR="008169BC" w:rsidRPr="00A27569" w:rsidRDefault="00E115AC" w:rsidP="00A27569">
      <w:pPr>
        <w:spacing w:line="480" w:lineRule="auto"/>
        <w:rPr>
          <w:sz w:val="20"/>
          <w:szCs w:val="20"/>
        </w:rPr>
      </w:pPr>
      <w:r w:rsidRPr="00A27569">
        <w:rPr>
          <w:sz w:val="20"/>
          <w:szCs w:val="20"/>
        </w:rPr>
        <w:t xml:space="preserve">           </w:t>
      </w:r>
      <w:r w:rsidRPr="00A27569">
        <w:rPr>
          <w:sz w:val="20"/>
          <w:szCs w:val="20"/>
        </w:rPr>
        <w:t xml:space="preserve">According to the criminal law book 2017, with a combination of the actus reus and the mens rea elements it brings together four ways that section 20 may be satisfied. Firstly, it is with intention, the two ways of this could be the intentionally wounding or intentionally inflicting. The other two ways is to be reckless to the wounding or to be recklessly unaware of the infliction. The difference between the wounding or infliction of the grievous bodily harm is shown in the actus reus part of the offence. A ‘wound’ is stated as a ‘really serious harm’ in DPP v Smith (1961) and in C v Eisenhower (1984) it furthers the description by saying that a </w:t>
      </w:r>
      <w:r w:rsidRPr="00A27569">
        <w:rPr>
          <w:sz w:val="20"/>
          <w:szCs w:val="20"/>
        </w:rPr>
        <w:lastRenderedPageBreak/>
        <w:t>wound is ‘a break in the continuity of both layers of the skin’. Examples of GBH are injuries of a more substantial nature such as broken limbs or substantial loss of blood. In some cases, GBH does not have to be assault or battery, an example of this would be the transmission of HIV’s.</w:t>
      </w:r>
      <w:r w:rsidR="00792D7A" w:rsidRPr="00A27569">
        <w:rPr>
          <w:sz w:val="20"/>
          <w:szCs w:val="20"/>
        </w:rPr>
        <w:t xml:space="preserve"> An example of GBH with intent which include a huge list of injuries is </w:t>
      </w:r>
      <w:r w:rsidR="00792D7A" w:rsidRPr="00A27569">
        <w:rPr>
          <w:sz w:val="20"/>
          <w:szCs w:val="20"/>
        </w:rPr>
        <w:t xml:space="preserve">R v Brown and Stratton </w:t>
      </w:r>
      <w:r w:rsidR="00792D7A" w:rsidRPr="00A27569">
        <w:rPr>
          <w:sz w:val="20"/>
          <w:szCs w:val="20"/>
        </w:rPr>
        <w:t>(</w:t>
      </w:r>
      <w:r w:rsidR="00792D7A" w:rsidRPr="00A27569">
        <w:rPr>
          <w:sz w:val="20"/>
          <w:szCs w:val="20"/>
        </w:rPr>
        <w:t>1997</w:t>
      </w:r>
      <w:r w:rsidR="00792D7A" w:rsidRPr="00A27569">
        <w:rPr>
          <w:sz w:val="20"/>
          <w:szCs w:val="20"/>
        </w:rPr>
        <w:t xml:space="preserve">), in this, two cousins attacked another family member during gender </w:t>
      </w:r>
      <w:r w:rsidR="00792D7A" w:rsidRPr="00A27569">
        <w:rPr>
          <w:sz w:val="20"/>
          <w:szCs w:val="20"/>
        </w:rPr>
        <w:t>reassignment</w:t>
      </w:r>
      <w:r w:rsidR="00792D7A" w:rsidRPr="00A27569">
        <w:rPr>
          <w:sz w:val="20"/>
          <w:szCs w:val="20"/>
        </w:rPr>
        <w:t xml:space="preserve"> surgery. The defendants went around to the victim’s house with the intention to cause serious injury. I</w:t>
      </w:r>
      <w:r w:rsidR="00792D7A" w:rsidRPr="00A27569">
        <w:rPr>
          <w:sz w:val="20"/>
          <w:szCs w:val="20"/>
        </w:rPr>
        <w:t xml:space="preserve">n the attack </w:t>
      </w:r>
      <w:r w:rsidR="00792D7A" w:rsidRPr="00A27569">
        <w:rPr>
          <w:sz w:val="20"/>
          <w:szCs w:val="20"/>
        </w:rPr>
        <w:t xml:space="preserve">the victim </w:t>
      </w:r>
      <w:r w:rsidR="00792D7A" w:rsidRPr="00A27569">
        <w:rPr>
          <w:sz w:val="20"/>
          <w:szCs w:val="20"/>
        </w:rPr>
        <w:t xml:space="preserve">sustained a broken nose, she lost three teeth, swelling to her face, lacerations to her eye and concussion. The defendants </w:t>
      </w:r>
      <w:r w:rsidR="00792D7A" w:rsidRPr="00A27569">
        <w:rPr>
          <w:sz w:val="20"/>
          <w:szCs w:val="20"/>
        </w:rPr>
        <w:t>pleaded</w:t>
      </w:r>
      <w:r w:rsidR="00792D7A" w:rsidRPr="00A27569">
        <w:rPr>
          <w:sz w:val="20"/>
          <w:szCs w:val="20"/>
        </w:rPr>
        <w:t xml:space="preserve"> for </w:t>
      </w:r>
      <w:r w:rsidR="006B06BD" w:rsidRPr="00A27569">
        <w:rPr>
          <w:sz w:val="20"/>
          <w:szCs w:val="20"/>
        </w:rPr>
        <w:t>ABH,</w:t>
      </w:r>
      <w:r w:rsidR="00792D7A" w:rsidRPr="00A27569">
        <w:rPr>
          <w:sz w:val="20"/>
          <w:szCs w:val="20"/>
        </w:rPr>
        <w:t xml:space="preserve"> but </w:t>
      </w:r>
      <w:r w:rsidR="00792D7A" w:rsidRPr="00A27569">
        <w:rPr>
          <w:sz w:val="20"/>
          <w:szCs w:val="20"/>
        </w:rPr>
        <w:t xml:space="preserve">they were </w:t>
      </w:r>
      <w:r w:rsidR="00792D7A" w:rsidRPr="00A27569">
        <w:rPr>
          <w:sz w:val="20"/>
          <w:szCs w:val="20"/>
        </w:rPr>
        <w:t xml:space="preserve">denied </w:t>
      </w:r>
      <w:r w:rsidR="00792D7A" w:rsidRPr="00A27569">
        <w:rPr>
          <w:sz w:val="20"/>
          <w:szCs w:val="20"/>
        </w:rPr>
        <w:t xml:space="preserve">because they </w:t>
      </w:r>
      <w:r w:rsidR="00792D7A" w:rsidRPr="00A27569">
        <w:rPr>
          <w:sz w:val="20"/>
          <w:szCs w:val="20"/>
        </w:rPr>
        <w:t>caus</w:t>
      </w:r>
      <w:r w:rsidR="00792D7A" w:rsidRPr="00A27569">
        <w:rPr>
          <w:sz w:val="20"/>
          <w:szCs w:val="20"/>
        </w:rPr>
        <w:t>ed</w:t>
      </w:r>
      <w:r w:rsidR="00792D7A" w:rsidRPr="00A27569">
        <w:rPr>
          <w:sz w:val="20"/>
          <w:szCs w:val="20"/>
        </w:rPr>
        <w:t xml:space="preserve"> GBH</w:t>
      </w:r>
      <w:r w:rsidR="00792D7A" w:rsidRPr="00A27569">
        <w:rPr>
          <w:sz w:val="20"/>
          <w:szCs w:val="20"/>
        </w:rPr>
        <w:t xml:space="preserve"> injuries. The judge explained to the </w:t>
      </w:r>
      <w:r w:rsidR="006B06BD" w:rsidRPr="00A27569">
        <w:rPr>
          <w:sz w:val="20"/>
          <w:szCs w:val="20"/>
        </w:rPr>
        <w:t>cousins</w:t>
      </w:r>
      <w:r w:rsidR="00792D7A" w:rsidRPr="00A27569">
        <w:rPr>
          <w:sz w:val="20"/>
          <w:szCs w:val="20"/>
        </w:rPr>
        <w:t xml:space="preserve"> that the i</w:t>
      </w:r>
      <w:r w:rsidR="006B06BD" w:rsidRPr="00A27569">
        <w:rPr>
          <w:sz w:val="20"/>
          <w:szCs w:val="20"/>
        </w:rPr>
        <w:t>njuries were really serious. The judge stated, “</w:t>
      </w:r>
      <w:r w:rsidR="006B06BD" w:rsidRPr="00A27569">
        <w:rPr>
          <w:sz w:val="20"/>
          <w:szCs w:val="20"/>
        </w:rPr>
        <w:t>Would you call them really serious, or would you say that they were not really serious?</w:t>
      </w:r>
      <w:r w:rsidR="006B06BD" w:rsidRPr="00A27569">
        <w:rPr>
          <w:sz w:val="20"/>
          <w:szCs w:val="20"/>
        </w:rPr>
        <w:t xml:space="preserve">”. </w:t>
      </w:r>
      <w:r w:rsidR="006B06BD" w:rsidRPr="00A27569">
        <w:rPr>
          <w:sz w:val="20"/>
          <w:szCs w:val="20"/>
        </w:rPr>
        <w:t>The jury convicted them of GBH under s</w:t>
      </w:r>
      <w:r w:rsidR="006B06BD" w:rsidRPr="00A27569">
        <w:rPr>
          <w:sz w:val="20"/>
          <w:szCs w:val="20"/>
        </w:rPr>
        <w:t xml:space="preserve">ection </w:t>
      </w:r>
      <w:r w:rsidR="006B06BD" w:rsidRPr="00A27569">
        <w:rPr>
          <w:sz w:val="20"/>
          <w:szCs w:val="20"/>
        </w:rPr>
        <w:t>18.</w:t>
      </w:r>
    </w:p>
    <w:p w14:paraId="5621FC5D" w14:textId="48051416" w:rsidR="00367D47" w:rsidRPr="00A27569" w:rsidRDefault="00E115AC" w:rsidP="00A27569">
      <w:pPr>
        <w:spacing w:line="480" w:lineRule="auto"/>
        <w:rPr>
          <w:sz w:val="20"/>
          <w:szCs w:val="20"/>
        </w:rPr>
      </w:pPr>
      <w:r w:rsidRPr="00A27569">
        <w:rPr>
          <w:sz w:val="20"/>
          <w:szCs w:val="20"/>
        </w:rPr>
        <w:t xml:space="preserve">             </w:t>
      </w:r>
      <w:r w:rsidR="005F4590" w:rsidRPr="00A27569">
        <w:rPr>
          <w:sz w:val="20"/>
          <w:szCs w:val="20"/>
        </w:rPr>
        <w:t>Section 18 has two mens rea requirement</w:t>
      </w:r>
      <w:r w:rsidR="008169BC" w:rsidRPr="00A27569">
        <w:rPr>
          <w:sz w:val="20"/>
          <w:szCs w:val="20"/>
        </w:rPr>
        <w:t>s</w:t>
      </w:r>
      <w:r w:rsidR="005F4590" w:rsidRPr="00A27569">
        <w:rPr>
          <w:sz w:val="20"/>
          <w:szCs w:val="20"/>
        </w:rPr>
        <w:t xml:space="preserve"> both of which must be satisfied to complete the offence. Firstly, the court would look at the malice behind the offence, they would look at the offence and query if the wound or GBH caused was intentional or reckless. when considering the recklessness, it requires that the defendant to be aware of the risk of the harm which could arise from the defendants conduct. Secondly the court will look at the ulterior intent, this means was the act carried out with the intention of causing GBH. The ulterior intent refers to the defendant’s purpose while he carries out the act. It is important to remember that the defendant must intend to cause GBH rather than a general assault. To summarise section 18 must be with the intent whereas section 20 is without the intent. Examples of GBH with intent are planned or repeated attacks, the deliberate use of a weapon or an adaption to a weapon, kicking someone in the head. Under section 18 the defendant would be liable for life imprisonment if he shown that his actions were with intent.</w:t>
      </w:r>
      <w:r w:rsidR="00367D47" w:rsidRPr="00A27569">
        <w:rPr>
          <w:sz w:val="20"/>
          <w:szCs w:val="20"/>
        </w:rPr>
        <w:t xml:space="preserve"> </w:t>
      </w:r>
      <w:r w:rsidR="00367D47" w:rsidRPr="00A27569">
        <w:rPr>
          <w:sz w:val="20"/>
          <w:szCs w:val="20"/>
        </w:rPr>
        <w:t xml:space="preserve">The most serious form of assault (short of attempt murder) is grievous bodily harm (GBH) or wounding (section 18). The offence committed with intent carries life </w:t>
      </w:r>
      <w:r w:rsidR="00367D47" w:rsidRPr="00A27569">
        <w:rPr>
          <w:sz w:val="20"/>
          <w:szCs w:val="20"/>
        </w:rPr>
        <w:t>imprisonment;</w:t>
      </w:r>
      <w:r w:rsidR="00367D47" w:rsidRPr="00A27569">
        <w:rPr>
          <w:sz w:val="20"/>
          <w:szCs w:val="20"/>
        </w:rPr>
        <w:t xml:space="preserve"> the same offence committed without intent (section 18) has a maximum sentence of 5 years. </w:t>
      </w:r>
      <w:r w:rsidR="00367D47" w:rsidRPr="00A27569">
        <w:rPr>
          <w:sz w:val="20"/>
          <w:szCs w:val="20"/>
        </w:rPr>
        <w:t xml:space="preserve">So therefore person (A) could be liable for life imprisonment. </w:t>
      </w:r>
    </w:p>
    <w:p w14:paraId="761D91B8" w14:textId="79157A50" w:rsidR="005F4590" w:rsidRPr="00A27569" w:rsidRDefault="00367D47" w:rsidP="00A27569">
      <w:pPr>
        <w:spacing w:line="480" w:lineRule="auto"/>
        <w:rPr>
          <w:sz w:val="20"/>
          <w:szCs w:val="20"/>
        </w:rPr>
      </w:pPr>
      <w:r w:rsidRPr="00A27569">
        <w:rPr>
          <w:sz w:val="20"/>
          <w:szCs w:val="20"/>
        </w:rPr>
        <w:t xml:space="preserve">                  </w:t>
      </w:r>
      <w:r w:rsidR="005F4590" w:rsidRPr="00A27569">
        <w:rPr>
          <w:sz w:val="20"/>
          <w:szCs w:val="20"/>
        </w:rPr>
        <w:t xml:space="preserve">To conclude, person (A) would be liable for GHB with intent because </w:t>
      </w:r>
      <w:r w:rsidRPr="00A27569">
        <w:rPr>
          <w:sz w:val="20"/>
          <w:szCs w:val="20"/>
        </w:rPr>
        <w:t xml:space="preserve">he or she was </w:t>
      </w:r>
      <w:r w:rsidRPr="00A27569">
        <w:rPr>
          <w:sz w:val="20"/>
          <w:szCs w:val="20"/>
        </w:rPr>
        <w:t>intending that the brick hits and injures someone</w:t>
      </w:r>
      <w:r w:rsidRPr="00A27569">
        <w:rPr>
          <w:sz w:val="20"/>
          <w:szCs w:val="20"/>
        </w:rPr>
        <w:t xml:space="preserve"> within the group, even though the target was not identified. Furthermore, it could be argued that person (A) used a brick in a dangerous </w:t>
      </w:r>
      <w:r w:rsidRPr="00A27569">
        <w:rPr>
          <w:sz w:val="20"/>
          <w:szCs w:val="20"/>
        </w:rPr>
        <w:t>manner likely to cause or threaten serious bodily injury or death.</w:t>
      </w:r>
      <w:r w:rsidRPr="00A27569">
        <w:rPr>
          <w:sz w:val="20"/>
          <w:szCs w:val="20"/>
        </w:rPr>
        <w:t xml:space="preserve"> </w:t>
      </w:r>
      <w:r w:rsidR="00506FD2" w:rsidRPr="00A27569">
        <w:rPr>
          <w:sz w:val="20"/>
          <w:szCs w:val="20"/>
        </w:rPr>
        <w:t xml:space="preserve">There are 3 categories </w:t>
      </w:r>
      <w:r w:rsidR="00506FD2" w:rsidRPr="00A27569">
        <w:rPr>
          <w:sz w:val="20"/>
          <w:szCs w:val="20"/>
        </w:rPr>
        <w:t xml:space="preserve">that applies to an item when considering it to be an aggravated offence </w:t>
      </w:r>
      <w:r w:rsidR="00506FD2" w:rsidRPr="00A27569">
        <w:rPr>
          <w:sz w:val="20"/>
          <w:szCs w:val="20"/>
        </w:rPr>
        <w:lastRenderedPageBreak/>
        <w:t>including an offensive weapon under the Prevention of Crime Act 1953, these are; if the object is m</w:t>
      </w:r>
      <w:r w:rsidR="00506FD2" w:rsidRPr="00A27569">
        <w:rPr>
          <w:sz w:val="20"/>
          <w:szCs w:val="20"/>
        </w:rPr>
        <w:t>ade to cause injury</w:t>
      </w:r>
      <w:r w:rsidR="00E115AC" w:rsidRPr="00A27569">
        <w:rPr>
          <w:sz w:val="20"/>
          <w:szCs w:val="20"/>
        </w:rPr>
        <w:t>, or if the object is a</w:t>
      </w:r>
      <w:r w:rsidR="00506FD2" w:rsidRPr="00A27569">
        <w:rPr>
          <w:sz w:val="20"/>
          <w:szCs w:val="20"/>
        </w:rPr>
        <w:t>dapted to cause injury</w:t>
      </w:r>
      <w:r w:rsidR="00E115AC" w:rsidRPr="00A27569">
        <w:rPr>
          <w:sz w:val="20"/>
          <w:szCs w:val="20"/>
        </w:rPr>
        <w:t xml:space="preserve">, or is the object was used </w:t>
      </w:r>
      <w:r w:rsidR="00506FD2" w:rsidRPr="00A27569">
        <w:rPr>
          <w:sz w:val="20"/>
          <w:szCs w:val="20"/>
        </w:rPr>
        <w:t>to cause injury</w:t>
      </w:r>
      <w:r w:rsidR="00E115AC" w:rsidRPr="00A27569">
        <w:rPr>
          <w:sz w:val="20"/>
          <w:szCs w:val="20"/>
        </w:rPr>
        <w:t xml:space="preserve"> with intention. In this case person (A) has used the brick with the intention to harm or inflict GBH on an individual in the group. </w:t>
      </w:r>
      <w:r w:rsidRPr="00A27569">
        <w:rPr>
          <w:sz w:val="20"/>
          <w:szCs w:val="20"/>
        </w:rPr>
        <w:t>Therefore, t</w:t>
      </w:r>
      <w:r w:rsidRPr="00A27569">
        <w:rPr>
          <w:sz w:val="20"/>
          <w:szCs w:val="20"/>
        </w:rPr>
        <w:t xml:space="preserve">he crime of aggravated </w:t>
      </w:r>
      <w:r w:rsidRPr="00A27569">
        <w:rPr>
          <w:sz w:val="20"/>
          <w:szCs w:val="20"/>
        </w:rPr>
        <w:t>GBH</w:t>
      </w:r>
      <w:r w:rsidRPr="00A27569">
        <w:rPr>
          <w:sz w:val="20"/>
          <w:szCs w:val="20"/>
        </w:rPr>
        <w:t xml:space="preserve"> with a deadly weapon requires that the offender have used a deadly weapon in the commission of the crime.</w:t>
      </w:r>
      <w:r w:rsidRPr="00A27569">
        <w:rPr>
          <w:sz w:val="20"/>
          <w:szCs w:val="20"/>
        </w:rPr>
        <w:t xml:space="preserve"> According to </w:t>
      </w:r>
      <w:r w:rsidR="000C5C0B" w:rsidRPr="00A27569">
        <w:rPr>
          <w:sz w:val="20"/>
          <w:szCs w:val="20"/>
        </w:rPr>
        <w:t xml:space="preserve">Baldwin (2021) </w:t>
      </w:r>
      <w:r w:rsidR="000C5C0B" w:rsidRPr="00A27569">
        <w:rPr>
          <w:sz w:val="20"/>
          <w:szCs w:val="20"/>
        </w:rPr>
        <w:t>objects</w:t>
      </w:r>
      <w:r w:rsidR="000C5C0B" w:rsidRPr="00A27569">
        <w:rPr>
          <w:sz w:val="20"/>
          <w:szCs w:val="20"/>
        </w:rPr>
        <w:t xml:space="preserve"> </w:t>
      </w:r>
      <w:r w:rsidR="000C5C0B" w:rsidRPr="00A27569">
        <w:rPr>
          <w:sz w:val="20"/>
          <w:szCs w:val="20"/>
        </w:rPr>
        <w:t>such as rocks, bricks, or even a boot can constitute a deadly weapon</w:t>
      </w:r>
      <w:r w:rsidR="000C5C0B" w:rsidRPr="00A27569">
        <w:rPr>
          <w:sz w:val="20"/>
          <w:szCs w:val="20"/>
        </w:rPr>
        <w:t xml:space="preserve"> when considering the offence to an aggravated offence. </w:t>
      </w:r>
      <w:r w:rsidR="00E115AC" w:rsidRPr="00A27569">
        <w:rPr>
          <w:sz w:val="20"/>
          <w:szCs w:val="20"/>
        </w:rPr>
        <w:t>According to the College of Policing training booklet for offensive weapons, a brick is an</w:t>
      </w:r>
      <w:r w:rsidR="00E115AC" w:rsidRPr="00A27569">
        <w:rPr>
          <w:sz w:val="20"/>
          <w:szCs w:val="20"/>
        </w:rPr>
        <w:t xml:space="preserve"> ordinary item that are carried with the intention to cause injury.  </w:t>
      </w:r>
      <w:r w:rsidR="00E115AC" w:rsidRPr="00A27569">
        <w:rPr>
          <w:sz w:val="20"/>
          <w:szCs w:val="20"/>
        </w:rPr>
        <w:t>It</w:t>
      </w:r>
      <w:r w:rsidR="00E115AC" w:rsidRPr="00A27569">
        <w:rPr>
          <w:sz w:val="20"/>
          <w:szCs w:val="20"/>
        </w:rPr>
        <w:t xml:space="preserve"> ha</w:t>
      </w:r>
      <w:r w:rsidR="00E115AC" w:rsidRPr="00A27569">
        <w:rPr>
          <w:sz w:val="20"/>
          <w:szCs w:val="20"/>
        </w:rPr>
        <w:t xml:space="preserve">s not </w:t>
      </w:r>
      <w:r w:rsidR="00E115AC" w:rsidRPr="00A27569">
        <w:rPr>
          <w:sz w:val="20"/>
          <w:szCs w:val="20"/>
        </w:rPr>
        <w:t>been adapted but the user has formed an intention to use them in a way that will or could cause injury.  The prosecution must prove this.</w:t>
      </w:r>
    </w:p>
    <w:p w14:paraId="4E3C5724" w14:textId="2DB089F3" w:rsidR="00367D47" w:rsidRPr="00A27569" w:rsidRDefault="00367D47" w:rsidP="00A27569">
      <w:pPr>
        <w:spacing w:line="480" w:lineRule="auto"/>
        <w:rPr>
          <w:sz w:val="20"/>
          <w:szCs w:val="20"/>
        </w:rPr>
      </w:pPr>
      <w:r w:rsidRPr="00A27569">
        <w:rPr>
          <w:sz w:val="20"/>
          <w:szCs w:val="20"/>
        </w:rPr>
        <w:t xml:space="preserve">               </w:t>
      </w:r>
      <w:r w:rsidR="005F4590" w:rsidRPr="00A27569">
        <w:rPr>
          <w:sz w:val="20"/>
          <w:szCs w:val="20"/>
        </w:rPr>
        <w:t>There are several defences that can be applied to non-fatal offences. These include; if the defendant suffers from diminished responsibility (A person shall not be convicted if he suffers from abnormality of the mind), or if the defendant had loss of control (If there is evidence of D being provoked to lose self-control). Also, if the defendant was involuntary intoxication (drink is spiked, prescribed drugs are taken in excess, non-dangerous drug turns out to have side effects D is not to blame for intoxication and so should not be held responsible). The defendant can claim self-defence (reasonable force, mistaken belief). In some extreme circumstances the defendant can be a victim to insanity (Defect of the mind, defendant did not know what he was doing was wrong).</w:t>
      </w:r>
      <w:r w:rsidRPr="00A27569">
        <w:rPr>
          <w:sz w:val="20"/>
          <w:szCs w:val="20"/>
        </w:rPr>
        <w:t xml:space="preserve"> </w:t>
      </w:r>
    </w:p>
    <w:p w14:paraId="68A8FEB3" w14:textId="3640078C" w:rsidR="00A27569" w:rsidRPr="00A27569" w:rsidRDefault="00A27569" w:rsidP="00A27569">
      <w:pPr>
        <w:spacing w:line="480" w:lineRule="auto"/>
        <w:rPr>
          <w:sz w:val="20"/>
          <w:szCs w:val="20"/>
        </w:rPr>
      </w:pPr>
    </w:p>
    <w:p w14:paraId="516E5CA0" w14:textId="11E44D01" w:rsidR="00A27569" w:rsidRPr="00A27569" w:rsidRDefault="00A27569" w:rsidP="00A27569">
      <w:pPr>
        <w:spacing w:line="480" w:lineRule="auto"/>
        <w:rPr>
          <w:sz w:val="20"/>
          <w:szCs w:val="20"/>
        </w:rPr>
      </w:pPr>
    </w:p>
    <w:p w14:paraId="7E6AE1E5" w14:textId="656919C8" w:rsidR="00A27569" w:rsidRPr="00A27569" w:rsidRDefault="00A27569" w:rsidP="00A27569">
      <w:pPr>
        <w:spacing w:line="480" w:lineRule="auto"/>
        <w:rPr>
          <w:sz w:val="20"/>
          <w:szCs w:val="20"/>
        </w:rPr>
      </w:pPr>
    </w:p>
    <w:p w14:paraId="0C0EF6C9" w14:textId="351E2A6D" w:rsidR="00A27569" w:rsidRPr="00A27569" w:rsidRDefault="00A27569" w:rsidP="00A27569">
      <w:pPr>
        <w:spacing w:line="480" w:lineRule="auto"/>
        <w:rPr>
          <w:sz w:val="20"/>
          <w:szCs w:val="20"/>
        </w:rPr>
      </w:pPr>
    </w:p>
    <w:p w14:paraId="614E7448" w14:textId="19CFE273" w:rsidR="00A27569" w:rsidRPr="00A27569" w:rsidRDefault="00A27569" w:rsidP="00A27569">
      <w:pPr>
        <w:spacing w:line="480" w:lineRule="auto"/>
        <w:rPr>
          <w:sz w:val="20"/>
          <w:szCs w:val="20"/>
        </w:rPr>
      </w:pPr>
    </w:p>
    <w:p w14:paraId="572F05A8" w14:textId="41F8DA7E" w:rsidR="00A27569" w:rsidRPr="00A27569" w:rsidRDefault="00A27569" w:rsidP="00A27569">
      <w:pPr>
        <w:spacing w:line="480" w:lineRule="auto"/>
        <w:rPr>
          <w:sz w:val="20"/>
          <w:szCs w:val="20"/>
        </w:rPr>
      </w:pPr>
    </w:p>
    <w:p w14:paraId="53221C50" w14:textId="391163FC" w:rsidR="00A27569" w:rsidRDefault="00A27569" w:rsidP="00A27569">
      <w:pPr>
        <w:spacing w:line="480" w:lineRule="auto"/>
        <w:rPr>
          <w:sz w:val="20"/>
          <w:szCs w:val="20"/>
        </w:rPr>
      </w:pPr>
    </w:p>
    <w:p w14:paraId="6B359FB3" w14:textId="77777777" w:rsidR="00A27569" w:rsidRPr="00A27569" w:rsidRDefault="00A27569" w:rsidP="00A27569">
      <w:pPr>
        <w:spacing w:line="480" w:lineRule="auto"/>
        <w:rPr>
          <w:sz w:val="20"/>
          <w:szCs w:val="20"/>
        </w:rPr>
      </w:pPr>
    </w:p>
    <w:p w14:paraId="5C19B032" w14:textId="77777777" w:rsidR="00E115AC" w:rsidRPr="00A27569" w:rsidRDefault="00E115AC" w:rsidP="00A27569">
      <w:pPr>
        <w:pStyle w:val="ListParagraph"/>
        <w:numPr>
          <w:ilvl w:val="0"/>
          <w:numId w:val="2"/>
        </w:numPr>
        <w:spacing w:line="480" w:lineRule="auto"/>
        <w:rPr>
          <w:sz w:val="20"/>
          <w:szCs w:val="20"/>
        </w:rPr>
      </w:pPr>
    </w:p>
    <w:p w14:paraId="7181C39F" w14:textId="189D0D73" w:rsidR="00E115AC" w:rsidRPr="00A27569" w:rsidRDefault="00E115AC" w:rsidP="00A27569">
      <w:pPr>
        <w:spacing w:line="480" w:lineRule="auto"/>
        <w:rPr>
          <w:sz w:val="20"/>
          <w:szCs w:val="20"/>
        </w:rPr>
      </w:pPr>
      <w:r w:rsidRPr="00A27569">
        <w:rPr>
          <w:sz w:val="20"/>
          <w:szCs w:val="20"/>
        </w:rPr>
        <w:t xml:space="preserve">The College of Policing describes a witness as “a person considered a person, other than a defendant, who is likely to give evidence in court. All victims are also witnessing and should be treated as such”. Furthermore, according to the Crown Prosecution Service a victim is “a person who has suffered harm, including physical, mental or emotional harm or economic loss which was directly caused by a criminal offence”. Short term effects of being a witness or a victim of crime entails being upset and angry, the people on the receiving end of the effects would also have a fear of a repeat attack or a fear for what the future holds. The person would be sleepless because the phycological effects would be constantly interrupting their thoughts. The long-term effects could include depression / PTSD or even anxiety-related illnesses. </w:t>
      </w:r>
    </w:p>
    <w:p w14:paraId="1A3A9457" w14:textId="4C028B0B" w:rsidR="00E115AC" w:rsidRPr="00A27569" w:rsidRDefault="00E115AC" w:rsidP="00A27569">
      <w:pPr>
        <w:spacing w:line="480" w:lineRule="auto"/>
        <w:rPr>
          <w:sz w:val="20"/>
          <w:szCs w:val="20"/>
        </w:rPr>
      </w:pPr>
      <w:r w:rsidRPr="00A27569">
        <w:rPr>
          <w:sz w:val="20"/>
          <w:szCs w:val="20"/>
        </w:rPr>
        <w:t xml:space="preserve">             </w:t>
      </w:r>
      <w:r w:rsidRPr="00A27569">
        <w:rPr>
          <w:sz w:val="20"/>
          <w:szCs w:val="20"/>
        </w:rPr>
        <w:t>Victim management is important during an investigation, it follows the Ministry of Justice (2015) Code of Practice for Victims of Crime. The Victim and Witness strategy consists of the witness identification strategy, initial contact strategy and the witness interview strategy. The first strategy is to identify the witnesses. Some witnesses may be more difficult to identify and/or locate. Methods for identifying and locating witnesses include viewing CCTV, media appeals and house-to-house enquiries. Once the witness is found/ located, the initial contact strategy is important. According to the College of Policing, inappropriate or ill-considered methods of dealing with a witness may hamper the investigation and delay or prevent the supply of relevant material to the investigator. At this stage it is important to consider the welfare of the witness to allow them to give the best evidence. The last strategy is to gain the actual evidence by following the PEACE model and also by encouraging witness anonymity.</w:t>
      </w:r>
    </w:p>
    <w:p w14:paraId="1BC256B5" w14:textId="75EC5FE1" w:rsidR="00E115AC" w:rsidRPr="00A27569" w:rsidRDefault="00E115AC" w:rsidP="00A27569">
      <w:pPr>
        <w:spacing w:line="480" w:lineRule="auto"/>
        <w:rPr>
          <w:sz w:val="20"/>
          <w:szCs w:val="20"/>
        </w:rPr>
      </w:pPr>
      <w:r w:rsidRPr="00A27569">
        <w:rPr>
          <w:sz w:val="20"/>
          <w:szCs w:val="20"/>
        </w:rPr>
        <w:t xml:space="preserve">             </w:t>
      </w:r>
      <w:r w:rsidRPr="00A27569">
        <w:rPr>
          <w:sz w:val="20"/>
          <w:szCs w:val="20"/>
        </w:rPr>
        <w:t xml:space="preserve">When suffering from either the short term or long-term effects, a witness or victim can become vulnerable or intimidated during or after the investigation of the offence. This means that it is important to give support and special measures to achieve best evidence and to support the persons mental health. During the court procedure, they try to avoid labelling a person as ‘vulnerable’, when labelling a witness for example, it can have a huge effect on their decisions and actions to give evidence. it can make the person feel more insecure and sometimes even more intimidated to give important evidence during a trial. According to the Crown Prosecution Service prosecutors will avoid the use of the term vulnerable where possible and avoid any use of term which may suggest disabled people are weak or dependent. Under the Youth Justice and Criminal </w:t>
      </w:r>
      <w:r w:rsidRPr="00A27569">
        <w:rPr>
          <w:sz w:val="20"/>
          <w:szCs w:val="20"/>
        </w:rPr>
        <w:lastRenderedPageBreak/>
        <w:t>Evidence Act 1999 it indicates that special measures for people who may be vulnerable or intimidated is available. Under section 16 of this act, it gives special measures for people under the age of 18 or for people who have a diminished responsibility due to their mental health or physical ability. According to the official legislation a person qualifies for special measures under this section is decided by the court. The court decides whether the quality of the evidence given by the witness or victim is likely to be diminished. The description of diminished responsibilities is described under section 16 (2) (a), it states that ‘the circumstances falling within the subsection are people who suffer from mental disorder within the meaning of the Mental Health Act 1983 or otherwise has a significant impairment of intelligence function or a physical disability suffering from disorder’. Alternatively, section 17 provides special measures to people who are suffering from fear or distress about testifying the offence when giving evidence. When considering this, according to the act, the court must determine whether the person falls within this subsection. The court considers the nature of the events, the age of the person, and the background of the person for example cultural backgrounds, employment circumstances, and any religious beliefs. According to the Crown Prosecution Service, the special measures can help both the prosecution and the defence witnesses but not the defendant.</w:t>
      </w:r>
    </w:p>
    <w:p w14:paraId="68251C88" w14:textId="77777777" w:rsidR="00A27569" w:rsidRPr="00A27569" w:rsidRDefault="00E115AC" w:rsidP="00A27569">
      <w:pPr>
        <w:spacing w:line="480" w:lineRule="auto"/>
        <w:rPr>
          <w:sz w:val="20"/>
          <w:szCs w:val="20"/>
        </w:rPr>
      </w:pPr>
      <w:r w:rsidRPr="00A27569">
        <w:rPr>
          <w:sz w:val="20"/>
          <w:szCs w:val="20"/>
        </w:rPr>
        <w:t xml:space="preserve">              </w:t>
      </w:r>
      <w:r w:rsidRPr="00A27569">
        <w:rPr>
          <w:sz w:val="20"/>
          <w:szCs w:val="20"/>
        </w:rPr>
        <w:t xml:space="preserve">When giving best possible evidence, witness is as described vulnerable or intimidated are entitled to the following special measures if needed. the witnesses can give evidence through a TV link (section 24, YJCEA 1999). This means that the person can give evidence outside the courtroom which relieves some of the pressure and stress. Next, they can video record the evidence (Section 27 YJCEA 1999 &amp; Section 103 Coroners and Justice Act 2009). This is where the evidence is recorded at the best time for the witness and played to the court. Screens are available for a witness under section 23 of the YJCEA 1999; this means that it prevents the witness from seeing the defendant when the offence is on trial in court. this will reduce the chances of pressure and fear. For younger witnesses’ removal of wigs and gowns to make the court feel less formal (Section 26, YJCEA 1999). Formal procedures can sometimes bring fear to young witness. Evidence can also be given in private (Section 25, YJCEA 1999). This is commonly seen when the public are not allowed into the court. Communication aids are available for people that need computers or symbol boards or even sometimes an alphabet board (Section 20 YJCEA). This is used to allow the witness to give the best evidence possible in their circumstances. The Case R v Watts (2010) is a good example of this, where several communication aids were interpreted to aid the trail for a non-verbal witness with server communication problems. Finally, an </w:t>
      </w:r>
      <w:r w:rsidRPr="00A27569">
        <w:rPr>
          <w:sz w:val="20"/>
          <w:szCs w:val="20"/>
        </w:rPr>
        <w:lastRenderedPageBreak/>
        <w:t xml:space="preserve">intermediary is sometimes used to interpret or simplify the questions being asked in the court to the witness (Section 29 YJCEA). More than one special measure can apply to an individual if needed. If an individual feels that they need extra help in the court they will be equipped with a witness care officer, this is a person that offers options with the granted permission from the prosecutor of the trial or the judiciary. </w:t>
      </w:r>
    </w:p>
    <w:p w14:paraId="085818B4" w14:textId="77E57984" w:rsidR="00E115AC" w:rsidRPr="00A27569" w:rsidRDefault="00A27569" w:rsidP="00A27569">
      <w:pPr>
        <w:spacing w:line="480" w:lineRule="auto"/>
        <w:rPr>
          <w:sz w:val="20"/>
          <w:szCs w:val="20"/>
        </w:rPr>
      </w:pPr>
      <w:r w:rsidRPr="00A27569">
        <w:rPr>
          <w:sz w:val="20"/>
          <w:szCs w:val="20"/>
        </w:rPr>
        <w:t xml:space="preserve">                </w:t>
      </w:r>
      <w:r w:rsidR="00E115AC" w:rsidRPr="00A27569">
        <w:rPr>
          <w:sz w:val="20"/>
          <w:szCs w:val="20"/>
        </w:rPr>
        <w:t xml:space="preserve">Protocols are also put into place to achieve best evidence, an example of this would be the Young Witness Initiative. This is made up between the police, the Crown Prosecution Service and the courts and tribunal services. The protocol is introduced fold the witnesses under the age of 10 who need to give evidence in court, their protocol fast tracks the case in the court which brings the court date earlier than normal. This enables the best chance of the child remembering the incident which makes the trial even less stressful. Special measures also include reasonable adjustments, for example in the Equality Act 2010 it allows and grants authority two services to provide a reasonable adjustment to their procedures to make sure that the disabled people are not at a disadvantage. A range of reasonable adjustments could include the access to a court building, forms available in larger prints to allow the person to read the documents, forms can be readout to the person in an audio clip Also, hearing enhancement systems such as headphones are available to those who have hearing difficulties and the length of interviews can be short and for those who have a difficulty to concentrate for a long period of time. Other protocols are put into place to protect members of the LGBT +, it is important for the prosecutors to be sensitive to these people as they may have consequences of them withdrawing from giving evidence in court (Section 46 YJCEA 1999). For example, the removal of gender specific questions to avoid offending the witness. </w:t>
      </w:r>
    </w:p>
    <w:p w14:paraId="4075022F" w14:textId="77777777" w:rsidR="00A27569" w:rsidRPr="00A27569" w:rsidRDefault="00E115AC" w:rsidP="00A27569">
      <w:pPr>
        <w:spacing w:line="480" w:lineRule="auto"/>
        <w:rPr>
          <w:sz w:val="20"/>
          <w:szCs w:val="20"/>
        </w:rPr>
      </w:pPr>
      <w:r w:rsidRPr="00A27569">
        <w:rPr>
          <w:sz w:val="20"/>
          <w:szCs w:val="20"/>
        </w:rPr>
        <w:t xml:space="preserve">            </w:t>
      </w:r>
      <w:r w:rsidRPr="00A27569">
        <w:rPr>
          <w:sz w:val="20"/>
          <w:szCs w:val="20"/>
        </w:rPr>
        <w:t xml:space="preserve">Intimidated witnesses are also entitled to special measures, to classify someone who is ‘intimidated’ it is sometimes automatically assumed. In offences that include sexual, weapon related for example guns or knives or homicide acts; the witness is automatically put in the category of intimidated unless they opt out. Furthermore, in serious crimes under the Victims Code, it also describes offences such as hate crime, terrorism, human trafficking, kidnap and false imprisonment, arson with the intent to endanger life or GBH as offences that would make a person intimidated when giving evidence. </w:t>
      </w:r>
    </w:p>
    <w:p w14:paraId="14A59720" w14:textId="5EA4FABC" w:rsidR="00A27569" w:rsidRPr="00A27569" w:rsidRDefault="00A27569" w:rsidP="00A27569">
      <w:pPr>
        <w:spacing w:line="480" w:lineRule="auto"/>
        <w:rPr>
          <w:sz w:val="20"/>
          <w:szCs w:val="20"/>
        </w:rPr>
      </w:pPr>
      <w:r w:rsidRPr="00A27569">
        <w:rPr>
          <w:sz w:val="20"/>
          <w:szCs w:val="20"/>
        </w:rPr>
        <w:t xml:space="preserve">            </w:t>
      </w:r>
      <w:r w:rsidR="00E115AC" w:rsidRPr="00A27569">
        <w:rPr>
          <w:sz w:val="20"/>
          <w:szCs w:val="20"/>
        </w:rPr>
        <w:t xml:space="preserve">Earlier on in the investigation sources of support is provided in some circumstances to reassure the witnesses or victims. in serious investigations specially trained officers are deployed to achieve best evidence and support. </w:t>
      </w:r>
      <w:r w:rsidRPr="00A27569">
        <w:rPr>
          <w:sz w:val="20"/>
          <w:szCs w:val="20"/>
        </w:rPr>
        <w:t>E</w:t>
      </w:r>
      <w:r w:rsidR="00E115AC" w:rsidRPr="00A27569">
        <w:rPr>
          <w:sz w:val="20"/>
          <w:szCs w:val="20"/>
        </w:rPr>
        <w:t xml:space="preserve">xamples of these could be a family liaison officer, sexual offence liaison officer, domestic </w:t>
      </w:r>
      <w:r w:rsidR="00E115AC" w:rsidRPr="00A27569">
        <w:rPr>
          <w:sz w:val="20"/>
          <w:szCs w:val="20"/>
        </w:rPr>
        <w:lastRenderedPageBreak/>
        <w:t>violence officer, or a neighbourhood policing officer / PCSO.  Furthermore, there are organisations that provide a service to victims and witnesses. The organisations include sexual assault referral centres, social services, health services, race equality councils, gay and lesbian support groups and or really just organisations or groups. when applying these organisations, the investigator must recognise the impact that the crime has had on the witness. All witnesses will require a degree of help from a source of support during any investigation. By adopting any of these organisations the witness or victims will hopefully feel calm and reassured. a good example of an organisation is Witness Support, this is run by volunteers who provide emotional support and keeps their information confidential. In some cases, police officers can feel fear and anxiety from witnessing a crime should therefore there are Force Welfare Departments providing advice and guidance to the officers. A good indication to someone who is intimidated is when the police officer or the court analyses the victim or witness personal statement.</w:t>
      </w:r>
    </w:p>
    <w:p w14:paraId="7A33D7AF" w14:textId="31E6492A" w:rsidR="00A27569" w:rsidRPr="00A27569" w:rsidRDefault="00A27569" w:rsidP="00A27569">
      <w:pPr>
        <w:spacing w:line="480" w:lineRule="auto"/>
        <w:rPr>
          <w:sz w:val="20"/>
          <w:szCs w:val="20"/>
        </w:rPr>
      </w:pPr>
    </w:p>
    <w:p w14:paraId="6A919C02" w14:textId="6F1AEB11" w:rsidR="00A27569" w:rsidRPr="00A27569" w:rsidRDefault="00A27569" w:rsidP="00A27569">
      <w:pPr>
        <w:spacing w:line="480" w:lineRule="auto"/>
        <w:rPr>
          <w:sz w:val="20"/>
          <w:szCs w:val="20"/>
        </w:rPr>
      </w:pPr>
    </w:p>
    <w:p w14:paraId="76B8CC0E" w14:textId="2A79300B" w:rsidR="00A27569" w:rsidRPr="00A27569" w:rsidRDefault="00A27569" w:rsidP="00A27569">
      <w:pPr>
        <w:spacing w:line="480" w:lineRule="auto"/>
        <w:rPr>
          <w:sz w:val="20"/>
          <w:szCs w:val="20"/>
        </w:rPr>
      </w:pPr>
    </w:p>
    <w:p w14:paraId="0634F2B0" w14:textId="384EF180" w:rsidR="00A27569" w:rsidRPr="00A27569" w:rsidRDefault="00A27569" w:rsidP="00A27569">
      <w:pPr>
        <w:spacing w:line="480" w:lineRule="auto"/>
        <w:rPr>
          <w:sz w:val="20"/>
          <w:szCs w:val="20"/>
        </w:rPr>
      </w:pPr>
    </w:p>
    <w:p w14:paraId="479391BE" w14:textId="034B027D" w:rsidR="00A27569" w:rsidRPr="00A27569" w:rsidRDefault="00A27569" w:rsidP="00A27569">
      <w:pPr>
        <w:spacing w:line="480" w:lineRule="auto"/>
        <w:rPr>
          <w:sz w:val="20"/>
          <w:szCs w:val="20"/>
        </w:rPr>
      </w:pPr>
    </w:p>
    <w:p w14:paraId="6FAB2E6E" w14:textId="15211492" w:rsidR="00A27569" w:rsidRPr="00A27569" w:rsidRDefault="00A27569" w:rsidP="00A27569">
      <w:pPr>
        <w:spacing w:line="480" w:lineRule="auto"/>
        <w:rPr>
          <w:sz w:val="20"/>
          <w:szCs w:val="20"/>
        </w:rPr>
      </w:pPr>
    </w:p>
    <w:p w14:paraId="311EF118" w14:textId="0B13E736" w:rsidR="00A27569" w:rsidRPr="00A27569" w:rsidRDefault="00A27569" w:rsidP="00A27569">
      <w:pPr>
        <w:spacing w:line="480" w:lineRule="auto"/>
        <w:rPr>
          <w:sz w:val="20"/>
          <w:szCs w:val="20"/>
        </w:rPr>
      </w:pPr>
    </w:p>
    <w:p w14:paraId="1599ACA8" w14:textId="438158B0" w:rsidR="00A27569" w:rsidRPr="00A27569" w:rsidRDefault="00A27569" w:rsidP="00A27569">
      <w:pPr>
        <w:spacing w:line="480" w:lineRule="auto"/>
        <w:rPr>
          <w:sz w:val="20"/>
          <w:szCs w:val="20"/>
        </w:rPr>
      </w:pPr>
    </w:p>
    <w:p w14:paraId="54341F7E" w14:textId="6EA91085" w:rsidR="00A27569" w:rsidRPr="00A27569" w:rsidRDefault="00A27569" w:rsidP="00A27569">
      <w:pPr>
        <w:spacing w:line="480" w:lineRule="auto"/>
        <w:rPr>
          <w:sz w:val="20"/>
          <w:szCs w:val="20"/>
        </w:rPr>
      </w:pPr>
    </w:p>
    <w:p w14:paraId="66EB9FCC" w14:textId="785E3B15" w:rsidR="00A27569" w:rsidRPr="00A27569" w:rsidRDefault="00A27569" w:rsidP="00A27569">
      <w:pPr>
        <w:spacing w:line="480" w:lineRule="auto"/>
        <w:rPr>
          <w:sz w:val="20"/>
          <w:szCs w:val="20"/>
        </w:rPr>
      </w:pPr>
    </w:p>
    <w:p w14:paraId="520D9CFF" w14:textId="6F4CD2F4" w:rsidR="00A27569" w:rsidRPr="00A27569" w:rsidRDefault="00A27569" w:rsidP="00A27569">
      <w:pPr>
        <w:spacing w:line="480" w:lineRule="auto"/>
        <w:rPr>
          <w:sz w:val="20"/>
          <w:szCs w:val="20"/>
        </w:rPr>
      </w:pPr>
    </w:p>
    <w:p w14:paraId="736E35CD" w14:textId="033C781D" w:rsidR="00A27569" w:rsidRDefault="00A27569" w:rsidP="00A27569">
      <w:pPr>
        <w:spacing w:line="480" w:lineRule="auto"/>
        <w:rPr>
          <w:sz w:val="20"/>
          <w:szCs w:val="20"/>
        </w:rPr>
      </w:pPr>
    </w:p>
    <w:p w14:paraId="41D89B2B" w14:textId="77777777" w:rsidR="00A27569" w:rsidRPr="00A27569" w:rsidRDefault="00A27569" w:rsidP="00A27569">
      <w:pPr>
        <w:spacing w:line="480" w:lineRule="auto"/>
        <w:rPr>
          <w:sz w:val="20"/>
          <w:szCs w:val="20"/>
        </w:rPr>
      </w:pPr>
    </w:p>
    <w:p w14:paraId="45281940" w14:textId="77777777" w:rsidR="00346A8A" w:rsidRPr="00A27569" w:rsidRDefault="00346A8A" w:rsidP="00A27569">
      <w:pPr>
        <w:pStyle w:val="ListParagraph"/>
        <w:numPr>
          <w:ilvl w:val="0"/>
          <w:numId w:val="2"/>
        </w:numPr>
        <w:spacing w:line="480" w:lineRule="auto"/>
        <w:rPr>
          <w:sz w:val="20"/>
          <w:szCs w:val="20"/>
        </w:rPr>
      </w:pPr>
    </w:p>
    <w:p w14:paraId="0F6D3FA6" w14:textId="77777777" w:rsidR="001D654D" w:rsidRPr="00A27569" w:rsidRDefault="001D654D" w:rsidP="00A27569">
      <w:pPr>
        <w:spacing w:line="480" w:lineRule="auto"/>
        <w:rPr>
          <w:sz w:val="20"/>
          <w:szCs w:val="20"/>
        </w:rPr>
      </w:pPr>
      <w:r w:rsidRPr="00A27569">
        <w:rPr>
          <w:sz w:val="20"/>
          <w:szCs w:val="20"/>
        </w:rPr>
        <w:t xml:space="preserve">During the interview stage the welfare issues of the witness or victim should be considered. The interviewer should consider factors such as age and mental capacity when asking the questions and collecting the evidence. The interviewer should also consider the emotional impacts on the witness, it is important to have the correct language skills for the witness. Being too firm or too soft when asking interview questions can be detrimental to the collecting evidence stage. Under the Ministry of Justice 2011 Achieving Best Evidence in Criminal Procedures Act, it describes that the gathering of the information should be planned carefully. The plan should set out the objectives for the interview, who will conduct the interview, what support will be needed during the interview and whether alternative interviews are needed. It is also important that the interviewer builds a good trust and bond between them and the person in question during the interview stage. This will encourage a more accurate an honest recorded interview for the investigation. </w:t>
      </w:r>
    </w:p>
    <w:p w14:paraId="6D2F6EE9" w14:textId="3D6FDE86" w:rsidR="001D654D" w:rsidRPr="00A27569" w:rsidRDefault="001D654D" w:rsidP="00A27569">
      <w:pPr>
        <w:spacing w:line="480" w:lineRule="auto"/>
        <w:rPr>
          <w:sz w:val="20"/>
          <w:szCs w:val="20"/>
        </w:rPr>
      </w:pPr>
      <w:r w:rsidRPr="00A27569">
        <w:rPr>
          <w:sz w:val="20"/>
          <w:szCs w:val="20"/>
        </w:rPr>
        <w:t xml:space="preserve">                 </w:t>
      </w:r>
      <w:r w:rsidRPr="00A27569">
        <w:rPr>
          <w:sz w:val="20"/>
          <w:szCs w:val="20"/>
        </w:rPr>
        <w:t>Witnesses and victims should be interviewed in accordance with the PEACE model to allow the rights of them to be listened to fairly. The PEACE model is a structured process of which most if not all interviews are carried out. If an interview is well structured, it will achieve a better collection of evidence. The PEACE Model allows a particular style to the interview. This is important because it affects the motivation of the interviewee to be accurate and relevant in their replies. Establishing a rapport means being genuinely open, interested, and approachable, as well as being interested in the interviewee's feelings or welfare.</w:t>
      </w:r>
    </w:p>
    <w:p w14:paraId="4FBED5E8" w14:textId="5A253C49" w:rsidR="001D654D" w:rsidRPr="00A27569" w:rsidRDefault="001D654D" w:rsidP="00A27569">
      <w:pPr>
        <w:spacing w:line="480" w:lineRule="auto"/>
        <w:rPr>
          <w:sz w:val="20"/>
          <w:szCs w:val="20"/>
        </w:rPr>
      </w:pPr>
      <w:r w:rsidRPr="00A27569">
        <w:rPr>
          <w:sz w:val="20"/>
          <w:szCs w:val="20"/>
        </w:rPr>
        <w:t xml:space="preserve">               </w:t>
      </w:r>
      <w:r w:rsidRPr="00A27569">
        <w:rPr>
          <w:sz w:val="20"/>
          <w:szCs w:val="20"/>
        </w:rPr>
        <w:t xml:space="preserve">The PEACE model first includes the planning and preparation of the interview. This stage includes reviewing the case and preparing an interview plan by firstly establishing the interview environment, for example arranging where to record it, this stage extends to the beginning of the interview and the legal requirements of introducing the parties and beginning to build a relationship with the person in question to allow the conversation to flow. This is effective because it allows the interview to have a more flowing approach and it will most definitely achieve best evidence quicker compared to an interview which is not planned. </w:t>
      </w:r>
    </w:p>
    <w:p w14:paraId="67210975" w14:textId="35EF0169" w:rsidR="001D654D" w:rsidRPr="00A27569" w:rsidRDefault="001D654D" w:rsidP="00A27569">
      <w:pPr>
        <w:spacing w:line="480" w:lineRule="auto"/>
        <w:rPr>
          <w:sz w:val="20"/>
          <w:szCs w:val="20"/>
        </w:rPr>
      </w:pPr>
      <w:r w:rsidRPr="00A27569">
        <w:rPr>
          <w:sz w:val="20"/>
          <w:szCs w:val="20"/>
        </w:rPr>
        <w:t xml:space="preserve">              </w:t>
      </w:r>
      <w:r w:rsidRPr="00A27569">
        <w:rPr>
          <w:sz w:val="20"/>
          <w:szCs w:val="20"/>
        </w:rPr>
        <w:t xml:space="preserve">The second stage is to engage and explain, at this stage the interviewer must explain the purpose of the interview and what will happen in the interview for example taking notes. At this stage it can be explained what rights the person has and what type of questions the person must legally answer, for example name and </w:t>
      </w:r>
      <w:r w:rsidRPr="00A27569">
        <w:rPr>
          <w:sz w:val="20"/>
          <w:szCs w:val="20"/>
        </w:rPr>
        <w:lastRenderedPageBreak/>
        <w:t xml:space="preserve">address, date, and place of your birth. The next step is the account clarification and challenge stage. This is where the interview really takes place, the person in question can tell their story in support of the interviewer, the interviewer can ask questions and ask the person to clarify any points of their story. The important part is when the interviewer starts to challenge the individual on their take of the story. This stage is strategically presented to build a case by getting the interviewee to agree on certain facts as the account is expanded. By explaining to the person in question it allows the interview to more effective because it will give the person a better understanding of what is going on. </w:t>
      </w:r>
    </w:p>
    <w:p w14:paraId="70F4A396" w14:textId="01402656" w:rsidR="00E115AC" w:rsidRPr="00A27569" w:rsidRDefault="001D654D" w:rsidP="00A27569">
      <w:pPr>
        <w:spacing w:line="480" w:lineRule="auto"/>
        <w:rPr>
          <w:sz w:val="20"/>
          <w:szCs w:val="20"/>
        </w:rPr>
      </w:pPr>
      <w:r w:rsidRPr="00A27569">
        <w:rPr>
          <w:sz w:val="20"/>
          <w:szCs w:val="20"/>
        </w:rPr>
        <w:t xml:space="preserve">                The</w:t>
      </w:r>
      <w:r w:rsidRPr="00A27569">
        <w:rPr>
          <w:sz w:val="20"/>
          <w:szCs w:val="20"/>
        </w:rPr>
        <w:t xml:space="preserve"> fourth is to have closure in the interview, this is an important stage, the interviewer needs to ensure that they have any statement, document or recording secured. To add strength to the evidence the documents or recordings can be signed by the person in question. This is where the interview comes to an end by asking is there any further questions to other interviewers and then the lead interviewer will confirm the end by saying the time and date. The last stage of the model is to evaluate the outcome, this is where a decision is reached to preserve and circulate any reports or documentation or if there is a need for any further action. This is also a good reflection point for the interviewer on what they did well and how to improve for next time. This will allow not only the police officer but the police force as a whole to effectively improve on their skills when carrying out the interviewing stage in the future.</w:t>
      </w:r>
    </w:p>
    <w:sectPr w:rsidR="00E115AC" w:rsidRPr="00A27569" w:rsidSect="004807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3C383D"/>
    <w:multiLevelType w:val="hybridMultilevel"/>
    <w:tmpl w:val="F20A1626"/>
    <w:lvl w:ilvl="0" w:tplc="0A0A88C6">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0122C"/>
    <w:multiLevelType w:val="hybridMultilevel"/>
    <w:tmpl w:val="5DEC7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777"/>
    <w:rsid w:val="000C5C0B"/>
    <w:rsid w:val="001D654D"/>
    <w:rsid w:val="00346A8A"/>
    <w:rsid w:val="00367D47"/>
    <w:rsid w:val="003C7829"/>
    <w:rsid w:val="00480777"/>
    <w:rsid w:val="00506FD2"/>
    <w:rsid w:val="005B4716"/>
    <w:rsid w:val="005F4590"/>
    <w:rsid w:val="0068032A"/>
    <w:rsid w:val="00692B28"/>
    <w:rsid w:val="006B06BD"/>
    <w:rsid w:val="006D2C5D"/>
    <w:rsid w:val="007047DC"/>
    <w:rsid w:val="00792D7A"/>
    <w:rsid w:val="007E22BF"/>
    <w:rsid w:val="008169BC"/>
    <w:rsid w:val="00930B9E"/>
    <w:rsid w:val="00A27569"/>
    <w:rsid w:val="00A92E74"/>
    <w:rsid w:val="00C478EC"/>
    <w:rsid w:val="00D37322"/>
    <w:rsid w:val="00DC6826"/>
    <w:rsid w:val="00E115AC"/>
    <w:rsid w:val="00E512C0"/>
    <w:rsid w:val="00E61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81F36"/>
  <w15:chartTrackingRefBased/>
  <w15:docId w15:val="{ECDEB825-0B8D-44BD-B84B-0B10148F6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07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0777"/>
    <w:rPr>
      <w:rFonts w:eastAsiaTheme="minorEastAsia"/>
      <w:lang w:val="en-US"/>
    </w:rPr>
  </w:style>
  <w:style w:type="paragraph" w:styleId="ListParagraph">
    <w:name w:val="List Paragraph"/>
    <w:basedOn w:val="Normal"/>
    <w:uiPriority w:val="34"/>
    <w:qFormat/>
    <w:rsid w:val="00A92E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14</Pages>
  <Words>4849</Words>
  <Characters>27643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Jack Jones (1902835)</vt:lpstr>
    </vt:vector>
  </TitlesOfParts>
  <Company/>
  <LinksUpToDate>false</LinksUpToDate>
  <CharactersWithSpaces>32428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Jack Jones (1902835)</dc:title>
  <dc:subject/>
  <dc:creator>Jack Jones (1902835)</dc:creator>
  <cp:keywords/>
  <dc:description/>
  <cp:lastModifiedBy>Jack Jones (1902835)</cp:lastModifiedBy>
  <cp:revision>19</cp:revision>
  <dcterms:created xsi:type="dcterms:W3CDTF">2021-03-09T08:51:00Z</dcterms:created>
  <dcterms:modified xsi:type="dcterms:W3CDTF">2021-03-09T10:44:00Z</dcterms:modified>
</cp:coreProperties>
</file>