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F5B68B" w14:textId="7712B9D6" w:rsidR="00B07776" w:rsidRDefault="00B07776">
      <w:r>
        <w:t>Name : Ionut Moldovan</w:t>
      </w:r>
    </w:p>
    <w:p w14:paraId="320C9526" w14:textId="77777777" w:rsidR="00B7463E" w:rsidRDefault="00B07776">
      <w:r>
        <w:t xml:space="preserve">Module </w:t>
      </w:r>
      <w:r w:rsidRPr="00B07776">
        <w:t>:  BMGM4002</w:t>
      </w:r>
    </w:p>
    <w:p w14:paraId="7F904436" w14:textId="4EF542B2" w:rsidR="00B07776" w:rsidRDefault="00B07776">
      <w:pPr>
        <w:rPr>
          <w:rFonts w:ascii="Arial" w:hAnsi="Arial" w:cs="Arial"/>
          <w:b/>
          <w:bCs/>
          <w:sz w:val="24"/>
          <w:szCs w:val="24"/>
        </w:rPr>
      </w:pPr>
      <w:r w:rsidRPr="00B07776">
        <w:rPr>
          <w:rFonts w:ascii="Arial" w:hAnsi="Arial" w:cs="Arial"/>
          <w:b/>
          <w:bCs/>
          <w:sz w:val="24"/>
          <w:szCs w:val="24"/>
        </w:rPr>
        <w:t xml:space="preserve"> Culinary Skills</w:t>
      </w:r>
    </w:p>
    <w:p w14:paraId="6E8C13F8" w14:textId="77777777" w:rsidR="00B7463E" w:rsidRDefault="00B7463E">
      <w:pPr>
        <w:rPr>
          <w:rFonts w:ascii="Arial" w:hAnsi="Arial" w:cs="Arial"/>
          <w:b/>
          <w:bCs/>
          <w:sz w:val="24"/>
          <w:szCs w:val="24"/>
        </w:rPr>
      </w:pPr>
    </w:p>
    <w:p w14:paraId="509B0D6C" w14:textId="77777777" w:rsidR="00B7463E" w:rsidRDefault="00B7463E">
      <w:pPr>
        <w:rPr>
          <w:rFonts w:ascii="Arial" w:hAnsi="Arial" w:cs="Arial"/>
          <w:b/>
          <w:bCs/>
          <w:sz w:val="24"/>
          <w:szCs w:val="24"/>
        </w:rPr>
      </w:pPr>
    </w:p>
    <w:p w14:paraId="3C0E24A2" w14:textId="77777777" w:rsidR="00B7463E" w:rsidRPr="00B7463E" w:rsidRDefault="00B7463E"/>
    <w:p w14:paraId="14504AD4" w14:textId="0668DA6D" w:rsidR="00154A89" w:rsidRPr="00B07776" w:rsidRDefault="002D671F">
      <w:pPr>
        <w:rPr>
          <w:rFonts w:ascii="Arial" w:hAnsi="Arial" w:cs="Arial"/>
          <w:sz w:val="28"/>
          <w:szCs w:val="28"/>
        </w:rPr>
      </w:pPr>
      <w:r w:rsidRPr="00B07776">
        <w:rPr>
          <w:rFonts w:ascii="Arial" w:hAnsi="Arial" w:cs="Arial"/>
          <w:sz w:val="28"/>
          <w:szCs w:val="28"/>
        </w:rPr>
        <w:t>Element 1</w:t>
      </w:r>
    </w:p>
    <w:p w14:paraId="738F8806" w14:textId="2818E0C3" w:rsidR="00B97D42" w:rsidRPr="00B07776" w:rsidRDefault="002D671F">
      <w:pPr>
        <w:rPr>
          <w:rFonts w:ascii="Arial" w:hAnsi="Arial" w:cs="Arial"/>
          <w:sz w:val="24"/>
          <w:szCs w:val="24"/>
        </w:rPr>
      </w:pPr>
      <w:r w:rsidRPr="00B07776">
        <w:rPr>
          <w:rFonts w:ascii="Arial" w:hAnsi="Arial" w:cs="Arial"/>
          <w:sz w:val="24"/>
          <w:szCs w:val="24"/>
        </w:rPr>
        <w:t>During my placement at Wagamama, I was mainly based in the kitchen, where I was able to develop a range of culinary skills through daily practice and observation. When I first started working in the kitchen, my initial tasks were quite basic and focused on food preparation, maintaining cleanliness at my workstation, and supporting the team during service. At the beginning, the fast-paced environment felt overwhelming, and adapting to the rhythm of the kitchen was challenging. However, over time, I became more confident and organised, which helped me perform my tasks more efficiently.</w:t>
      </w:r>
    </w:p>
    <w:p w14:paraId="469319E6" w14:textId="66DC78BC" w:rsidR="002D671F" w:rsidRPr="002D671F" w:rsidRDefault="002D671F" w:rsidP="002D671F">
      <w:pPr>
        <w:rPr>
          <w:rFonts w:ascii="Arial" w:hAnsi="Arial" w:cs="Arial"/>
          <w:sz w:val="24"/>
          <w:szCs w:val="24"/>
        </w:rPr>
      </w:pPr>
      <w:r w:rsidRPr="00B07776">
        <w:rPr>
          <w:rFonts w:ascii="Arial" w:hAnsi="Arial" w:cs="Arial"/>
          <w:sz w:val="24"/>
          <w:szCs w:val="24"/>
        </w:rPr>
        <w:t xml:space="preserve">One of the most important skills I developed during my placement was mise </w:t>
      </w:r>
      <w:proofErr w:type="spellStart"/>
      <w:r w:rsidRPr="00B07776">
        <w:rPr>
          <w:rFonts w:ascii="Arial" w:hAnsi="Arial" w:cs="Arial"/>
          <w:sz w:val="24"/>
          <w:szCs w:val="24"/>
        </w:rPr>
        <w:t>en</w:t>
      </w:r>
      <w:proofErr w:type="spellEnd"/>
      <w:r w:rsidRPr="00B07776">
        <w:rPr>
          <w:rFonts w:ascii="Arial" w:hAnsi="Arial" w:cs="Arial"/>
          <w:sz w:val="24"/>
          <w:szCs w:val="24"/>
        </w:rPr>
        <w:t xml:space="preserve"> place. Preparing ingredients in advance and keeping them organised allowed me to work faster and reduce mistakes during busy periods. I learned that good mise </w:t>
      </w:r>
      <w:proofErr w:type="spellStart"/>
      <w:r w:rsidRPr="00B07776">
        <w:rPr>
          <w:rFonts w:ascii="Arial" w:hAnsi="Arial" w:cs="Arial"/>
          <w:sz w:val="24"/>
          <w:szCs w:val="24"/>
        </w:rPr>
        <w:t>en</w:t>
      </w:r>
      <w:proofErr w:type="spellEnd"/>
      <w:r w:rsidRPr="00B07776">
        <w:rPr>
          <w:rFonts w:ascii="Arial" w:hAnsi="Arial" w:cs="Arial"/>
          <w:sz w:val="24"/>
          <w:szCs w:val="24"/>
        </w:rPr>
        <w:t xml:space="preserve"> place is essential in professional kitchens, especially in chain restaurants such as Wagamama, where consistency and speed are crucial. This experience helped me understand how preparation directly affects service flow and team performance, as also discussed </w:t>
      </w:r>
      <w:r w:rsidR="00CA4979" w:rsidRPr="00B07776">
        <w:rPr>
          <w:rFonts w:ascii="Arial" w:hAnsi="Arial" w:cs="Arial"/>
          <w:sz w:val="24"/>
          <w:szCs w:val="24"/>
        </w:rPr>
        <w:t>in professional cookery literature</w:t>
      </w:r>
      <w:r w:rsidRPr="00B07776">
        <w:rPr>
          <w:rFonts w:ascii="Arial" w:hAnsi="Arial" w:cs="Arial"/>
          <w:sz w:val="24"/>
          <w:szCs w:val="24"/>
        </w:rPr>
        <w:t xml:space="preserve"> </w:t>
      </w:r>
      <w:sdt>
        <w:sdtPr>
          <w:rPr>
            <w:rFonts w:ascii="Arial" w:hAnsi="Arial" w:cs="Arial"/>
            <w:sz w:val="24"/>
            <w:szCs w:val="24"/>
          </w:rPr>
          <w:id w:val="-272331025"/>
          <w:citation/>
        </w:sdtPr>
        <w:sdtContent>
          <w:r w:rsidR="00AD0BC0" w:rsidRPr="00B07776">
            <w:rPr>
              <w:rFonts w:ascii="Arial" w:hAnsi="Arial" w:cs="Arial"/>
              <w:sz w:val="24"/>
              <w:szCs w:val="24"/>
            </w:rPr>
            <w:fldChar w:fldCharType="begin"/>
          </w:r>
          <w:r w:rsidR="00CA4979" w:rsidRPr="00B07776">
            <w:rPr>
              <w:rFonts w:ascii="Arial" w:hAnsi="Arial" w:cs="Arial"/>
              <w:sz w:val="24"/>
              <w:szCs w:val="24"/>
            </w:rPr>
            <w:instrText xml:space="preserve">CITATION Dav19 \l 2057 </w:instrText>
          </w:r>
          <w:r w:rsidR="00AD0BC0" w:rsidRPr="00B07776">
            <w:rPr>
              <w:rFonts w:ascii="Arial" w:hAnsi="Arial" w:cs="Arial"/>
              <w:sz w:val="24"/>
              <w:szCs w:val="24"/>
            </w:rPr>
            <w:fldChar w:fldCharType="separate"/>
          </w:r>
          <w:r w:rsidR="002907EC" w:rsidRPr="00B07776">
            <w:rPr>
              <w:rFonts w:ascii="Arial" w:hAnsi="Arial" w:cs="Arial"/>
              <w:noProof/>
              <w:sz w:val="24"/>
              <w:szCs w:val="24"/>
            </w:rPr>
            <w:t>(Foskett, et al., 2019)</w:t>
          </w:r>
          <w:r w:rsidR="00AD0BC0" w:rsidRPr="00B07776">
            <w:rPr>
              <w:rFonts w:ascii="Arial" w:hAnsi="Arial" w:cs="Arial"/>
              <w:sz w:val="24"/>
              <w:szCs w:val="24"/>
            </w:rPr>
            <w:fldChar w:fldCharType="end"/>
          </w:r>
        </w:sdtContent>
      </w:sdt>
      <w:r w:rsidRPr="00B07776">
        <w:rPr>
          <w:rFonts w:ascii="Arial" w:hAnsi="Arial" w:cs="Arial"/>
          <w:sz w:val="24"/>
          <w:szCs w:val="24"/>
        </w:rPr>
        <w:t xml:space="preserve">, who highlight the importance of organisation and preparation in professional cookery. </w:t>
      </w:r>
      <w:r w:rsidRPr="002D671F">
        <w:rPr>
          <w:rFonts w:ascii="Arial" w:hAnsi="Arial" w:cs="Arial"/>
          <w:sz w:val="24"/>
          <w:szCs w:val="24"/>
        </w:rPr>
        <w:t>Another key area of development was my knife skills and basic food preparation techniques. Through repeated practice, I improved my ability to prepare ingredients accurately and safely. At the beginning, I made small mistakes, such as incorrect cuts or slower preparation times, but these experiences helped me become more attentive and focused. Over time, I required less supervision and was able to complete tasks more independently, which increased my confidence in my role within the kitchen team.</w:t>
      </w:r>
    </w:p>
    <w:p w14:paraId="2ABEE871" w14:textId="4904258E" w:rsidR="002D671F" w:rsidRPr="002D671F" w:rsidRDefault="002D671F" w:rsidP="002D671F">
      <w:pPr>
        <w:rPr>
          <w:rFonts w:ascii="Arial" w:hAnsi="Arial" w:cs="Arial"/>
          <w:sz w:val="24"/>
          <w:szCs w:val="24"/>
        </w:rPr>
      </w:pPr>
      <w:r w:rsidRPr="002D671F">
        <w:rPr>
          <w:rFonts w:ascii="Arial" w:hAnsi="Arial" w:cs="Arial"/>
          <w:sz w:val="24"/>
          <w:szCs w:val="24"/>
        </w:rPr>
        <w:t xml:space="preserve">Working in a professional kitchen also taught me how to manage pressure during service. Busy shifts required me to stay calm, follow instructions carefully, and work efficiently without compromising quality. I learned that even when the kitchen environment felt stressful, maintaining concentration and organisation was essential. This aligns with the idea that consistent performance in service operations depends on structured processes and individual responsibility </w:t>
      </w:r>
      <w:sdt>
        <w:sdtPr>
          <w:rPr>
            <w:rFonts w:ascii="Arial" w:hAnsi="Arial" w:cs="Arial"/>
            <w:sz w:val="24"/>
            <w:szCs w:val="24"/>
          </w:rPr>
          <w:id w:val="-1603250002"/>
          <w:citation/>
        </w:sdtPr>
        <w:sdtContent>
          <w:r w:rsidR="00AD0BC0" w:rsidRPr="00B07776">
            <w:rPr>
              <w:rFonts w:ascii="Arial" w:hAnsi="Arial" w:cs="Arial"/>
              <w:sz w:val="24"/>
              <w:szCs w:val="24"/>
            </w:rPr>
            <w:fldChar w:fldCharType="begin"/>
          </w:r>
          <w:r w:rsidR="009C362B" w:rsidRPr="00B07776">
            <w:rPr>
              <w:rFonts w:ascii="Arial" w:hAnsi="Arial" w:cs="Arial"/>
              <w:sz w:val="24"/>
              <w:szCs w:val="24"/>
            </w:rPr>
            <w:instrText xml:space="preserve">CITATION Rob12 \l 2057 </w:instrText>
          </w:r>
          <w:r w:rsidR="00AD0BC0" w:rsidRPr="00B07776">
            <w:rPr>
              <w:rFonts w:ascii="Arial" w:hAnsi="Arial" w:cs="Arial"/>
              <w:sz w:val="24"/>
              <w:szCs w:val="24"/>
            </w:rPr>
            <w:fldChar w:fldCharType="separate"/>
          </w:r>
          <w:r w:rsidR="002907EC" w:rsidRPr="00B07776">
            <w:rPr>
              <w:rFonts w:ascii="Arial" w:hAnsi="Arial" w:cs="Arial"/>
              <w:noProof/>
              <w:sz w:val="24"/>
              <w:szCs w:val="24"/>
            </w:rPr>
            <w:t>(Johnston, et al., 2012)</w:t>
          </w:r>
          <w:r w:rsidR="00AD0BC0" w:rsidRPr="00B07776">
            <w:rPr>
              <w:rFonts w:ascii="Arial" w:hAnsi="Arial" w:cs="Arial"/>
              <w:sz w:val="24"/>
              <w:szCs w:val="24"/>
            </w:rPr>
            <w:fldChar w:fldCharType="end"/>
          </w:r>
        </w:sdtContent>
      </w:sdt>
      <w:r w:rsidR="00B6225E" w:rsidRPr="00B07776">
        <w:rPr>
          <w:rFonts w:ascii="Arial" w:hAnsi="Arial" w:cs="Arial"/>
          <w:sz w:val="24"/>
          <w:szCs w:val="24"/>
        </w:rPr>
        <w:t>.</w:t>
      </w:r>
      <w:r w:rsidRPr="002D671F">
        <w:rPr>
          <w:rFonts w:ascii="Arial" w:hAnsi="Arial" w:cs="Arial"/>
          <w:sz w:val="24"/>
          <w:szCs w:val="24"/>
        </w:rPr>
        <w:t xml:space="preserve">Throughout my placement, I also became more aware of the importance of standardisation and consistency. At Wagamama, recipes and procedures are standardised to ensure that customers receive the same quality every time they visit. By following these standards, I understood how individual tasks contribute to the overall customer experience. </w:t>
      </w:r>
      <w:sdt>
        <w:sdtPr>
          <w:rPr>
            <w:rFonts w:ascii="Arial" w:hAnsi="Arial" w:cs="Arial"/>
            <w:sz w:val="24"/>
            <w:szCs w:val="24"/>
          </w:rPr>
          <w:id w:val="696501693"/>
          <w:citation/>
        </w:sdtPr>
        <w:sdtContent>
          <w:r w:rsidR="00AD0BC0" w:rsidRPr="00B07776">
            <w:rPr>
              <w:rFonts w:ascii="Arial" w:hAnsi="Arial" w:cs="Arial"/>
              <w:sz w:val="24"/>
              <w:szCs w:val="24"/>
            </w:rPr>
            <w:fldChar w:fldCharType="begin"/>
          </w:r>
          <w:r w:rsidR="009C362B" w:rsidRPr="00B07776">
            <w:rPr>
              <w:rFonts w:ascii="Arial" w:hAnsi="Arial" w:cs="Arial"/>
              <w:sz w:val="24"/>
              <w:szCs w:val="24"/>
            </w:rPr>
            <w:instrText xml:space="preserve">CITATION Dav18 \l 2057 </w:instrText>
          </w:r>
          <w:r w:rsidR="00AD0BC0" w:rsidRPr="00B07776">
            <w:rPr>
              <w:rFonts w:ascii="Arial" w:hAnsi="Arial" w:cs="Arial"/>
              <w:sz w:val="24"/>
              <w:szCs w:val="24"/>
            </w:rPr>
            <w:fldChar w:fldCharType="separate"/>
          </w:r>
          <w:r w:rsidR="002907EC" w:rsidRPr="00B07776">
            <w:rPr>
              <w:rFonts w:ascii="Arial" w:hAnsi="Arial" w:cs="Arial"/>
              <w:noProof/>
              <w:sz w:val="24"/>
              <w:szCs w:val="24"/>
            </w:rPr>
            <w:t>(Davis, et al., 2018)</w:t>
          </w:r>
          <w:r w:rsidR="00AD0BC0" w:rsidRPr="00B07776">
            <w:rPr>
              <w:rFonts w:ascii="Arial" w:hAnsi="Arial" w:cs="Arial"/>
              <w:sz w:val="24"/>
              <w:szCs w:val="24"/>
            </w:rPr>
            <w:fldChar w:fldCharType="end"/>
          </w:r>
        </w:sdtContent>
      </w:sdt>
      <w:r w:rsidRPr="002D671F">
        <w:rPr>
          <w:rFonts w:ascii="Arial" w:hAnsi="Arial" w:cs="Arial"/>
          <w:sz w:val="24"/>
          <w:szCs w:val="24"/>
        </w:rPr>
        <w:t xml:space="preserve"> explain that maintaining consistency is a key aspect of food and beverage management, particularly in chain restaurants.</w:t>
      </w:r>
    </w:p>
    <w:p w14:paraId="78E8124F" w14:textId="77777777" w:rsidR="002D671F" w:rsidRPr="00B07776" w:rsidRDefault="002D671F" w:rsidP="002D671F">
      <w:pPr>
        <w:rPr>
          <w:rFonts w:ascii="Arial" w:hAnsi="Arial" w:cs="Arial"/>
          <w:sz w:val="24"/>
          <w:szCs w:val="24"/>
        </w:rPr>
      </w:pPr>
      <w:r w:rsidRPr="002D671F">
        <w:rPr>
          <w:rFonts w:ascii="Arial" w:hAnsi="Arial" w:cs="Arial"/>
          <w:sz w:val="24"/>
          <w:szCs w:val="24"/>
        </w:rPr>
        <w:lastRenderedPageBreak/>
        <w:t xml:space="preserve">Overall, my placement allowed me to develop essential culinary skills through practical experience. From basic food preparation and mise </w:t>
      </w:r>
      <w:proofErr w:type="spellStart"/>
      <w:r w:rsidRPr="002D671F">
        <w:rPr>
          <w:rFonts w:ascii="Arial" w:hAnsi="Arial" w:cs="Arial"/>
          <w:sz w:val="24"/>
          <w:szCs w:val="24"/>
        </w:rPr>
        <w:t>en</w:t>
      </w:r>
      <w:proofErr w:type="spellEnd"/>
      <w:r w:rsidRPr="002D671F">
        <w:rPr>
          <w:rFonts w:ascii="Arial" w:hAnsi="Arial" w:cs="Arial"/>
          <w:sz w:val="24"/>
          <w:szCs w:val="24"/>
        </w:rPr>
        <w:t xml:space="preserve"> place to working under pressure and following standardised procedures, I gained a deeper understanding of how professional kitchens operate. These skills not only improved my performance during the placement but also increased my confidence and readiness to work in similar hospitality environments in the future.</w:t>
      </w:r>
    </w:p>
    <w:p w14:paraId="242FCFF7" w14:textId="77777777" w:rsidR="00B6225E" w:rsidRPr="00B07776" w:rsidRDefault="00B6225E" w:rsidP="002D671F">
      <w:pPr>
        <w:rPr>
          <w:rFonts w:ascii="Arial" w:hAnsi="Arial" w:cs="Arial"/>
          <w:sz w:val="24"/>
          <w:szCs w:val="24"/>
        </w:rPr>
      </w:pPr>
    </w:p>
    <w:p w14:paraId="03C783A3" w14:textId="77777777" w:rsidR="00B6225E" w:rsidRPr="00B07776" w:rsidRDefault="00B6225E" w:rsidP="002D671F">
      <w:pPr>
        <w:rPr>
          <w:rFonts w:ascii="Arial" w:hAnsi="Arial" w:cs="Arial"/>
          <w:sz w:val="24"/>
          <w:szCs w:val="24"/>
        </w:rPr>
      </w:pPr>
    </w:p>
    <w:p w14:paraId="5E5040A8" w14:textId="77777777" w:rsidR="00B6225E" w:rsidRPr="00B07776" w:rsidRDefault="00B6225E" w:rsidP="00B6225E">
      <w:pPr>
        <w:rPr>
          <w:rFonts w:ascii="Arial" w:hAnsi="Arial" w:cs="Arial"/>
          <w:sz w:val="28"/>
          <w:szCs w:val="28"/>
        </w:rPr>
      </w:pPr>
      <w:r w:rsidRPr="00B07776">
        <w:rPr>
          <w:rFonts w:ascii="Arial" w:hAnsi="Arial" w:cs="Arial"/>
          <w:sz w:val="28"/>
          <w:szCs w:val="28"/>
        </w:rPr>
        <w:t>Element 2</w:t>
      </w:r>
    </w:p>
    <w:p w14:paraId="47CD5136" w14:textId="2751861E" w:rsidR="00B6225E" w:rsidRPr="00AD0BC0" w:rsidRDefault="00151C82" w:rsidP="00B6225E">
      <w:pPr>
        <w:rPr>
          <w:rFonts w:ascii="Arial" w:hAnsi="Arial" w:cs="Arial"/>
          <w:sz w:val="24"/>
          <w:szCs w:val="24"/>
        </w:rPr>
      </w:pPr>
      <w:r w:rsidRPr="00B07776">
        <w:rPr>
          <w:rFonts w:ascii="Arial" w:hAnsi="Arial" w:cs="Arial"/>
          <w:sz w:val="24"/>
          <w:szCs w:val="24"/>
        </w:rPr>
        <w:t>Health and safety formed a key part of my daily responsibilities while working in the kitchen at Wagamama.</w:t>
      </w:r>
      <w:r w:rsidR="00B6225E" w:rsidRPr="00AD0BC0">
        <w:rPr>
          <w:rFonts w:ascii="Arial" w:hAnsi="Arial" w:cs="Arial"/>
          <w:sz w:val="24"/>
          <w:szCs w:val="24"/>
        </w:rPr>
        <w:t xml:space="preserve"> From the beginning, I understood that working in a professional kitchen involves more than preparing food; it also requires strict attention to hygiene, safety procedures and responsibility towards customers. These aspects became an essential part of my learning experience and influenced the way I approached my work.</w:t>
      </w:r>
    </w:p>
    <w:p w14:paraId="2AB158D7" w14:textId="23908B2E" w:rsidR="00B6225E" w:rsidRPr="00AD0BC0" w:rsidRDefault="00B6225E" w:rsidP="00B6225E">
      <w:pPr>
        <w:rPr>
          <w:rFonts w:ascii="Arial" w:hAnsi="Arial" w:cs="Arial"/>
          <w:sz w:val="24"/>
          <w:szCs w:val="24"/>
        </w:rPr>
      </w:pPr>
      <w:r w:rsidRPr="00AD0BC0">
        <w:rPr>
          <w:rFonts w:ascii="Arial" w:hAnsi="Arial" w:cs="Arial"/>
          <w:sz w:val="24"/>
          <w:szCs w:val="24"/>
        </w:rPr>
        <w:t xml:space="preserve">One of the first areas I developed was personal hygiene. I learned the importance of regular handwashing, wearing clean protective clothing and </w:t>
      </w:r>
      <w:r w:rsidRPr="00B07776">
        <w:rPr>
          <w:rFonts w:ascii="Arial" w:hAnsi="Arial" w:cs="Arial"/>
          <w:sz w:val="24"/>
          <w:szCs w:val="24"/>
        </w:rPr>
        <w:t>always maintaining a tidy workstation</w:t>
      </w:r>
      <w:r w:rsidRPr="00AD0BC0">
        <w:rPr>
          <w:rFonts w:ascii="Arial" w:hAnsi="Arial" w:cs="Arial"/>
          <w:sz w:val="24"/>
          <w:szCs w:val="24"/>
        </w:rPr>
        <w:t xml:space="preserve">. These practices were reinforced daily and helped reduce the risk of contamination. Over time, following hygiene routines became automatic, and I became more aware of how individual actions can affect the overall safety of the kitchen environment. Maintaining these standards aligns with the guidance provided by the </w:t>
      </w:r>
      <w:sdt>
        <w:sdtPr>
          <w:rPr>
            <w:rFonts w:ascii="Arial" w:hAnsi="Arial" w:cs="Arial"/>
            <w:sz w:val="24"/>
            <w:szCs w:val="24"/>
          </w:rPr>
          <w:id w:val="-1125855747"/>
          <w:citation/>
        </w:sdtPr>
        <w:sdtContent>
          <w:r w:rsidRPr="00B07776">
            <w:rPr>
              <w:rFonts w:ascii="Arial" w:hAnsi="Arial" w:cs="Arial"/>
              <w:sz w:val="24"/>
              <w:szCs w:val="24"/>
            </w:rPr>
            <w:fldChar w:fldCharType="begin"/>
          </w:r>
          <w:r w:rsidR="009C362B" w:rsidRPr="00B07776">
            <w:rPr>
              <w:rFonts w:ascii="Arial" w:hAnsi="Arial" w:cs="Arial"/>
              <w:sz w:val="24"/>
              <w:szCs w:val="24"/>
            </w:rPr>
            <w:instrText xml:space="preserve">CITATION Foo23 \l 2057 </w:instrText>
          </w:r>
          <w:r w:rsidRPr="00B07776">
            <w:rPr>
              <w:rFonts w:ascii="Arial" w:hAnsi="Arial" w:cs="Arial"/>
              <w:sz w:val="24"/>
              <w:szCs w:val="24"/>
            </w:rPr>
            <w:fldChar w:fldCharType="separate"/>
          </w:r>
          <w:r w:rsidR="002907EC" w:rsidRPr="00B07776">
            <w:rPr>
              <w:rFonts w:ascii="Arial" w:hAnsi="Arial" w:cs="Arial"/>
              <w:noProof/>
              <w:sz w:val="24"/>
              <w:szCs w:val="24"/>
            </w:rPr>
            <w:t>(Food Standards Agency, 2023)</w:t>
          </w:r>
          <w:r w:rsidRPr="00B07776">
            <w:rPr>
              <w:rFonts w:ascii="Arial" w:hAnsi="Arial" w:cs="Arial"/>
              <w:sz w:val="24"/>
              <w:szCs w:val="24"/>
            </w:rPr>
            <w:fldChar w:fldCharType="end"/>
          </w:r>
        </w:sdtContent>
      </w:sdt>
      <w:r w:rsidRPr="00AD0BC0">
        <w:rPr>
          <w:rFonts w:ascii="Arial" w:hAnsi="Arial" w:cs="Arial"/>
          <w:sz w:val="24"/>
          <w:szCs w:val="24"/>
        </w:rPr>
        <w:t>, which highlights the importance of hygiene procedures in preventing food safety risks.</w:t>
      </w:r>
    </w:p>
    <w:p w14:paraId="70A9E9DF" w14:textId="4C00388E" w:rsidR="00B6225E" w:rsidRPr="00AD0BC0" w:rsidRDefault="00B6225E" w:rsidP="00B6225E">
      <w:pPr>
        <w:rPr>
          <w:rFonts w:ascii="Arial" w:hAnsi="Arial" w:cs="Arial"/>
          <w:sz w:val="24"/>
          <w:szCs w:val="24"/>
        </w:rPr>
      </w:pPr>
      <w:r w:rsidRPr="00AD0BC0">
        <w:rPr>
          <w:rFonts w:ascii="Arial" w:hAnsi="Arial" w:cs="Arial"/>
          <w:sz w:val="24"/>
          <w:szCs w:val="24"/>
        </w:rPr>
        <w:t xml:space="preserve">Another important aspect of health and safety was the prevention of cross-contamination. I learned to separate raw and cooked ingredients, use designated equipment and clean surfaces thoroughly between tasks. This was particularly important during busy service periods, when working quickly could increase the risk of mistakes. By following established procedures, I understood how structured systems such as HACCP help manage food safety risks in professional kitchens </w:t>
      </w:r>
      <w:sdt>
        <w:sdtPr>
          <w:rPr>
            <w:rFonts w:ascii="Arial" w:hAnsi="Arial" w:cs="Arial"/>
            <w:sz w:val="24"/>
            <w:szCs w:val="24"/>
          </w:rPr>
          <w:id w:val="-105891329"/>
          <w:citation/>
        </w:sdtPr>
        <w:sdtContent>
          <w:r w:rsidRPr="00B07776">
            <w:rPr>
              <w:rFonts w:ascii="Arial" w:hAnsi="Arial" w:cs="Arial"/>
              <w:sz w:val="24"/>
              <w:szCs w:val="24"/>
            </w:rPr>
            <w:fldChar w:fldCharType="begin"/>
          </w:r>
          <w:r w:rsidR="009C362B" w:rsidRPr="00B07776">
            <w:rPr>
              <w:rFonts w:ascii="Arial" w:hAnsi="Arial" w:cs="Arial"/>
              <w:sz w:val="24"/>
              <w:szCs w:val="24"/>
            </w:rPr>
            <w:instrText xml:space="preserve">CITATION Foo23 \l 2057 </w:instrText>
          </w:r>
          <w:r w:rsidRPr="00B07776">
            <w:rPr>
              <w:rFonts w:ascii="Arial" w:hAnsi="Arial" w:cs="Arial"/>
              <w:sz w:val="24"/>
              <w:szCs w:val="24"/>
            </w:rPr>
            <w:fldChar w:fldCharType="separate"/>
          </w:r>
          <w:r w:rsidR="002907EC" w:rsidRPr="00B07776">
            <w:rPr>
              <w:rFonts w:ascii="Arial" w:hAnsi="Arial" w:cs="Arial"/>
              <w:noProof/>
              <w:sz w:val="24"/>
              <w:szCs w:val="24"/>
            </w:rPr>
            <w:t>(Food Standards Agency, 2023)</w:t>
          </w:r>
          <w:r w:rsidRPr="00B07776">
            <w:rPr>
              <w:rFonts w:ascii="Arial" w:hAnsi="Arial" w:cs="Arial"/>
              <w:sz w:val="24"/>
              <w:szCs w:val="24"/>
            </w:rPr>
            <w:fldChar w:fldCharType="end"/>
          </w:r>
        </w:sdtContent>
      </w:sdt>
      <w:r w:rsidRPr="00AD0BC0">
        <w:rPr>
          <w:rFonts w:ascii="Arial" w:hAnsi="Arial" w:cs="Arial"/>
          <w:sz w:val="24"/>
          <w:szCs w:val="24"/>
        </w:rPr>
        <w:t>. This experience made me more careful and attentive when handling food, especially during high-pressure situations.</w:t>
      </w:r>
    </w:p>
    <w:p w14:paraId="417E11F0" w14:textId="7422800D" w:rsidR="00B6225E" w:rsidRPr="00AD0BC0" w:rsidRDefault="00B6225E" w:rsidP="00B6225E">
      <w:pPr>
        <w:rPr>
          <w:rFonts w:ascii="Arial" w:hAnsi="Arial" w:cs="Arial"/>
          <w:sz w:val="24"/>
          <w:szCs w:val="24"/>
        </w:rPr>
      </w:pPr>
      <w:r w:rsidRPr="00AD0BC0">
        <w:rPr>
          <w:rFonts w:ascii="Arial" w:hAnsi="Arial" w:cs="Arial"/>
          <w:sz w:val="24"/>
          <w:szCs w:val="24"/>
        </w:rPr>
        <w:t xml:space="preserve">Allergen management was also a key responsibility during my placement. At Wagamama, clear procedures were in place to protect customers with food allergies. I learned how important it is to follow allergen guidelines accurately, communicate clearly with the team and avoid any risk of cross-contact. Understanding the seriousness of allergens increased my sense of responsibility, as mistakes could have serious consequences for customers’ health. This reflects the legal and ethical importance of allergen control in food businesses, as outlined in UK allergen guidance </w:t>
      </w:r>
      <w:sdt>
        <w:sdtPr>
          <w:rPr>
            <w:rFonts w:ascii="Arial" w:hAnsi="Arial" w:cs="Arial"/>
            <w:sz w:val="24"/>
            <w:szCs w:val="24"/>
          </w:rPr>
          <w:id w:val="-696076919"/>
          <w:citation/>
        </w:sdtPr>
        <w:sdtContent>
          <w:r w:rsidRPr="00B07776">
            <w:rPr>
              <w:rFonts w:ascii="Arial" w:hAnsi="Arial" w:cs="Arial"/>
              <w:sz w:val="24"/>
              <w:szCs w:val="24"/>
            </w:rPr>
            <w:fldChar w:fldCharType="begin"/>
          </w:r>
          <w:r w:rsidR="009C362B" w:rsidRPr="00B07776">
            <w:rPr>
              <w:rFonts w:ascii="Arial" w:hAnsi="Arial" w:cs="Arial"/>
              <w:sz w:val="24"/>
              <w:szCs w:val="24"/>
            </w:rPr>
            <w:instrText xml:space="preserve">CITATION Foo23 \l 2057 </w:instrText>
          </w:r>
          <w:r w:rsidRPr="00B07776">
            <w:rPr>
              <w:rFonts w:ascii="Arial" w:hAnsi="Arial" w:cs="Arial"/>
              <w:sz w:val="24"/>
              <w:szCs w:val="24"/>
            </w:rPr>
            <w:fldChar w:fldCharType="separate"/>
          </w:r>
          <w:r w:rsidR="002907EC" w:rsidRPr="00B07776">
            <w:rPr>
              <w:rFonts w:ascii="Arial" w:hAnsi="Arial" w:cs="Arial"/>
              <w:noProof/>
              <w:sz w:val="24"/>
              <w:szCs w:val="24"/>
            </w:rPr>
            <w:t>(Food Standards Agency, 2023)</w:t>
          </w:r>
          <w:r w:rsidRPr="00B07776">
            <w:rPr>
              <w:rFonts w:ascii="Arial" w:hAnsi="Arial" w:cs="Arial"/>
              <w:sz w:val="24"/>
              <w:szCs w:val="24"/>
            </w:rPr>
            <w:fldChar w:fldCharType="end"/>
          </w:r>
        </w:sdtContent>
      </w:sdt>
      <w:r w:rsidRPr="00AD0BC0">
        <w:rPr>
          <w:rFonts w:ascii="Arial" w:hAnsi="Arial" w:cs="Arial"/>
          <w:sz w:val="24"/>
          <w:szCs w:val="24"/>
        </w:rPr>
        <w:t>.</w:t>
      </w:r>
    </w:p>
    <w:p w14:paraId="1C82FCD5" w14:textId="13B93CD1" w:rsidR="00B6225E" w:rsidRPr="00AD0BC0" w:rsidRDefault="00B6225E" w:rsidP="00B6225E">
      <w:pPr>
        <w:rPr>
          <w:rFonts w:ascii="Arial" w:hAnsi="Arial" w:cs="Arial"/>
          <w:sz w:val="24"/>
          <w:szCs w:val="24"/>
        </w:rPr>
      </w:pPr>
      <w:r w:rsidRPr="00AD0BC0">
        <w:rPr>
          <w:rFonts w:ascii="Arial" w:hAnsi="Arial" w:cs="Arial"/>
          <w:sz w:val="24"/>
          <w:szCs w:val="24"/>
        </w:rPr>
        <w:t xml:space="preserve">In addition to food safety, I became more aware of workplace health and safety within the kitchen. This included working safely with equipment, keeping floors clear and maintaining an organised workstation to reduce the risk of accidents. Being </w:t>
      </w:r>
      <w:r w:rsidRPr="00AD0BC0">
        <w:rPr>
          <w:rFonts w:ascii="Arial" w:hAnsi="Arial" w:cs="Arial"/>
          <w:sz w:val="24"/>
          <w:szCs w:val="24"/>
        </w:rPr>
        <w:lastRenderedPageBreak/>
        <w:t xml:space="preserve">aware of these risks helped me work more confidently and responsibly during service. The </w:t>
      </w:r>
      <w:sdt>
        <w:sdtPr>
          <w:rPr>
            <w:rFonts w:ascii="Arial" w:hAnsi="Arial" w:cs="Arial"/>
            <w:sz w:val="24"/>
            <w:szCs w:val="24"/>
          </w:rPr>
          <w:id w:val="-620535918"/>
          <w:citation/>
        </w:sdtPr>
        <w:sdtContent>
          <w:r w:rsidRPr="00B07776">
            <w:rPr>
              <w:rFonts w:ascii="Arial" w:hAnsi="Arial" w:cs="Arial"/>
              <w:sz w:val="24"/>
              <w:szCs w:val="24"/>
            </w:rPr>
            <w:fldChar w:fldCharType="begin"/>
          </w:r>
          <w:r w:rsidR="009C362B" w:rsidRPr="00B07776">
            <w:rPr>
              <w:rFonts w:ascii="Arial" w:hAnsi="Arial" w:cs="Arial"/>
              <w:sz w:val="24"/>
              <w:szCs w:val="24"/>
            </w:rPr>
            <w:instrText xml:space="preserve">CITATION Hea23 \l 2057 </w:instrText>
          </w:r>
          <w:r w:rsidRPr="00B07776">
            <w:rPr>
              <w:rFonts w:ascii="Arial" w:hAnsi="Arial" w:cs="Arial"/>
              <w:sz w:val="24"/>
              <w:szCs w:val="24"/>
            </w:rPr>
            <w:fldChar w:fldCharType="separate"/>
          </w:r>
          <w:r w:rsidR="002907EC" w:rsidRPr="00B07776">
            <w:rPr>
              <w:rFonts w:ascii="Arial" w:hAnsi="Arial" w:cs="Arial"/>
              <w:noProof/>
              <w:sz w:val="24"/>
              <w:szCs w:val="24"/>
            </w:rPr>
            <w:t>(Health and Safety Executive, 2023)</w:t>
          </w:r>
          <w:r w:rsidRPr="00B07776">
            <w:rPr>
              <w:rFonts w:ascii="Arial" w:hAnsi="Arial" w:cs="Arial"/>
              <w:sz w:val="24"/>
              <w:szCs w:val="24"/>
            </w:rPr>
            <w:fldChar w:fldCharType="end"/>
          </w:r>
        </w:sdtContent>
      </w:sdt>
      <w:r w:rsidRPr="00AD0BC0">
        <w:rPr>
          <w:rFonts w:ascii="Arial" w:hAnsi="Arial" w:cs="Arial"/>
          <w:sz w:val="24"/>
          <w:szCs w:val="24"/>
        </w:rPr>
        <w:t xml:space="preserve"> emphasises that safe working environments are essential in catering settings to protect both staff and customers.</w:t>
      </w:r>
    </w:p>
    <w:p w14:paraId="682A2648" w14:textId="77777777" w:rsidR="00B6225E" w:rsidRPr="00B07776" w:rsidRDefault="00B6225E" w:rsidP="00B6225E">
      <w:pPr>
        <w:rPr>
          <w:rFonts w:ascii="Arial" w:hAnsi="Arial" w:cs="Arial"/>
          <w:sz w:val="24"/>
          <w:szCs w:val="24"/>
        </w:rPr>
      </w:pPr>
      <w:r w:rsidRPr="00AD0BC0">
        <w:rPr>
          <w:rFonts w:ascii="Arial" w:hAnsi="Arial" w:cs="Arial"/>
          <w:sz w:val="24"/>
          <w:szCs w:val="24"/>
        </w:rPr>
        <w:t>Overall, my placement helped me understand that kitchen health and safety is a shared responsibility. By following hygiene rules, food safety procedures and allergen guidelines, I learned how professional kitchens protect customers and staff while maintaining high standards. This experience has increased my awareness of the consequences of unsafe practices and has encouraged me to take greater responsibility for my actions in the workplace. The skills and knowledge gained during this placement will continue to influence how I approach health and safety in future hospitality roles.</w:t>
      </w:r>
    </w:p>
    <w:p w14:paraId="63406F58" w14:textId="77777777" w:rsidR="00151C82" w:rsidRPr="00B07776" w:rsidRDefault="00151C82" w:rsidP="00B6225E">
      <w:pPr>
        <w:rPr>
          <w:rFonts w:ascii="Arial" w:hAnsi="Arial" w:cs="Arial"/>
          <w:sz w:val="24"/>
          <w:szCs w:val="24"/>
        </w:rPr>
      </w:pPr>
    </w:p>
    <w:p w14:paraId="08C1A251" w14:textId="03616F9C" w:rsidR="00151C82" w:rsidRPr="00B07776" w:rsidRDefault="00151C82" w:rsidP="00B6225E">
      <w:pPr>
        <w:rPr>
          <w:rFonts w:ascii="Arial" w:hAnsi="Arial" w:cs="Arial"/>
          <w:sz w:val="28"/>
          <w:szCs w:val="28"/>
        </w:rPr>
      </w:pPr>
      <w:r w:rsidRPr="00B07776">
        <w:rPr>
          <w:rFonts w:ascii="Arial" w:hAnsi="Arial" w:cs="Arial"/>
          <w:sz w:val="28"/>
          <w:szCs w:val="28"/>
        </w:rPr>
        <w:t>Element 3</w:t>
      </w:r>
    </w:p>
    <w:p w14:paraId="14DFEF14" w14:textId="50C7440A" w:rsidR="00151C82" w:rsidRPr="00151C82" w:rsidRDefault="00151C82" w:rsidP="00151C82">
      <w:pPr>
        <w:rPr>
          <w:rFonts w:ascii="Arial" w:hAnsi="Arial" w:cs="Arial"/>
          <w:sz w:val="24"/>
          <w:szCs w:val="24"/>
        </w:rPr>
      </w:pPr>
      <w:r w:rsidRPr="00151C82">
        <w:rPr>
          <w:rFonts w:ascii="Arial" w:hAnsi="Arial" w:cs="Arial"/>
          <w:sz w:val="24"/>
          <w:szCs w:val="24"/>
        </w:rPr>
        <w:t>Working as part of a professional kitchen team provided valuable insight into how organisational structure and teamwork influence daily operations. Being involved in the kitchen at Wagamama allowed me to experience first-hand how clear roles, effective communication and a supportive work environment contribute to smooth service and consistent performance.</w:t>
      </w:r>
    </w:p>
    <w:p w14:paraId="6DE38A3C" w14:textId="637031C7" w:rsidR="00151C82" w:rsidRPr="00151C82" w:rsidRDefault="00151C82" w:rsidP="00151C82">
      <w:pPr>
        <w:rPr>
          <w:rFonts w:ascii="Arial" w:hAnsi="Arial" w:cs="Arial"/>
          <w:sz w:val="24"/>
          <w:szCs w:val="24"/>
        </w:rPr>
      </w:pPr>
      <w:r w:rsidRPr="00151C82">
        <w:rPr>
          <w:rFonts w:ascii="Arial" w:hAnsi="Arial" w:cs="Arial"/>
          <w:sz w:val="24"/>
          <w:szCs w:val="24"/>
        </w:rPr>
        <w:t xml:space="preserve">A key organisational aspect I observed was the importance of defined roles within the kitchen team. Each team member had specific responsibilities, which helped reduce confusion during busy service periods. As I became more familiar with my role, I was able to work more independently and understand how my tasks fitted into the wider operation. This structured approach helped maintain efficiency and ensured that service continued smoothly even during peak times. The idea of organised kitchen roles reflects traditional brigade-style systems, where clarity of responsibility supports coordination and teamwork </w:t>
      </w:r>
      <w:sdt>
        <w:sdtPr>
          <w:rPr>
            <w:rFonts w:ascii="Arial" w:hAnsi="Arial" w:cs="Arial"/>
            <w:sz w:val="24"/>
            <w:szCs w:val="24"/>
          </w:rPr>
          <w:id w:val="-465202327"/>
          <w:citation/>
        </w:sdtPr>
        <w:sdtContent>
          <w:r w:rsidRPr="00B07776">
            <w:rPr>
              <w:rFonts w:ascii="Arial" w:hAnsi="Arial" w:cs="Arial"/>
              <w:sz w:val="24"/>
              <w:szCs w:val="24"/>
            </w:rPr>
            <w:fldChar w:fldCharType="begin"/>
          </w:r>
          <w:r w:rsidR="009C362B" w:rsidRPr="00B07776">
            <w:rPr>
              <w:rFonts w:ascii="Arial" w:hAnsi="Arial" w:cs="Arial"/>
              <w:sz w:val="24"/>
              <w:szCs w:val="24"/>
            </w:rPr>
            <w:instrText xml:space="preserve">CITATION Wik22 \l 2057 </w:instrText>
          </w:r>
          <w:r w:rsidRPr="00B07776">
            <w:rPr>
              <w:rFonts w:ascii="Arial" w:hAnsi="Arial" w:cs="Arial"/>
              <w:sz w:val="24"/>
              <w:szCs w:val="24"/>
            </w:rPr>
            <w:fldChar w:fldCharType="separate"/>
          </w:r>
          <w:r w:rsidR="002907EC" w:rsidRPr="00B07776">
            <w:rPr>
              <w:rFonts w:ascii="Arial" w:hAnsi="Arial" w:cs="Arial"/>
              <w:noProof/>
              <w:sz w:val="24"/>
              <w:szCs w:val="24"/>
            </w:rPr>
            <w:t>(Wikipedia contributors, 2022)</w:t>
          </w:r>
          <w:r w:rsidRPr="00B07776">
            <w:rPr>
              <w:rFonts w:ascii="Arial" w:hAnsi="Arial" w:cs="Arial"/>
              <w:sz w:val="24"/>
              <w:szCs w:val="24"/>
            </w:rPr>
            <w:fldChar w:fldCharType="end"/>
          </w:r>
        </w:sdtContent>
      </w:sdt>
      <w:r w:rsidRPr="00151C82">
        <w:rPr>
          <w:rFonts w:ascii="Arial" w:hAnsi="Arial" w:cs="Arial"/>
          <w:sz w:val="24"/>
          <w:szCs w:val="24"/>
        </w:rPr>
        <w:t>.</w:t>
      </w:r>
    </w:p>
    <w:p w14:paraId="4D3B13EF" w14:textId="639D7074" w:rsidR="00151C82" w:rsidRPr="00151C82" w:rsidRDefault="00151C82" w:rsidP="00151C82">
      <w:pPr>
        <w:rPr>
          <w:rFonts w:ascii="Arial" w:hAnsi="Arial" w:cs="Arial"/>
          <w:sz w:val="24"/>
          <w:szCs w:val="24"/>
        </w:rPr>
      </w:pPr>
      <w:r w:rsidRPr="00151C82">
        <w:rPr>
          <w:rFonts w:ascii="Arial" w:hAnsi="Arial" w:cs="Arial"/>
          <w:sz w:val="24"/>
          <w:szCs w:val="24"/>
        </w:rPr>
        <w:t xml:space="preserve">Teamwork played a central role in the success of daily operations. During service, collaboration between team members was essential, especially when the kitchen became busy. I learned that supporting colleagues and responding quickly to instructions helped maintain workflow and avoid delays. Over time, I became more confident in communicating with the team, which allowed me to react more effectively under pressure. Effective teamwork is closely linked to service performance, as well-organised operations rely on cooperation and shared responsibility </w:t>
      </w:r>
      <w:sdt>
        <w:sdtPr>
          <w:rPr>
            <w:rFonts w:ascii="Arial" w:hAnsi="Arial" w:cs="Arial"/>
            <w:sz w:val="24"/>
            <w:szCs w:val="24"/>
          </w:rPr>
          <w:id w:val="-972747262"/>
          <w:citation/>
        </w:sdtPr>
        <w:sdtContent>
          <w:r w:rsidRPr="00B07776">
            <w:rPr>
              <w:rFonts w:ascii="Arial" w:hAnsi="Arial" w:cs="Arial"/>
              <w:sz w:val="24"/>
              <w:szCs w:val="24"/>
            </w:rPr>
            <w:fldChar w:fldCharType="begin"/>
          </w:r>
          <w:r w:rsidR="009C362B" w:rsidRPr="00B07776">
            <w:rPr>
              <w:rFonts w:ascii="Arial" w:hAnsi="Arial" w:cs="Arial"/>
              <w:sz w:val="24"/>
              <w:szCs w:val="24"/>
            </w:rPr>
            <w:instrText xml:space="preserve">CITATION Rob12 \l 2057 </w:instrText>
          </w:r>
          <w:r w:rsidRPr="00B07776">
            <w:rPr>
              <w:rFonts w:ascii="Arial" w:hAnsi="Arial" w:cs="Arial"/>
              <w:sz w:val="24"/>
              <w:szCs w:val="24"/>
            </w:rPr>
            <w:fldChar w:fldCharType="separate"/>
          </w:r>
          <w:r w:rsidR="002907EC" w:rsidRPr="00B07776">
            <w:rPr>
              <w:rFonts w:ascii="Arial" w:hAnsi="Arial" w:cs="Arial"/>
              <w:noProof/>
              <w:sz w:val="24"/>
              <w:szCs w:val="24"/>
            </w:rPr>
            <w:t>(Johnston, et al., 2012)</w:t>
          </w:r>
          <w:r w:rsidRPr="00B07776">
            <w:rPr>
              <w:rFonts w:ascii="Arial" w:hAnsi="Arial" w:cs="Arial"/>
              <w:sz w:val="24"/>
              <w:szCs w:val="24"/>
            </w:rPr>
            <w:fldChar w:fldCharType="end"/>
          </w:r>
        </w:sdtContent>
      </w:sdt>
      <w:r w:rsidRPr="00151C82">
        <w:rPr>
          <w:rFonts w:ascii="Arial" w:hAnsi="Arial" w:cs="Arial"/>
          <w:sz w:val="24"/>
          <w:szCs w:val="24"/>
        </w:rPr>
        <w:t>.</w:t>
      </w:r>
    </w:p>
    <w:p w14:paraId="6E78A6A4" w14:textId="46F92081" w:rsidR="00151C82" w:rsidRPr="00151C82" w:rsidRDefault="00151C82" w:rsidP="00151C82">
      <w:pPr>
        <w:rPr>
          <w:rFonts w:ascii="Arial" w:hAnsi="Arial" w:cs="Arial"/>
          <w:sz w:val="24"/>
          <w:szCs w:val="24"/>
        </w:rPr>
      </w:pPr>
      <w:r w:rsidRPr="00151C82">
        <w:rPr>
          <w:rFonts w:ascii="Arial" w:hAnsi="Arial" w:cs="Arial"/>
          <w:sz w:val="24"/>
          <w:szCs w:val="24"/>
        </w:rPr>
        <w:t xml:space="preserve">The working environment also had a significant impact on my performance. The physical layout of the kitchen required awareness, organisation and constant attention to cleanliness. As I adapted to this environment, I found that being organised and familiar with the workspace reduced stress and improved efficiency. A well-structured and clean work environment made it easier to focus on tasks and respond quickly during service. Research suggests that the physical environment in restaurant kitchens can influence employee engagement and performance, highlighting the importance of workspace design and organisation </w:t>
      </w:r>
      <w:sdt>
        <w:sdtPr>
          <w:rPr>
            <w:rFonts w:ascii="Arial" w:hAnsi="Arial" w:cs="Arial"/>
            <w:sz w:val="24"/>
            <w:szCs w:val="24"/>
          </w:rPr>
          <w:id w:val="-1689972898"/>
          <w:citation/>
        </w:sdtPr>
        <w:sdtContent>
          <w:r w:rsidRPr="00B07776">
            <w:rPr>
              <w:rFonts w:ascii="Arial" w:hAnsi="Arial" w:cs="Arial"/>
              <w:sz w:val="24"/>
              <w:szCs w:val="24"/>
            </w:rPr>
            <w:fldChar w:fldCharType="begin"/>
          </w:r>
          <w:r w:rsidR="00185684" w:rsidRPr="00B07776">
            <w:rPr>
              <w:rFonts w:ascii="Arial" w:hAnsi="Arial" w:cs="Arial"/>
              <w:sz w:val="24"/>
              <w:szCs w:val="24"/>
            </w:rPr>
            <w:instrText xml:space="preserve">CITATION Shi22 \l 2057 </w:instrText>
          </w:r>
          <w:r w:rsidRPr="00B07776">
            <w:rPr>
              <w:rFonts w:ascii="Arial" w:hAnsi="Arial" w:cs="Arial"/>
              <w:sz w:val="24"/>
              <w:szCs w:val="24"/>
            </w:rPr>
            <w:fldChar w:fldCharType="separate"/>
          </w:r>
          <w:r w:rsidR="002907EC" w:rsidRPr="00B07776">
            <w:rPr>
              <w:rFonts w:ascii="Arial" w:hAnsi="Arial" w:cs="Arial"/>
              <w:noProof/>
              <w:sz w:val="24"/>
              <w:szCs w:val="24"/>
            </w:rPr>
            <w:t>(Shih-Shuo, et al., 2022)</w:t>
          </w:r>
          <w:r w:rsidRPr="00B07776">
            <w:rPr>
              <w:rFonts w:ascii="Arial" w:hAnsi="Arial" w:cs="Arial"/>
              <w:sz w:val="24"/>
              <w:szCs w:val="24"/>
            </w:rPr>
            <w:fldChar w:fldCharType="end"/>
          </w:r>
        </w:sdtContent>
      </w:sdt>
      <w:r w:rsidRPr="00151C82">
        <w:rPr>
          <w:rFonts w:ascii="Arial" w:hAnsi="Arial" w:cs="Arial"/>
          <w:sz w:val="24"/>
          <w:szCs w:val="24"/>
        </w:rPr>
        <w:t>.</w:t>
      </w:r>
    </w:p>
    <w:p w14:paraId="259DD438" w14:textId="3A8269C9" w:rsidR="00151C82" w:rsidRPr="00151C82" w:rsidRDefault="00151C82" w:rsidP="00151C82">
      <w:pPr>
        <w:rPr>
          <w:rFonts w:ascii="Arial" w:hAnsi="Arial" w:cs="Arial"/>
          <w:sz w:val="24"/>
          <w:szCs w:val="24"/>
        </w:rPr>
      </w:pPr>
      <w:r w:rsidRPr="00151C82">
        <w:rPr>
          <w:rFonts w:ascii="Arial" w:hAnsi="Arial" w:cs="Arial"/>
          <w:sz w:val="24"/>
          <w:szCs w:val="24"/>
        </w:rPr>
        <w:lastRenderedPageBreak/>
        <w:t xml:space="preserve">Another important organisational issue was accountability within the team. I became aware that </w:t>
      </w:r>
      <w:r w:rsidR="00B07776" w:rsidRPr="00151C82">
        <w:rPr>
          <w:rFonts w:ascii="Arial" w:hAnsi="Arial" w:cs="Arial"/>
          <w:sz w:val="24"/>
          <w:szCs w:val="24"/>
        </w:rPr>
        <w:t>everyone’s</w:t>
      </w:r>
      <w:r w:rsidRPr="00151C82">
        <w:rPr>
          <w:rFonts w:ascii="Arial" w:hAnsi="Arial" w:cs="Arial"/>
          <w:sz w:val="24"/>
          <w:szCs w:val="24"/>
        </w:rPr>
        <w:t xml:space="preserve"> performance directly affected others. Completing tasks accurately and on time helped the team function effectively, while small errors could disrupt service flow. This experience helped me understand how individual responsibility supports overall team performance. In food and beverage operations, consistency and coordination are essential, particularly in chain restaurants where standards must be maintained across all services </w:t>
      </w:r>
      <w:sdt>
        <w:sdtPr>
          <w:rPr>
            <w:rFonts w:ascii="Arial" w:hAnsi="Arial" w:cs="Arial"/>
            <w:sz w:val="24"/>
            <w:szCs w:val="24"/>
          </w:rPr>
          <w:id w:val="775758021"/>
          <w:citation/>
        </w:sdtPr>
        <w:sdtContent>
          <w:r w:rsidRPr="00B07776">
            <w:rPr>
              <w:rFonts w:ascii="Arial" w:hAnsi="Arial" w:cs="Arial"/>
              <w:sz w:val="24"/>
              <w:szCs w:val="24"/>
            </w:rPr>
            <w:fldChar w:fldCharType="begin"/>
          </w:r>
          <w:r w:rsidR="009C362B" w:rsidRPr="00B07776">
            <w:rPr>
              <w:rFonts w:ascii="Arial" w:hAnsi="Arial" w:cs="Arial"/>
              <w:sz w:val="24"/>
              <w:szCs w:val="24"/>
            </w:rPr>
            <w:instrText xml:space="preserve">CITATION Dav18 \l 2057 </w:instrText>
          </w:r>
          <w:r w:rsidRPr="00B07776">
            <w:rPr>
              <w:rFonts w:ascii="Arial" w:hAnsi="Arial" w:cs="Arial"/>
              <w:sz w:val="24"/>
              <w:szCs w:val="24"/>
            </w:rPr>
            <w:fldChar w:fldCharType="separate"/>
          </w:r>
          <w:r w:rsidR="002907EC" w:rsidRPr="00B07776">
            <w:rPr>
              <w:rFonts w:ascii="Arial" w:hAnsi="Arial" w:cs="Arial"/>
              <w:noProof/>
              <w:sz w:val="24"/>
              <w:szCs w:val="24"/>
            </w:rPr>
            <w:t>(Davis, et al., 2018)</w:t>
          </w:r>
          <w:r w:rsidRPr="00B07776">
            <w:rPr>
              <w:rFonts w:ascii="Arial" w:hAnsi="Arial" w:cs="Arial"/>
              <w:sz w:val="24"/>
              <w:szCs w:val="24"/>
            </w:rPr>
            <w:fldChar w:fldCharType="end"/>
          </w:r>
        </w:sdtContent>
      </w:sdt>
      <w:r w:rsidRPr="00151C82">
        <w:rPr>
          <w:rFonts w:ascii="Arial" w:hAnsi="Arial" w:cs="Arial"/>
          <w:sz w:val="24"/>
          <w:szCs w:val="24"/>
        </w:rPr>
        <w:t>.</w:t>
      </w:r>
    </w:p>
    <w:p w14:paraId="32E33EE3" w14:textId="3A11DEA6" w:rsidR="00151C82" w:rsidRPr="00151C82" w:rsidRDefault="00151C82" w:rsidP="00151C82">
      <w:pPr>
        <w:rPr>
          <w:rFonts w:ascii="Arial" w:hAnsi="Arial" w:cs="Arial"/>
          <w:sz w:val="24"/>
          <w:szCs w:val="24"/>
        </w:rPr>
      </w:pPr>
      <w:r w:rsidRPr="00151C82">
        <w:rPr>
          <w:rFonts w:ascii="Arial" w:hAnsi="Arial" w:cs="Arial"/>
          <w:sz w:val="24"/>
          <w:szCs w:val="24"/>
        </w:rPr>
        <w:t xml:space="preserve">Finally, the placement environment supported </w:t>
      </w:r>
      <w:r w:rsidRPr="00743E34">
        <w:rPr>
          <w:rFonts w:ascii="Arial" w:hAnsi="Arial" w:cs="Arial"/>
          <w:sz w:val="24"/>
          <w:szCs w:val="24"/>
        </w:rPr>
        <w:t>learning through experience.</w:t>
      </w:r>
      <w:r w:rsidRPr="00151C82">
        <w:rPr>
          <w:rFonts w:ascii="Arial" w:hAnsi="Arial" w:cs="Arial"/>
          <w:sz w:val="24"/>
          <w:szCs w:val="24"/>
        </w:rPr>
        <w:t xml:space="preserve"> By observing more experienced colleagues and receiving feedback during service, I was able to develop both technical and professional skills. This type of work-based learning allowed me to gain confidence and improve my ability to work as part of a team. Guidance on work-based learning emphasises that practical experience is key to developing employability skills and professional awareness </w:t>
      </w:r>
      <w:sdt>
        <w:sdtPr>
          <w:rPr>
            <w:rFonts w:ascii="Arial" w:hAnsi="Arial" w:cs="Arial"/>
            <w:sz w:val="24"/>
            <w:szCs w:val="24"/>
          </w:rPr>
          <w:id w:val="1537626728"/>
          <w:citation/>
        </w:sdtPr>
        <w:sdtContent>
          <w:r w:rsidRPr="00B07776">
            <w:rPr>
              <w:rFonts w:ascii="Arial" w:hAnsi="Arial" w:cs="Arial"/>
              <w:sz w:val="24"/>
              <w:szCs w:val="24"/>
            </w:rPr>
            <w:fldChar w:fldCharType="begin"/>
          </w:r>
          <w:r w:rsidR="00185684" w:rsidRPr="00B07776">
            <w:rPr>
              <w:rFonts w:ascii="Arial" w:hAnsi="Arial" w:cs="Arial"/>
              <w:sz w:val="24"/>
              <w:szCs w:val="24"/>
            </w:rPr>
            <w:instrText xml:space="preserve">CITATION Qua18 \l 2057 </w:instrText>
          </w:r>
          <w:r w:rsidRPr="00B07776">
            <w:rPr>
              <w:rFonts w:ascii="Arial" w:hAnsi="Arial" w:cs="Arial"/>
              <w:sz w:val="24"/>
              <w:szCs w:val="24"/>
            </w:rPr>
            <w:fldChar w:fldCharType="separate"/>
          </w:r>
          <w:r w:rsidR="002907EC" w:rsidRPr="00B07776">
            <w:rPr>
              <w:rFonts w:ascii="Arial" w:hAnsi="Arial" w:cs="Arial"/>
              <w:noProof/>
              <w:sz w:val="24"/>
              <w:szCs w:val="24"/>
            </w:rPr>
            <w:t>(Quality Assurance Agency for Higher Education, 2018)</w:t>
          </w:r>
          <w:r w:rsidRPr="00B07776">
            <w:rPr>
              <w:rFonts w:ascii="Arial" w:hAnsi="Arial" w:cs="Arial"/>
              <w:sz w:val="24"/>
              <w:szCs w:val="24"/>
            </w:rPr>
            <w:fldChar w:fldCharType="end"/>
          </w:r>
        </w:sdtContent>
      </w:sdt>
      <w:r w:rsidRPr="00151C82">
        <w:rPr>
          <w:rFonts w:ascii="Arial" w:hAnsi="Arial" w:cs="Arial"/>
          <w:sz w:val="24"/>
          <w:szCs w:val="24"/>
        </w:rPr>
        <w:t>.</w:t>
      </w:r>
    </w:p>
    <w:p w14:paraId="52F05C70" w14:textId="77777777" w:rsidR="00151C82" w:rsidRPr="00151C82" w:rsidRDefault="00151C82" w:rsidP="00151C82">
      <w:pPr>
        <w:rPr>
          <w:rFonts w:ascii="Arial" w:hAnsi="Arial" w:cs="Arial"/>
          <w:sz w:val="24"/>
          <w:szCs w:val="24"/>
        </w:rPr>
      </w:pPr>
      <w:r w:rsidRPr="00151C82">
        <w:rPr>
          <w:rFonts w:ascii="Arial" w:hAnsi="Arial" w:cs="Arial"/>
          <w:sz w:val="24"/>
          <w:szCs w:val="24"/>
        </w:rPr>
        <w:t>In conclusion, the organisational structure, teamwork and working environment at Wagamama played a vital role in shaping my placement experience. Through clear roles, effective communication and shared responsibility, I developed a better understanding of how professional kitchens operate. These experiences have strengthened my confidence and prepared me to contribute more effectively within hospitality teams in future roles.</w:t>
      </w:r>
    </w:p>
    <w:p w14:paraId="21D49F1F" w14:textId="77777777" w:rsidR="00151C82" w:rsidRPr="00AD0BC0" w:rsidRDefault="00151C82" w:rsidP="00B6225E"/>
    <w:p w14:paraId="340B8D1F" w14:textId="77777777" w:rsidR="00B6225E" w:rsidRDefault="00B6225E" w:rsidP="00B6225E"/>
    <w:p w14:paraId="2E6842E9" w14:textId="77777777" w:rsidR="00AD0BC0" w:rsidRDefault="00AD0BC0"/>
    <w:p w14:paraId="367E2B5F" w14:textId="77777777" w:rsidR="00AD0BC0" w:rsidRDefault="00AD0BC0"/>
    <w:p w14:paraId="1B365577" w14:textId="77777777" w:rsidR="00B97D42" w:rsidRDefault="00B97D42"/>
    <w:p w14:paraId="607DEC97" w14:textId="77777777" w:rsidR="00B07776" w:rsidRDefault="00B07776"/>
    <w:p w14:paraId="0D828B53" w14:textId="77777777" w:rsidR="00B07776" w:rsidRDefault="00B07776"/>
    <w:p w14:paraId="612C19EC" w14:textId="77777777" w:rsidR="00B07776" w:rsidRDefault="00B07776"/>
    <w:p w14:paraId="29BC5D56" w14:textId="77777777" w:rsidR="00B07776" w:rsidRDefault="00B07776"/>
    <w:p w14:paraId="7C3F79BB" w14:textId="77777777" w:rsidR="00B07776" w:rsidRDefault="00B07776"/>
    <w:p w14:paraId="40CEC20C" w14:textId="77777777" w:rsidR="00B07776" w:rsidRDefault="00B07776"/>
    <w:p w14:paraId="636FA11E" w14:textId="77777777" w:rsidR="00B07776" w:rsidRDefault="00B07776"/>
    <w:p w14:paraId="21C8C5A6" w14:textId="77777777" w:rsidR="00B07776" w:rsidRDefault="00B07776"/>
    <w:p w14:paraId="4A90D1F8" w14:textId="77777777" w:rsidR="00B07776" w:rsidRDefault="00B07776"/>
    <w:p w14:paraId="4EA0A90E" w14:textId="77777777" w:rsidR="00B07776" w:rsidRDefault="00B07776"/>
    <w:p w14:paraId="64E9FEA1" w14:textId="77777777" w:rsidR="00B97D42" w:rsidRDefault="00B97D42"/>
    <w:sdt>
      <w:sdtPr>
        <w:rPr>
          <w:rFonts w:asciiTheme="minorHAnsi" w:eastAsiaTheme="minorHAnsi" w:hAnsiTheme="minorHAnsi" w:cstheme="minorBidi"/>
          <w:color w:val="auto"/>
          <w:sz w:val="22"/>
          <w:szCs w:val="22"/>
        </w:rPr>
        <w:id w:val="977732702"/>
        <w:docPartObj>
          <w:docPartGallery w:val="Bibliographies"/>
          <w:docPartUnique/>
        </w:docPartObj>
      </w:sdtPr>
      <w:sdtContent>
        <w:p w14:paraId="2E626C80" w14:textId="797AA4F4" w:rsidR="00B97D42" w:rsidRDefault="00B97D42">
          <w:pPr>
            <w:pStyle w:val="Heading1"/>
          </w:pPr>
          <w:r>
            <w:t>References</w:t>
          </w:r>
        </w:p>
        <w:sdt>
          <w:sdtPr>
            <w:id w:val="-573587230"/>
            <w:bibliography/>
          </w:sdtPr>
          <w:sdtContent>
            <w:p w14:paraId="5211896E" w14:textId="39A4FF77" w:rsidR="002907EC" w:rsidRDefault="00B97D42" w:rsidP="002907EC">
              <w:pPr>
                <w:pStyle w:val="Bibliography"/>
                <w:rPr>
                  <w:noProof/>
                  <w:kern w:val="0"/>
                  <w:sz w:val="24"/>
                  <w:szCs w:val="24"/>
                  <w14:ligatures w14:val="none"/>
                </w:rPr>
              </w:pPr>
              <w:r>
                <w:fldChar w:fldCharType="begin"/>
              </w:r>
              <w:r>
                <w:instrText>BIBLIOGRAPHY</w:instrText>
              </w:r>
              <w:r>
                <w:fldChar w:fldCharType="separate"/>
              </w:r>
              <w:r w:rsidR="002907EC">
                <w:rPr>
                  <w:noProof/>
                </w:rPr>
                <w:t xml:space="preserve">Davis, B., Lockwood, A. &amp; Alcott, P., 2018. </w:t>
              </w:r>
              <w:r w:rsidR="002907EC">
                <w:rPr>
                  <w:i/>
                  <w:iCs/>
                  <w:noProof/>
                </w:rPr>
                <w:t xml:space="preserve">Food and Beverage Management. </w:t>
              </w:r>
              <w:r w:rsidR="002907EC">
                <w:rPr>
                  <w:noProof/>
                </w:rPr>
                <w:t xml:space="preserve">6 ed. London: Routledge. </w:t>
              </w:r>
              <w:hyperlink r:id="rId7" w:history="1">
                <w:r w:rsidR="002907EC" w:rsidRPr="000A671C">
                  <w:rPr>
                    <w:rStyle w:val="Hyperlink"/>
                  </w:rPr>
                  <w:t>Food and Beverage Management - 6th Edition - Andrew Lockwood - Ioannis</w:t>
                </w:r>
              </w:hyperlink>
            </w:p>
            <w:p w14:paraId="05D21DCD" w14:textId="1A2D5A63" w:rsidR="002907EC" w:rsidRDefault="002907EC" w:rsidP="002907EC">
              <w:pPr>
                <w:pStyle w:val="Bibliography"/>
                <w:rPr>
                  <w:noProof/>
                </w:rPr>
              </w:pPr>
              <w:r>
                <w:rPr>
                  <w:noProof/>
                </w:rPr>
                <w:t xml:space="preserve">Food Standards Agency, 2023. </w:t>
              </w:r>
              <w:r>
                <w:rPr>
                  <w:i/>
                  <w:iCs/>
                  <w:noProof/>
                </w:rPr>
                <w:t xml:space="preserve">Food Standards Agency. </w:t>
              </w:r>
              <w:r>
                <w:rPr>
                  <w:noProof/>
                </w:rPr>
                <w:t xml:space="preserve">[Online] </w:t>
              </w:r>
              <w:r>
                <w:rPr>
                  <w:noProof/>
                </w:rPr>
                <w:br/>
                <w:t xml:space="preserve">Available at: </w:t>
              </w:r>
              <w:hyperlink r:id="rId8" w:history="1">
                <w:r w:rsidRPr="002907EC">
                  <w:rPr>
                    <w:rStyle w:val="Hyperlink"/>
                    <w:noProof/>
                  </w:rPr>
                  <w:t>Hazard Analysis and Critical Control Point (HACCP) | Food Standards Agency</w:t>
                </w:r>
              </w:hyperlink>
              <w:r>
                <w:rPr>
                  <w:noProof/>
                </w:rPr>
                <w:br/>
                <w:t>[Accessed 21 12 2025].</w:t>
              </w:r>
            </w:p>
            <w:p w14:paraId="68CDF6F8" w14:textId="1100F0EB" w:rsidR="002907EC" w:rsidRDefault="002907EC" w:rsidP="002907EC">
              <w:pPr>
                <w:pStyle w:val="Bibliography"/>
                <w:rPr>
                  <w:noProof/>
                </w:rPr>
              </w:pPr>
              <w:r>
                <w:rPr>
                  <w:noProof/>
                </w:rPr>
                <w:t xml:space="preserve">Food Standards Agency, N. L., 2023. </w:t>
              </w:r>
              <w:r>
                <w:rPr>
                  <w:i/>
                  <w:iCs/>
                  <w:noProof/>
                </w:rPr>
                <w:t xml:space="preserve">Food Standards Agency. </w:t>
              </w:r>
              <w:r>
                <w:rPr>
                  <w:noProof/>
                </w:rPr>
                <w:t xml:space="preserve">[Online] </w:t>
              </w:r>
              <w:r>
                <w:rPr>
                  <w:noProof/>
                </w:rPr>
                <w:br/>
                <w:t xml:space="preserve">Available at: </w:t>
              </w:r>
              <w:hyperlink r:id="rId9" w:history="1">
                <w:r w:rsidRPr="000A671C">
                  <w:rPr>
                    <w:rStyle w:val="Hyperlink"/>
                  </w:rPr>
                  <w:t>Food Safety for Supervisors by Claire Nash, Sue Stevenson | Waterstones</w:t>
                </w:r>
              </w:hyperlink>
              <w:r>
                <w:rPr>
                  <w:noProof/>
                </w:rPr>
                <w:br/>
                <w:t>[Accessed 21 12 2025].</w:t>
              </w:r>
            </w:p>
            <w:p w14:paraId="40887C75" w14:textId="63BA2967" w:rsidR="002907EC" w:rsidRDefault="002907EC" w:rsidP="002907EC">
              <w:pPr>
                <w:pStyle w:val="Bibliography"/>
                <w:rPr>
                  <w:noProof/>
                </w:rPr>
              </w:pPr>
              <w:r>
                <w:rPr>
                  <w:noProof/>
                </w:rPr>
                <w:t xml:space="preserve">Foskett, Paskins, P. &amp; Ceserani, V., 2019. </w:t>
              </w:r>
              <w:r>
                <w:rPr>
                  <w:i/>
                  <w:iCs/>
                  <w:noProof/>
                </w:rPr>
                <w:t xml:space="preserve">Practical Cookery. </w:t>
              </w:r>
              <w:r>
                <w:rPr>
                  <w:noProof/>
                </w:rPr>
                <w:t xml:space="preserve">14 ed. London: Hodder Education. Available </w:t>
              </w:r>
              <w:hyperlink r:id="rId10" w:history="1">
                <w:r w:rsidRPr="001A34EB">
                  <w:rPr>
                    <w:rStyle w:val="Hyperlink"/>
                  </w:rPr>
                  <w:t>Practical Cookery 14th Edition - David Foskett, Patricia Paskins, Neil Rippington, Steve Thorpe - Google Books</w:t>
                </w:r>
              </w:hyperlink>
            </w:p>
            <w:p w14:paraId="4F1B71B7" w14:textId="2EFF0249" w:rsidR="002907EC" w:rsidRDefault="002907EC" w:rsidP="002907EC">
              <w:pPr>
                <w:pStyle w:val="Bibliography"/>
                <w:rPr>
                  <w:noProof/>
                </w:rPr>
              </w:pPr>
              <w:r>
                <w:rPr>
                  <w:noProof/>
                </w:rPr>
                <w:t xml:space="preserve">Hakan, S., 2025. The role of chefs’ creativity in food waste management in professional kitchens. </w:t>
              </w:r>
              <w:r>
                <w:rPr>
                  <w:i/>
                  <w:iCs/>
                  <w:noProof/>
                </w:rPr>
                <w:t xml:space="preserve">International Journal of Hospitality Management, </w:t>
              </w:r>
              <w:r>
                <w:rPr>
                  <w:noProof/>
                </w:rPr>
                <w:t xml:space="preserve">Volume 128. Available: </w:t>
              </w:r>
              <w:hyperlink r:id="rId11" w:history="1">
                <w:r w:rsidRPr="000E593A">
                  <w:rPr>
                    <w:rStyle w:val="Hyperlink"/>
                  </w:rPr>
                  <w:t>The role of chefs’ creativity in food waste management in professional kitchens - ScienceDirect</w:t>
                </w:r>
              </w:hyperlink>
            </w:p>
            <w:p w14:paraId="6AE651D2" w14:textId="6B5C7BBC" w:rsidR="002907EC" w:rsidRDefault="002907EC" w:rsidP="002907EC">
              <w:r>
                <w:rPr>
                  <w:noProof/>
                </w:rPr>
                <w:t xml:space="preserve">Health and Safety Executive, 2023. </w:t>
              </w:r>
              <w:r>
                <w:rPr>
                  <w:i/>
                  <w:iCs/>
                  <w:noProof/>
                </w:rPr>
                <w:t xml:space="preserve">Health and Safety Executive. </w:t>
              </w:r>
              <w:r>
                <w:rPr>
                  <w:noProof/>
                </w:rPr>
                <w:t xml:space="preserve">[Online] </w:t>
              </w:r>
              <w:r>
                <w:rPr>
                  <w:noProof/>
                </w:rPr>
                <w:br/>
                <w:t xml:space="preserve">Available at: </w:t>
              </w:r>
              <w:hyperlink r:id="rId12" w:history="1">
                <w:r w:rsidRPr="00D564E1">
                  <w:rPr>
                    <w:rStyle w:val="Hyperlink"/>
                  </w:rPr>
                  <w:t>Catering and hospitality - HSE</w:t>
                </w:r>
              </w:hyperlink>
              <w:r>
                <w:rPr>
                  <w:noProof/>
                </w:rPr>
                <w:br/>
                <w:t>[Accessed 21 12 2025].</w:t>
              </w:r>
            </w:p>
            <w:p w14:paraId="20DDC50D" w14:textId="75A85F8C" w:rsidR="002907EC" w:rsidRDefault="002907EC" w:rsidP="002907EC">
              <w:pPr>
                <w:pStyle w:val="Bibliography"/>
                <w:rPr>
                  <w:noProof/>
                </w:rPr>
              </w:pPr>
              <w:r>
                <w:rPr>
                  <w:noProof/>
                </w:rPr>
                <w:t xml:space="preserve">Johnson, O., Wan-Hafiz, W.-Z.-S., Mahyudin, N. &amp; Jaafar, S., 2023. Food safety training influence on food service workers’ knowledge and compliance to Malaysia Food Hygiene Regulations 2009. </w:t>
              </w:r>
              <w:r>
                <w:rPr>
                  <w:i/>
                  <w:iCs/>
                  <w:noProof/>
                </w:rPr>
                <w:t xml:space="preserve">Food Research, </w:t>
              </w:r>
              <w:r>
                <w:rPr>
                  <w:noProof/>
                </w:rPr>
                <w:t xml:space="preserve">7(6), p. 240–254. Available: </w:t>
              </w:r>
              <w:hyperlink r:id="rId13" w:history="1">
                <w:r w:rsidRPr="0025075B">
                  <w:rPr>
                    <w:rStyle w:val="Hyperlink"/>
                  </w:rPr>
                  <w:t>https://www.myfoodresearch.com/uploads/8/4/8/5/84855864/_29__fr-2021-989_johnson.pdf</w:t>
                </w:r>
              </w:hyperlink>
            </w:p>
            <w:p w14:paraId="76DD3C97" w14:textId="53251A90" w:rsidR="002907EC" w:rsidRDefault="002907EC" w:rsidP="002907EC">
              <w:pPr>
                <w:pStyle w:val="Bibliography"/>
                <w:rPr>
                  <w:noProof/>
                </w:rPr>
              </w:pPr>
              <w:r>
                <w:rPr>
                  <w:noProof/>
                </w:rPr>
                <w:t xml:space="preserve">Johnston, R., Clark, G. &amp; Shulver, M., 2012. </w:t>
              </w:r>
              <w:r>
                <w:rPr>
                  <w:i/>
                  <w:iCs/>
                  <w:noProof/>
                </w:rPr>
                <w:t xml:space="preserve">Service Operations Management: Improving Service Delivery. </w:t>
              </w:r>
              <w:r>
                <w:rPr>
                  <w:noProof/>
                </w:rPr>
                <w:t xml:space="preserve">4 ed. Harlow: Pearson Education. Available: </w:t>
              </w:r>
              <w:hyperlink r:id="rId14" w:history="1">
                <w:r w:rsidRPr="000A671C">
                  <w:rPr>
                    <w:rStyle w:val="Hyperlink"/>
                  </w:rPr>
                  <w:t>Service Operations Management: Improving Service Delivery - Robert Johnston, Graham Clark, Michael Shulver - Google Books</w:t>
                </w:r>
              </w:hyperlink>
            </w:p>
            <w:p w14:paraId="206A67E4" w14:textId="5F1E4584" w:rsidR="002907EC" w:rsidRDefault="002907EC" w:rsidP="002907EC">
              <w:pPr>
                <w:pStyle w:val="Bibliography"/>
                <w:rPr>
                  <w:noProof/>
                </w:rPr>
              </w:pPr>
              <w:r>
                <w:rPr>
                  <w:noProof/>
                </w:rPr>
                <w:t xml:space="preserve">Marinakou, E., 2022. Chefs’ competencies: A stakeholders’ perspective. </w:t>
              </w:r>
              <w:r>
                <w:rPr>
                  <w:i/>
                  <w:iCs/>
                  <w:noProof/>
                </w:rPr>
                <w:t xml:space="preserve">Journal of Hospitality and Tourism Insights. Available: </w:t>
              </w:r>
              <w:hyperlink r:id="rId15" w:history="1">
                <w:r w:rsidR="00B07776" w:rsidRPr="00510867">
                  <w:rPr>
                    <w:rStyle w:val="Hyperlink"/>
                  </w:rPr>
                  <w:t>JHTI-06-2020-0101.R2_Proof_hi.pdf</w:t>
                </w:r>
              </w:hyperlink>
            </w:p>
            <w:p w14:paraId="2D205332" w14:textId="2CF19B1D" w:rsidR="002907EC" w:rsidRDefault="002907EC" w:rsidP="002907EC">
              <w:pPr>
                <w:pStyle w:val="Bibliography"/>
                <w:rPr>
                  <w:noProof/>
                </w:rPr>
              </w:pPr>
              <w:r>
                <w:rPr>
                  <w:noProof/>
                </w:rPr>
                <w:t xml:space="preserve">Martina, B., 2024. Methods and measures in food service food safety research. </w:t>
              </w:r>
              <w:r>
                <w:rPr>
                  <w:i/>
                  <w:iCs/>
                  <w:noProof/>
                </w:rPr>
                <w:t xml:space="preserve">Frontiers in Public Health, </w:t>
              </w:r>
              <w:r>
                <w:rPr>
                  <w:noProof/>
                </w:rPr>
                <w:t>Volume 12.</w:t>
              </w:r>
              <w:r w:rsidR="00B07776">
                <w:rPr>
                  <w:noProof/>
                </w:rPr>
                <w:t xml:space="preserve"> available: </w:t>
              </w:r>
              <w:hyperlink r:id="rId16" w:history="1">
                <w:r w:rsidR="00B07776" w:rsidRPr="000A671C">
                  <w:rPr>
                    <w:rStyle w:val="Hyperlink"/>
                  </w:rPr>
                  <w:t>Methods and measures in food service food safety research: A review of the published literature: Heliyon</w:t>
                </w:r>
              </w:hyperlink>
            </w:p>
            <w:p w14:paraId="4C2475F0" w14:textId="2DF489C3" w:rsidR="002907EC" w:rsidRDefault="002907EC" w:rsidP="002907EC">
              <w:pPr>
                <w:pStyle w:val="Bibliography"/>
                <w:rPr>
                  <w:noProof/>
                </w:rPr>
              </w:pPr>
              <w:r>
                <w:rPr>
                  <w:noProof/>
                </w:rPr>
                <w:t xml:space="preserve">Quality Assurance Agency for Higher Education, 2018. </w:t>
              </w:r>
              <w:r>
                <w:rPr>
                  <w:i/>
                  <w:iCs/>
                  <w:noProof/>
                </w:rPr>
                <w:t xml:space="preserve">UK Quality Code for Higher Education: Advice and Guidance – Work-based Learning, </w:t>
              </w:r>
              <w:r>
                <w:rPr>
                  <w:noProof/>
                </w:rPr>
                <w:t>Gloucester: QAA.</w:t>
              </w:r>
              <w:r w:rsidR="00B07776">
                <w:rPr>
                  <w:noProof/>
                </w:rPr>
                <w:t xml:space="preserve"> Available: </w:t>
              </w:r>
              <w:hyperlink r:id="rId17" w:history="1">
                <w:r w:rsidR="00B07776" w:rsidRPr="001A34EB">
                  <w:rPr>
                    <w:rStyle w:val="Hyperlink"/>
                  </w:rPr>
                  <w:t>UK Quality Code, Advice and Guidance: Work-based Learning</w:t>
                </w:r>
              </w:hyperlink>
            </w:p>
            <w:p w14:paraId="2DCD4AAF" w14:textId="542E8F9A" w:rsidR="002907EC" w:rsidRDefault="002907EC" w:rsidP="002907EC">
              <w:pPr>
                <w:pStyle w:val="Bibliography"/>
                <w:rPr>
                  <w:noProof/>
                </w:rPr>
              </w:pPr>
              <w:r>
                <w:rPr>
                  <w:noProof/>
                </w:rPr>
                <w:t xml:space="preserve">Shih-Shuo, Y. et al., 2022. Exploring the impact of restaurants' physical environment on kitchen employees' creativity. </w:t>
              </w:r>
              <w:r>
                <w:rPr>
                  <w:i/>
                  <w:iCs/>
                  <w:noProof/>
                </w:rPr>
                <w:t xml:space="preserve">Tourism Management Perspectives, </w:t>
              </w:r>
              <w:r>
                <w:rPr>
                  <w:noProof/>
                </w:rPr>
                <w:t>Volume 44, p. article 101023.</w:t>
              </w:r>
              <w:r w:rsidR="00B07776">
                <w:rPr>
                  <w:noProof/>
                </w:rPr>
                <w:t xml:space="preserve"> Available: </w:t>
              </w:r>
              <w:hyperlink r:id="rId18" w:history="1">
                <w:r w:rsidR="00B07776" w:rsidRPr="00154A89">
                  <w:rPr>
                    <w:rStyle w:val="Hyperlink"/>
                  </w:rPr>
                  <w:t>Exploring the impact of restaurants' physical environment on kitchen employees' creativity - ScienceDirect</w:t>
                </w:r>
              </w:hyperlink>
            </w:p>
            <w:p w14:paraId="37B6F4E4" w14:textId="6E62680F" w:rsidR="002907EC" w:rsidRDefault="002907EC" w:rsidP="002907EC">
              <w:pPr>
                <w:pStyle w:val="Bibliography"/>
                <w:rPr>
                  <w:noProof/>
                </w:rPr>
              </w:pPr>
              <w:r>
                <w:rPr>
                  <w:noProof/>
                </w:rPr>
                <w:t xml:space="preserve">Stephen Stevenson, C. N., 2011. </w:t>
              </w:r>
              <w:r>
                <w:rPr>
                  <w:i/>
                  <w:iCs/>
                  <w:noProof/>
                </w:rPr>
                <w:t xml:space="preserve">Food Safety for Supervisors. </w:t>
              </w:r>
              <w:r>
                <w:rPr>
                  <w:noProof/>
                </w:rPr>
                <w:t>London: Chartered Institute of Environmental Health.</w:t>
              </w:r>
              <w:r w:rsidR="00B07776">
                <w:rPr>
                  <w:noProof/>
                </w:rPr>
                <w:t xml:space="preserve"> Available via University library </w:t>
              </w:r>
            </w:p>
            <w:p w14:paraId="00DD9617" w14:textId="4FD6DF3E" w:rsidR="002907EC" w:rsidRDefault="002907EC" w:rsidP="002907EC">
              <w:pPr>
                <w:pStyle w:val="Bibliography"/>
                <w:rPr>
                  <w:noProof/>
                </w:rPr>
              </w:pPr>
              <w:r>
                <w:rPr>
                  <w:noProof/>
                </w:rPr>
                <w:lastRenderedPageBreak/>
                <w:t xml:space="preserve">Stephen, B., 2011. Learning through work: workplace participatory practices. </w:t>
              </w:r>
              <w:r>
                <w:rPr>
                  <w:i/>
                  <w:iCs/>
                  <w:noProof/>
                </w:rPr>
                <w:t xml:space="preserve">Journal of Workplace Learning, </w:t>
              </w:r>
              <w:r>
                <w:rPr>
                  <w:noProof/>
                </w:rPr>
                <w:t>23(4), p. 209–224.</w:t>
              </w:r>
              <w:r w:rsidR="00B07776">
                <w:rPr>
                  <w:noProof/>
                </w:rPr>
                <w:t xml:space="preserve"> Available via university library.</w:t>
              </w:r>
            </w:p>
            <w:p w14:paraId="4FD399DD" w14:textId="33F4B1FF" w:rsidR="002907EC" w:rsidRDefault="002907EC" w:rsidP="00B07776">
              <w:r>
                <w:rPr>
                  <w:noProof/>
                </w:rPr>
                <w:t xml:space="preserve">Wikipedia contributors, 2022. </w:t>
              </w:r>
              <w:r>
                <w:rPr>
                  <w:i/>
                  <w:iCs/>
                  <w:noProof/>
                </w:rPr>
                <w:t xml:space="preserve">Wikipedia. </w:t>
              </w:r>
              <w:r>
                <w:rPr>
                  <w:noProof/>
                </w:rPr>
                <w:t xml:space="preserve">[Online] </w:t>
              </w:r>
              <w:r>
                <w:rPr>
                  <w:noProof/>
                </w:rPr>
                <w:br/>
                <w:t xml:space="preserve">Available at: </w:t>
              </w:r>
              <w:hyperlink r:id="rId19" w:history="1">
                <w:r w:rsidR="00B07776" w:rsidRPr="00547FAF">
                  <w:rPr>
                    <w:rStyle w:val="Hyperlink"/>
                  </w:rPr>
                  <w:t>Kitchen brigade - Wikipedia</w:t>
                </w:r>
              </w:hyperlink>
              <w:r w:rsidR="00B07776">
                <w:t xml:space="preserve"> </w:t>
              </w:r>
              <w:r>
                <w:rPr>
                  <w:noProof/>
                </w:rPr>
                <w:br/>
                <w:t>[Accessed 21 12 2025].</w:t>
              </w:r>
            </w:p>
            <w:p w14:paraId="2A6CBDF5" w14:textId="0C875EB0" w:rsidR="00B7463E" w:rsidRDefault="00B97D42">
              <w:r>
                <w:rPr>
                  <w:b/>
                  <w:bCs/>
                </w:rPr>
                <w:fldChar w:fldCharType="end"/>
              </w:r>
            </w:p>
          </w:sdtContent>
        </w:sdt>
      </w:sdtContent>
    </w:sdt>
    <w:p w14:paraId="2F9E345C" w14:textId="77777777" w:rsidR="00B7463E" w:rsidRDefault="00B7463E"/>
    <w:p w14:paraId="61CD9B50" w14:textId="77777777" w:rsidR="00B7463E" w:rsidRDefault="00B7463E"/>
    <w:p w14:paraId="62BF0813" w14:textId="77777777" w:rsidR="00B7463E" w:rsidRDefault="00B7463E"/>
    <w:p w14:paraId="4D7059B8" w14:textId="77777777" w:rsidR="00B7463E" w:rsidRDefault="00B7463E"/>
    <w:p w14:paraId="21C2E5FA" w14:textId="77777777" w:rsidR="00B7463E" w:rsidRDefault="00B7463E"/>
    <w:p w14:paraId="31A3C1C1" w14:textId="77777777" w:rsidR="00B7463E" w:rsidRDefault="00B7463E"/>
    <w:p w14:paraId="5770ED1B" w14:textId="77777777" w:rsidR="00B7463E" w:rsidRDefault="00B7463E"/>
    <w:p w14:paraId="4FD52AD7" w14:textId="77777777" w:rsidR="00B7463E" w:rsidRDefault="00B7463E"/>
    <w:p w14:paraId="12533B9C" w14:textId="77777777" w:rsidR="00B7463E" w:rsidRDefault="00B7463E"/>
    <w:p w14:paraId="307AD309" w14:textId="77777777" w:rsidR="00B7463E" w:rsidRDefault="00B7463E"/>
    <w:p w14:paraId="0498DE87" w14:textId="77777777" w:rsidR="00743E34" w:rsidRDefault="00743E34" w:rsidP="00743E34"/>
    <w:p w14:paraId="3D4EA53D" w14:textId="77777777" w:rsidR="00743E34" w:rsidRDefault="00743E34" w:rsidP="00743E34"/>
    <w:p w14:paraId="03F55D2D" w14:textId="77777777" w:rsidR="00743E34" w:rsidRDefault="00743E34" w:rsidP="00743E34"/>
    <w:p w14:paraId="76ED125C" w14:textId="77777777" w:rsidR="00743E34" w:rsidRDefault="00743E34" w:rsidP="00743E34"/>
    <w:p w14:paraId="3E2F2065" w14:textId="77777777" w:rsidR="00743E34" w:rsidRDefault="00743E34" w:rsidP="00743E34"/>
    <w:p w14:paraId="193CE01E" w14:textId="77777777" w:rsidR="00743E34" w:rsidRDefault="00743E34" w:rsidP="00743E34"/>
    <w:p w14:paraId="5F1208A2" w14:textId="77777777" w:rsidR="00743E34" w:rsidRDefault="00743E34" w:rsidP="00743E34"/>
    <w:p w14:paraId="6990A7A8" w14:textId="77777777" w:rsidR="00743E34" w:rsidRDefault="00743E34" w:rsidP="00743E34"/>
    <w:p w14:paraId="684F952D" w14:textId="77777777" w:rsidR="00743E34" w:rsidRDefault="00743E34" w:rsidP="00743E34"/>
    <w:p w14:paraId="2E671F48" w14:textId="77777777" w:rsidR="00743E34" w:rsidRDefault="00743E34" w:rsidP="00743E34"/>
    <w:p w14:paraId="232C8079" w14:textId="77777777" w:rsidR="00743E34" w:rsidRDefault="00743E34" w:rsidP="00743E34"/>
    <w:p w14:paraId="016AD47C" w14:textId="77777777" w:rsidR="00743E34" w:rsidRDefault="00743E34" w:rsidP="00743E34"/>
    <w:p w14:paraId="3F0E9F52" w14:textId="77777777" w:rsidR="00743E34" w:rsidRDefault="00743E34" w:rsidP="00743E34"/>
    <w:p w14:paraId="1F5BE8E2" w14:textId="77777777" w:rsidR="00743E34" w:rsidRDefault="00743E34" w:rsidP="00743E34"/>
    <w:p w14:paraId="79C4E93D" w14:textId="77777777" w:rsidR="00743E34" w:rsidRDefault="00743E34" w:rsidP="00743E34"/>
    <w:p w14:paraId="0EBEBF4B" w14:textId="77777777" w:rsidR="00743E34" w:rsidRDefault="00743E34" w:rsidP="00743E34"/>
    <w:p w14:paraId="6924C7A9" w14:textId="77777777" w:rsidR="00743E34" w:rsidRDefault="00743E34" w:rsidP="00743E34"/>
    <w:p w14:paraId="5350263B" w14:textId="05D4F028" w:rsidR="00743E34" w:rsidRPr="00743E34" w:rsidRDefault="00743E34" w:rsidP="00743E34">
      <w:r>
        <w:t>Appendix</w:t>
      </w:r>
    </w:p>
    <w:p w14:paraId="2AD4CA38" w14:textId="124EB3C7" w:rsidR="00B7463E" w:rsidRDefault="00B7463E">
      <w:r>
        <w:rPr>
          <w:noProof/>
        </w:rPr>
        <w:drawing>
          <wp:inline distT="0" distB="0" distL="0" distR="0" wp14:anchorId="58C138A6" wp14:editId="42AC4AD0">
            <wp:extent cx="2421664" cy="3228975"/>
            <wp:effectExtent l="0" t="0" r="0" b="0"/>
            <wp:docPr id="1471605054" name="Picture 5" descr="A plate of food with sau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605054" name="Picture 5" descr="A plate of food with sauc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28092" cy="3237546"/>
                    </a:xfrm>
                    <a:prstGeom prst="rect">
                      <a:avLst/>
                    </a:prstGeom>
                  </pic:spPr>
                </pic:pic>
              </a:graphicData>
            </a:graphic>
          </wp:inline>
        </w:drawing>
      </w:r>
      <w:r>
        <w:rPr>
          <w:noProof/>
        </w:rPr>
        <w:drawing>
          <wp:inline distT="0" distB="0" distL="0" distR="0" wp14:anchorId="69225148" wp14:editId="550DEA06">
            <wp:extent cx="2389505" cy="3186095"/>
            <wp:effectExtent l="0" t="0" r="0" b="0"/>
            <wp:docPr id="625543146" name="Picture 6" descr="A plate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543146" name="Picture 6" descr="A plate of food on a tabl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flipH="1">
                      <a:off x="0" y="0"/>
                      <a:ext cx="2401000" cy="3201422"/>
                    </a:xfrm>
                    <a:prstGeom prst="rect">
                      <a:avLst/>
                    </a:prstGeom>
                  </pic:spPr>
                </pic:pic>
              </a:graphicData>
            </a:graphic>
          </wp:inline>
        </w:drawing>
      </w:r>
      <w:r>
        <w:rPr>
          <w:noProof/>
        </w:rPr>
        <w:drawing>
          <wp:inline distT="0" distB="0" distL="0" distR="0" wp14:anchorId="1C7ED8DC" wp14:editId="19E2BEDD">
            <wp:extent cx="2912188" cy="3883025"/>
            <wp:effectExtent l="0" t="0" r="2540" b="3175"/>
            <wp:docPr id="1807411688" name="Picture 7" descr="A plate of food with sauc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11688" name="Picture 7" descr="A plate of food with sauces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21989" cy="3896094"/>
                    </a:xfrm>
                    <a:prstGeom prst="rect">
                      <a:avLst/>
                    </a:prstGeom>
                  </pic:spPr>
                </pic:pic>
              </a:graphicData>
            </a:graphic>
          </wp:inline>
        </w:drawing>
      </w:r>
      <w:r>
        <w:rPr>
          <w:noProof/>
        </w:rPr>
        <w:drawing>
          <wp:inline distT="0" distB="0" distL="0" distR="0" wp14:anchorId="6CBADCA9" wp14:editId="48F27E43">
            <wp:extent cx="2268482" cy="1701487"/>
            <wp:effectExtent l="0" t="0" r="0" b="0"/>
            <wp:docPr id="1240385934" name="Picture 8" descr="A pan with vegetables and mea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85934" name="Picture 8" descr="A pan with vegetables and meat on i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75512" cy="1706760"/>
                    </a:xfrm>
                    <a:prstGeom prst="rect">
                      <a:avLst/>
                    </a:prstGeom>
                  </pic:spPr>
                </pic:pic>
              </a:graphicData>
            </a:graphic>
          </wp:inline>
        </w:drawing>
      </w:r>
    </w:p>
    <w:sectPr w:rsidR="00B746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A38B0" w14:textId="77777777" w:rsidR="005E21FD" w:rsidRDefault="005E21FD" w:rsidP="00B7463E">
      <w:pPr>
        <w:spacing w:after="0" w:line="240" w:lineRule="auto"/>
      </w:pPr>
      <w:r>
        <w:separator/>
      </w:r>
    </w:p>
  </w:endnote>
  <w:endnote w:type="continuationSeparator" w:id="0">
    <w:p w14:paraId="032431D1" w14:textId="77777777" w:rsidR="005E21FD" w:rsidRDefault="005E21FD" w:rsidP="00B74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B5686" w14:textId="77777777" w:rsidR="005E21FD" w:rsidRDefault="005E21FD" w:rsidP="00B7463E">
      <w:pPr>
        <w:spacing w:after="0" w:line="240" w:lineRule="auto"/>
      </w:pPr>
      <w:r>
        <w:separator/>
      </w:r>
    </w:p>
  </w:footnote>
  <w:footnote w:type="continuationSeparator" w:id="0">
    <w:p w14:paraId="36224097" w14:textId="77777777" w:rsidR="005E21FD" w:rsidRDefault="005E21FD" w:rsidP="00B746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B28"/>
    <w:rsid w:val="000A671C"/>
    <w:rsid w:val="000E593A"/>
    <w:rsid w:val="00151C82"/>
    <w:rsid w:val="00154A89"/>
    <w:rsid w:val="00185684"/>
    <w:rsid w:val="001A34EB"/>
    <w:rsid w:val="001B1915"/>
    <w:rsid w:val="001C5EAE"/>
    <w:rsid w:val="00272637"/>
    <w:rsid w:val="002907EC"/>
    <w:rsid w:val="002D671F"/>
    <w:rsid w:val="00353FBC"/>
    <w:rsid w:val="005159DD"/>
    <w:rsid w:val="005426A3"/>
    <w:rsid w:val="00547FAF"/>
    <w:rsid w:val="005940E1"/>
    <w:rsid w:val="005E21FD"/>
    <w:rsid w:val="006005D4"/>
    <w:rsid w:val="00743E34"/>
    <w:rsid w:val="00896C5F"/>
    <w:rsid w:val="009C362B"/>
    <w:rsid w:val="00AD0BC0"/>
    <w:rsid w:val="00B07776"/>
    <w:rsid w:val="00B6225E"/>
    <w:rsid w:val="00B7463E"/>
    <w:rsid w:val="00B97D42"/>
    <w:rsid w:val="00CA4979"/>
    <w:rsid w:val="00D564E1"/>
    <w:rsid w:val="00E05B28"/>
    <w:rsid w:val="00E64BFA"/>
    <w:rsid w:val="00EF4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49857"/>
  <w15:chartTrackingRefBased/>
  <w15:docId w15:val="{AB0E01A3-E06B-4931-9C79-8CA5CA7D5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B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05B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5B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5B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5B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5B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B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B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B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B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5B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5B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5B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5B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5B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B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B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B28"/>
    <w:rPr>
      <w:rFonts w:eastAsiaTheme="majorEastAsia" w:cstheme="majorBidi"/>
      <w:color w:val="272727" w:themeColor="text1" w:themeTint="D8"/>
    </w:rPr>
  </w:style>
  <w:style w:type="paragraph" w:styleId="Title">
    <w:name w:val="Title"/>
    <w:basedOn w:val="Normal"/>
    <w:next w:val="Normal"/>
    <w:link w:val="TitleChar"/>
    <w:uiPriority w:val="10"/>
    <w:qFormat/>
    <w:rsid w:val="00E05B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B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B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5B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B28"/>
    <w:pPr>
      <w:spacing w:before="160"/>
      <w:jc w:val="center"/>
    </w:pPr>
    <w:rPr>
      <w:i/>
      <w:iCs/>
      <w:color w:val="404040" w:themeColor="text1" w:themeTint="BF"/>
    </w:rPr>
  </w:style>
  <w:style w:type="character" w:customStyle="1" w:styleId="QuoteChar">
    <w:name w:val="Quote Char"/>
    <w:basedOn w:val="DefaultParagraphFont"/>
    <w:link w:val="Quote"/>
    <w:uiPriority w:val="29"/>
    <w:rsid w:val="00E05B28"/>
    <w:rPr>
      <w:i/>
      <w:iCs/>
      <w:color w:val="404040" w:themeColor="text1" w:themeTint="BF"/>
    </w:rPr>
  </w:style>
  <w:style w:type="paragraph" w:styleId="ListParagraph">
    <w:name w:val="List Paragraph"/>
    <w:basedOn w:val="Normal"/>
    <w:uiPriority w:val="34"/>
    <w:qFormat/>
    <w:rsid w:val="00E05B28"/>
    <w:pPr>
      <w:ind w:left="720"/>
      <w:contextualSpacing/>
    </w:pPr>
  </w:style>
  <w:style w:type="character" w:styleId="IntenseEmphasis">
    <w:name w:val="Intense Emphasis"/>
    <w:basedOn w:val="DefaultParagraphFont"/>
    <w:uiPriority w:val="21"/>
    <w:qFormat/>
    <w:rsid w:val="00E05B28"/>
    <w:rPr>
      <w:i/>
      <w:iCs/>
      <w:color w:val="2F5496" w:themeColor="accent1" w:themeShade="BF"/>
    </w:rPr>
  </w:style>
  <w:style w:type="paragraph" w:styleId="IntenseQuote">
    <w:name w:val="Intense Quote"/>
    <w:basedOn w:val="Normal"/>
    <w:next w:val="Normal"/>
    <w:link w:val="IntenseQuoteChar"/>
    <w:uiPriority w:val="30"/>
    <w:qFormat/>
    <w:rsid w:val="00E05B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5B28"/>
    <w:rPr>
      <w:i/>
      <w:iCs/>
      <w:color w:val="2F5496" w:themeColor="accent1" w:themeShade="BF"/>
    </w:rPr>
  </w:style>
  <w:style w:type="character" w:styleId="IntenseReference">
    <w:name w:val="Intense Reference"/>
    <w:basedOn w:val="DefaultParagraphFont"/>
    <w:uiPriority w:val="32"/>
    <w:qFormat/>
    <w:rsid w:val="00E05B28"/>
    <w:rPr>
      <w:b/>
      <w:bCs/>
      <w:smallCaps/>
      <w:color w:val="2F5496" w:themeColor="accent1" w:themeShade="BF"/>
      <w:spacing w:val="5"/>
    </w:rPr>
  </w:style>
  <w:style w:type="character" w:styleId="Hyperlink">
    <w:name w:val="Hyperlink"/>
    <w:basedOn w:val="DefaultParagraphFont"/>
    <w:uiPriority w:val="99"/>
    <w:unhideWhenUsed/>
    <w:rsid w:val="001A34EB"/>
    <w:rPr>
      <w:color w:val="0563C1" w:themeColor="hyperlink"/>
      <w:u w:val="single"/>
    </w:rPr>
  </w:style>
  <w:style w:type="character" w:styleId="UnresolvedMention">
    <w:name w:val="Unresolved Mention"/>
    <w:basedOn w:val="DefaultParagraphFont"/>
    <w:uiPriority w:val="99"/>
    <w:semiHidden/>
    <w:unhideWhenUsed/>
    <w:rsid w:val="001A34EB"/>
    <w:rPr>
      <w:color w:val="605E5C"/>
      <w:shd w:val="clear" w:color="auto" w:fill="E1DFDD"/>
    </w:rPr>
  </w:style>
  <w:style w:type="paragraph" w:styleId="Bibliography">
    <w:name w:val="Bibliography"/>
    <w:basedOn w:val="Normal"/>
    <w:next w:val="Normal"/>
    <w:uiPriority w:val="37"/>
    <w:unhideWhenUsed/>
    <w:rsid w:val="00B97D42"/>
  </w:style>
  <w:style w:type="character" w:styleId="FollowedHyperlink">
    <w:name w:val="FollowedHyperlink"/>
    <w:basedOn w:val="DefaultParagraphFont"/>
    <w:uiPriority w:val="99"/>
    <w:semiHidden/>
    <w:unhideWhenUsed/>
    <w:rsid w:val="005159DD"/>
    <w:rPr>
      <w:color w:val="954F72" w:themeColor="followedHyperlink"/>
      <w:u w:val="single"/>
    </w:rPr>
  </w:style>
  <w:style w:type="paragraph" w:styleId="Header">
    <w:name w:val="header"/>
    <w:basedOn w:val="Normal"/>
    <w:link w:val="HeaderChar"/>
    <w:uiPriority w:val="99"/>
    <w:unhideWhenUsed/>
    <w:rsid w:val="00B74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63E"/>
  </w:style>
  <w:style w:type="paragraph" w:styleId="Footer">
    <w:name w:val="footer"/>
    <w:basedOn w:val="Normal"/>
    <w:link w:val="FooterChar"/>
    <w:uiPriority w:val="99"/>
    <w:unhideWhenUsed/>
    <w:rsid w:val="00B74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5723">
      <w:bodyDiv w:val="1"/>
      <w:marLeft w:val="0"/>
      <w:marRight w:val="0"/>
      <w:marTop w:val="0"/>
      <w:marBottom w:val="0"/>
      <w:divBdr>
        <w:top w:val="none" w:sz="0" w:space="0" w:color="auto"/>
        <w:left w:val="none" w:sz="0" w:space="0" w:color="auto"/>
        <w:bottom w:val="none" w:sz="0" w:space="0" w:color="auto"/>
        <w:right w:val="none" w:sz="0" w:space="0" w:color="auto"/>
      </w:divBdr>
    </w:div>
    <w:div w:id="3171342">
      <w:bodyDiv w:val="1"/>
      <w:marLeft w:val="0"/>
      <w:marRight w:val="0"/>
      <w:marTop w:val="0"/>
      <w:marBottom w:val="0"/>
      <w:divBdr>
        <w:top w:val="none" w:sz="0" w:space="0" w:color="auto"/>
        <w:left w:val="none" w:sz="0" w:space="0" w:color="auto"/>
        <w:bottom w:val="none" w:sz="0" w:space="0" w:color="auto"/>
        <w:right w:val="none" w:sz="0" w:space="0" w:color="auto"/>
      </w:divBdr>
    </w:div>
    <w:div w:id="110826669">
      <w:bodyDiv w:val="1"/>
      <w:marLeft w:val="0"/>
      <w:marRight w:val="0"/>
      <w:marTop w:val="0"/>
      <w:marBottom w:val="0"/>
      <w:divBdr>
        <w:top w:val="none" w:sz="0" w:space="0" w:color="auto"/>
        <w:left w:val="none" w:sz="0" w:space="0" w:color="auto"/>
        <w:bottom w:val="none" w:sz="0" w:space="0" w:color="auto"/>
        <w:right w:val="none" w:sz="0" w:space="0" w:color="auto"/>
      </w:divBdr>
    </w:div>
    <w:div w:id="127170968">
      <w:bodyDiv w:val="1"/>
      <w:marLeft w:val="0"/>
      <w:marRight w:val="0"/>
      <w:marTop w:val="0"/>
      <w:marBottom w:val="0"/>
      <w:divBdr>
        <w:top w:val="none" w:sz="0" w:space="0" w:color="auto"/>
        <w:left w:val="none" w:sz="0" w:space="0" w:color="auto"/>
        <w:bottom w:val="none" w:sz="0" w:space="0" w:color="auto"/>
        <w:right w:val="none" w:sz="0" w:space="0" w:color="auto"/>
      </w:divBdr>
    </w:div>
    <w:div w:id="179854159">
      <w:bodyDiv w:val="1"/>
      <w:marLeft w:val="0"/>
      <w:marRight w:val="0"/>
      <w:marTop w:val="0"/>
      <w:marBottom w:val="0"/>
      <w:divBdr>
        <w:top w:val="none" w:sz="0" w:space="0" w:color="auto"/>
        <w:left w:val="none" w:sz="0" w:space="0" w:color="auto"/>
        <w:bottom w:val="none" w:sz="0" w:space="0" w:color="auto"/>
        <w:right w:val="none" w:sz="0" w:space="0" w:color="auto"/>
      </w:divBdr>
    </w:div>
    <w:div w:id="179979228">
      <w:bodyDiv w:val="1"/>
      <w:marLeft w:val="0"/>
      <w:marRight w:val="0"/>
      <w:marTop w:val="0"/>
      <w:marBottom w:val="0"/>
      <w:divBdr>
        <w:top w:val="none" w:sz="0" w:space="0" w:color="auto"/>
        <w:left w:val="none" w:sz="0" w:space="0" w:color="auto"/>
        <w:bottom w:val="none" w:sz="0" w:space="0" w:color="auto"/>
        <w:right w:val="none" w:sz="0" w:space="0" w:color="auto"/>
      </w:divBdr>
    </w:div>
    <w:div w:id="185565115">
      <w:bodyDiv w:val="1"/>
      <w:marLeft w:val="0"/>
      <w:marRight w:val="0"/>
      <w:marTop w:val="0"/>
      <w:marBottom w:val="0"/>
      <w:divBdr>
        <w:top w:val="none" w:sz="0" w:space="0" w:color="auto"/>
        <w:left w:val="none" w:sz="0" w:space="0" w:color="auto"/>
        <w:bottom w:val="none" w:sz="0" w:space="0" w:color="auto"/>
        <w:right w:val="none" w:sz="0" w:space="0" w:color="auto"/>
      </w:divBdr>
    </w:div>
    <w:div w:id="208691883">
      <w:bodyDiv w:val="1"/>
      <w:marLeft w:val="0"/>
      <w:marRight w:val="0"/>
      <w:marTop w:val="0"/>
      <w:marBottom w:val="0"/>
      <w:divBdr>
        <w:top w:val="none" w:sz="0" w:space="0" w:color="auto"/>
        <w:left w:val="none" w:sz="0" w:space="0" w:color="auto"/>
        <w:bottom w:val="none" w:sz="0" w:space="0" w:color="auto"/>
        <w:right w:val="none" w:sz="0" w:space="0" w:color="auto"/>
      </w:divBdr>
    </w:div>
    <w:div w:id="223837605">
      <w:bodyDiv w:val="1"/>
      <w:marLeft w:val="0"/>
      <w:marRight w:val="0"/>
      <w:marTop w:val="0"/>
      <w:marBottom w:val="0"/>
      <w:divBdr>
        <w:top w:val="none" w:sz="0" w:space="0" w:color="auto"/>
        <w:left w:val="none" w:sz="0" w:space="0" w:color="auto"/>
        <w:bottom w:val="none" w:sz="0" w:space="0" w:color="auto"/>
        <w:right w:val="none" w:sz="0" w:space="0" w:color="auto"/>
      </w:divBdr>
    </w:div>
    <w:div w:id="262692577">
      <w:bodyDiv w:val="1"/>
      <w:marLeft w:val="0"/>
      <w:marRight w:val="0"/>
      <w:marTop w:val="0"/>
      <w:marBottom w:val="0"/>
      <w:divBdr>
        <w:top w:val="none" w:sz="0" w:space="0" w:color="auto"/>
        <w:left w:val="none" w:sz="0" w:space="0" w:color="auto"/>
        <w:bottom w:val="none" w:sz="0" w:space="0" w:color="auto"/>
        <w:right w:val="none" w:sz="0" w:space="0" w:color="auto"/>
      </w:divBdr>
    </w:div>
    <w:div w:id="271018635">
      <w:bodyDiv w:val="1"/>
      <w:marLeft w:val="0"/>
      <w:marRight w:val="0"/>
      <w:marTop w:val="0"/>
      <w:marBottom w:val="0"/>
      <w:divBdr>
        <w:top w:val="none" w:sz="0" w:space="0" w:color="auto"/>
        <w:left w:val="none" w:sz="0" w:space="0" w:color="auto"/>
        <w:bottom w:val="none" w:sz="0" w:space="0" w:color="auto"/>
        <w:right w:val="none" w:sz="0" w:space="0" w:color="auto"/>
      </w:divBdr>
    </w:div>
    <w:div w:id="282345557">
      <w:bodyDiv w:val="1"/>
      <w:marLeft w:val="0"/>
      <w:marRight w:val="0"/>
      <w:marTop w:val="0"/>
      <w:marBottom w:val="0"/>
      <w:divBdr>
        <w:top w:val="none" w:sz="0" w:space="0" w:color="auto"/>
        <w:left w:val="none" w:sz="0" w:space="0" w:color="auto"/>
        <w:bottom w:val="none" w:sz="0" w:space="0" w:color="auto"/>
        <w:right w:val="none" w:sz="0" w:space="0" w:color="auto"/>
      </w:divBdr>
    </w:div>
    <w:div w:id="304549119">
      <w:bodyDiv w:val="1"/>
      <w:marLeft w:val="0"/>
      <w:marRight w:val="0"/>
      <w:marTop w:val="0"/>
      <w:marBottom w:val="0"/>
      <w:divBdr>
        <w:top w:val="none" w:sz="0" w:space="0" w:color="auto"/>
        <w:left w:val="none" w:sz="0" w:space="0" w:color="auto"/>
        <w:bottom w:val="none" w:sz="0" w:space="0" w:color="auto"/>
        <w:right w:val="none" w:sz="0" w:space="0" w:color="auto"/>
      </w:divBdr>
    </w:div>
    <w:div w:id="358360156">
      <w:bodyDiv w:val="1"/>
      <w:marLeft w:val="0"/>
      <w:marRight w:val="0"/>
      <w:marTop w:val="0"/>
      <w:marBottom w:val="0"/>
      <w:divBdr>
        <w:top w:val="none" w:sz="0" w:space="0" w:color="auto"/>
        <w:left w:val="none" w:sz="0" w:space="0" w:color="auto"/>
        <w:bottom w:val="none" w:sz="0" w:space="0" w:color="auto"/>
        <w:right w:val="none" w:sz="0" w:space="0" w:color="auto"/>
      </w:divBdr>
    </w:div>
    <w:div w:id="367800265">
      <w:bodyDiv w:val="1"/>
      <w:marLeft w:val="0"/>
      <w:marRight w:val="0"/>
      <w:marTop w:val="0"/>
      <w:marBottom w:val="0"/>
      <w:divBdr>
        <w:top w:val="none" w:sz="0" w:space="0" w:color="auto"/>
        <w:left w:val="none" w:sz="0" w:space="0" w:color="auto"/>
        <w:bottom w:val="none" w:sz="0" w:space="0" w:color="auto"/>
        <w:right w:val="none" w:sz="0" w:space="0" w:color="auto"/>
      </w:divBdr>
    </w:div>
    <w:div w:id="379593812">
      <w:bodyDiv w:val="1"/>
      <w:marLeft w:val="0"/>
      <w:marRight w:val="0"/>
      <w:marTop w:val="0"/>
      <w:marBottom w:val="0"/>
      <w:divBdr>
        <w:top w:val="none" w:sz="0" w:space="0" w:color="auto"/>
        <w:left w:val="none" w:sz="0" w:space="0" w:color="auto"/>
        <w:bottom w:val="none" w:sz="0" w:space="0" w:color="auto"/>
        <w:right w:val="none" w:sz="0" w:space="0" w:color="auto"/>
      </w:divBdr>
    </w:div>
    <w:div w:id="391272871">
      <w:bodyDiv w:val="1"/>
      <w:marLeft w:val="0"/>
      <w:marRight w:val="0"/>
      <w:marTop w:val="0"/>
      <w:marBottom w:val="0"/>
      <w:divBdr>
        <w:top w:val="none" w:sz="0" w:space="0" w:color="auto"/>
        <w:left w:val="none" w:sz="0" w:space="0" w:color="auto"/>
        <w:bottom w:val="none" w:sz="0" w:space="0" w:color="auto"/>
        <w:right w:val="none" w:sz="0" w:space="0" w:color="auto"/>
      </w:divBdr>
    </w:div>
    <w:div w:id="397675059">
      <w:bodyDiv w:val="1"/>
      <w:marLeft w:val="0"/>
      <w:marRight w:val="0"/>
      <w:marTop w:val="0"/>
      <w:marBottom w:val="0"/>
      <w:divBdr>
        <w:top w:val="none" w:sz="0" w:space="0" w:color="auto"/>
        <w:left w:val="none" w:sz="0" w:space="0" w:color="auto"/>
        <w:bottom w:val="none" w:sz="0" w:space="0" w:color="auto"/>
        <w:right w:val="none" w:sz="0" w:space="0" w:color="auto"/>
      </w:divBdr>
    </w:div>
    <w:div w:id="432478606">
      <w:bodyDiv w:val="1"/>
      <w:marLeft w:val="0"/>
      <w:marRight w:val="0"/>
      <w:marTop w:val="0"/>
      <w:marBottom w:val="0"/>
      <w:divBdr>
        <w:top w:val="none" w:sz="0" w:space="0" w:color="auto"/>
        <w:left w:val="none" w:sz="0" w:space="0" w:color="auto"/>
        <w:bottom w:val="none" w:sz="0" w:space="0" w:color="auto"/>
        <w:right w:val="none" w:sz="0" w:space="0" w:color="auto"/>
      </w:divBdr>
    </w:div>
    <w:div w:id="454256467">
      <w:bodyDiv w:val="1"/>
      <w:marLeft w:val="0"/>
      <w:marRight w:val="0"/>
      <w:marTop w:val="0"/>
      <w:marBottom w:val="0"/>
      <w:divBdr>
        <w:top w:val="none" w:sz="0" w:space="0" w:color="auto"/>
        <w:left w:val="none" w:sz="0" w:space="0" w:color="auto"/>
        <w:bottom w:val="none" w:sz="0" w:space="0" w:color="auto"/>
        <w:right w:val="none" w:sz="0" w:space="0" w:color="auto"/>
      </w:divBdr>
    </w:div>
    <w:div w:id="455803410">
      <w:bodyDiv w:val="1"/>
      <w:marLeft w:val="0"/>
      <w:marRight w:val="0"/>
      <w:marTop w:val="0"/>
      <w:marBottom w:val="0"/>
      <w:divBdr>
        <w:top w:val="none" w:sz="0" w:space="0" w:color="auto"/>
        <w:left w:val="none" w:sz="0" w:space="0" w:color="auto"/>
        <w:bottom w:val="none" w:sz="0" w:space="0" w:color="auto"/>
        <w:right w:val="none" w:sz="0" w:space="0" w:color="auto"/>
      </w:divBdr>
    </w:div>
    <w:div w:id="462847204">
      <w:bodyDiv w:val="1"/>
      <w:marLeft w:val="0"/>
      <w:marRight w:val="0"/>
      <w:marTop w:val="0"/>
      <w:marBottom w:val="0"/>
      <w:divBdr>
        <w:top w:val="none" w:sz="0" w:space="0" w:color="auto"/>
        <w:left w:val="none" w:sz="0" w:space="0" w:color="auto"/>
        <w:bottom w:val="none" w:sz="0" w:space="0" w:color="auto"/>
        <w:right w:val="none" w:sz="0" w:space="0" w:color="auto"/>
      </w:divBdr>
    </w:div>
    <w:div w:id="463237987">
      <w:bodyDiv w:val="1"/>
      <w:marLeft w:val="0"/>
      <w:marRight w:val="0"/>
      <w:marTop w:val="0"/>
      <w:marBottom w:val="0"/>
      <w:divBdr>
        <w:top w:val="none" w:sz="0" w:space="0" w:color="auto"/>
        <w:left w:val="none" w:sz="0" w:space="0" w:color="auto"/>
        <w:bottom w:val="none" w:sz="0" w:space="0" w:color="auto"/>
        <w:right w:val="none" w:sz="0" w:space="0" w:color="auto"/>
      </w:divBdr>
    </w:div>
    <w:div w:id="471138929">
      <w:bodyDiv w:val="1"/>
      <w:marLeft w:val="0"/>
      <w:marRight w:val="0"/>
      <w:marTop w:val="0"/>
      <w:marBottom w:val="0"/>
      <w:divBdr>
        <w:top w:val="none" w:sz="0" w:space="0" w:color="auto"/>
        <w:left w:val="none" w:sz="0" w:space="0" w:color="auto"/>
        <w:bottom w:val="none" w:sz="0" w:space="0" w:color="auto"/>
        <w:right w:val="none" w:sz="0" w:space="0" w:color="auto"/>
      </w:divBdr>
    </w:div>
    <w:div w:id="483937442">
      <w:bodyDiv w:val="1"/>
      <w:marLeft w:val="0"/>
      <w:marRight w:val="0"/>
      <w:marTop w:val="0"/>
      <w:marBottom w:val="0"/>
      <w:divBdr>
        <w:top w:val="none" w:sz="0" w:space="0" w:color="auto"/>
        <w:left w:val="none" w:sz="0" w:space="0" w:color="auto"/>
        <w:bottom w:val="none" w:sz="0" w:space="0" w:color="auto"/>
        <w:right w:val="none" w:sz="0" w:space="0" w:color="auto"/>
      </w:divBdr>
    </w:div>
    <w:div w:id="497303972">
      <w:bodyDiv w:val="1"/>
      <w:marLeft w:val="0"/>
      <w:marRight w:val="0"/>
      <w:marTop w:val="0"/>
      <w:marBottom w:val="0"/>
      <w:divBdr>
        <w:top w:val="none" w:sz="0" w:space="0" w:color="auto"/>
        <w:left w:val="none" w:sz="0" w:space="0" w:color="auto"/>
        <w:bottom w:val="none" w:sz="0" w:space="0" w:color="auto"/>
        <w:right w:val="none" w:sz="0" w:space="0" w:color="auto"/>
      </w:divBdr>
    </w:div>
    <w:div w:id="510295470">
      <w:bodyDiv w:val="1"/>
      <w:marLeft w:val="0"/>
      <w:marRight w:val="0"/>
      <w:marTop w:val="0"/>
      <w:marBottom w:val="0"/>
      <w:divBdr>
        <w:top w:val="none" w:sz="0" w:space="0" w:color="auto"/>
        <w:left w:val="none" w:sz="0" w:space="0" w:color="auto"/>
        <w:bottom w:val="none" w:sz="0" w:space="0" w:color="auto"/>
        <w:right w:val="none" w:sz="0" w:space="0" w:color="auto"/>
      </w:divBdr>
    </w:div>
    <w:div w:id="533422952">
      <w:bodyDiv w:val="1"/>
      <w:marLeft w:val="0"/>
      <w:marRight w:val="0"/>
      <w:marTop w:val="0"/>
      <w:marBottom w:val="0"/>
      <w:divBdr>
        <w:top w:val="none" w:sz="0" w:space="0" w:color="auto"/>
        <w:left w:val="none" w:sz="0" w:space="0" w:color="auto"/>
        <w:bottom w:val="none" w:sz="0" w:space="0" w:color="auto"/>
        <w:right w:val="none" w:sz="0" w:space="0" w:color="auto"/>
      </w:divBdr>
    </w:div>
    <w:div w:id="562255477">
      <w:bodyDiv w:val="1"/>
      <w:marLeft w:val="0"/>
      <w:marRight w:val="0"/>
      <w:marTop w:val="0"/>
      <w:marBottom w:val="0"/>
      <w:divBdr>
        <w:top w:val="none" w:sz="0" w:space="0" w:color="auto"/>
        <w:left w:val="none" w:sz="0" w:space="0" w:color="auto"/>
        <w:bottom w:val="none" w:sz="0" w:space="0" w:color="auto"/>
        <w:right w:val="none" w:sz="0" w:space="0" w:color="auto"/>
      </w:divBdr>
    </w:div>
    <w:div w:id="569580260">
      <w:bodyDiv w:val="1"/>
      <w:marLeft w:val="0"/>
      <w:marRight w:val="0"/>
      <w:marTop w:val="0"/>
      <w:marBottom w:val="0"/>
      <w:divBdr>
        <w:top w:val="none" w:sz="0" w:space="0" w:color="auto"/>
        <w:left w:val="none" w:sz="0" w:space="0" w:color="auto"/>
        <w:bottom w:val="none" w:sz="0" w:space="0" w:color="auto"/>
        <w:right w:val="none" w:sz="0" w:space="0" w:color="auto"/>
      </w:divBdr>
    </w:div>
    <w:div w:id="597366550">
      <w:bodyDiv w:val="1"/>
      <w:marLeft w:val="0"/>
      <w:marRight w:val="0"/>
      <w:marTop w:val="0"/>
      <w:marBottom w:val="0"/>
      <w:divBdr>
        <w:top w:val="none" w:sz="0" w:space="0" w:color="auto"/>
        <w:left w:val="none" w:sz="0" w:space="0" w:color="auto"/>
        <w:bottom w:val="none" w:sz="0" w:space="0" w:color="auto"/>
        <w:right w:val="none" w:sz="0" w:space="0" w:color="auto"/>
      </w:divBdr>
    </w:div>
    <w:div w:id="606739230">
      <w:bodyDiv w:val="1"/>
      <w:marLeft w:val="0"/>
      <w:marRight w:val="0"/>
      <w:marTop w:val="0"/>
      <w:marBottom w:val="0"/>
      <w:divBdr>
        <w:top w:val="none" w:sz="0" w:space="0" w:color="auto"/>
        <w:left w:val="none" w:sz="0" w:space="0" w:color="auto"/>
        <w:bottom w:val="none" w:sz="0" w:space="0" w:color="auto"/>
        <w:right w:val="none" w:sz="0" w:space="0" w:color="auto"/>
      </w:divBdr>
    </w:div>
    <w:div w:id="675886285">
      <w:bodyDiv w:val="1"/>
      <w:marLeft w:val="0"/>
      <w:marRight w:val="0"/>
      <w:marTop w:val="0"/>
      <w:marBottom w:val="0"/>
      <w:divBdr>
        <w:top w:val="none" w:sz="0" w:space="0" w:color="auto"/>
        <w:left w:val="none" w:sz="0" w:space="0" w:color="auto"/>
        <w:bottom w:val="none" w:sz="0" w:space="0" w:color="auto"/>
        <w:right w:val="none" w:sz="0" w:space="0" w:color="auto"/>
      </w:divBdr>
    </w:div>
    <w:div w:id="688986779">
      <w:bodyDiv w:val="1"/>
      <w:marLeft w:val="0"/>
      <w:marRight w:val="0"/>
      <w:marTop w:val="0"/>
      <w:marBottom w:val="0"/>
      <w:divBdr>
        <w:top w:val="none" w:sz="0" w:space="0" w:color="auto"/>
        <w:left w:val="none" w:sz="0" w:space="0" w:color="auto"/>
        <w:bottom w:val="none" w:sz="0" w:space="0" w:color="auto"/>
        <w:right w:val="none" w:sz="0" w:space="0" w:color="auto"/>
      </w:divBdr>
    </w:div>
    <w:div w:id="696929840">
      <w:bodyDiv w:val="1"/>
      <w:marLeft w:val="0"/>
      <w:marRight w:val="0"/>
      <w:marTop w:val="0"/>
      <w:marBottom w:val="0"/>
      <w:divBdr>
        <w:top w:val="none" w:sz="0" w:space="0" w:color="auto"/>
        <w:left w:val="none" w:sz="0" w:space="0" w:color="auto"/>
        <w:bottom w:val="none" w:sz="0" w:space="0" w:color="auto"/>
        <w:right w:val="none" w:sz="0" w:space="0" w:color="auto"/>
      </w:divBdr>
    </w:div>
    <w:div w:id="868906827">
      <w:bodyDiv w:val="1"/>
      <w:marLeft w:val="0"/>
      <w:marRight w:val="0"/>
      <w:marTop w:val="0"/>
      <w:marBottom w:val="0"/>
      <w:divBdr>
        <w:top w:val="none" w:sz="0" w:space="0" w:color="auto"/>
        <w:left w:val="none" w:sz="0" w:space="0" w:color="auto"/>
        <w:bottom w:val="none" w:sz="0" w:space="0" w:color="auto"/>
        <w:right w:val="none" w:sz="0" w:space="0" w:color="auto"/>
      </w:divBdr>
    </w:div>
    <w:div w:id="932132587">
      <w:bodyDiv w:val="1"/>
      <w:marLeft w:val="0"/>
      <w:marRight w:val="0"/>
      <w:marTop w:val="0"/>
      <w:marBottom w:val="0"/>
      <w:divBdr>
        <w:top w:val="none" w:sz="0" w:space="0" w:color="auto"/>
        <w:left w:val="none" w:sz="0" w:space="0" w:color="auto"/>
        <w:bottom w:val="none" w:sz="0" w:space="0" w:color="auto"/>
        <w:right w:val="none" w:sz="0" w:space="0" w:color="auto"/>
      </w:divBdr>
    </w:div>
    <w:div w:id="972835039">
      <w:bodyDiv w:val="1"/>
      <w:marLeft w:val="0"/>
      <w:marRight w:val="0"/>
      <w:marTop w:val="0"/>
      <w:marBottom w:val="0"/>
      <w:divBdr>
        <w:top w:val="none" w:sz="0" w:space="0" w:color="auto"/>
        <w:left w:val="none" w:sz="0" w:space="0" w:color="auto"/>
        <w:bottom w:val="none" w:sz="0" w:space="0" w:color="auto"/>
        <w:right w:val="none" w:sz="0" w:space="0" w:color="auto"/>
      </w:divBdr>
    </w:div>
    <w:div w:id="1047876245">
      <w:bodyDiv w:val="1"/>
      <w:marLeft w:val="0"/>
      <w:marRight w:val="0"/>
      <w:marTop w:val="0"/>
      <w:marBottom w:val="0"/>
      <w:divBdr>
        <w:top w:val="none" w:sz="0" w:space="0" w:color="auto"/>
        <w:left w:val="none" w:sz="0" w:space="0" w:color="auto"/>
        <w:bottom w:val="none" w:sz="0" w:space="0" w:color="auto"/>
        <w:right w:val="none" w:sz="0" w:space="0" w:color="auto"/>
      </w:divBdr>
    </w:div>
    <w:div w:id="1049036554">
      <w:bodyDiv w:val="1"/>
      <w:marLeft w:val="0"/>
      <w:marRight w:val="0"/>
      <w:marTop w:val="0"/>
      <w:marBottom w:val="0"/>
      <w:divBdr>
        <w:top w:val="none" w:sz="0" w:space="0" w:color="auto"/>
        <w:left w:val="none" w:sz="0" w:space="0" w:color="auto"/>
        <w:bottom w:val="none" w:sz="0" w:space="0" w:color="auto"/>
        <w:right w:val="none" w:sz="0" w:space="0" w:color="auto"/>
      </w:divBdr>
    </w:div>
    <w:div w:id="1053383260">
      <w:bodyDiv w:val="1"/>
      <w:marLeft w:val="0"/>
      <w:marRight w:val="0"/>
      <w:marTop w:val="0"/>
      <w:marBottom w:val="0"/>
      <w:divBdr>
        <w:top w:val="none" w:sz="0" w:space="0" w:color="auto"/>
        <w:left w:val="none" w:sz="0" w:space="0" w:color="auto"/>
        <w:bottom w:val="none" w:sz="0" w:space="0" w:color="auto"/>
        <w:right w:val="none" w:sz="0" w:space="0" w:color="auto"/>
      </w:divBdr>
    </w:div>
    <w:div w:id="1081371153">
      <w:bodyDiv w:val="1"/>
      <w:marLeft w:val="0"/>
      <w:marRight w:val="0"/>
      <w:marTop w:val="0"/>
      <w:marBottom w:val="0"/>
      <w:divBdr>
        <w:top w:val="none" w:sz="0" w:space="0" w:color="auto"/>
        <w:left w:val="none" w:sz="0" w:space="0" w:color="auto"/>
        <w:bottom w:val="none" w:sz="0" w:space="0" w:color="auto"/>
        <w:right w:val="none" w:sz="0" w:space="0" w:color="auto"/>
      </w:divBdr>
    </w:div>
    <w:div w:id="1135678440">
      <w:bodyDiv w:val="1"/>
      <w:marLeft w:val="0"/>
      <w:marRight w:val="0"/>
      <w:marTop w:val="0"/>
      <w:marBottom w:val="0"/>
      <w:divBdr>
        <w:top w:val="none" w:sz="0" w:space="0" w:color="auto"/>
        <w:left w:val="none" w:sz="0" w:space="0" w:color="auto"/>
        <w:bottom w:val="none" w:sz="0" w:space="0" w:color="auto"/>
        <w:right w:val="none" w:sz="0" w:space="0" w:color="auto"/>
      </w:divBdr>
    </w:div>
    <w:div w:id="1175799521">
      <w:bodyDiv w:val="1"/>
      <w:marLeft w:val="0"/>
      <w:marRight w:val="0"/>
      <w:marTop w:val="0"/>
      <w:marBottom w:val="0"/>
      <w:divBdr>
        <w:top w:val="none" w:sz="0" w:space="0" w:color="auto"/>
        <w:left w:val="none" w:sz="0" w:space="0" w:color="auto"/>
        <w:bottom w:val="none" w:sz="0" w:space="0" w:color="auto"/>
        <w:right w:val="none" w:sz="0" w:space="0" w:color="auto"/>
      </w:divBdr>
    </w:div>
    <w:div w:id="1222014269">
      <w:bodyDiv w:val="1"/>
      <w:marLeft w:val="0"/>
      <w:marRight w:val="0"/>
      <w:marTop w:val="0"/>
      <w:marBottom w:val="0"/>
      <w:divBdr>
        <w:top w:val="none" w:sz="0" w:space="0" w:color="auto"/>
        <w:left w:val="none" w:sz="0" w:space="0" w:color="auto"/>
        <w:bottom w:val="none" w:sz="0" w:space="0" w:color="auto"/>
        <w:right w:val="none" w:sz="0" w:space="0" w:color="auto"/>
      </w:divBdr>
    </w:div>
    <w:div w:id="1227181622">
      <w:bodyDiv w:val="1"/>
      <w:marLeft w:val="0"/>
      <w:marRight w:val="0"/>
      <w:marTop w:val="0"/>
      <w:marBottom w:val="0"/>
      <w:divBdr>
        <w:top w:val="none" w:sz="0" w:space="0" w:color="auto"/>
        <w:left w:val="none" w:sz="0" w:space="0" w:color="auto"/>
        <w:bottom w:val="none" w:sz="0" w:space="0" w:color="auto"/>
        <w:right w:val="none" w:sz="0" w:space="0" w:color="auto"/>
      </w:divBdr>
    </w:div>
    <w:div w:id="1239292826">
      <w:bodyDiv w:val="1"/>
      <w:marLeft w:val="0"/>
      <w:marRight w:val="0"/>
      <w:marTop w:val="0"/>
      <w:marBottom w:val="0"/>
      <w:divBdr>
        <w:top w:val="none" w:sz="0" w:space="0" w:color="auto"/>
        <w:left w:val="none" w:sz="0" w:space="0" w:color="auto"/>
        <w:bottom w:val="none" w:sz="0" w:space="0" w:color="auto"/>
        <w:right w:val="none" w:sz="0" w:space="0" w:color="auto"/>
      </w:divBdr>
    </w:div>
    <w:div w:id="1248997738">
      <w:bodyDiv w:val="1"/>
      <w:marLeft w:val="0"/>
      <w:marRight w:val="0"/>
      <w:marTop w:val="0"/>
      <w:marBottom w:val="0"/>
      <w:divBdr>
        <w:top w:val="none" w:sz="0" w:space="0" w:color="auto"/>
        <w:left w:val="none" w:sz="0" w:space="0" w:color="auto"/>
        <w:bottom w:val="none" w:sz="0" w:space="0" w:color="auto"/>
        <w:right w:val="none" w:sz="0" w:space="0" w:color="auto"/>
      </w:divBdr>
    </w:div>
    <w:div w:id="1304314375">
      <w:bodyDiv w:val="1"/>
      <w:marLeft w:val="0"/>
      <w:marRight w:val="0"/>
      <w:marTop w:val="0"/>
      <w:marBottom w:val="0"/>
      <w:divBdr>
        <w:top w:val="none" w:sz="0" w:space="0" w:color="auto"/>
        <w:left w:val="none" w:sz="0" w:space="0" w:color="auto"/>
        <w:bottom w:val="none" w:sz="0" w:space="0" w:color="auto"/>
        <w:right w:val="none" w:sz="0" w:space="0" w:color="auto"/>
      </w:divBdr>
    </w:div>
    <w:div w:id="1382946067">
      <w:bodyDiv w:val="1"/>
      <w:marLeft w:val="0"/>
      <w:marRight w:val="0"/>
      <w:marTop w:val="0"/>
      <w:marBottom w:val="0"/>
      <w:divBdr>
        <w:top w:val="none" w:sz="0" w:space="0" w:color="auto"/>
        <w:left w:val="none" w:sz="0" w:space="0" w:color="auto"/>
        <w:bottom w:val="none" w:sz="0" w:space="0" w:color="auto"/>
        <w:right w:val="none" w:sz="0" w:space="0" w:color="auto"/>
      </w:divBdr>
    </w:div>
    <w:div w:id="1391075030">
      <w:bodyDiv w:val="1"/>
      <w:marLeft w:val="0"/>
      <w:marRight w:val="0"/>
      <w:marTop w:val="0"/>
      <w:marBottom w:val="0"/>
      <w:divBdr>
        <w:top w:val="none" w:sz="0" w:space="0" w:color="auto"/>
        <w:left w:val="none" w:sz="0" w:space="0" w:color="auto"/>
        <w:bottom w:val="none" w:sz="0" w:space="0" w:color="auto"/>
        <w:right w:val="none" w:sz="0" w:space="0" w:color="auto"/>
      </w:divBdr>
    </w:div>
    <w:div w:id="1413625207">
      <w:bodyDiv w:val="1"/>
      <w:marLeft w:val="0"/>
      <w:marRight w:val="0"/>
      <w:marTop w:val="0"/>
      <w:marBottom w:val="0"/>
      <w:divBdr>
        <w:top w:val="none" w:sz="0" w:space="0" w:color="auto"/>
        <w:left w:val="none" w:sz="0" w:space="0" w:color="auto"/>
        <w:bottom w:val="none" w:sz="0" w:space="0" w:color="auto"/>
        <w:right w:val="none" w:sz="0" w:space="0" w:color="auto"/>
      </w:divBdr>
    </w:div>
    <w:div w:id="1415972640">
      <w:bodyDiv w:val="1"/>
      <w:marLeft w:val="0"/>
      <w:marRight w:val="0"/>
      <w:marTop w:val="0"/>
      <w:marBottom w:val="0"/>
      <w:divBdr>
        <w:top w:val="none" w:sz="0" w:space="0" w:color="auto"/>
        <w:left w:val="none" w:sz="0" w:space="0" w:color="auto"/>
        <w:bottom w:val="none" w:sz="0" w:space="0" w:color="auto"/>
        <w:right w:val="none" w:sz="0" w:space="0" w:color="auto"/>
      </w:divBdr>
    </w:div>
    <w:div w:id="1424304422">
      <w:bodyDiv w:val="1"/>
      <w:marLeft w:val="0"/>
      <w:marRight w:val="0"/>
      <w:marTop w:val="0"/>
      <w:marBottom w:val="0"/>
      <w:divBdr>
        <w:top w:val="none" w:sz="0" w:space="0" w:color="auto"/>
        <w:left w:val="none" w:sz="0" w:space="0" w:color="auto"/>
        <w:bottom w:val="none" w:sz="0" w:space="0" w:color="auto"/>
        <w:right w:val="none" w:sz="0" w:space="0" w:color="auto"/>
      </w:divBdr>
    </w:div>
    <w:div w:id="1443380050">
      <w:bodyDiv w:val="1"/>
      <w:marLeft w:val="0"/>
      <w:marRight w:val="0"/>
      <w:marTop w:val="0"/>
      <w:marBottom w:val="0"/>
      <w:divBdr>
        <w:top w:val="none" w:sz="0" w:space="0" w:color="auto"/>
        <w:left w:val="none" w:sz="0" w:space="0" w:color="auto"/>
        <w:bottom w:val="none" w:sz="0" w:space="0" w:color="auto"/>
        <w:right w:val="none" w:sz="0" w:space="0" w:color="auto"/>
      </w:divBdr>
    </w:div>
    <w:div w:id="1453787839">
      <w:bodyDiv w:val="1"/>
      <w:marLeft w:val="0"/>
      <w:marRight w:val="0"/>
      <w:marTop w:val="0"/>
      <w:marBottom w:val="0"/>
      <w:divBdr>
        <w:top w:val="none" w:sz="0" w:space="0" w:color="auto"/>
        <w:left w:val="none" w:sz="0" w:space="0" w:color="auto"/>
        <w:bottom w:val="none" w:sz="0" w:space="0" w:color="auto"/>
        <w:right w:val="none" w:sz="0" w:space="0" w:color="auto"/>
      </w:divBdr>
    </w:div>
    <w:div w:id="1508323567">
      <w:bodyDiv w:val="1"/>
      <w:marLeft w:val="0"/>
      <w:marRight w:val="0"/>
      <w:marTop w:val="0"/>
      <w:marBottom w:val="0"/>
      <w:divBdr>
        <w:top w:val="none" w:sz="0" w:space="0" w:color="auto"/>
        <w:left w:val="none" w:sz="0" w:space="0" w:color="auto"/>
        <w:bottom w:val="none" w:sz="0" w:space="0" w:color="auto"/>
        <w:right w:val="none" w:sz="0" w:space="0" w:color="auto"/>
      </w:divBdr>
    </w:div>
    <w:div w:id="1576277111">
      <w:bodyDiv w:val="1"/>
      <w:marLeft w:val="0"/>
      <w:marRight w:val="0"/>
      <w:marTop w:val="0"/>
      <w:marBottom w:val="0"/>
      <w:divBdr>
        <w:top w:val="none" w:sz="0" w:space="0" w:color="auto"/>
        <w:left w:val="none" w:sz="0" w:space="0" w:color="auto"/>
        <w:bottom w:val="none" w:sz="0" w:space="0" w:color="auto"/>
        <w:right w:val="none" w:sz="0" w:space="0" w:color="auto"/>
      </w:divBdr>
    </w:div>
    <w:div w:id="1627617563">
      <w:bodyDiv w:val="1"/>
      <w:marLeft w:val="0"/>
      <w:marRight w:val="0"/>
      <w:marTop w:val="0"/>
      <w:marBottom w:val="0"/>
      <w:divBdr>
        <w:top w:val="none" w:sz="0" w:space="0" w:color="auto"/>
        <w:left w:val="none" w:sz="0" w:space="0" w:color="auto"/>
        <w:bottom w:val="none" w:sz="0" w:space="0" w:color="auto"/>
        <w:right w:val="none" w:sz="0" w:space="0" w:color="auto"/>
      </w:divBdr>
    </w:div>
    <w:div w:id="1859076573">
      <w:bodyDiv w:val="1"/>
      <w:marLeft w:val="0"/>
      <w:marRight w:val="0"/>
      <w:marTop w:val="0"/>
      <w:marBottom w:val="0"/>
      <w:divBdr>
        <w:top w:val="none" w:sz="0" w:space="0" w:color="auto"/>
        <w:left w:val="none" w:sz="0" w:space="0" w:color="auto"/>
        <w:bottom w:val="none" w:sz="0" w:space="0" w:color="auto"/>
        <w:right w:val="none" w:sz="0" w:space="0" w:color="auto"/>
      </w:divBdr>
    </w:div>
    <w:div w:id="1894463990">
      <w:bodyDiv w:val="1"/>
      <w:marLeft w:val="0"/>
      <w:marRight w:val="0"/>
      <w:marTop w:val="0"/>
      <w:marBottom w:val="0"/>
      <w:divBdr>
        <w:top w:val="none" w:sz="0" w:space="0" w:color="auto"/>
        <w:left w:val="none" w:sz="0" w:space="0" w:color="auto"/>
        <w:bottom w:val="none" w:sz="0" w:space="0" w:color="auto"/>
        <w:right w:val="none" w:sz="0" w:space="0" w:color="auto"/>
      </w:divBdr>
    </w:div>
    <w:div w:id="1922981663">
      <w:bodyDiv w:val="1"/>
      <w:marLeft w:val="0"/>
      <w:marRight w:val="0"/>
      <w:marTop w:val="0"/>
      <w:marBottom w:val="0"/>
      <w:divBdr>
        <w:top w:val="none" w:sz="0" w:space="0" w:color="auto"/>
        <w:left w:val="none" w:sz="0" w:space="0" w:color="auto"/>
        <w:bottom w:val="none" w:sz="0" w:space="0" w:color="auto"/>
        <w:right w:val="none" w:sz="0" w:space="0" w:color="auto"/>
      </w:divBdr>
    </w:div>
    <w:div w:id="1964843589">
      <w:bodyDiv w:val="1"/>
      <w:marLeft w:val="0"/>
      <w:marRight w:val="0"/>
      <w:marTop w:val="0"/>
      <w:marBottom w:val="0"/>
      <w:divBdr>
        <w:top w:val="none" w:sz="0" w:space="0" w:color="auto"/>
        <w:left w:val="none" w:sz="0" w:space="0" w:color="auto"/>
        <w:bottom w:val="none" w:sz="0" w:space="0" w:color="auto"/>
        <w:right w:val="none" w:sz="0" w:space="0" w:color="auto"/>
      </w:divBdr>
    </w:div>
    <w:div w:id="1975595647">
      <w:bodyDiv w:val="1"/>
      <w:marLeft w:val="0"/>
      <w:marRight w:val="0"/>
      <w:marTop w:val="0"/>
      <w:marBottom w:val="0"/>
      <w:divBdr>
        <w:top w:val="none" w:sz="0" w:space="0" w:color="auto"/>
        <w:left w:val="none" w:sz="0" w:space="0" w:color="auto"/>
        <w:bottom w:val="none" w:sz="0" w:space="0" w:color="auto"/>
        <w:right w:val="none" w:sz="0" w:space="0" w:color="auto"/>
      </w:divBdr>
    </w:div>
    <w:div w:id="2002537343">
      <w:bodyDiv w:val="1"/>
      <w:marLeft w:val="0"/>
      <w:marRight w:val="0"/>
      <w:marTop w:val="0"/>
      <w:marBottom w:val="0"/>
      <w:divBdr>
        <w:top w:val="none" w:sz="0" w:space="0" w:color="auto"/>
        <w:left w:val="none" w:sz="0" w:space="0" w:color="auto"/>
        <w:bottom w:val="none" w:sz="0" w:space="0" w:color="auto"/>
        <w:right w:val="none" w:sz="0" w:space="0" w:color="auto"/>
      </w:divBdr>
    </w:div>
    <w:div w:id="2019379256">
      <w:bodyDiv w:val="1"/>
      <w:marLeft w:val="0"/>
      <w:marRight w:val="0"/>
      <w:marTop w:val="0"/>
      <w:marBottom w:val="0"/>
      <w:divBdr>
        <w:top w:val="none" w:sz="0" w:space="0" w:color="auto"/>
        <w:left w:val="none" w:sz="0" w:space="0" w:color="auto"/>
        <w:bottom w:val="none" w:sz="0" w:space="0" w:color="auto"/>
        <w:right w:val="none" w:sz="0" w:space="0" w:color="auto"/>
      </w:divBdr>
    </w:div>
    <w:div w:id="2021008467">
      <w:bodyDiv w:val="1"/>
      <w:marLeft w:val="0"/>
      <w:marRight w:val="0"/>
      <w:marTop w:val="0"/>
      <w:marBottom w:val="0"/>
      <w:divBdr>
        <w:top w:val="none" w:sz="0" w:space="0" w:color="auto"/>
        <w:left w:val="none" w:sz="0" w:space="0" w:color="auto"/>
        <w:bottom w:val="none" w:sz="0" w:space="0" w:color="auto"/>
        <w:right w:val="none" w:sz="0" w:space="0" w:color="auto"/>
      </w:divBdr>
    </w:div>
    <w:div w:id="2032602599">
      <w:bodyDiv w:val="1"/>
      <w:marLeft w:val="0"/>
      <w:marRight w:val="0"/>
      <w:marTop w:val="0"/>
      <w:marBottom w:val="0"/>
      <w:divBdr>
        <w:top w:val="none" w:sz="0" w:space="0" w:color="auto"/>
        <w:left w:val="none" w:sz="0" w:space="0" w:color="auto"/>
        <w:bottom w:val="none" w:sz="0" w:space="0" w:color="auto"/>
        <w:right w:val="none" w:sz="0" w:space="0" w:color="auto"/>
      </w:divBdr>
    </w:div>
    <w:div w:id="2102144958">
      <w:bodyDiv w:val="1"/>
      <w:marLeft w:val="0"/>
      <w:marRight w:val="0"/>
      <w:marTop w:val="0"/>
      <w:marBottom w:val="0"/>
      <w:divBdr>
        <w:top w:val="none" w:sz="0" w:space="0" w:color="auto"/>
        <w:left w:val="none" w:sz="0" w:space="0" w:color="auto"/>
        <w:bottom w:val="none" w:sz="0" w:space="0" w:color="auto"/>
        <w:right w:val="none" w:sz="0" w:space="0" w:color="auto"/>
      </w:divBdr>
    </w:div>
    <w:div w:id="2105572800">
      <w:bodyDiv w:val="1"/>
      <w:marLeft w:val="0"/>
      <w:marRight w:val="0"/>
      <w:marTop w:val="0"/>
      <w:marBottom w:val="0"/>
      <w:divBdr>
        <w:top w:val="none" w:sz="0" w:space="0" w:color="auto"/>
        <w:left w:val="none" w:sz="0" w:space="0" w:color="auto"/>
        <w:bottom w:val="none" w:sz="0" w:space="0" w:color="auto"/>
        <w:right w:val="none" w:sz="0" w:space="0" w:color="auto"/>
      </w:divBdr>
    </w:div>
    <w:div w:id="2106732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business-guidance/hazard-analysis-and-critical-control-point-haccp" TargetMode="External"/><Relationship Id="rId13" Type="http://schemas.openxmlformats.org/officeDocument/2006/relationships/hyperlink" Target="https://www.myfoodresearch.com/uploads/8/4/8/5/84855864/_29__fr-2021-989_johnson.pdf" TargetMode="External"/><Relationship Id="rId18" Type="http://schemas.openxmlformats.org/officeDocument/2006/relationships/hyperlink" Target="https://www-sciencedirect-com.ezproxy.uwtsd.ac.uk/science/article/pii/S2211973622000885" TargetMode="External"/><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hyperlink" Target="https://www.routledge.com/Food-and-Beverage-Management/Lockwood-Pantelidis-Alcott/p/book/9781138679313?utm_source=chatgpt.com" TargetMode="External"/><Relationship Id="rId12" Type="http://schemas.openxmlformats.org/officeDocument/2006/relationships/hyperlink" Target="https://www.hse.gov.uk/catering/" TargetMode="External"/><Relationship Id="rId17" Type="http://schemas.openxmlformats.org/officeDocument/2006/relationships/hyperlink" Target="https://www.qaa.ac.uk/docs/qaa/quality-code/advice-and-guidance-work-based-learning.pdf?utm_source=chatgpt.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ell.com/heliyon/fulltext/S2405-8440(24)01829-2?_returnURL=https%3A%2F%2Flinkinghub.elsevier.com%2Fretrieve%2Fpii%2FS2405844024018292%3Fshowall%3Dtrue"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ezproxy.uwtsd.ac.uk/science/article/pii/S0278431925001069"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prints.bournemouth.ac.uk/34812/1/JHTI-06-2020-0101.R2_Proof_hi.pdf?" TargetMode="External"/><Relationship Id="rId23" Type="http://schemas.openxmlformats.org/officeDocument/2006/relationships/image" Target="media/image4.jpeg"/><Relationship Id="rId10" Type="http://schemas.openxmlformats.org/officeDocument/2006/relationships/hyperlink" Target="https://books.google.co.uk/books/about/Practical_Cookery_14th_Edition.html?id=nU-DDwAAQBAJ&amp;redir_esc=y" TargetMode="External"/><Relationship Id="rId19" Type="http://schemas.openxmlformats.org/officeDocument/2006/relationships/hyperlink" Target="https://en.wikipedia.org/wiki/Kitchen_brigade?utm_source=chatgpt.com" TargetMode="External"/><Relationship Id="rId4" Type="http://schemas.openxmlformats.org/officeDocument/2006/relationships/webSettings" Target="webSettings.xml"/><Relationship Id="rId9" Type="http://schemas.openxmlformats.org/officeDocument/2006/relationships/hyperlink" Target="https://www.waterstones.com/book/food-safety-for-supervisors/claire-nash/sue-stevenson/9781904306641?utm_source=chatgpt.com" TargetMode="External"/><Relationship Id="rId14" Type="http://schemas.openxmlformats.org/officeDocument/2006/relationships/hyperlink" Target="https://books.google.co.uk/books/about/Service_Operations_Management.html?id=1L0GywAACAAJ&amp;redir_esc=y" TargetMode="External"/><Relationship Id="rId22"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Ste11</b:Tag>
    <b:SourceType>Book</b:SourceType>
    <b:Guid>{58ABC943-D346-44E2-90A5-3D5451FDCFC2}</b:Guid>
    <b:Author>
      <b:Author>
        <b:NameList>
          <b:Person>
            <b:Last>Stephen Stevenson</b:Last>
            <b:First>Chris</b:First>
            <b:Middle>Nash</b:Middle>
          </b:Person>
        </b:NameList>
      </b:Author>
    </b:Author>
    <b:Title>Food Safety for Supervisors</b:Title>
    <b:Year>2011</b:Year>
    <b:City>London</b:City>
    <b:Publisher>Chartered Institute of Environmental Health</b:Publisher>
    <b:RefOrder>9</b:RefOrder>
  </b:Source>
  <b:Source>
    <b:Tag>Bul24</b:Tag>
    <b:SourceType>JournalArticle</b:SourceType>
    <b:Guid>{CD3BB7A3-5A71-46AD-8F0A-A987C7E012A0}</b:Guid>
    <b:Title>Methods and measures in food service food safety research</b:Title>
    <b:Year>2024</b:Year>
    <b:Author>
      <b:Author>
        <b:NameList>
          <b:Person>
            <b:Last>Martina</b:Last>
            <b:First>Bulochova</b:First>
          </b:Person>
        </b:NameList>
      </b:Author>
    </b:Author>
    <b:JournalName>Frontiers in Public Health</b:JournalName>
    <b:Volume>12</b:Volume>
    <b:RefOrder>10</b:RefOrder>
  </b:Source>
  <b:Source>
    <b:Tag>Foo231</b:Tag>
    <b:SourceType>InternetSite</b:SourceType>
    <b:Guid>{C91F30B7-D10E-4EEC-8C48-5AED7D6AE094}</b:Guid>
    <b:Author>
      <b:Author>
        <b:NameList>
          <b:Person>
            <b:Last>Food Standards Agency</b:Last>
            <b:First>Natasha’s</b:First>
            <b:Middle>Law</b:Middle>
          </b:Person>
        </b:NameList>
      </b:Author>
    </b:Author>
    <b:Title>Food Standards Agency</b:Title>
    <b:Year>2023</b:Year>
    <b:YearAccessed>2025</b:YearAccessed>
    <b:MonthAccessed>12</b:MonthAccessed>
    <b:DayAccessed>21</b:DayAccessed>
    <b:URL>https://www.food.gov.uk/business-guidance/allergen-guidance-for-food-businesses</b:URL>
    <b:RefOrder>11</b:RefOrder>
  </b:Source>
  <b:Source>
    <b:Tag>Sez25</b:Tag>
    <b:SourceType>JournalArticle</b:SourceType>
    <b:Guid>{A2311D9A-A334-4166-BB6F-58DAD5C50EC3}</b:Guid>
    <b:Title>The role of chefs’ creativity in food waste management in professional kitchens</b:Title>
    <b:Year>2025</b:Year>
    <b:Author>
      <b:Author>
        <b:NameList>
          <b:Person>
            <b:Last>Hakan</b:Last>
            <b:First>Sezerel</b:First>
          </b:Person>
        </b:NameList>
      </b:Author>
    </b:Author>
    <b:JournalName>International Journal of Hospitality Management</b:JournalName>
    <b:Volume>128</b:Volume>
    <b:RefOrder>12</b:RefOrder>
  </b:Source>
  <b:Source>
    <b:Tag>Bil11</b:Tag>
    <b:SourceType>JournalArticle</b:SourceType>
    <b:Guid>{2D5FFF5D-E1B8-4BF0-AA07-885DE7A25BAC}</b:Guid>
    <b:Author>
      <b:Author>
        <b:NameList>
          <b:Person>
            <b:Last>Stephen</b:Last>
            <b:First>Billett</b:First>
          </b:Person>
        </b:NameList>
      </b:Author>
    </b:Author>
    <b:Title>Learning through work: workplace participatory practices</b:Title>
    <b:JournalName>Journal of Workplace Learning</b:JournalName>
    <b:Year>2011</b:Year>
    <b:Pages>209–224</b:Pages>
    <b:Volume>23</b:Volume>
    <b:Issue>4</b:Issue>
    <b:RefOrder>13</b:RefOrder>
  </b:Source>
  <b:Source>
    <b:Tag>Dav19</b:Tag>
    <b:SourceType>Book</b:SourceType>
    <b:Guid>{B3AF95DB-18A5-4260-862D-F2F46FBCE802}</b:Guid>
    <b:Author>
      <b:Author>
        <b:NameList>
          <b:Person>
            <b:Last>Foskett</b:Last>
          </b:Person>
          <b:Person>
            <b:Last>Paskins</b:Last>
            <b:First>Paul</b:First>
          </b:Person>
          <b:Person>
            <b:Last>Ceserani</b:Last>
            <b:First>Victor</b:First>
          </b:Person>
        </b:NameList>
      </b:Author>
    </b:Author>
    <b:Title>Practical Cookery</b:Title>
    <b:Year>2019</b:Year>
    <b:City>London</b:City>
    <b:Publisher>Hodder Education</b:Publisher>
    <b:Edition>14</b:Edition>
    <b:RefOrder>1</b:RefOrder>
  </b:Source>
  <b:Source>
    <b:Tag>Dav18</b:Tag>
    <b:SourceType>Book</b:SourceType>
    <b:Guid>{0334A5B9-A78D-4997-8B60-2AC8490DAA8F}</b:Guid>
    <b:Title>Food and Beverage Management</b:Title>
    <b:Year>2018</b:Year>
    <b:City>London</b:City>
    <b:Publisher>Routledge</b:Publisher>
    <b:Edition>6</b:Edition>
    <b:Author>
      <b:Author>
        <b:NameList>
          <b:Person>
            <b:Last>Davis</b:Last>
            <b:First>Bernard</b:First>
          </b:Person>
          <b:Person>
            <b:Last>Lockwood</b:Last>
            <b:First>Andrew</b:First>
          </b:Person>
          <b:Person>
            <b:Last>Alcott</b:Last>
            <b:First>Peter</b:First>
          </b:Person>
        </b:NameList>
      </b:Author>
    </b:Author>
    <b:RefOrder>3</b:RefOrder>
  </b:Source>
  <b:Source>
    <b:Tag>Foo23</b:Tag>
    <b:SourceType>InternetSite</b:SourceType>
    <b:Guid>{3CEE2682-D8A5-4746-93CD-16EF771761E0}</b:Guid>
    <b:Author>
      <b:Author>
        <b:Corporate>Food Standards Agency</b:Corporate>
      </b:Author>
    </b:Author>
    <b:Title>Food Standards Agency</b:Title>
    <b:Year>2023</b:Year>
    <b:YearAccessed>2025</b:YearAccessed>
    <b:MonthAccessed>12</b:MonthAccessed>
    <b:DayAccessed>21</b:DayAccessed>
    <b:URL>https://www.food.gov.uk/business-guidance/hazard-analysis-and-critical-control-point-haccp</b:URL>
    <b:RefOrder>4</b:RefOrder>
  </b:Source>
  <b:Source>
    <b:Tag>Hea23</b:Tag>
    <b:SourceType>InternetSite</b:SourceType>
    <b:Guid>{E398A402-A682-4675-8C1F-E1CB90539815}</b:Guid>
    <b:Author>
      <b:Author>
        <b:Corporate>Health and Safety Executive</b:Corporate>
      </b:Author>
    </b:Author>
    <b:Title>Health and Safety Executive</b:Title>
    <b:Year>2023</b:Year>
    <b:YearAccessed>2025</b:YearAccessed>
    <b:MonthAccessed>12</b:MonthAccessed>
    <b:DayAccessed>21</b:DayAccessed>
    <b:URL>https://www.hse.gov.uk/catering/</b:URL>
    <b:RefOrder>5</b:RefOrder>
  </b:Source>
  <b:Source>
    <b:Tag>Wik22</b:Tag>
    <b:SourceType>InternetSite</b:SourceType>
    <b:Guid>{E137BEAD-5E6E-47F4-AF5A-857606C06DA9}</b:Guid>
    <b:Title>Wikipedia</b:Title>
    <b:Year>2022</b:Year>
    <b:Author>
      <b:Author>
        <b:Corporate>Wikipedia contributors</b:Corporate>
      </b:Author>
    </b:Author>
    <b:YearAccessed>2025</b:YearAccessed>
    <b:MonthAccessed>12</b:MonthAccessed>
    <b:DayAccessed>21</b:DayAccessed>
    <b:URL>https://en.wikipedia.org/wiki/Kitchen_brigade?utm_source=chatgpt.com</b:URL>
    <b:RefOrder>6</b:RefOrder>
  </b:Source>
  <b:Source>
    <b:Tag>Rob12</b:Tag>
    <b:SourceType>Book</b:SourceType>
    <b:Guid>{ED1AC22F-9A1F-4F0F-AFEF-8C876E436269}</b:Guid>
    <b:Author>
      <b:Author>
        <b:NameList>
          <b:Person>
            <b:Last>Johnston</b:Last>
            <b:First>Robert</b:First>
          </b:Person>
          <b:Person>
            <b:Last>Clark</b:Last>
            <b:First>Graham</b:First>
          </b:Person>
          <b:Person>
            <b:Last>Shulver</b:Last>
            <b:First>Michael</b:First>
          </b:Person>
        </b:NameList>
      </b:Author>
    </b:Author>
    <b:Title>Service Operations Management: Improving Service Delivery</b:Title>
    <b:Year>2012</b:Year>
    <b:City>Harlow</b:City>
    <b:Publisher>Pearson Education</b:Publisher>
    <b:Edition>4</b:Edition>
    <b:RefOrder>2</b:RefOrder>
  </b:Source>
  <b:Source>
    <b:Tag>Shi22</b:Tag>
    <b:SourceType>JournalArticle</b:SourceType>
    <b:Guid>{B6DBD2AA-FB98-4BAC-A057-5BA786D7E875}</b:Guid>
    <b:Author>
      <b:Author>
        <b:NameList>
          <b:Person>
            <b:Last>Shih-Shuo</b:Last>
            <b:First>Yeh</b:First>
          </b:Person>
          <b:Person>
            <b:Last>Ku-Ho</b:Last>
            <b:First>Lin</b:First>
          </b:Person>
          <b:Person>
            <b:Last>Tai-Ying</b:Last>
            <b:First>Chiang</b:First>
          </b:Person>
          <b:Person>
            <b:Last>Cheng-Fa</b:Last>
            <b:First>Lin</b:First>
          </b:Person>
          <b:Person>
            <b:Last>Tzung-Cheng</b:Last>
            <b:First>Huan</b:First>
          </b:Person>
        </b:NameList>
      </b:Author>
    </b:Author>
    <b:Title>Exploring the impact of restaurants' physical environment on kitchen employees' creativity</b:Title>
    <b:JournalName>Tourism Management Perspectives</b:JournalName>
    <b:Year>2022</b:Year>
    <b:Pages>article 101023</b:Pages>
    <b:Volume>44</b:Volume>
    <b:RefOrder>7</b:RefOrder>
  </b:Source>
  <b:Source>
    <b:Tag>Qua18</b:Tag>
    <b:SourceType>Report</b:SourceType>
    <b:Guid>{0E227DC0-A33B-49D5-961D-7B6079C89476}</b:Guid>
    <b:Title>UK Quality Code for Higher Education: Advice and Guidance – Work-based Learning</b:Title>
    <b:Year>2018</b:Year>
    <b:City>Gloucester</b:City>
    <b:Publisher>QAA</b:Publisher>
    <b:Author>
      <b:Author>
        <b:Corporate>Quality Assurance Agency for Higher Education</b:Corporate>
      </b:Author>
    </b:Author>
    <b:RefOrder>8</b:RefOrder>
  </b:Source>
  <b:Source>
    <b:Tag>Joh23</b:Tag>
    <b:SourceType>JournalArticle</b:SourceType>
    <b:Guid>{79232149-DD14-4F2D-8EF7-00B80AE067B0}</b:Guid>
    <b:Title>Food safety training influence on food service workers’ knowledge and compliance to Malaysia Food Hygiene Regulations 2009</b:Title>
    <b:Year>2023</b:Year>
    <b:Author>
      <b:Author>
        <b:NameList>
          <b:Person>
            <b:Last>Johnson</b:Last>
            <b:First>O.</b:First>
          </b:Person>
          <b:Person>
            <b:Last>Wan-Hafiz</b:Last>
            <b:First>W.-Z.-S.</b:First>
          </b:Person>
          <b:Person>
            <b:Last>Mahyudin</b:Last>
            <b:First>N.A.</b:First>
          </b:Person>
          <b:Person>
            <b:Last>Jaafar</b:Last>
            <b:First>S.N.</b:First>
          </b:Person>
        </b:NameList>
      </b:Author>
    </b:Author>
    <b:JournalName>Food Research</b:JournalName>
    <b:Pages>240–254</b:Pages>
    <b:Volume>7</b:Volume>
    <b:Issue>6</b:Issue>
    <b:RefOrder>14</b:RefOrder>
  </b:Source>
  <b:Source>
    <b:Tag>Mar22</b:Tag>
    <b:SourceType>JournalArticle</b:SourceType>
    <b:Guid>{8E79EDE1-A234-4485-BD7C-7B525613C211}</b:Guid>
    <b:Author>
      <b:Author>
        <b:NameList>
          <b:Person>
            <b:Last>Marinakou</b:Last>
            <b:First>E.</b:First>
          </b:Person>
        </b:NameList>
      </b:Author>
    </b:Author>
    <b:Title>Chefs’ competencies: A stakeholders’ perspective</b:Title>
    <b:JournalName>Journal of Hospitality and Tourism Insights</b:JournalName>
    <b:Year>2022</b:Year>
    <b:RefOrder>15</b:RefOrder>
  </b:Source>
</b:Sources>
</file>

<file path=customXml/itemProps1.xml><?xml version="1.0" encoding="utf-8"?>
<ds:datastoreItem xmlns:ds="http://schemas.openxmlformats.org/officeDocument/2006/customXml" ds:itemID="{D8BA63B6-1A48-4B01-A277-37D8794F6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2282</Words>
  <Characters>13009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2</cp:revision>
  <dcterms:created xsi:type="dcterms:W3CDTF">2025-12-31T09:52:00Z</dcterms:created>
  <dcterms:modified xsi:type="dcterms:W3CDTF">2025-12-31T09:52:00Z</dcterms:modified>
</cp:coreProperties>
</file>