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C1123" w14:textId="7E5A7D5D" w:rsidR="00522CD1" w:rsidRDefault="00AF024D" w:rsidP="00DF11CA">
      <w:pPr>
        <w:jc w:val="center"/>
        <w:rPr>
          <w:rFonts w:asciiTheme="majorHAnsi" w:hAnsiTheme="majorHAnsi" w:cstheme="majorHAnsi"/>
          <w:b/>
          <w:bCs/>
          <w:u w:val="single"/>
        </w:rPr>
      </w:pPr>
      <w:r>
        <w:rPr>
          <w:rFonts w:asciiTheme="majorHAnsi" w:hAnsiTheme="majorHAnsi" w:cstheme="majorHAnsi"/>
          <w:b/>
          <w:bCs/>
          <w:u w:val="single"/>
        </w:rPr>
        <w:t>Tort Assignment One.</w:t>
      </w:r>
    </w:p>
    <w:p w14:paraId="70885E4E" w14:textId="3A96CA8D" w:rsidR="00DF11CA" w:rsidRDefault="00DF11CA" w:rsidP="00DF11CA">
      <w:pPr>
        <w:jc w:val="center"/>
        <w:rPr>
          <w:rFonts w:asciiTheme="majorHAnsi" w:hAnsiTheme="majorHAnsi" w:cstheme="majorHAnsi"/>
          <w:b/>
          <w:bCs/>
          <w:u w:val="single"/>
        </w:rPr>
      </w:pPr>
    </w:p>
    <w:p w14:paraId="45E55292" w14:textId="099D9298" w:rsidR="00DF11CA" w:rsidRDefault="00DF11CA" w:rsidP="00DF11CA">
      <w:pPr>
        <w:jc w:val="both"/>
        <w:rPr>
          <w:rFonts w:asciiTheme="majorHAnsi" w:hAnsiTheme="majorHAnsi" w:cstheme="majorHAnsi"/>
        </w:rPr>
      </w:pPr>
    </w:p>
    <w:p w14:paraId="7D0D85BD" w14:textId="7E5FEB64" w:rsidR="00DF11CA" w:rsidRDefault="00DF11CA" w:rsidP="00DF11CA">
      <w:pPr>
        <w:jc w:val="both"/>
        <w:rPr>
          <w:rFonts w:asciiTheme="majorHAnsi" w:hAnsiTheme="majorHAnsi" w:cstheme="majorHAnsi"/>
        </w:rPr>
      </w:pPr>
    </w:p>
    <w:p w14:paraId="40D66891" w14:textId="52146C17" w:rsidR="00B74E6A" w:rsidRDefault="00AF024D" w:rsidP="00DF11CA">
      <w:pPr>
        <w:jc w:val="both"/>
        <w:rPr>
          <w:rFonts w:asciiTheme="majorHAnsi" w:hAnsiTheme="majorHAnsi" w:cstheme="majorHAnsi"/>
        </w:rPr>
      </w:pPr>
      <w:r>
        <w:rPr>
          <w:rFonts w:asciiTheme="majorHAnsi" w:hAnsiTheme="majorHAnsi" w:cstheme="majorHAnsi"/>
        </w:rPr>
        <w:t>T</w:t>
      </w:r>
      <w:r w:rsidR="0007058C">
        <w:rPr>
          <w:rFonts w:asciiTheme="majorHAnsi" w:hAnsiTheme="majorHAnsi" w:cstheme="majorHAnsi"/>
        </w:rPr>
        <w:t xml:space="preserve">o discuss whether the standard of care </w:t>
      </w:r>
      <w:r w:rsidR="000A3AD3">
        <w:rPr>
          <w:rFonts w:asciiTheme="majorHAnsi" w:hAnsiTheme="majorHAnsi" w:cstheme="majorHAnsi"/>
        </w:rPr>
        <w:t>has flexibility between the interests of the claimants and the defendants we must look at the duty of care to define whether a duty was owed to the claimant and likewise if there was duty has that been breached? To determine whether there has been a breach the circumstances of each potential situation must be assessed and the variables that should be foreseen. Consideration must also be taken as to what measures are undertaken to protect the claimant and defendant.</w:t>
      </w:r>
      <w:r w:rsidR="000C68AF">
        <w:rPr>
          <w:rFonts w:asciiTheme="majorHAnsi" w:hAnsiTheme="majorHAnsi" w:cstheme="majorHAnsi"/>
        </w:rPr>
        <w:t xml:space="preserve"> </w:t>
      </w:r>
    </w:p>
    <w:p w14:paraId="790FCB42" w14:textId="77777777" w:rsidR="004B14CB" w:rsidRDefault="004B14CB" w:rsidP="00DF11CA">
      <w:pPr>
        <w:jc w:val="both"/>
        <w:rPr>
          <w:rFonts w:asciiTheme="majorHAnsi" w:hAnsiTheme="majorHAnsi" w:cstheme="majorHAnsi"/>
        </w:rPr>
      </w:pPr>
    </w:p>
    <w:p w14:paraId="47C77323" w14:textId="7AB73CC3" w:rsidR="00B74E6A" w:rsidRDefault="00AF024D" w:rsidP="00DF11CA">
      <w:pPr>
        <w:jc w:val="both"/>
        <w:rPr>
          <w:rFonts w:asciiTheme="majorHAnsi" w:hAnsiTheme="majorHAnsi" w:cstheme="majorHAnsi"/>
        </w:rPr>
      </w:pPr>
      <w:r>
        <w:rPr>
          <w:rFonts w:asciiTheme="majorHAnsi" w:hAnsiTheme="majorHAnsi" w:cstheme="majorHAnsi"/>
        </w:rPr>
        <w:t>The general standard of care as defined in the case Blyth v Birmingham Waterworks (1856)</w:t>
      </w:r>
      <w:r w:rsidR="007F1228">
        <w:rPr>
          <w:rFonts w:asciiTheme="majorHAnsi" w:hAnsiTheme="majorHAnsi" w:cstheme="majorHAnsi"/>
        </w:rPr>
        <w:t>, this case introduced the concept of ‘reasonableness’ into negligence</w:t>
      </w:r>
      <w:r w:rsidR="00637A04">
        <w:rPr>
          <w:rFonts w:asciiTheme="majorHAnsi" w:hAnsiTheme="majorHAnsi" w:cstheme="majorHAnsi"/>
        </w:rPr>
        <w:t xml:space="preserve"> (Blyth v Birmingham Waterworks, (1856))</w:t>
      </w:r>
      <w:r w:rsidR="007F1228">
        <w:rPr>
          <w:rFonts w:asciiTheme="majorHAnsi" w:hAnsiTheme="majorHAnsi" w:cstheme="majorHAnsi"/>
        </w:rPr>
        <w:t>.</w:t>
      </w:r>
    </w:p>
    <w:p w14:paraId="62A2FFCC" w14:textId="223C11CC" w:rsidR="00814A27" w:rsidRDefault="00814A27" w:rsidP="00DF11CA">
      <w:pPr>
        <w:jc w:val="both"/>
        <w:rPr>
          <w:rFonts w:asciiTheme="majorHAnsi" w:hAnsiTheme="majorHAnsi" w:cstheme="majorHAnsi"/>
        </w:rPr>
      </w:pPr>
    </w:p>
    <w:p w14:paraId="75838D08" w14:textId="475556BB" w:rsidR="00814A27" w:rsidRDefault="00AF024D" w:rsidP="00DF11CA">
      <w:pPr>
        <w:jc w:val="both"/>
        <w:rPr>
          <w:rFonts w:asciiTheme="majorHAnsi" w:hAnsiTheme="majorHAnsi" w:cstheme="majorHAnsi"/>
        </w:rPr>
      </w:pPr>
      <w:r>
        <w:rPr>
          <w:rFonts w:asciiTheme="majorHAnsi" w:hAnsiTheme="majorHAnsi" w:cstheme="majorHAnsi"/>
        </w:rPr>
        <w:t>The result of the Blyth v W</w:t>
      </w:r>
      <w:r>
        <w:rPr>
          <w:rFonts w:asciiTheme="majorHAnsi" w:hAnsiTheme="majorHAnsi" w:cstheme="majorHAnsi"/>
        </w:rPr>
        <w:t xml:space="preserve">aterworks (1856) case was that it was determined to be an accident and where negligence is unintentional there is no liability. </w:t>
      </w:r>
    </w:p>
    <w:p w14:paraId="2FED1A1A" w14:textId="360F2CF0" w:rsidR="001240C8" w:rsidRDefault="001240C8" w:rsidP="00DF11CA">
      <w:pPr>
        <w:jc w:val="both"/>
        <w:rPr>
          <w:rFonts w:asciiTheme="majorHAnsi" w:hAnsiTheme="majorHAnsi" w:cstheme="majorHAnsi"/>
        </w:rPr>
      </w:pPr>
    </w:p>
    <w:p w14:paraId="7FB6CE58" w14:textId="3E2F7B36" w:rsidR="001240C8" w:rsidRDefault="00AF024D" w:rsidP="00DF11CA">
      <w:pPr>
        <w:jc w:val="both"/>
        <w:rPr>
          <w:rFonts w:asciiTheme="majorHAnsi" w:hAnsiTheme="majorHAnsi" w:cstheme="majorHAnsi"/>
        </w:rPr>
      </w:pPr>
      <w:r>
        <w:rPr>
          <w:rFonts w:asciiTheme="majorHAnsi" w:hAnsiTheme="majorHAnsi" w:cstheme="majorHAnsi"/>
        </w:rPr>
        <w:t xml:space="preserve">Standard of care is that of the reasonable person, it would need to be established that the claimant failed to recognise that </w:t>
      </w:r>
      <w:r>
        <w:rPr>
          <w:rFonts w:asciiTheme="majorHAnsi" w:hAnsiTheme="majorHAnsi" w:cstheme="majorHAnsi"/>
        </w:rPr>
        <w:t xml:space="preserve">they had jeopardised their safety if this had been obvious to the ordinary person. There are situations where the court will apply a different standard of care to that of a reasonable person as the general standard of care of a reasonable person would not </w:t>
      </w:r>
      <w:r>
        <w:rPr>
          <w:rFonts w:asciiTheme="majorHAnsi" w:hAnsiTheme="majorHAnsi" w:cstheme="majorHAnsi"/>
        </w:rPr>
        <w:t>be suitable these are where the defendant has a particular skill or profession, where the defendant has a particular lack of skill if the defendant is a child and where the defendant is competing in or watching a sporting event (Finch and Fafinski, 2021).</w:t>
      </w:r>
    </w:p>
    <w:p w14:paraId="09495650" w14:textId="5D80F056" w:rsidR="00B74E6A" w:rsidRDefault="00B74E6A" w:rsidP="00DF11CA">
      <w:pPr>
        <w:jc w:val="both"/>
        <w:rPr>
          <w:rFonts w:asciiTheme="majorHAnsi" w:hAnsiTheme="majorHAnsi" w:cstheme="majorHAnsi"/>
        </w:rPr>
      </w:pPr>
    </w:p>
    <w:p w14:paraId="27E7AE94" w14:textId="24625F02" w:rsidR="00E31BDE" w:rsidRDefault="00AF024D" w:rsidP="00DF11CA">
      <w:pPr>
        <w:jc w:val="both"/>
        <w:rPr>
          <w:rFonts w:asciiTheme="majorHAnsi" w:hAnsiTheme="majorHAnsi" w:cstheme="majorHAnsi"/>
        </w:rPr>
      </w:pPr>
      <w:r>
        <w:rPr>
          <w:rFonts w:asciiTheme="majorHAnsi" w:hAnsiTheme="majorHAnsi" w:cstheme="majorHAnsi"/>
        </w:rPr>
        <w:t xml:space="preserve">To discuss the standard of care in negligence it is important to understand where the </w:t>
      </w:r>
      <w:r w:rsidR="00484062">
        <w:rPr>
          <w:rFonts w:asciiTheme="majorHAnsi" w:hAnsiTheme="majorHAnsi" w:cstheme="majorHAnsi"/>
        </w:rPr>
        <w:t>relevant standard of care lies to</w:t>
      </w:r>
      <w:r>
        <w:rPr>
          <w:rFonts w:asciiTheme="majorHAnsi" w:hAnsiTheme="majorHAnsi" w:cstheme="majorHAnsi"/>
        </w:rPr>
        <w:t xml:space="preserve"> establish if </w:t>
      </w:r>
      <w:r w:rsidR="00484062">
        <w:rPr>
          <w:rFonts w:asciiTheme="majorHAnsi" w:hAnsiTheme="majorHAnsi" w:cstheme="majorHAnsi"/>
        </w:rPr>
        <w:t>an individual has been negligent</w:t>
      </w:r>
      <w:r>
        <w:rPr>
          <w:rFonts w:asciiTheme="majorHAnsi" w:hAnsiTheme="majorHAnsi" w:cstheme="majorHAnsi"/>
        </w:rPr>
        <w:t xml:space="preserve">. </w:t>
      </w:r>
    </w:p>
    <w:p w14:paraId="58CFDCD0" w14:textId="77777777" w:rsidR="00E31BDE" w:rsidRDefault="00E31BDE" w:rsidP="00DF11CA">
      <w:pPr>
        <w:jc w:val="both"/>
        <w:rPr>
          <w:rFonts w:asciiTheme="majorHAnsi" w:hAnsiTheme="majorHAnsi" w:cstheme="majorHAnsi"/>
        </w:rPr>
      </w:pPr>
    </w:p>
    <w:p w14:paraId="5E362C32" w14:textId="4687F406" w:rsidR="00B74E6A" w:rsidRDefault="00AF024D" w:rsidP="00DF11CA">
      <w:pPr>
        <w:jc w:val="both"/>
        <w:rPr>
          <w:rFonts w:asciiTheme="majorHAnsi" w:hAnsiTheme="majorHAnsi" w:cstheme="majorHAnsi"/>
        </w:rPr>
      </w:pPr>
      <w:r>
        <w:rPr>
          <w:rFonts w:asciiTheme="majorHAnsi" w:hAnsiTheme="majorHAnsi" w:cstheme="majorHAnsi"/>
        </w:rPr>
        <w:t xml:space="preserve">There are straightforward examples of </w:t>
      </w:r>
      <w:r w:rsidR="00484062">
        <w:rPr>
          <w:rFonts w:asciiTheme="majorHAnsi" w:hAnsiTheme="majorHAnsi" w:cstheme="majorHAnsi"/>
        </w:rPr>
        <w:t>an expected standard</w:t>
      </w:r>
      <w:r>
        <w:rPr>
          <w:rFonts w:asciiTheme="majorHAnsi" w:hAnsiTheme="majorHAnsi" w:cstheme="majorHAnsi"/>
        </w:rPr>
        <w:t xml:space="preserve"> of care within professional</w:t>
      </w:r>
      <w:r>
        <w:rPr>
          <w:rFonts w:asciiTheme="majorHAnsi" w:hAnsiTheme="majorHAnsi" w:cstheme="majorHAnsi"/>
        </w:rPr>
        <w:t xml:space="preserve"> relationships such as Doctor to a patient, teacher to student and employer to an employee, for example, not to forget societal relationships such as road user to other road user, occupiers of premises to visitors</w:t>
      </w:r>
      <w:r w:rsidR="00E31BDE">
        <w:rPr>
          <w:rFonts w:asciiTheme="majorHAnsi" w:hAnsiTheme="majorHAnsi" w:cstheme="majorHAnsi"/>
        </w:rPr>
        <w:t xml:space="preserve"> and so on. </w:t>
      </w:r>
      <w:r>
        <w:rPr>
          <w:rFonts w:asciiTheme="majorHAnsi" w:hAnsiTheme="majorHAnsi" w:cstheme="majorHAnsi"/>
        </w:rPr>
        <w:t xml:space="preserve"> </w:t>
      </w:r>
    </w:p>
    <w:p w14:paraId="79ACD2B5" w14:textId="761C6FDF" w:rsidR="009613E6" w:rsidRDefault="009613E6" w:rsidP="00DF11CA">
      <w:pPr>
        <w:jc w:val="both"/>
        <w:rPr>
          <w:rFonts w:asciiTheme="majorHAnsi" w:hAnsiTheme="majorHAnsi" w:cstheme="majorHAnsi"/>
        </w:rPr>
      </w:pPr>
    </w:p>
    <w:p w14:paraId="105845C0" w14:textId="77777777" w:rsidR="00A26C54" w:rsidRDefault="00AF024D" w:rsidP="00DF11CA">
      <w:pPr>
        <w:jc w:val="both"/>
        <w:rPr>
          <w:rFonts w:asciiTheme="majorHAnsi" w:hAnsiTheme="majorHAnsi" w:cstheme="majorHAnsi"/>
        </w:rPr>
      </w:pPr>
      <w:r>
        <w:rPr>
          <w:rFonts w:asciiTheme="majorHAnsi" w:hAnsiTheme="majorHAnsi" w:cstheme="majorHAnsi"/>
        </w:rPr>
        <w:t>The aspect of the injury or harm being reasonably foreseeable plays a big part in most negligence cases as it deems that unless the harm was reasonably foreseeable then no duty of care is owed, an important case to discuss would be Roe v Minister of Health</w:t>
      </w:r>
      <w:r>
        <w:rPr>
          <w:rFonts w:asciiTheme="majorHAnsi" w:hAnsiTheme="majorHAnsi" w:cstheme="majorHAnsi"/>
        </w:rPr>
        <w:t xml:space="preserve"> (1954) the cracks in the </w:t>
      </w:r>
      <w:r w:rsidR="005A2A29">
        <w:rPr>
          <w:rFonts w:asciiTheme="majorHAnsi" w:hAnsiTheme="majorHAnsi" w:cstheme="majorHAnsi"/>
        </w:rPr>
        <w:t>ampoules</w:t>
      </w:r>
      <w:r>
        <w:rPr>
          <w:rFonts w:asciiTheme="majorHAnsi" w:hAnsiTheme="majorHAnsi" w:cstheme="majorHAnsi"/>
        </w:rPr>
        <w:t xml:space="preserve"> couldn’t be seen by the naked eye and the solution that had contaminated the </w:t>
      </w:r>
      <w:r w:rsidR="005A2A29">
        <w:rPr>
          <w:rFonts w:asciiTheme="majorHAnsi" w:hAnsiTheme="majorHAnsi" w:cstheme="majorHAnsi"/>
        </w:rPr>
        <w:t>anaesthetic</w:t>
      </w:r>
      <w:r>
        <w:rPr>
          <w:rFonts w:asciiTheme="majorHAnsi" w:hAnsiTheme="majorHAnsi" w:cstheme="majorHAnsi"/>
        </w:rPr>
        <w:t xml:space="preserve"> which rendered the patients paralyzed</w:t>
      </w:r>
      <w:r w:rsidR="005A2A29">
        <w:rPr>
          <w:rFonts w:asciiTheme="majorHAnsi" w:hAnsiTheme="majorHAnsi" w:cstheme="majorHAnsi"/>
        </w:rPr>
        <w:t>. There are two key elements to discuss with this case firstly the cracks couldn’t have been seen by the practitioner and secondly, it was unknown that the solution that contaminated the anaesthetic was harmful therefore it the harm to the claimants couldn't have been foreseen.</w:t>
      </w:r>
      <w:r>
        <w:rPr>
          <w:rFonts w:asciiTheme="majorHAnsi" w:hAnsiTheme="majorHAnsi" w:cstheme="majorHAnsi"/>
        </w:rPr>
        <w:t xml:space="preserve"> </w:t>
      </w:r>
    </w:p>
    <w:p w14:paraId="1D5E591B" w14:textId="77777777" w:rsidR="00A26C54" w:rsidRDefault="00A26C54" w:rsidP="00DF11CA">
      <w:pPr>
        <w:jc w:val="both"/>
        <w:rPr>
          <w:rFonts w:asciiTheme="majorHAnsi" w:hAnsiTheme="majorHAnsi" w:cstheme="majorHAnsi"/>
        </w:rPr>
      </w:pPr>
    </w:p>
    <w:p w14:paraId="47D651FA" w14:textId="478D2093" w:rsidR="00744F54" w:rsidRDefault="00AF024D" w:rsidP="00DF11CA">
      <w:pPr>
        <w:jc w:val="both"/>
        <w:rPr>
          <w:rFonts w:asciiTheme="majorHAnsi" w:hAnsiTheme="majorHAnsi" w:cstheme="majorHAnsi"/>
        </w:rPr>
      </w:pPr>
      <w:r>
        <w:rPr>
          <w:rFonts w:asciiTheme="majorHAnsi" w:hAnsiTheme="majorHAnsi" w:cstheme="majorHAnsi"/>
        </w:rPr>
        <w:t xml:space="preserve">This case supports the fact that the standard of care is objective as </w:t>
      </w:r>
      <w:r>
        <w:rPr>
          <w:rFonts w:asciiTheme="majorHAnsi" w:hAnsiTheme="majorHAnsi" w:cstheme="majorHAnsi"/>
        </w:rPr>
        <w:t xml:space="preserve">there would be no breach of duty for failing to take steps to avoid risks that could not have been reasonably foreseen at the date of the incident. </w:t>
      </w:r>
    </w:p>
    <w:p w14:paraId="38502635" w14:textId="75D68ADB" w:rsidR="007E1804" w:rsidRDefault="007E1804" w:rsidP="00DF11CA">
      <w:pPr>
        <w:jc w:val="both"/>
        <w:rPr>
          <w:rFonts w:asciiTheme="majorHAnsi" w:hAnsiTheme="majorHAnsi" w:cstheme="majorHAnsi"/>
        </w:rPr>
      </w:pPr>
    </w:p>
    <w:p w14:paraId="63A9527E" w14:textId="7B809907" w:rsidR="00C93521" w:rsidRDefault="00AF024D" w:rsidP="00DF11CA">
      <w:pPr>
        <w:jc w:val="both"/>
        <w:rPr>
          <w:rFonts w:asciiTheme="majorHAnsi" w:hAnsiTheme="majorHAnsi" w:cstheme="majorHAnsi"/>
        </w:rPr>
      </w:pPr>
      <w:r>
        <w:rPr>
          <w:rFonts w:asciiTheme="majorHAnsi" w:hAnsiTheme="majorHAnsi" w:cstheme="majorHAnsi"/>
        </w:rPr>
        <w:t xml:space="preserve">The objective test is would a reasonable person in the </w:t>
      </w:r>
      <w:r w:rsidR="000A27CB">
        <w:rPr>
          <w:rFonts w:asciiTheme="majorHAnsi" w:hAnsiTheme="majorHAnsi" w:cstheme="majorHAnsi"/>
        </w:rPr>
        <w:t>defendants’</w:t>
      </w:r>
      <w:r>
        <w:rPr>
          <w:rFonts w:asciiTheme="majorHAnsi" w:hAnsiTheme="majorHAnsi" w:cstheme="majorHAnsi"/>
        </w:rPr>
        <w:t xml:space="preserve"> position have foreseen that the claiman</w:t>
      </w:r>
      <w:r>
        <w:rPr>
          <w:rFonts w:asciiTheme="majorHAnsi" w:hAnsiTheme="majorHAnsi" w:cstheme="majorHAnsi"/>
        </w:rPr>
        <w:t xml:space="preserve">t might be </w:t>
      </w:r>
      <w:r w:rsidR="000A27CB">
        <w:rPr>
          <w:rFonts w:asciiTheme="majorHAnsi" w:hAnsiTheme="majorHAnsi" w:cstheme="majorHAnsi"/>
        </w:rPr>
        <w:t>injured</w:t>
      </w:r>
      <w:r>
        <w:rPr>
          <w:rFonts w:asciiTheme="majorHAnsi" w:hAnsiTheme="majorHAnsi" w:cstheme="majorHAnsi"/>
        </w:rPr>
        <w:t xml:space="preserve"> or harmed if it is not reasonably foreseeable then no duty of care is </w:t>
      </w:r>
      <w:r w:rsidR="000A27CB">
        <w:rPr>
          <w:rFonts w:asciiTheme="majorHAnsi" w:hAnsiTheme="majorHAnsi" w:cstheme="majorHAnsi"/>
        </w:rPr>
        <w:t>owed, Smith &amp; others v Littlewoods Organisation LTD (1987).</w:t>
      </w:r>
    </w:p>
    <w:p w14:paraId="6CA09DEF" w14:textId="71E6189E" w:rsidR="00C93521" w:rsidRDefault="00C93521" w:rsidP="00DF11CA">
      <w:pPr>
        <w:jc w:val="both"/>
        <w:rPr>
          <w:rFonts w:asciiTheme="majorHAnsi" w:hAnsiTheme="majorHAnsi" w:cstheme="majorHAnsi"/>
        </w:rPr>
      </w:pPr>
    </w:p>
    <w:p w14:paraId="234B575E" w14:textId="0E217EFE" w:rsidR="00024B32" w:rsidRDefault="00AF024D" w:rsidP="00DF11CA">
      <w:pPr>
        <w:jc w:val="both"/>
        <w:rPr>
          <w:rFonts w:asciiTheme="majorHAnsi" w:hAnsiTheme="majorHAnsi" w:cstheme="majorHAnsi"/>
        </w:rPr>
      </w:pPr>
      <w:r>
        <w:rPr>
          <w:rFonts w:asciiTheme="majorHAnsi" w:hAnsiTheme="majorHAnsi" w:cstheme="majorHAnsi"/>
        </w:rPr>
        <w:t>Following the case of Smith v Littlewoods Organisation (1987), the House of Lords stated that the existenc</w:t>
      </w:r>
      <w:r>
        <w:rPr>
          <w:rFonts w:asciiTheme="majorHAnsi" w:hAnsiTheme="majorHAnsi" w:cstheme="majorHAnsi"/>
        </w:rPr>
        <w:t xml:space="preserve">e of a duty of care in cases like this is circumstantial. </w:t>
      </w:r>
    </w:p>
    <w:p w14:paraId="37A72A3B" w14:textId="184E60F8" w:rsidR="00637A04" w:rsidRDefault="00637A04" w:rsidP="00DF11CA">
      <w:pPr>
        <w:jc w:val="both"/>
        <w:rPr>
          <w:rFonts w:asciiTheme="majorHAnsi" w:hAnsiTheme="majorHAnsi" w:cstheme="majorHAnsi"/>
        </w:rPr>
      </w:pPr>
    </w:p>
    <w:p w14:paraId="11EACB82" w14:textId="2583CD4D" w:rsidR="00637A04" w:rsidRDefault="00AF024D" w:rsidP="00DF11CA">
      <w:pPr>
        <w:jc w:val="both"/>
        <w:rPr>
          <w:rFonts w:asciiTheme="majorHAnsi" w:hAnsiTheme="majorHAnsi" w:cstheme="majorHAnsi"/>
        </w:rPr>
      </w:pPr>
      <w:r>
        <w:rPr>
          <w:rFonts w:asciiTheme="majorHAnsi" w:hAnsiTheme="majorHAnsi" w:cstheme="majorHAnsi"/>
        </w:rPr>
        <w:t xml:space="preserve">The standard of care in negligence is </w:t>
      </w:r>
      <w:r w:rsidR="00A26C54">
        <w:rPr>
          <w:rFonts w:asciiTheme="majorHAnsi" w:hAnsiTheme="majorHAnsi" w:cstheme="majorHAnsi"/>
        </w:rPr>
        <w:t>usually an</w:t>
      </w:r>
      <w:r>
        <w:rPr>
          <w:rFonts w:asciiTheme="majorHAnsi" w:hAnsiTheme="majorHAnsi" w:cstheme="majorHAnsi"/>
        </w:rPr>
        <w:t xml:space="preserve"> objective test</w:t>
      </w:r>
      <w:r w:rsidR="00A26C54">
        <w:rPr>
          <w:rFonts w:asciiTheme="majorHAnsi" w:hAnsiTheme="majorHAnsi" w:cstheme="majorHAnsi"/>
        </w:rPr>
        <w:t xml:space="preserve"> as it does not consider certain personal characteristics such as learner drivers or junior doctors.</w:t>
      </w:r>
      <w:r>
        <w:rPr>
          <w:rFonts w:asciiTheme="majorHAnsi" w:hAnsiTheme="majorHAnsi" w:cstheme="majorHAnsi"/>
        </w:rPr>
        <w:t xml:space="preserve"> </w:t>
      </w:r>
      <w:r w:rsidR="00A26C54">
        <w:rPr>
          <w:rFonts w:asciiTheme="majorHAnsi" w:hAnsiTheme="majorHAnsi" w:cstheme="majorHAnsi"/>
        </w:rPr>
        <w:t xml:space="preserve">The </w:t>
      </w:r>
      <w:r>
        <w:rPr>
          <w:rFonts w:asciiTheme="majorHAnsi" w:hAnsiTheme="majorHAnsi" w:cstheme="majorHAnsi"/>
        </w:rPr>
        <w:t>defendant will be judged aga</w:t>
      </w:r>
      <w:r>
        <w:rPr>
          <w:rFonts w:asciiTheme="majorHAnsi" w:hAnsiTheme="majorHAnsi" w:cstheme="majorHAnsi"/>
        </w:rPr>
        <w:t>inst the standards of a reasonable person, the case of Hall v Brooklands (1933</w:t>
      </w:r>
      <w:r w:rsidR="00A26C54">
        <w:rPr>
          <w:rFonts w:asciiTheme="majorHAnsi" w:hAnsiTheme="majorHAnsi" w:cstheme="majorHAnsi"/>
        </w:rPr>
        <w:t>) defined</w:t>
      </w:r>
      <w:r>
        <w:rPr>
          <w:rFonts w:asciiTheme="majorHAnsi" w:hAnsiTheme="majorHAnsi" w:cstheme="majorHAnsi"/>
        </w:rPr>
        <w:t xml:space="preserve"> the reasonable person as, 'the man in the street', or 'the man on the Clapham omnibus' or 'the man who takes the magazines home, and in the </w:t>
      </w:r>
      <w:r>
        <w:rPr>
          <w:rFonts w:asciiTheme="majorHAnsi" w:hAnsiTheme="majorHAnsi" w:cstheme="majorHAnsi"/>
        </w:rPr>
        <w:lastRenderedPageBreak/>
        <w:t>evening pushes the lawnmower</w:t>
      </w:r>
      <w:r>
        <w:rPr>
          <w:rFonts w:asciiTheme="majorHAnsi" w:hAnsiTheme="majorHAnsi" w:cstheme="majorHAnsi"/>
        </w:rPr>
        <w:t xml:space="preserve"> in his </w:t>
      </w:r>
      <w:r w:rsidR="00A26C54">
        <w:rPr>
          <w:rFonts w:asciiTheme="majorHAnsi" w:hAnsiTheme="majorHAnsi" w:cstheme="majorHAnsi"/>
        </w:rPr>
        <w:t>shirtsleeves</w:t>
      </w:r>
      <w:r>
        <w:rPr>
          <w:rFonts w:asciiTheme="majorHAnsi" w:hAnsiTheme="majorHAnsi" w:cstheme="majorHAnsi"/>
        </w:rPr>
        <w:t>; in short defining the reasonable person as average (Hall v Brooklands, (1933)).</w:t>
      </w:r>
    </w:p>
    <w:p w14:paraId="4C67DB8A" w14:textId="475E0B6F" w:rsidR="00484062" w:rsidRDefault="00484062" w:rsidP="00DF11CA">
      <w:pPr>
        <w:jc w:val="both"/>
        <w:rPr>
          <w:rFonts w:asciiTheme="majorHAnsi" w:hAnsiTheme="majorHAnsi" w:cstheme="majorHAnsi"/>
        </w:rPr>
      </w:pPr>
    </w:p>
    <w:p w14:paraId="7DE9740B" w14:textId="5262A6A9" w:rsidR="00484062" w:rsidRDefault="00AF024D" w:rsidP="00DF11CA">
      <w:pPr>
        <w:jc w:val="both"/>
        <w:rPr>
          <w:rFonts w:asciiTheme="majorHAnsi" w:hAnsiTheme="majorHAnsi" w:cstheme="majorHAnsi"/>
        </w:rPr>
      </w:pPr>
      <w:r>
        <w:rPr>
          <w:rFonts w:asciiTheme="majorHAnsi" w:hAnsiTheme="majorHAnsi" w:cstheme="majorHAnsi"/>
        </w:rPr>
        <w:t>The objective approach within the standard of care is usually preferred despite the objective test not being catered to fit the individual qualities of t</w:t>
      </w:r>
      <w:r>
        <w:rPr>
          <w:rFonts w:asciiTheme="majorHAnsi" w:hAnsiTheme="majorHAnsi" w:cstheme="majorHAnsi"/>
        </w:rPr>
        <w:t xml:space="preserve">he defendant, where negligence is focused on a relevant standard it doesn't necessarily involve actions that would blame an individual defendant (Steele, 2017). </w:t>
      </w:r>
    </w:p>
    <w:p w14:paraId="64982BD8" w14:textId="1C70D1DD" w:rsidR="007757C0" w:rsidRDefault="007757C0" w:rsidP="00DF11CA">
      <w:pPr>
        <w:jc w:val="both"/>
        <w:rPr>
          <w:rFonts w:asciiTheme="majorHAnsi" w:hAnsiTheme="majorHAnsi" w:cstheme="majorHAnsi"/>
        </w:rPr>
      </w:pPr>
    </w:p>
    <w:p w14:paraId="2F2FDD09" w14:textId="50AFC3A5" w:rsidR="007757C0" w:rsidRDefault="00AF024D" w:rsidP="00DF11CA">
      <w:pPr>
        <w:jc w:val="both"/>
        <w:rPr>
          <w:rFonts w:asciiTheme="majorHAnsi" w:hAnsiTheme="majorHAnsi" w:cstheme="majorHAnsi"/>
        </w:rPr>
      </w:pPr>
      <w:r>
        <w:rPr>
          <w:rFonts w:asciiTheme="majorHAnsi" w:hAnsiTheme="majorHAnsi" w:cstheme="majorHAnsi"/>
        </w:rPr>
        <w:t xml:space="preserve">Some subjective elements can determine the reasonable person, </w:t>
      </w:r>
      <w:r w:rsidR="00C50D8B">
        <w:rPr>
          <w:rFonts w:asciiTheme="majorHAnsi" w:hAnsiTheme="majorHAnsi" w:cstheme="majorHAnsi"/>
        </w:rPr>
        <w:t>in</w:t>
      </w:r>
      <w:r w:rsidR="00790F4E">
        <w:rPr>
          <w:rFonts w:asciiTheme="majorHAnsi" w:hAnsiTheme="majorHAnsi" w:cstheme="majorHAnsi"/>
        </w:rPr>
        <w:t xml:space="preserve"> situations where the defendant is a professional or has a special skill the courts will apply a different standard of care </w:t>
      </w:r>
      <w:r w:rsidR="00994C25">
        <w:rPr>
          <w:rFonts w:asciiTheme="majorHAnsi" w:hAnsiTheme="majorHAnsi" w:cstheme="majorHAnsi"/>
        </w:rPr>
        <w:t xml:space="preserve">to that of the reasonable person as it would not be suitable, they would apply the standard of a reasonable person with a particular skill or expertise. This test was established in Bolan v Friern Hospital Management Committee (1957). </w:t>
      </w:r>
    </w:p>
    <w:p w14:paraId="01F176C6" w14:textId="276637A3" w:rsidR="00D46D8C" w:rsidRDefault="00D46D8C" w:rsidP="00DF11CA">
      <w:pPr>
        <w:jc w:val="both"/>
        <w:rPr>
          <w:rFonts w:asciiTheme="majorHAnsi" w:hAnsiTheme="majorHAnsi" w:cstheme="majorHAnsi"/>
        </w:rPr>
      </w:pPr>
    </w:p>
    <w:p w14:paraId="17713A6B" w14:textId="67B3BBAC" w:rsidR="00D46D8C" w:rsidRDefault="00AF024D" w:rsidP="00DF11CA">
      <w:pPr>
        <w:jc w:val="both"/>
        <w:rPr>
          <w:rFonts w:asciiTheme="majorHAnsi" w:hAnsiTheme="majorHAnsi" w:cstheme="majorHAnsi"/>
        </w:rPr>
      </w:pPr>
      <w:r>
        <w:rPr>
          <w:rFonts w:asciiTheme="majorHAnsi" w:hAnsiTheme="majorHAnsi" w:cstheme="majorHAnsi"/>
        </w:rPr>
        <w:t xml:space="preserve">The Bolan test has received some criticism stating it is too protective of defendants, particularly in the medical profession. It has been routinely applied in medical negligence cases as critics claim </w:t>
      </w:r>
      <w:r w:rsidR="007D3AC3">
        <w:rPr>
          <w:rFonts w:asciiTheme="majorHAnsi" w:hAnsiTheme="majorHAnsi" w:cstheme="majorHAnsi"/>
        </w:rPr>
        <w:t xml:space="preserve">it can permit a doctor to escape liability if there is a ‘responsible body of medical opinion’. The logic of this approach remains largely unchallenged as judges are not medical experts. It is argued that because of </w:t>
      </w:r>
      <w:r w:rsidR="002C47EC">
        <w:rPr>
          <w:rFonts w:asciiTheme="majorHAnsi" w:hAnsiTheme="majorHAnsi" w:cstheme="majorHAnsi"/>
        </w:rPr>
        <w:t>this patient</w:t>
      </w:r>
      <w:r w:rsidR="007D3AC3">
        <w:rPr>
          <w:rFonts w:asciiTheme="majorHAnsi" w:hAnsiTheme="majorHAnsi" w:cstheme="majorHAnsi"/>
        </w:rPr>
        <w:t xml:space="preserve">s that suffer medical injury due to medical 'mishaps' have a very little chance of establishing negligence (Harpwood, 1996). </w:t>
      </w:r>
    </w:p>
    <w:p w14:paraId="5311AF6B" w14:textId="68836E24" w:rsidR="00814A27" w:rsidRDefault="00814A27" w:rsidP="00DF11CA">
      <w:pPr>
        <w:jc w:val="both"/>
        <w:rPr>
          <w:rFonts w:asciiTheme="majorHAnsi" w:hAnsiTheme="majorHAnsi" w:cstheme="majorHAnsi"/>
        </w:rPr>
      </w:pPr>
    </w:p>
    <w:p w14:paraId="152545DB" w14:textId="56A21FC8" w:rsidR="00814A27" w:rsidRDefault="00AF024D" w:rsidP="00DF11CA">
      <w:pPr>
        <w:jc w:val="both"/>
        <w:rPr>
          <w:rFonts w:asciiTheme="majorHAnsi" w:hAnsiTheme="majorHAnsi" w:cstheme="majorHAnsi"/>
        </w:rPr>
      </w:pPr>
      <w:r>
        <w:rPr>
          <w:rFonts w:asciiTheme="majorHAnsi" w:hAnsiTheme="majorHAnsi" w:cstheme="majorHAnsi"/>
        </w:rPr>
        <w:t xml:space="preserve">The test is the standard of the ordinary skilled man exercising and professing to have that special skill. This </w:t>
      </w:r>
      <w:r w:rsidR="007266F5">
        <w:rPr>
          <w:rFonts w:asciiTheme="majorHAnsi" w:hAnsiTheme="majorHAnsi" w:cstheme="majorHAnsi"/>
        </w:rPr>
        <w:t>b</w:t>
      </w:r>
      <w:r>
        <w:rPr>
          <w:rFonts w:asciiTheme="majorHAnsi" w:hAnsiTheme="majorHAnsi" w:cstheme="majorHAnsi"/>
        </w:rPr>
        <w:t xml:space="preserve">road determination of that of a skilled person is vague and can in some cases </w:t>
      </w:r>
      <w:r w:rsidR="007266F5">
        <w:rPr>
          <w:rFonts w:asciiTheme="majorHAnsi" w:hAnsiTheme="majorHAnsi" w:cstheme="majorHAnsi"/>
        </w:rPr>
        <w:t xml:space="preserve">be </w:t>
      </w:r>
      <w:r>
        <w:rPr>
          <w:rFonts w:asciiTheme="majorHAnsi" w:hAnsiTheme="majorHAnsi" w:cstheme="majorHAnsi"/>
        </w:rPr>
        <w:t>unfair to the def</w:t>
      </w:r>
      <w:r>
        <w:rPr>
          <w:rFonts w:asciiTheme="majorHAnsi" w:hAnsiTheme="majorHAnsi" w:cstheme="majorHAnsi"/>
        </w:rPr>
        <w:t xml:space="preserve">endant as can be seen in the case of Nettleship v Weston (1971). </w:t>
      </w:r>
    </w:p>
    <w:p w14:paraId="649D3007" w14:textId="15984DA3" w:rsidR="007266F5" w:rsidRDefault="007266F5" w:rsidP="00DF11CA">
      <w:pPr>
        <w:jc w:val="both"/>
        <w:rPr>
          <w:rFonts w:asciiTheme="majorHAnsi" w:hAnsiTheme="majorHAnsi" w:cstheme="majorHAnsi"/>
        </w:rPr>
      </w:pPr>
    </w:p>
    <w:p w14:paraId="0EE73425" w14:textId="121F26EE" w:rsidR="007266F5" w:rsidRDefault="00AF024D" w:rsidP="00DF11CA">
      <w:pPr>
        <w:jc w:val="both"/>
        <w:rPr>
          <w:rFonts w:asciiTheme="majorHAnsi" w:hAnsiTheme="majorHAnsi" w:cstheme="majorHAnsi"/>
        </w:rPr>
      </w:pPr>
      <w:r>
        <w:rPr>
          <w:rFonts w:asciiTheme="majorHAnsi" w:hAnsiTheme="majorHAnsi" w:cstheme="majorHAnsi"/>
        </w:rPr>
        <w:t xml:space="preserve">The ruling of this case held a learner driver to the same standard as that of an experienced or reasonably competent driver, the same principle is applied to junior doctors. </w:t>
      </w:r>
      <w:r w:rsidR="002C47EC">
        <w:rPr>
          <w:rFonts w:asciiTheme="majorHAnsi" w:hAnsiTheme="majorHAnsi" w:cstheme="majorHAnsi"/>
        </w:rPr>
        <w:t xml:space="preserve">Contrary to the criticisms the Bolan test faces </w:t>
      </w:r>
      <w:r>
        <w:rPr>
          <w:rFonts w:asciiTheme="majorHAnsi" w:hAnsiTheme="majorHAnsi" w:cstheme="majorHAnsi"/>
        </w:rPr>
        <w:t>Junior doctors are held to the same standard as reasonably competent doctor</w:t>
      </w:r>
      <w:r w:rsidR="004B418B">
        <w:rPr>
          <w:rFonts w:asciiTheme="majorHAnsi" w:hAnsiTheme="majorHAnsi" w:cstheme="majorHAnsi"/>
        </w:rPr>
        <w:t xml:space="preserve">s as in the case of </w:t>
      </w:r>
      <w:r>
        <w:rPr>
          <w:rFonts w:asciiTheme="majorHAnsi" w:hAnsiTheme="majorHAnsi" w:cstheme="majorHAnsi"/>
        </w:rPr>
        <w:t>Wilsher v Essex Area Health Authority (1987).</w:t>
      </w:r>
    </w:p>
    <w:p w14:paraId="35E186BC" w14:textId="27FAA78D" w:rsidR="00C5289B" w:rsidRDefault="00C5289B" w:rsidP="00DF11CA">
      <w:pPr>
        <w:jc w:val="both"/>
        <w:rPr>
          <w:rFonts w:asciiTheme="majorHAnsi" w:hAnsiTheme="majorHAnsi" w:cstheme="majorHAnsi"/>
        </w:rPr>
      </w:pPr>
    </w:p>
    <w:p w14:paraId="55FA8A1D" w14:textId="12B51368" w:rsidR="00C5289B" w:rsidRDefault="00AF024D" w:rsidP="00DF11CA">
      <w:pPr>
        <w:jc w:val="both"/>
        <w:rPr>
          <w:rFonts w:asciiTheme="majorHAnsi" w:hAnsiTheme="majorHAnsi" w:cstheme="majorHAnsi"/>
        </w:rPr>
      </w:pPr>
      <w:r>
        <w:rPr>
          <w:rFonts w:asciiTheme="majorHAnsi" w:hAnsiTheme="majorHAnsi" w:cstheme="majorHAnsi"/>
        </w:rPr>
        <w:t>When taking into consideration the above cases it is important to look at the cas</w:t>
      </w:r>
      <w:r>
        <w:rPr>
          <w:rFonts w:asciiTheme="majorHAnsi" w:hAnsiTheme="majorHAnsi" w:cstheme="majorHAnsi"/>
        </w:rPr>
        <w:t xml:space="preserve">e of Mansfield v Weetabix (1997), in this case, a driver who was suffering from a malignant insulinoma which cause him to be in a hyperglycaemic state that he was unaware of and crashed his lorry into the </w:t>
      </w:r>
      <w:r w:rsidR="00744F54">
        <w:rPr>
          <w:rFonts w:asciiTheme="majorHAnsi" w:hAnsiTheme="majorHAnsi" w:cstheme="majorHAnsi"/>
        </w:rPr>
        <w:t>claimant’s</w:t>
      </w:r>
      <w:r>
        <w:rPr>
          <w:rFonts w:asciiTheme="majorHAnsi" w:hAnsiTheme="majorHAnsi" w:cstheme="majorHAnsi"/>
        </w:rPr>
        <w:t xml:space="preserve"> shop</w:t>
      </w:r>
      <w:r w:rsidR="00744F54">
        <w:rPr>
          <w:rFonts w:asciiTheme="majorHAnsi" w:hAnsiTheme="majorHAnsi" w:cstheme="majorHAnsi"/>
        </w:rPr>
        <w:t>;</w:t>
      </w:r>
      <w:r>
        <w:rPr>
          <w:rFonts w:asciiTheme="majorHAnsi" w:hAnsiTheme="majorHAnsi" w:cstheme="majorHAnsi"/>
        </w:rPr>
        <w:t xml:space="preserve"> the </w:t>
      </w:r>
      <w:r w:rsidR="00744F54">
        <w:rPr>
          <w:rFonts w:asciiTheme="majorHAnsi" w:hAnsiTheme="majorHAnsi" w:cstheme="majorHAnsi"/>
        </w:rPr>
        <w:t>ruling</w:t>
      </w:r>
      <w:r>
        <w:rPr>
          <w:rFonts w:asciiTheme="majorHAnsi" w:hAnsiTheme="majorHAnsi" w:cstheme="majorHAnsi"/>
        </w:rPr>
        <w:t xml:space="preserve"> on this case was that h</w:t>
      </w:r>
      <w:r>
        <w:rPr>
          <w:rFonts w:asciiTheme="majorHAnsi" w:hAnsiTheme="majorHAnsi" w:cstheme="majorHAnsi"/>
        </w:rPr>
        <w:t xml:space="preserve">e was not in breach of duty despite him being involved in two minor car incidents earlier that day. When </w:t>
      </w:r>
      <w:r w:rsidR="00744F54">
        <w:rPr>
          <w:rFonts w:asciiTheme="majorHAnsi" w:hAnsiTheme="majorHAnsi" w:cstheme="majorHAnsi"/>
        </w:rPr>
        <w:t>comparing the duty of care expected in this case to that expected from a learner driver and of a junior doctor it is arguably confusing and unfair.</w:t>
      </w:r>
    </w:p>
    <w:p w14:paraId="28A93315" w14:textId="7E1969B1" w:rsidR="00C50D8B" w:rsidRDefault="00C50D8B" w:rsidP="00DF11CA">
      <w:pPr>
        <w:jc w:val="both"/>
        <w:rPr>
          <w:rFonts w:asciiTheme="majorHAnsi" w:hAnsiTheme="majorHAnsi" w:cstheme="majorHAnsi"/>
        </w:rPr>
      </w:pPr>
    </w:p>
    <w:p w14:paraId="162E212F" w14:textId="3CF2EF9E" w:rsidR="003920F9" w:rsidRDefault="00AF024D" w:rsidP="00DF11CA">
      <w:pPr>
        <w:jc w:val="both"/>
        <w:rPr>
          <w:rFonts w:asciiTheme="majorHAnsi" w:hAnsiTheme="majorHAnsi" w:cstheme="majorHAnsi"/>
        </w:rPr>
      </w:pPr>
      <w:r>
        <w:rPr>
          <w:rFonts w:asciiTheme="majorHAnsi" w:hAnsiTheme="majorHAnsi" w:cstheme="majorHAnsi"/>
        </w:rPr>
        <w:t>Th</w:t>
      </w:r>
      <w:r>
        <w:rPr>
          <w:rFonts w:asciiTheme="majorHAnsi" w:hAnsiTheme="majorHAnsi" w:cstheme="majorHAnsi"/>
        </w:rPr>
        <w:t>e same principle also applies to children</w:t>
      </w:r>
      <w:r w:rsidR="009061FD">
        <w:rPr>
          <w:rFonts w:asciiTheme="majorHAnsi" w:hAnsiTheme="majorHAnsi" w:cstheme="majorHAnsi"/>
        </w:rPr>
        <w:t xml:space="preserve"> as the courts recognise that children differ from adults as they are less likely to recognise the risks within their conduct (Gough v Thorne (1966)). C</w:t>
      </w:r>
      <w:r>
        <w:rPr>
          <w:rFonts w:asciiTheme="majorHAnsi" w:hAnsiTheme="majorHAnsi" w:cstheme="majorHAnsi"/>
        </w:rPr>
        <w:t>hild defendants are expected to reach the standards of care exp</w:t>
      </w:r>
      <w:r>
        <w:rPr>
          <w:rFonts w:asciiTheme="majorHAnsi" w:hAnsiTheme="majorHAnsi" w:cstheme="majorHAnsi"/>
        </w:rPr>
        <w:t xml:space="preserve">ected of ordinary children that age Mullin v Richards (1998). In these cases, the courts will consider the nature of the activity undertaken to cause harm and the age of the children that partook in the activity. </w:t>
      </w:r>
    </w:p>
    <w:p w14:paraId="6BD56259" w14:textId="742AEA8A" w:rsidR="003920F9" w:rsidRDefault="003920F9" w:rsidP="00DF11CA">
      <w:pPr>
        <w:jc w:val="both"/>
        <w:rPr>
          <w:rFonts w:asciiTheme="majorHAnsi" w:hAnsiTheme="majorHAnsi" w:cstheme="majorHAnsi"/>
        </w:rPr>
      </w:pPr>
    </w:p>
    <w:p w14:paraId="2D7493DD" w14:textId="2CA6661A" w:rsidR="003920F9" w:rsidRDefault="00AF024D" w:rsidP="00DF11CA">
      <w:pPr>
        <w:jc w:val="both"/>
        <w:rPr>
          <w:rFonts w:asciiTheme="majorHAnsi" w:hAnsiTheme="majorHAnsi" w:cstheme="majorHAnsi"/>
        </w:rPr>
      </w:pPr>
      <w:r>
        <w:rPr>
          <w:rFonts w:asciiTheme="majorHAnsi" w:hAnsiTheme="majorHAnsi" w:cstheme="majorHAnsi"/>
        </w:rPr>
        <w:t>Whereas consideration is taken in cases t</w:t>
      </w:r>
      <w:r>
        <w:rPr>
          <w:rFonts w:asciiTheme="majorHAnsi" w:hAnsiTheme="majorHAnsi" w:cstheme="majorHAnsi"/>
        </w:rPr>
        <w:t xml:space="preserve">hat involve defendants that have specialist skills or are partaking in a specialist activity or are younger, these cases adjust the benchmark of the reasonable person to account for such skills or age, controversially the same consideration isn't taken to </w:t>
      </w:r>
      <w:r>
        <w:rPr>
          <w:rFonts w:asciiTheme="majorHAnsi" w:hAnsiTheme="majorHAnsi" w:cstheme="majorHAnsi"/>
        </w:rPr>
        <w:t xml:space="preserve">defendants that suffer from a mental illness or have a lower mental capacity. </w:t>
      </w:r>
    </w:p>
    <w:p w14:paraId="7B459FA4" w14:textId="390A5EE0" w:rsidR="003920F9" w:rsidRDefault="003920F9" w:rsidP="00DF11CA">
      <w:pPr>
        <w:jc w:val="both"/>
        <w:rPr>
          <w:rFonts w:asciiTheme="majorHAnsi" w:hAnsiTheme="majorHAnsi" w:cstheme="majorHAnsi"/>
        </w:rPr>
      </w:pPr>
    </w:p>
    <w:p w14:paraId="5DE67A6F" w14:textId="3874B873" w:rsidR="003920F9" w:rsidRDefault="00AF024D" w:rsidP="00DF11CA">
      <w:pPr>
        <w:jc w:val="both"/>
        <w:rPr>
          <w:rFonts w:asciiTheme="majorHAnsi" w:hAnsiTheme="majorHAnsi" w:cstheme="majorHAnsi"/>
        </w:rPr>
      </w:pPr>
      <w:r>
        <w:rPr>
          <w:rFonts w:asciiTheme="majorHAnsi" w:hAnsiTheme="majorHAnsi" w:cstheme="majorHAnsi"/>
        </w:rPr>
        <w:t xml:space="preserve">Unfortunately, the law doesn't allow for these cases to be circumstantial which is in contrast to cases such as Mullin v Richards (1998) or likewise Orchard v Lee (2009) where </w:t>
      </w:r>
      <w:r>
        <w:rPr>
          <w:rFonts w:asciiTheme="majorHAnsi" w:hAnsiTheme="majorHAnsi" w:cstheme="majorHAnsi"/>
        </w:rPr>
        <w:t xml:space="preserve">special consideration is considered due to the defendants' age. It could be argued that the same consideration should be taken when the defendant is suffering from a recognised or diagnosed mental illness Dunnage v Randall &amp; Another (2015). </w:t>
      </w:r>
    </w:p>
    <w:p w14:paraId="70D4E299" w14:textId="32060B15" w:rsidR="00EA5276" w:rsidRDefault="00EA5276" w:rsidP="00DF11CA">
      <w:pPr>
        <w:jc w:val="both"/>
        <w:rPr>
          <w:rFonts w:asciiTheme="majorHAnsi" w:hAnsiTheme="majorHAnsi" w:cstheme="majorHAnsi"/>
        </w:rPr>
      </w:pPr>
    </w:p>
    <w:p w14:paraId="0CC035EA" w14:textId="237A71DC" w:rsidR="00C50D8B" w:rsidRDefault="00AF024D" w:rsidP="00DF11CA">
      <w:pPr>
        <w:jc w:val="both"/>
        <w:rPr>
          <w:rFonts w:asciiTheme="majorHAnsi" w:hAnsiTheme="majorHAnsi" w:cstheme="majorHAnsi"/>
        </w:rPr>
      </w:pPr>
      <w:r>
        <w:rPr>
          <w:rFonts w:asciiTheme="majorHAnsi" w:hAnsiTheme="majorHAnsi" w:cstheme="majorHAnsi"/>
        </w:rPr>
        <w:t>In this case,</w:t>
      </w:r>
      <w:r>
        <w:rPr>
          <w:rFonts w:asciiTheme="majorHAnsi" w:hAnsiTheme="majorHAnsi" w:cstheme="majorHAnsi"/>
        </w:rPr>
        <w:t xml:space="preserve"> the judge thought it difficult if not impossible to see why someone who has the mental capacity to form intent or foresee consequences is diminished by mental illness, despite the defendant stating he did </w:t>
      </w:r>
      <w:r>
        <w:rPr>
          <w:rFonts w:asciiTheme="majorHAnsi" w:hAnsiTheme="majorHAnsi" w:cstheme="majorHAnsi"/>
        </w:rPr>
        <w:lastRenderedPageBreak/>
        <w:t xml:space="preserve">not intend to harm the claimant. The </w:t>
      </w:r>
      <w:r w:rsidR="0052679C">
        <w:rPr>
          <w:rFonts w:asciiTheme="majorHAnsi" w:hAnsiTheme="majorHAnsi" w:cstheme="majorHAnsi"/>
        </w:rPr>
        <w:t>claimants’</w:t>
      </w:r>
      <w:r>
        <w:rPr>
          <w:rFonts w:asciiTheme="majorHAnsi" w:hAnsiTheme="majorHAnsi" w:cstheme="majorHAnsi"/>
        </w:rPr>
        <w:t xml:space="preserve"> ca</w:t>
      </w:r>
      <w:r>
        <w:rPr>
          <w:rFonts w:asciiTheme="majorHAnsi" w:hAnsiTheme="majorHAnsi" w:cstheme="majorHAnsi"/>
        </w:rPr>
        <w:t xml:space="preserve">se was that Vince despite his incapacity owed him a duty of care. </w:t>
      </w:r>
      <w:r w:rsidR="0052679C">
        <w:rPr>
          <w:rFonts w:asciiTheme="majorHAnsi" w:hAnsiTheme="majorHAnsi" w:cstheme="majorHAnsi"/>
        </w:rPr>
        <w:t>Despite medical experts stating that he had no control over his actions and his actions were not voluntary and in accordance not within the scope of duty and he is not within breach of that duty</w:t>
      </w:r>
      <w:r w:rsidR="00A01699">
        <w:rPr>
          <w:rFonts w:asciiTheme="majorHAnsi" w:hAnsiTheme="majorHAnsi" w:cstheme="majorHAnsi"/>
        </w:rPr>
        <w:t xml:space="preserve"> he was still found liable</w:t>
      </w:r>
      <w:r w:rsidR="00F94FF9">
        <w:rPr>
          <w:rFonts w:asciiTheme="majorHAnsi" w:hAnsiTheme="majorHAnsi" w:cstheme="majorHAnsi"/>
        </w:rPr>
        <w:t>, this arguable allows no flexibility to defendants that are suffering from a mental illness.</w:t>
      </w:r>
    </w:p>
    <w:p w14:paraId="63521DA3" w14:textId="77777777" w:rsidR="00F94FF9" w:rsidRDefault="00F94FF9" w:rsidP="00DF11CA">
      <w:pPr>
        <w:jc w:val="both"/>
        <w:rPr>
          <w:rFonts w:asciiTheme="majorHAnsi" w:hAnsiTheme="majorHAnsi" w:cstheme="majorHAnsi"/>
        </w:rPr>
      </w:pPr>
    </w:p>
    <w:p w14:paraId="654D7749" w14:textId="0289169D" w:rsidR="003F74FA" w:rsidRDefault="00AF024D" w:rsidP="00DF11CA">
      <w:pPr>
        <w:jc w:val="both"/>
        <w:rPr>
          <w:rFonts w:asciiTheme="majorHAnsi" w:hAnsiTheme="majorHAnsi" w:cstheme="majorHAnsi"/>
        </w:rPr>
      </w:pPr>
      <w:r>
        <w:rPr>
          <w:rFonts w:asciiTheme="majorHAnsi" w:hAnsiTheme="majorHAnsi" w:cstheme="majorHAnsi"/>
        </w:rPr>
        <w:t xml:space="preserve">This also raises the question of liability </w:t>
      </w:r>
      <w:r w:rsidR="00A01699">
        <w:rPr>
          <w:rFonts w:asciiTheme="majorHAnsi" w:hAnsiTheme="majorHAnsi" w:cstheme="majorHAnsi"/>
        </w:rPr>
        <w:t>towards</w:t>
      </w:r>
      <w:r>
        <w:rPr>
          <w:rFonts w:asciiTheme="majorHAnsi" w:hAnsiTheme="majorHAnsi" w:cstheme="majorHAnsi"/>
        </w:rPr>
        <w:t xml:space="preserve"> </w:t>
      </w:r>
      <w:r w:rsidR="00E87B02">
        <w:rPr>
          <w:rFonts w:asciiTheme="majorHAnsi" w:hAnsiTheme="majorHAnsi" w:cstheme="majorHAnsi"/>
        </w:rPr>
        <w:t>rescuers, there is a basic rule that the defendant owes a duty of care to the rescuer, provided that a reasonable person in the rescuers' position would feel obliged to assist Baker &amp; Another v T E Hopkins &amp; Son LTD (</w:t>
      </w:r>
      <w:r>
        <w:rPr>
          <w:rFonts w:asciiTheme="majorHAnsi" w:hAnsiTheme="majorHAnsi" w:cstheme="majorHAnsi"/>
        </w:rPr>
        <w:t>1959). The liability is not limited to physical harm it is also applied for psychiatric harm as can be seen in the ca</w:t>
      </w:r>
      <w:r>
        <w:rPr>
          <w:rFonts w:asciiTheme="majorHAnsi" w:hAnsiTheme="majorHAnsi" w:cstheme="majorHAnsi"/>
        </w:rPr>
        <w:t>se of White v Chief Constable of South Yorkshire Police (1999).</w:t>
      </w:r>
    </w:p>
    <w:p w14:paraId="603543C0" w14:textId="7674F7DD" w:rsidR="00A01699" w:rsidRDefault="00A01699" w:rsidP="00DF11CA">
      <w:pPr>
        <w:jc w:val="both"/>
        <w:rPr>
          <w:rFonts w:asciiTheme="majorHAnsi" w:hAnsiTheme="majorHAnsi" w:cstheme="majorHAnsi"/>
        </w:rPr>
      </w:pPr>
    </w:p>
    <w:p w14:paraId="297378ED" w14:textId="4D864769" w:rsidR="00C65B53" w:rsidRDefault="00AF024D" w:rsidP="00DF11CA">
      <w:pPr>
        <w:jc w:val="both"/>
        <w:rPr>
          <w:rFonts w:asciiTheme="majorHAnsi" w:hAnsiTheme="majorHAnsi" w:cstheme="majorHAnsi"/>
        </w:rPr>
      </w:pPr>
      <w:r>
        <w:rPr>
          <w:rFonts w:asciiTheme="majorHAnsi" w:hAnsiTheme="majorHAnsi" w:cstheme="majorHAnsi"/>
        </w:rPr>
        <w:t xml:space="preserve">Likewise, as well as a duty of care towards rescuers there is also the potential to raise a claim as a primary or secondary victim this these cases follow a strict criterion that must be met </w:t>
      </w:r>
      <w:r>
        <w:rPr>
          <w:rFonts w:asciiTheme="majorHAnsi" w:hAnsiTheme="majorHAnsi" w:cstheme="majorHAnsi"/>
        </w:rPr>
        <w:t>for a case to be made as without the essential criteria there is the potential to 'open the floodgates</w:t>
      </w:r>
      <w:r w:rsidR="009E7998">
        <w:rPr>
          <w:rFonts w:asciiTheme="majorHAnsi" w:hAnsiTheme="majorHAnsi" w:cstheme="majorHAnsi"/>
        </w:rPr>
        <w:t xml:space="preserve">, meaning that it may raise the potential for many claims to be made as without the placement of strict criteria it could mean that the probability of making a claim would be more likely as the grounds allowing a claim to be made would be too vast. </w:t>
      </w:r>
    </w:p>
    <w:p w14:paraId="3D2F5BC6" w14:textId="5CE08B40" w:rsidR="005A2A29" w:rsidRDefault="005A2A29" w:rsidP="00DF11CA">
      <w:pPr>
        <w:jc w:val="both"/>
        <w:rPr>
          <w:rFonts w:asciiTheme="majorHAnsi" w:hAnsiTheme="majorHAnsi" w:cstheme="majorHAnsi"/>
        </w:rPr>
      </w:pPr>
    </w:p>
    <w:p w14:paraId="2D4B0BAA" w14:textId="58DD5BFA" w:rsidR="005A2A29" w:rsidRDefault="00AF024D" w:rsidP="00DF11CA">
      <w:pPr>
        <w:jc w:val="both"/>
        <w:rPr>
          <w:rFonts w:asciiTheme="majorHAnsi" w:hAnsiTheme="majorHAnsi" w:cstheme="majorHAnsi"/>
        </w:rPr>
      </w:pPr>
      <w:r>
        <w:rPr>
          <w:rFonts w:asciiTheme="majorHAnsi" w:hAnsiTheme="majorHAnsi" w:cstheme="majorHAnsi"/>
        </w:rPr>
        <w:t xml:space="preserve">The case of Watt v Hertfordshire (1954) somewhat portrays how the criterion </w:t>
      </w:r>
      <w:r w:rsidR="00FF4A68">
        <w:rPr>
          <w:rFonts w:asciiTheme="majorHAnsi" w:hAnsiTheme="majorHAnsi" w:cstheme="majorHAnsi"/>
        </w:rPr>
        <w:t xml:space="preserve">depicts the outcome and the law in negligence is not straightforward </w:t>
      </w:r>
      <w:r>
        <w:rPr>
          <w:rFonts w:asciiTheme="majorHAnsi" w:hAnsiTheme="majorHAnsi" w:cstheme="majorHAnsi"/>
        </w:rPr>
        <w:t>in th</w:t>
      </w:r>
      <w:r w:rsidR="00FF4A68">
        <w:rPr>
          <w:rFonts w:asciiTheme="majorHAnsi" w:hAnsiTheme="majorHAnsi" w:cstheme="majorHAnsi"/>
        </w:rPr>
        <w:t>is</w:t>
      </w:r>
      <w:r>
        <w:rPr>
          <w:rFonts w:asciiTheme="majorHAnsi" w:hAnsiTheme="majorHAnsi" w:cstheme="majorHAnsi"/>
        </w:rPr>
        <w:t xml:space="preserve"> case a</w:t>
      </w:r>
      <w:r>
        <w:rPr>
          <w:rFonts w:asciiTheme="majorHAnsi" w:hAnsiTheme="majorHAnsi" w:cstheme="majorHAnsi"/>
        </w:rPr>
        <w:t xml:space="preserve"> fireman was attending the scene to help a woman crushed under a vehicle and to rescue the woman they would need a heavy-duty jack and with no way to secure the jack in the fire engine the firemen were asked to hold it during the journey which ended up cau</w:t>
      </w:r>
      <w:r>
        <w:rPr>
          <w:rFonts w:asciiTheme="majorHAnsi" w:hAnsiTheme="majorHAnsi" w:cstheme="majorHAnsi"/>
        </w:rPr>
        <w:t xml:space="preserve">sing severe leg injuries to the claimant. However, despite the claimant's leg injuries, it was deemed that there was no breach of duty </w:t>
      </w:r>
      <w:r w:rsidR="00FF4A68">
        <w:rPr>
          <w:rFonts w:asciiTheme="majorHAnsi" w:hAnsiTheme="majorHAnsi" w:cstheme="majorHAnsi"/>
        </w:rPr>
        <w:t xml:space="preserve">due to the emergency the defendants conduct in saving a life as this is behaviour that is of social value and in the public's interest, the courts are likely to exercise a lower standard of care which contradicts the initial authority that there is a general duty of care between employer to employee and in doing so supports the concept that each case is circumstantial. </w:t>
      </w:r>
    </w:p>
    <w:p w14:paraId="3F1E6D4C" w14:textId="0D53D088" w:rsidR="00C65B53" w:rsidRDefault="00C65B53" w:rsidP="00DF11CA">
      <w:pPr>
        <w:jc w:val="both"/>
        <w:rPr>
          <w:rFonts w:asciiTheme="majorHAnsi" w:hAnsiTheme="majorHAnsi" w:cstheme="majorHAnsi"/>
        </w:rPr>
      </w:pPr>
    </w:p>
    <w:p w14:paraId="0692234C" w14:textId="1760B304" w:rsidR="009E7998" w:rsidRDefault="00AF024D" w:rsidP="00DF11CA">
      <w:pPr>
        <w:jc w:val="both"/>
        <w:rPr>
          <w:rFonts w:asciiTheme="majorHAnsi" w:hAnsiTheme="majorHAnsi" w:cstheme="majorHAnsi"/>
        </w:rPr>
      </w:pPr>
      <w:r>
        <w:rPr>
          <w:rFonts w:asciiTheme="majorHAnsi" w:hAnsiTheme="majorHAnsi" w:cstheme="majorHAnsi"/>
        </w:rPr>
        <w:t>The</w:t>
      </w:r>
      <w:r>
        <w:rPr>
          <w:rFonts w:asciiTheme="majorHAnsi" w:hAnsiTheme="majorHAnsi" w:cstheme="majorHAnsi"/>
        </w:rPr>
        <w:t xml:space="preserve">re </w:t>
      </w:r>
      <w:r w:rsidR="00BC76B3">
        <w:rPr>
          <w:rFonts w:asciiTheme="majorHAnsi" w:hAnsiTheme="majorHAnsi" w:cstheme="majorHAnsi"/>
        </w:rPr>
        <w:t>are</w:t>
      </w:r>
      <w:r>
        <w:rPr>
          <w:rFonts w:asciiTheme="majorHAnsi" w:hAnsiTheme="majorHAnsi" w:cstheme="majorHAnsi"/>
        </w:rPr>
        <w:t xml:space="preserve"> also situations where a lower standard of care may be applied such as in sporting events for spectators and competitors, an example of this can be seen in the case Woolridge v Sumner (1963).</w:t>
      </w:r>
    </w:p>
    <w:p w14:paraId="1BE3F234" w14:textId="2D1A7C5F" w:rsidR="00A01699" w:rsidRDefault="00A01699" w:rsidP="00DF11CA">
      <w:pPr>
        <w:jc w:val="both"/>
        <w:rPr>
          <w:rFonts w:asciiTheme="majorHAnsi" w:hAnsiTheme="majorHAnsi" w:cstheme="majorHAnsi"/>
        </w:rPr>
      </w:pPr>
    </w:p>
    <w:p w14:paraId="5CAAEA8F" w14:textId="7EB145D2" w:rsidR="00BC76B3" w:rsidRDefault="00AF024D" w:rsidP="00DF11CA">
      <w:pPr>
        <w:jc w:val="both"/>
        <w:rPr>
          <w:rFonts w:asciiTheme="majorHAnsi" w:hAnsiTheme="majorHAnsi" w:cstheme="majorHAnsi"/>
        </w:rPr>
      </w:pPr>
      <w:r>
        <w:rPr>
          <w:rFonts w:asciiTheme="majorHAnsi" w:hAnsiTheme="majorHAnsi" w:cstheme="majorHAnsi"/>
        </w:rPr>
        <w:t>In this case, an experienced rider at an equestrian event</w:t>
      </w:r>
      <w:r>
        <w:rPr>
          <w:rFonts w:asciiTheme="majorHAnsi" w:hAnsiTheme="majorHAnsi" w:cstheme="majorHAnsi"/>
        </w:rPr>
        <w:t xml:space="preserve"> galloped his horse around a corner so quickly it caused the horse to lose control and consequently injured a photographer, it was held that it was merely an error of judgement and not actionable negligence because this rider was experienced in his field i</w:t>
      </w:r>
      <w:r>
        <w:rPr>
          <w:rFonts w:asciiTheme="majorHAnsi" w:hAnsiTheme="majorHAnsi" w:cstheme="majorHAnsi"/>
        </w:rPr>
        <w:t>n comparison to the case of Nettleship v Weston (1971) where an accident happened due to an unqualified and inexperienced driver it raises the question why that could not be considered as an error of judgement due to the driver being unqualified and inexpe</w:t>
      </w:r>
      <w:r>
        <w:rPr>
          <w:rFonts w:asciiTheme="majorHAnsi" w:hAnsiTheme="majorHAnsi" w:cstheme="majorHAnsi"/>
        </w:rPr>
        <w:t xml:space="preserve">rienced, making the law seem at times unfair and unclear. </w:t>
      </w:r>
    </w:p>
    <w:p w14:paraId="71D08DAF" w14:textId="68D87147" w:rsidR="00BC76B3" w:rsidRDefault="00BC76B3" w:rsidP="00DF11CA">
      <w:pPr>
        <w:jc w:val="both"/>
        <w:rPr>
          <w:rFonts w:asciiTheme="majorHAnsi" w:hAnsiTheme="majorHAnsi" w:cstheme="majorHAnsi"/>
        </w:rPr>
      </w:pPr>
    </w:p>
    <w:p w14:paraId="527E90A0" w14:textId="52227399" w:rsidR="00BC76B3" w:rsidRDefault="00AF024D" w:rsidP="00DF11CA">
      <w:pPr>
        <w:jc w:val="both"/>
        <w:rPr>
          <w:rFonts w:asciiTheme="majorHAnsi" w:hAnsiTheme="majorHAnsi" w:cstheme="majorHAnsi"/>
        </w:rPr>
      </w:pPr>
      <w:r>
        <w:rPr>
          <w:rFonts w:asciiTheme="majorHAnsi" w:hAnsiTheme="majorHAnsi" w:cstheme="majorHAnsi"/>
        </w:rPr>
        <w:t xml:space="preserve">In </w:t>
      </w:r>
      <w:r w:rsidR="004116BD">
        <w:rPr>
          <w:rFonts w:asciiTheme="majorHAnsi" w:hAnsiTheme="majorHAnsi" w:cstheme="majorHAnsi"/>
        </w:rPr>
        <w:t>addition,</w:t>
      </w:r>
      <w:r>
        <w:rPr>
          <w:rFonts w:asciiTheme="majorHAnsi" w:hAnsiTheme="majorHAnsi" w:cstheme="majorHAnsi"/>
        </w:rPr>
        <w:t xml:space="preserve"> another relevant factor to consider would be the magnitude of the risk being undertaken at the time of the event and the likelihood of an injury occurring and the seriousness of the potential injur</w:t>
      </w:r>
      <w:r w:rsidR="004116BD">
        <w:rPr>
          <w:rFonts w:asciiTheme="majorHAnsi" w:hAnsiTheme="majorHAnsi" w:cstheme="majorHAnsi"/>
        </w:rPr>
        <w:t>y.</w:t>
      </w:r>
      <w:r w:rsidR="00484062">
        <w:rPr>
          <w:rFonts w:asciiTheme="majorHAnsi" w:hAnsiTheme="majorHAnsi" w:cstheme="majorHAnsi"/>
        </w:rPr>
        <w:t xml:space="preserve"> Also, to consider would be whether the actions of a defendant have the potential to create risks for others for their own benefit, without taking into consideration the legal consequences. This could allow the defendant to benefit or profit from the expense of those put at risk, creating the argument of fairness against the negligence standard in favour of stricter liability a key case within this area would be Overseas Tankship (UK) Ltd v The Miller Steamship Co (The Wagon Mound No 2’) (1967). </w:t>
      </w:r>
    </w:p>
    <w:p w14:paraId="0EB999F7" w14:textId="015442FF" w:rsidR="00484062" w:rsidRDefault="00484062" w:rsidP="00DF11CA">
      <w:pPr>
        <w:jc w:val="both"/>
        <w:rPr>
          <w:rFonts w:asciiTheme="majorHAnsi" w:hAnsiTheme="majorHAnsi" w:cstheme="majorHAnsi"/>
        </w:rPr>
      </w:pPr>
    </w:p>
    <w:p w14:paraId="189ACED6" w14:textId="6035AD09" w:rsidR="00484062" w:rsidRDefault="00AF024D" w:rsidP="00DF11CA">
      <w:pPr>
        <w:jc w:val="both"/>
        <w:rPr>
          <w:rFonts w:asciiTheme="majorHAnsi" w:hAnsiTheme="majorHAnsi" w:cstheme="majorHAnsi"/>
        </w:rPr>
      </w:pPr>
      <w:r>
        <w:rPr>
          <w:rFonts w:asciiTheme="majorHAnsi" w:hAnsiTheme="majorHAnsi" w:cstheme="majorHAnsi"/>
        </w:rPr>
        <w:t xml:space="preserve">It was concluded in this case that despite the likelihood of the </w:t>
      </w:r>
      <w:r>
        <w:rPr>
          <w:rFonts w:asciiTheme="majorHAnsi" w:hAnsiTheme="majorHAnsi" w:cstheme="majorHAnsi"/>
        </w:rPr>
        <w:t xml:space="preserve">oil igniting it was nevertheless foreseeable and questioned whether their actions were justified in creating the risk and despite the risk being low it was determined that this was negligent as there was no benefit in spreading the oil on the water. </w:t>
      </w:r>
    </w:p>
    <w:p w14:paraId="744ED875" w14:textId="0FD2FCD0" w:rsidR="00484062" w:rsidRDefault="00484062" w:rsidP="00DF11CA">
      <w:pPr>
        <w:jc w:val="both"/>
        <w:rPr>
          <w:rFonts w:asciiTheme="majorHAnsi" w:hAnsiTheme="majorHAnsi" w:cstheme="majorHAnsi"/>
        </w:rPr>
      </w:pPr>
    </w:p>
    <w:p w14:paraId="2C39783A" w14:textId="77777777" w:rsidR="00484062" w:rsidRDefault="00484062" w:rsidP="00DF11CA">
      <w:pPr>
        <w:jc w:val="both"/>
        <w:rPr>
          <w:rFonts w:asciiTheme="majorHAnsi" w:hAnsiTheme="majorHAnsi" w:cstheme="majorHAnsi"/>
        </w:rPr>
      </w:pPr>
    </w:p>
    <w:p w14:paraId="5DB6966C" w14:textId="1B6031FF" w:rsidR="004116BD" w:rsidRDefault="004116BD" w:rsidP="00DF11CA">
      <w:pPr>
        <w:jc w:val="both"/>
        <w:rPr>
          <w:rFonts w:asciiTheme="majorHAnsi" w:hAnsiTheme="majorHAnsi" w:cstheme="majorHAnsi"/>
        </w:rPr>
      </w:pPr>
    </w:p>
    <w:p w14:paraId="546AC0C7" w14:textId="58761B12" w:rsidR="004116BD" w:rsidRDefault="00AF024D" w:rsidP="00DF11CA">
      <w:pPr>
        <w:jc w:val="both"/>
        <w:rPr>
          <w:rFonts w:asciiTheme="majorHAnsi" w:hAnsiTheme="majorHAnsi" w:cstheme="majorHAnsi"/>
        </w:rPr>
      </w:pPr>
      <w:r>
        <w:rPr>
          <w:rFonts w:asciiTheme="majorHAnsi" w:hAnsiTheme="majorHAnsi" w:cstheme="majorHAnsi"/>
        </w:rPr>
        <w:t>In</w:t>
      </w:r>
      <w:r>
        <w:rPr>
          <w:rFonts w:asciiTheme="majorHAnsi" w:hAnsiTheme="majorHAnsi" w:cstheme="majorHAnsi"/>
        </w:rPr>
        <w:t xml:space="preserve"> the case of Haley v London Electricity Board (1965), it was held in this case that the defendant should have reached a higher standard of care as there was an increased likelihood of injury, as it was reasonably </w:t>
      </w:r>
      <w:r>
        <w:rPr>
          <w:rFonts w:asciiTheme="majorHAnsi" w:hAnsiTheme="majorHAnsi" w:cstheme="majorHAnsi"/>
        </w:rPr>
        <w:lastRenderedPageBreak/>
        <w:t>foreseeable that a blind person could be wa</w:t>
      </w:r>
      <w:r>
        <w:rPr>
          <w:rFonts w:asciiTheme="majorHAnsi" w:hAnsiTheme="majorHAnsi" w:cstheme="majorHAnsi"/>
        </w:rPr>
        <w:t xml:space="preserve">lking along a pavement and the defendants should have taken reasonable precautions. </w:t>
      </w:r>
    </w:p>
    <w:p w14:paraId="45F9548F" w14:textId="092DD5AF" w:rsidR="004116BD" w:rsidRDefault="004116BD" w:rsidP="00DF11CA">
      <w:pPr>
        <w:jc w:val="both"/>
        <w:rPr>
          <w:rFonts w:asciiTheme="majorHAnsi" w:hAnsiTheme="majorHAnsi" w:cstheme="majorHAnsi"/>
        </w:rPr>
      </w:pPr>
    </w:p>
    <w:p w14:paraId="3E6B44FC" w14:textId="00CDA59A" w:rsidR="004116BD" w:rsidRDefault="00AF024D" w:rsidP="00DF11CA">
      <w:pPr>
        <w:jc w:val="both"/>
        <w:rPr>
          <w:rFonts w:asciiTheme="majorHAnsi" w:hAnsiTheme="majorHAnsi" w:cstheme="majorHAnsi"/>
        </w:rPr>
      </w:pPr>
      <w:r>
        <w:rPr>
          <w:rFonts w:asciiTheme="majorHAnsi" w:hAnsiTheme="majorHAnsi" w:cstheme="majorHAnsi"/>
        </w:rPr>
        <w:t xml:space="preserve">Moreover, if the defendant is aware that a certain individual is at risk of suffering greater damage than the average person for example if they have an existing </w:t>
      </w:r>
      <w:r w:rsidR="00E867FB">
        <w:rPr>
          <w:rFonts w:asciiTheme="majorHAnsi" w:hAnsiTheme="majorHAnsi" w:cstheme="majorHAnsi"/>
        </w:rPr>
        <w:t xml:space="preserve">medical condition or a weakness for example </w:t>
      </w:r>
      <w:r>
        <w:rPr>
          <w:rFonts w:asciiTheme="majorHAnsi" w:hAnsiTheme="majorHAnsi" w:cstheme="majorHAnsi"/>
        </w:rPr>
        <w:t xml:space="preserve">then the defendant may be required to reach a higher standard of care as can be seen in the case of </w:t>
      </w:r>
      <w:r w:rsidR="00E867FB">
        <w:rPr>
          <w:rFonts w:asciiTheme="majorHAnsi" w:hAnsiTheme="majorHAnsi" w:cstheme="majorHAnsi"/>
        </w:rPr>
        <w:t>Paris v Stepney Borough Council (1951).</w:t>
      </w:r>
    </w:p>
    <w:p w14:paraId="110C2571" w14:textId="5211579A" w:rsidR="00E867FB" w:rsidRDefault="00E867FB" w:rsidP="00DF11CA">
      <w:pPr>
        <w:jc w:val="both"/>
        <w:rPr>
          <w:rFonts w:asciiTheme="majorHAnsi" w:hAnsiTheme="majorHAnsi" w:cstheme="majorHAnsi"/>
        </w:rPr>
      </w:pPr>
    </w:p>
    <w:p w14:paraId="7E5A8496" w14:textId="719D5FEE" w:rsidR="00E867FB" w:rsidRDefault="00E867FB" w:rsidP="00DF11CA">
      <w:pPr>
        <w:jc w:val="both"/>
        <w:rPr>
          <w:rFonts w:asciiTheme="majorHAnsi" w:hAnsiTheme="majorHAnsi" w:cstheme="majorHAnsi"/>
        </w:rPr>
      </w:pPr>
    </w:p>
    <w:p w14:paraId="3D762DF7" w14:textId="336E590B" w:rsidR="00E867FB" w:rsidRDefault="00AF024D" w:rsidP="00DF11CA">
      <w:pPr>
        <w:jc w:val="both"/>
        <w:rPr>
          <w:rFonts w:asciiTheme="majorHAnsi" w:hAnsiTheme="majorHAnsi" w:cstheme="majorHAnsi"/>
        </w:rPr>
      </w:pPr>
      <w:r>
        <w:rPr>
          <w:rFonts w:asciiTheme="majorHAnsi" w:hAnsiTheme="majorHAnsi" w:cstheme="majorHAnsi"/>
        </w:rPr>
        <w:t xml:space="preserve">In discussing these cases </w:t>
      </w:r>
      <w:r w:rsidR="00F038C9">
        <w:rPr>
          <w:rFonts w:asciiTheme="majorHAnsi" w:hAnsiTheme="majorHAnsi" w:cstheme="majorHAnsi"/>
        </w:rPr>
        <w:t>even though</w:t>
      </w:r>
      <w:r>
        <w:rPr>
          <w:rFonts w:asciiTheme="majorHAnsi" w:hAnsiTheme="majorHAnsi" w:cstheme="majorHAnsi"/>
        </w:rPr>
        <w:t xml:space="preserve"> the law allows for some circumstantial c</w:t>
      </w:r>
      <w:r>
        <w:rPr>
          <w:rFonts w:asciiTheme="majorHAnsi" w:hAnsiTheme="majorHAnsi" w:cstheme="majorHAnsi"/>
        </w:rPr>
        <w:t xml:space="preserve">hanges </w:t>
      </w:r>
      <w:r w:rsidR="00F038C9">
        <w:rPr>
          <w:rFonts w:asciiTheme="majorHAnsi" w:hAnsiTheme="majorHAnsi" w:cstheme="majorHAnsi"/>
        </w:rPr>
        <w:t>mostly surrounding the position of the claimants it has been argued that the law surrounding the variation of the standard of care is more favourable to the defendants (Nolan, 2013).</w:t>
      </w:r>
    </w:p>
    <w:p w14:paraId="2B5AC2EE" w14:textId="53F4E652" w:rsidR="00EF2E9C" w:rsidRDefault="00EF2E9C" w:rsidP="00DF11CA">
      <w:pPr>
        <w:jc w:val="both"/>
        <w:rPr>
          <w:rFonts w:asciiTheme="majorHAnsi" w:hAnsiTheme="majorHAnsi" w:cstheme="majorHAnsi"/>
        </w:rPr>
      </w:pPr>
    </w:p>
    <w:p w14:paraId="7534CB07" w14:textId="7C187421" w:rsidR="00EF2E9C" w:rsidRDefault="00AF024D" w:rsidP="00DF11CA">
      <w:pPr>
        <w:jc w:val="both"/>
        <w:rPr>
          <w:rFonts w:asciiTheme="majorHAnsi" w:hAnsiTheme="majorHAnsi" w:cstheme="majorHAnsi"/>
        </w:rPr>
      </w:pPr>
      <w:r>
        <w:rPr>
          <w:rFonts w:asciiTheme="majorHAnsi" w:hAnsiTheme="majorHAnsi" w:cstheme="majorHAnsi"/>
        </w:rPr>
        <w:t xml:space="preserve">To define some of the criteria that must be satisfied there is legislation in place such as the Compensation Act (2006) and the Social Action and Responsibility Act (2015), however, the need for such legislation has been widely criticised </w:t>
      </w:r>
      <w:r w:rsidR="00EA23B2">
        <w:rPr>
          <w:rFonts w:asciiTheme="majorHAnsi" w:hAnsiTheme="majorHAnsi" w:cstheme="majorHAnsi"/>
        </w:rPr>
        <w:t>(Bowcott, 2014).</w:t>
      </w:r>
    </w:p>
    <w:p w14:paraId="4BA2DBE3" w14:textId="41DA709A" w:rsidR="0007058C" w:rsidRDefault="0007058C" w:rsidP="00DF11CA">
      <w:pPr>
        <w:jc w:val="both"/>
        <w:rPr>
          <w:rFonts w:asciiTheme="majorHAnsi" w:hAnsiTheme="majorHAnsi" w:cstheme="majorHAnsi"/>
        </w:rPr>
      </w:pPr>
    </w:p>
    <w:p w14:paraId="741E9551" w14:textId="03C2B9FC" w:rsidR="0007058C" w:rsidRDefault="00AF024D" w:rsidP="00DF11CA">
      <w:pPr>
        <w:jc w:val="both"/>
        <w:rPr>
          <w:rFonts w:asciiTheme="majorHAnsi" w:hAnsiTheme="majorHAnsi" w:cstheme="majorHAnsi"/>
        </w:rPr>
      </w:pPr>
      <w:r>
        <w:rPr>
          <w:rFonts w:asciiTheme="majorHAnsi" w:hAnsiTheme="majorHAnsi" w:cstheme="majorHAnsi"/>
        </w:rPr>
        <w:t xml:space="preserve">Nolan argues that the standard of care in negligence protects </w:t>
      </w:r>
      <w:r w:rsidR="00C5289B">
        <w:rPr>
          <w:rFonts w:asciiTheme="majorHAnsi" w:hAnsiTheme="majorHAnsi" w:cstheme="majorHAnsi"/>
        </w:rPr>
        <w:t>defendants and</w:t>
      </w:r>
      <w:r>
        <w:rPr>
          <w:rFonts w:asciiTheme="majorHAnsi" w:hAnsiTheme="majorHAnsi" w:cstheme="majorHAnsi"/>
        </w:rPr>
        <w:t xml:space="preserve"> acknowledges that the standard of care is varied in existing duty situations ‘the effect is restrictive’ he states that his purpose for the article is to draw attention to altern</w:t>
      </w:r>
      <w:r>
        <w:rPr>
          <w:rFonts w:asciiTheme="majorHAnsi" w:hAnsiTheme="majorHAnsi" w:cstheme="majorHAnsi"/>
        </w:rPr>
        <w:t xml:space="preserve">ative tools available specifically a modified breach test to be used to justify the extension of law into new areas. </w:t>
      </w:r>
    </w:p>
    <w:p w14:paraId="04DEE813" w14:textId="77777777" w:rsidR="00F038C9" w:rsidRDefault="00F038C9" w:rsidP="00DF11CA">
      <w:pPr>
        <w:jc w:val="both"/>
        <w:rPr>
          <w:rFonts w:asciiTheme="majorHAnsi" w:hAnsiTheme="majorHAnsi" w:cstheme="majorHAnsi"/>
        </w:rPr>
      </w:pPr>
    </w:p>
    <w:p w14:paraId="65049816" w14:textId="6A777C0D" w:rsidR="00DF11CA" w:rsidRDefault="00AF024D" w:rsidP="00DF11CA">
      <w:pPr>
        <w:jc w:val="both"/>
        <w:rPr>
          <w:rFonts w:asciiTheme="majorHAnsi" w:hAnsiTheme="majorHAnsi" w:cstheme="majorHAnsi"/>
        </w:rPr>
      </w:pPr>
      <w:r>
        <w:rPr>
          <w:rFonts w:asciiTheme="majorHAnsi" w:hAnsiTheme="majorHAnsi" w:cstheme="majorHAnsi"/>
        </w:rPr>
        <w:t xml:space="preserve">The consensus surrounding the standard of care in negligence is </w:t>
      </w:r>
      <w:r w:rsidR="006A521C">
        <w:rPr>
          <w:rFonts w:asciiTheme="majorHAnsi" w:hAnsiTheme="majorHAnsi" w:cstheme="majorHAnsi"/>
        </w:rPr>
        <w:t xml:space="preserve">a </w:t>
      </w:r>
      <w:r>
        <w:rPr>
          <w:rFonts w:asciiTheme="majorHAnsi" w:hAnsiTheme="majorHAnsi" w:cstheme="majorHAnsi"/>
        </w:rPr>
        <w:t xml:space="preserve">complex and confusing </w:t>
      </w:r>
      <w:r w:rsidR="006A521C">
        <w:rPr>
          <w:rFonts w:asciiTheme="majorHAnsi" w:hAnsiTheme="majorHAnsi" w:cstheme="majorHAnsi"/>
        </w:rPr>
        <w:t xml:space="preserve">one, </w:t>
      </w:r>
      <w:r>
        <w:rPr>
          <w:rFonts w:asciiTheme="majorHAnsi" w:hAnsiTheme="majorHAnsi" w:cstheme="majorHAnsi"/>
        </w:rPr>
        <w:t>it does not provide a fair and flexible bala</w:t>
      </w:r>
      <w:r>
        <w:rPr>
          <w:rFonts w:asciiTheme="majorHAnsi" w:hAnsiTheme="majorHAnsi" w:cstheme="majorHAnsi"/>
        </w:rPr>
        <w:t xml:space="preserve">nce between the claimant and the defendant. The law that governs how duty of care is determined is confusing and outdated in recent years as a society </w:t>
      </w:r>
      <w:r w:rsidR="006A521C">
        <w:rPr>
          <w:rFonts w:asciiTheme="majorHAnsi" w:hAnsiTheme="majorHAnsi" w:cstheme="majorHAnsi"/>
        </w:rPr>
        <w:t xml:space="preserve">and within the medical profession we </w:t>
      </w:r>
      <w:r>
        <w:rPr>
          <w:rFonts w:asciiTheme="majorHAnsi" w:hAnsiTheme="majorHAnsi" w:cstheme="majorHAnsi"/>
        </w:rPr>
        <w:t xml:space="preserve">are more </w:t>
      </w:r>
      <w:r w:rsidR="006A521C">
        <w:rPr>
          <w:rFonts w:asciiTheme="majorHAnsi" w:hAnsiTheme="majorHAnsi" w:cstheme="majorHAnsi"/>
        </w:rPr>
        <w:t xml:space="preserve">accepting and understanding </w:t>
      </w:r>
      <w:r>
        <w:rPr>
          <w:rFonts w:asciiTheme="majorHAnsi" w:hAnsiTheme="majorHAnsi" w:cstheme="majorHAnsi"/>
        </w:rPr>
        <w:t>of mental illnesses yet laws th</w:t>
      </w:r>
      <w:r>
        <w:rPr>
          <w:rFonts w:asciiTheme="majorHAnsi" w:hAnsiTheme="majorHAnsi" w:cstheme="majorHAnsi"/>
        </w:rPr>
        <w:t xml:space="preserve">at are basing </w:t>
      </w:r>
      <w:r w:rsidR="006A521C">
        <w:rPr>
          <w:rFonts w:asciiTheme="majorHAnsi" w:hAnsiTheme="majorHAnsi" w:cstheme="majorHAnsi"/>
        </w:rPr>
        <w:t>future judgements on are outdated when medical advancements within this field were in its infancy. In recent years the medical profession has come a long way in respect of mental illness, and it could be argued that basing recent judgements on outdated case law could be problematic especially where in other cases adjustments are made to accommodate the defendant as mentioned in the cases of Dunnage v Randall &amp; another (2015) and Orchard v Lee (2009).</w:t>
      </w:r>
    </w:p>
    <w:p w14:paraId="349CA073" w14:textId="77C42E6C" w:rsidR="006A521C" w:rsidRDefault="006A521C" w:rsidP="00DF11CA">
      <w:pPr>
        <w:jc w:val="both"/>
        <w:rPr>
          <w:rFonts w:asciiTheme="majorHAnsi" w:hAnsiTheme="majorHAnsi" w:cstheme="majorHAnsi"/>
        </w:rPr>
      </w:pPr>
    </w:p>
    <w:p w14:paraId="3C35D7FD" w14:textId="34662EEB" w:rsidR="006A521C" w:rsidRDefault="00AF024D" w:rsidP="004D37AF">
      <w:pPr>
        <w:jc w:val="both"/>
        <w:rPr>
          <w:rFonts w:asciiTheme="majorHAnsi" w:hAnsiTheme="majorHAnsi" w:cstheme="majorHAnsi"/>
        </w:rPr>
      </w:pPr>
      <w:r>
        <w:rPr>
          <w:rFonts w:asciiTheme="majorHAnsi" w:hAnsiTheme="majorHAnsi" w:cstheme="majorHAnsi"/>
        </w:rPr>
        <w:t xml:space="preserve">It </w:t>
      </w:r>
      <w:r w:rsidR="00C5289B">
        <w:rPr>
          <w:rFonts w:asciiTheme="majorHAnsi" w:hAnsiTheme="majorHAnsi" w:cstheme="majorHAnsi"/>
        </w:rPr>
        <w:t>may</w:t>
      </w:r>
      <w:r>
        <w:rPr>
          <w:rFonts w:asciiTheme="majorHAnsi" w:hAnsiTheme="majorHAnsi" w:cstheme="majorHAnsi"/>
        </w:rPr>
        <w:t xml:space="preserve"> also</w:t>
      </w:r>
      <w:r w:rsidR="00C5289B">
        <w:rPr>
          <w:rFonts w:asciiTheme="majorHAnsi" w:hAnsiTheme="majorHAnsi" w:cstheme="majorHAnsi"/>
        </w:rPr>
        <w:t xml:space="preserve"> be</w:t>
      </w:r>
      <w:r>
        <w:rPr>
          <w:rFonts w:asciiTheme="majorHAnsi" w:hAnsiTheme="majorHAnsi" w:cstheme="majorHAnsi"/>
        </w:rPr>
        <w:t xml:space="preserve"> unjustified to hold inexper</w:t>
      </w:r>
      <w:r>
        <w:rPr>
          <w:rFonts w:asciiTheme="majorHAnsi" w:hAnsiTheme="majorHAnsi" w:cstheme="majorHAnsi"/>
        </w:rPr>
        <w:t>ienced defendants to the same standard as experienced ones, where adjustments are made to accommodate the reasonable skilled man it should be more specific as it is unfair for the House of Lords to brand some negligence cases as circumstantial like Smith v</w:t>
      </w:r>
      <w:r>
        <w:rPr>
          <w:rFonts w:asciiTheme="majorHAnsi" w:hAnsiTheme="majorHAnsi" w:cstheme="majorHAnsi"/>
        </w:rPr>
        <w:t xml:space="preserve"> Littlewoods Organisation (1987), and yet still be allowed to hold learner drivers to the same standard as experienced drivers as Nettleship v Weston (1971) and junior doctors to the same standard as qualified doctors as in Wilsher v Essex Area Health Auth</w:t>
      </w:r>
      <w:r>
        <w:rPr>
          <w:rFonts w:asciiTheme="majorHAnsi" w:hAnsiTheme="majorHAnsi" w:cstheme="majorHAnsi"/>
        </w:rPr>
        <w:t>ority (1987).</w:t>
      </w:r>
    </w:p>
    <w:p w14:paraId="532988ED" w14:textId="7B76BD2B" w:rsidR="004D37AF" w:rsidRDefault="004D37AF" w:rsidP="004D37AF">
      <w:pPr>
        <w:jc w:val="both"/>
        <w:rPr>
          <w:rFonts w:asciiTheme="majorHAnsi" w:hAnsiTheme="majorHAnsi" w:cstheme="majorHAnsi"/>
        </w:rPr>
      </w:pPr>
    </w:p>
    <w:p w14:paraId="154408FE" w14:textId="77777777" w:rsidR="004D37AF" w:rsidRDefault="004D37AF" w:rsidP="004D37AF">
      <w:pPr>
        <w:jc w:val="both"/>
        <w:rPr>
          <w:rFonts w:asciiTheme="majorHAnsi" w:hAnsiTheme="majorHAnsi" w:cstheme="majorHAnsi"/>
        </w:rPr>
      </w:pPr>
    </w:p>
    <w:p w14:paraId="18888DAD" w14:textId="49AFE2C4" w:rsidR="009613E6" w:rsidRDefault="009613E6" w:rsidP="00DF11CA">
      <w:pPr>
        <w:jc w:val="both"/>
        <w:rPr>
          <w:rFonts w:asciiTheme="majorHAnsi" w:hAnsiTheme="majorHAnsi" w:cstheme="majorHAnsi"/>
        </w:rPr>
      </w:pPr>
    </w:p>
    <w:p w14:paraId="7FCF98D5" w14:textId="5A2729A6" w:rsidR="00DF11CA" w:rsidRDefault="00DF11CA" w:rsidP="00DF11CA">
      <w:pPr>
        <w:jc w:val="center"/>
        <w:rPr>
          <w:rFonts w:asciiTheme="majorHAnsi" w:hAnsiTheme="majorHAnsi" w:cstheme="majorHAnsi"/>
          <w:b/>
          <w:bCs/>
          <w:u w:val="single"/>
        </w:rPr>
      </w:pPr>
    </w:p>
    <w:p w14:paraId="2B75B254" w14:textId="325369BA" w:rsidR="00DF11CA" w:rsidRDefault="00DF11CA" w:rsidP="00DF11CA">
      <w:pPr>
        <w:jc w:val="center"/>
        <w:rPr>
          <w:rFonts w:asciiTheme="majorHAnsi" w:hAnsiTheme="majorHAnsi" w:cstheme="majorHAnsi"/>
          <w:b/>
          <w:bCs/>
          <w:u w:val="single"/>
        </w:rPr>
      </w:pPr>
    </w:p>
    <w:p w14:paraId="450BD6B1" w14:textId="72382122" w:rsidR="00C31A7C" w:rsidRDefault="00C31A7C" w:rsidP="00DF11CA">
      <w:pPr>
        <w:jc w:val="center"/>
        <w:rPr>
          <w:rFonts w:asciiTheme="majorHAnsi" w:hAnsiTheme="majorHAnsi" w:cstheme="majorHAnsi"/>
          <w:b/>
          <w:bCs/>
          <w:u w:val="single"/>
        </w:rPr>
      </w:pPr>
    </w:p>
    <w:p w14:paraId="6E5C1793" w14:textId="5E0156EA" w:rsidR="00C31A7C" w:rsidRDefault="00C31A7C" w:rsidP="00DF11CA">
      <w:pPr>
        <w:jc w:val="center"/>
        <w:rPr>
          <w:rFonts w:asciiTheme="majorHAnsi" w:hAnsiTheme="majorHAnsi" w:cstheme="majorHAnsi"/>
          <w:b/>
          <w:bCs/>
          <w:u w:val="single"/>
        </w:rPr>
      </w:pPr>
    </w:p>
    <w:p w14:paraId="74703A3A" w14:textId="1076C081" w:rsidR="00C31A7C" w:rsidRDefault="00C31A7C" w:rsidP="00DF11CA">
      <w:pPr>
        <w:jc w:val="center"/>
        <w:rPr>
          <w:rFonts w:asciiTheme="majorHAnsi" w:hAnsiTheme="majorHAnsi" w:cstheme="majorHAnsi"/>
          <w:b/>
          <w:bCs/>
          <w:u w:val="single"/>
        </w:rPr>
      </w:pPr>
    </w:p>
    <w:p w14:paraId="36C3CB0A" w14:textId="1050FEA0" w:rsidR="00C31A7C" w:rsidRDefault="00C31A7C" w:rsidP="00DF11CA">
      <w:pPr>
        <w:jc w:val="center"/>
        <w:rPr>
          <w:rFonts w:asciiTheme="majorHAnsi" w:hAnsiTheme="majorHAnsi" w:cstheme="majorHAnsi"/>
          <w:b/>
          <w:bCs/>
          <w:u w:val="single"/>
        </w:rPr>
      </w:pPr>
    </w:p>
    <w:p w14:paraId="7D8BB56E" w14:textId="77777777" w:rsidR="00C50D8B" w:rsidRDefault="00C50D8B" w:rsidP="00C31A7C">
      <w:pPr>
        <w:rPr>
          <w:rFonts w:asciiTheme="majorHAnsi" w:hAnsiTheme="majorHAnsi" w:cstheme="majorHAnsi"/>
          <w:b/>
          <w:bCs/>
          <w:u w:val="single"/>
        </w:rPr>
      </w:pPr>
    </w:p>
    <w:p w14:paraId="18F33574" w14:textId="77777777" w:rsidR="00C50D8B" w:rsidRDefault="00C50D8B" w:rsidP="00C31A7C">
      <w:pPr>
        <w:rPr>
          <w:rFonts w:asciiTheme="majorHAnsi" w:hAnsiTheme="majorHAnsi" w:cstheme="majorHAnsi"/>
          <w:b/>
          <w:bCs/>
          <w:u w:val="single"/>
        </w:rPr>
      </w:pPr>
    </w:p>
    <w:p w14:paraId="1EB2A123" w14:textId="77777777" w:rsidR="00C50D8B" w:rsidRDefault="00C50D8B" w:rsidP="00C31A7C">
      <w:pPr>
        <w:rPr>
          <w:rFonts w:asciiTheme="majorHAnsi" w:hAnsiTheme="majorHAnsi" w:cstheme="majorHAnsi"/>
          <w:b/>
          <w:bCs/>
          <w:u w:val="single"/>
        </w:rPr>
      </w:pPr>
    </w:p>
    <w:p w14:paraId="6397C3DA" w14:textId="77777777" w:rsidR="003F74FA" w:rsidRDefault="003F74FA" w:rsidP="00C31A7C">
      <w:pPr>
        <w:rPr>
          <w:rFonts w:asciiTheme="majorHAnsi" w:hAnsiTheme="majorHAnsi" w:cstheme="majorHAnsi"/>
          <w:b/>
          <w:bCs/>
          <w:u w:val="single"/>
        </w:rPr>
      </w:pPr>
    </w:p>
    <w:p w14:paraId="7B73BD63" w14:textId="77777777" w:rsidR="003F74FA" w:rsidRDefault="003F74FA" w:rsidP="00C31A7C">
      <w:pPr>
        <w:rPr>
          <w:rFonts w:asciiTheme="majorHAnsi" w:hAnsiTheme="majorHAnsi" w:cstheme="majorHAnsi"/>
          <w:b/>
          <w:bCs/>
          <w:u w:val="single"/>
        </w:rPr>
      </w:pPr>
    </w:p>
    <w:p w14:paraId="7A6D7A27" w14:textId="77777777" w:rsidR="003F74FA" w:rsidRDefault="003F74FA" w:rsidP="00C31A7C">
      <w:pPr>
        <w:rPr>
          <w:rFonts w:asciiTheme="majorHAnsi" w:hAnsiTheme="majorHAnsi" w:cstheme="majorHAnsi"/>
          <w:b/>
          <w:bCs/>
          <w:u w:val="single"/>
        </w:rPr>
      </w:pPr>
    </w:p>
    <w:p w14:paraId="36E1E6A3" w14:textId="77777777" w:rsidR="003F74FA" w:rsidRDefault="003F74FA" w:rsidP="00C31A7C">
      <w:pPr>
        <w:rPr>
          <w:rFonts w:asciiTheme="majorHAnsi" w:hAnsiTheme="majorHAnsi" w:cstheme="majorHAnsi"/>
          <w:b/>
          <w:bCs/>
          <w:u w:val="single"/>
        </w:rPr>
      </w:pPr>
    </w:p>
    <w:p w14:paraId="0E44F840" w14:textId="11A7C205" w:rsidR="00C31A7C" w:rsidRDefault="00AF024D" w:rsidP="00C31A7C">
      <w:pPr>
        <w:rPr>
          <w:rFonts w:asciiTheme="majorHAnsi" w:hAnsiTheme="majorHAnsi" w:cstheme="majorHAnsi"/>
          <w:b/>
          <w:bCs/>
          <w:u w:val="single"/>
        </w:rPr>
      </w:pPr>
      <w:r>
        <w:rPr>
          <w:rFonts w:asciiTheme="majorHAnsi" w:hAnsiTheme="majorHAnsi" w:cstheme="majorHAnsi"/>
          <w:b/>
          <w:bCs/>
          <w:u w:val="single"/>
        </w:rPr>
        <w:t xml:space="preserve">Reference list. </w:t>
      </w:r>
    </w:p>
    <w:p w14:paraId="0EFA236D" w14:textId="2D2DC625" w:rsidR="00C31A7C" w:rsidRDefault="00C31A7C" w:rsidP="00C31A7C">
      <w:pPr>
        <w:rPr>
          <w:rFonts w:asciiTheme="majorHAnsi" w:hAnsiTheme="majorHAnsi" w:cstheme="majorHAnsi"/>
          <w:b/>
          <w:bCs/>
          <w:u w:val="single"/>
        </w:rPr>
      </w:pPr>
    </w:p>
    <w:p w14:paraId="50174019" w14:textId="512C1E5B" w:rsidR="00C31A7C" w:rsidRDefault="00AF024D" w:rsidP="00C31A7C">
      <w:pPr>
        <w:rPr>
          <w:rFonts w:asciiTheme="majorHAnsi" w:hAnsiTheme="majorHAnsi" w:cstheme="majorHAnsi"/>
        </w:rPr>
      </w:pPr>
      <w:r>
        <w:rPr>
          <w:rFonts w:asciiTheme="majorHAnsi" w:hAnsiTheme="majorHAnsi" w:cstheme="majorHAnsi"/>
        </w:rPr>
        <w:t>Atkin, L. (1932),</w:t>
      </w:r>
      <w:r w:rsidR="00BA075A">
        <w:rPr>
          <w:rFonts w:asciiTheme="majorHAnsi" w:hAnsiTheme="majorHAnsi" w:cstheme="majorHAnsi"/>
        </w:rPr>
        <w:t xml:space="preserve"> Judgement following Donoghue v Stevenson (Speech).</w:t>
      </w:r>
      <w:r>
        <w:rPr>
          <w:rFonts w:asciiTheme="majorHAnsi" w:hAnsiTheme="majorHAnsi" w:cstheme="majorHAnsi"/>
        </w:rPr>
        <w:t xml:space="preserve"> </w:t>
      </w:r>
      <w:r w:rsidR="00BA075A">
        <w:rPr>
          <w:rFonts w:asciiTheme="majorHAnsi" w:hAnsiTheme="majorHAnsi" w:cstheme="majorHAnsi"/>
        </w:rPr>
        <w:t>House of Lords, London. 26 May.</w:t>
      </w:r>
    </w:p>
    <w:p w14:paraId="24957961" w14:textId="155E3C6F" w:rsidR="00EA23B2" w:rsidRDefault="00EA23B2" w:rsidP="00C31A7C">
      <w:pPr>
        <w:rPr>
          <w:rFonts w:asciiTheme="majorHAnsi" w:hAnsiTheme="majorHAnsi" w:cstheme="majorHAnsi"/>
        </w:rPr>
      </w:pPr>
    </w:p>
    <w:p w14:paraId="5B4118A8" w14:textId="6A0FF610" w:rsidR="00EA23B2" w:rsidRPr="00EA23B2" w:rsidRDefault="00AF024D" w:rsidP="00C31A7C">
      <w:pPr>
        <w:rPr>
          <w:rFonts w:asciiTheme="majorHAnsi" w:hAnsiTheme="majorHAnsi" w:cstheme="majorHAnsi"/>
        </w:rPr>
      </w:pPr>
      <w:r>
        <w:rPr>
          <w:rFonts w:asciiTheme="majorHAnsi" w:hAnsiTheme="majorHAnsi" w:cstheme="majorHAnsi"/>
        </w:rPr>
        <w:t xml:space="preserve">Bowcott, O. “Opposition MPs Question Need for Chris Grayling’s Social Action Bill,” </w:t>
      </w:r>
      <w:r>
        <w:rPr>
          <w:rFonts w:asciiTheme="majorHAnsi" w:hAnsiTheme="majorHAnsi" w:cstheme="majorHAnsi"/>
          <w:i/>
          <w:iCs/>
        </w:rPr>
        <w:t xml:space="preserve">The Guardian,” </w:t>
      </w:r>
      <w:r>
        <w:rPr>
          <w:rFonts w:asciiTheme="majorHAnsi" w:hAnsiTheme="majorHAnsi" w:cstheme="majorHAnsi"/>
        </w:rPr>
        <w:t xml:space="preserve">Sep. 12, 2014. Accessed: Oct. 20, 2021. (Online). Available: </w:t>
      </w:r>
      <w:hyperlink r:id="rId4" w:history="1">
        <w:r w:rsidRPr="00616FA7">
          <w:rPr>
            <w:rStyle w:val="Hyperlink"/>
            <w:rFonts w:asciiTheme="majorHAnsi" w:hAnsiTheme="majorHAnsi" w:cstheme="majorHAnsi"/>
          </w:rPr>
          <w:t>https://www.theguardian.com/law/2014/sep/12/opposition-mps-question-chris-grayling-sarah-bill-social-action-responsibility-heroism</w:t>
        </w:r>
      </w:hyperlink>
      <w:r>
        <w:rPr>
          <w:rFonts w:asciiTheme="majorHAnsi" w:hAnsiTheme="majorHAnsi" w:cstheme="majorHAnsi"/>
        </w:rPr>
        <w:t xml:space="preserve"> </w:t>
      </w:r>
    </w:p>
    <w:p w14:paraId="797331A4" w14:textId="6EE36373" w:rsidR="00F038C9" w:rsidRDefault="00F038C9" w:rsidP="00C31A7C">
      <w:pPr>
        <w:rPr>
          <w:rFonts w:asciiTheme="majorHAnsi" w:hAnsiTheme="majorHAnsi" w:cstheme="majorHAnsi"/>
        </w:rPr>
      </w:pPr>
    </w:p>
    <w:p w14:paraId="246B33BB" w14:textId="1BF2528A" w:rsidR="001240C8" w:rsidRDefault="00AF024D" w:rsidP="00C31A7C">
      <w:pPr>
        <w:rPr>
          <w:rFonts w:asciiTheme="majorHAnsi" w:hAnsiTheme="majorHAnsi" w:cstheme="majorHAnsi"/>
        </w:rPr>
      </w:pPr>
      <w:r>
        <w:rPr>
          <w:rFonts w:asciiTheme="majorHAnsi" w:hAnsiTheme="majorHAnsi" w:cstheme="majorHAnsi"/>
        </w:rPr>
        <w:t xml:space="preserve">Finch,E. and Fafinski, S. (2021) </w:t>
      </w:r>
      <w:r>
        <w:rPr>
          <w:rFonts w:asciiTheme="majorHAnsi" w:hAnsiTheme="majorHAnsi" w:cstheme="majorHAnsi"/>
          <w:i/>
          <w:iCs/>
        </w:rPr>
        <w:t xml:space="preserve">Tort Law. </w:t>
      </w:r>
      <w:r>
        <w:rPr>
          <w:rFonts w:asciiTheme="majorHAnsi" w:hAnsiTheme="majorHAnsi" w:cstheme="majorHAnsi"/>
        </w:rPr>
        <w:t>8</w:t>
      </w:r>
      <w:r w:rsidRPr="001240C8">
        <w:rPr>
          <w:rFonts w:asciiTheme="majorHAnsi" w:hAnsiTheme="majorHAnsi" w:cstheme="majorHAnsi"/>
          <w:vertAlign w:val="superscript"/>
        </w:rPr>
        <w:t>th</w:t>
      </w:r>
      <w:r>
        <w:rPr>
          <w:rFonts w:asciiTheme="majorHAnsi" w:hAnsiTheme="majorHAnsi" w:cstheme="majorHAnsi"/>
        </w:rPr>
        <w:t xml:space="preserve"> edn. Harlow: Pearson Educ</w:t>
      </w:r>
      <w:r>
        <w:rPr>
          <w:rFonts w:asciiTheme="majorHAnsi" w:hAnsiTheme="majorHAnsi" w:cstheme="majorHAnsi"/>
        </w:rPr>
        <w:t xml:space="preserve">ation Limited. </w:t>
      </w:r>
    </w:p>
    <w:p w14:paraId="3A5527C0" w14:textId="6FE2C800" w:rsidR="007D3AC3" w:rsidRDefault="007D3AC3" w:rsidP="00C31A7C">
      <w:pPr>
        <w:rPr>
          <w:rFonts w:asciiTheme="majorHAnsi" w:hAnsiTheme="majorHAnsi" w:cstheme="majorHAnsi"/>
        </w:rPr>
      </w:pPr>
    </w:p>
    <w:p w14:paraId="6A1FA906" w14:textId="296DC061" w:rsidR="007D3AC3" w:rsidRDefault="00AF024D" w:rsidP="00C31A7C">
      <w:pPr>
        <w:rPr>
          <w:rFonts w:asciiTheme="majorHAnsi" w:hAnsiTheme="majorHAnsi" w:cstheme="majorHAnsi"/>
        </w:rPr>
      </w:pPr>
      <w:r>
        <w:rPr>
          <w:rFonts w:asciiTheme="majorHAnsi" w:hAnsiTheme="majorHAnsi" w:cstheme="majorHAnsi"/>
        </w:rPr>
        <w:t>Harpwood, V. (1996) ‘Medical Negligence: A Chink in the Armour of the Bolam Test?’, 64(4), pp. 179 – 185.</w:t>
      </w:r>
    </w:p>
    <w:p w14:paraId="7885CB6A" w14:textId="77777777" w:rsidR="001240C8" w:rsidRPr="001240C8" w:rsidRDefault="001240C8" w:rsidP="00C31A7C">
      <w:pPr>
        <w:rPr>
          <w:rFonts w:asciiTheme="majorHAnsi" w:hAnsiTheme="majorHAnsi" w:cstheme="majorHAnsi"/>
        </w:rPr>
      </w:pPr>
    </w:p>
    <w:p w14:paraId="7E284E18" w14:textId="14B7B4AE" w:rsidR="00F038C9" w:rsidRDefault="00AF024D" w:rsidP="00C31A7C">
      <w:pPr>
        <w:rPr>
          <w:rFonts w:asciiTheme="majorHAnsi" w:hAnsiTheme="majorHAnsi" w:cstheme="majorHAnsi"/>
        </w:rPr>
      </w:pPr>
      <w:r>
        <w:rPr>
          <w:rFonts w:asciiTheme="majorHAnsi" w:hAnsiTheme="majorHAnsi" w:cstheme="majorHAnsi"/>
        </w:rPr>
        <w:t xml:space="preserve">Nolan, D. (2013), ‘Varying the Standard of care in Negligence’, </w:t>
      </w:r>
      <w:r w:rsidR="0007058C">
        <w:rPr>
          <w:rFonts w:asciiTheme="majorHAnsi" w:hAnsiTheme="majorHAnsi" w:cstheme="majorHAnsi"/>
          <w:i/>
          <w:iCs/>
        </w:rPr>
        <w:t xml:space="preserve">The Cambridge Law Journal, </w:t>
      </w:r>
      <w:r w:rsidR="0007058C">
        <w:rPr>
          <w:rFonts w:asciiTheme="majorHAnsi" w:hAnsiTheme="majorHAnsi" w:cstheme="majorHAnsi"/>
        </w:rPr>
        <w:t xml:space="preserve">72(3), pp. 651 – 688. </w:t>
      </w:r>
      <w:r>
        <w:rPr>
          <w:rFonts w:asciiTheme="majorHAnsi" w:hAnsiTheme="majorHAnsi" w:cstheme="majorHAnsi"/>
        </w:rPr>
        <w:t xml:space="preserve"> </w:t>
      </w:r>
    </w:p>
    <w:p w14:paraId="669B44FC" w14:textId="6DB26637" w:rsidR="00484062" w:rsidRDefault="00484062" w:rsidP="00C31A7C">
      <w:pPr>
        <w:rPr>
          <w:rFonts w:asciiTheme="majorHAnsi" w:hAnsiTheme="majorHAnsi" w:cstheme="majorHAnsi"/>
        </w:rPr>
      </w:pPr>
    </w:p>
    <w:p w14:paraId="700830AE" w14:textId="5FA23B45" w:rsidR="00484062" w:rsidRDefault="00AF024D" w:rsidP="00C31A7C">
      <w:pPr>
        <w:rPr>
          <w:rFonts w:asciiTheme="majorHAnsi" w:hAnsiTheme="majorHAnsi" w:cstheme="majorHAnsi"/>
        </w:rPr>
      </w:pPr>
      <w:r>
        <w:rPr>
          <w:rFonts w:asciiTheme="majorHAnsi" w:hAnsiTheme="majorHAnsi" w:cstheme="majorHAnsi"/>
        </w:rPr>
        <w:t>Steele, J. (2017</w:t>
      </w:r>
      <w:r>
        <w:rPr>
          <w:rFonts w:asciiTheme="majorHAnsi" w:hAnsiTheme="majorHAnsi" w:cstheme="majorHAnsi"/>
        </w:rPr>
        <w:t xml:space="preserve">), </w:t>
      </w:r>
      <w:r w:rsidRPr="00484062">
        <w:rPr>
          <w:rFonts w:asciiTheme="majorHAnsi" w:hAnsiTheme="majorHAnsi" w:cstheme="majorHAnsi"/>
          <w:i/>
          <w:iCs/>
        </w:rPr>
        <w:t>'Tort Law Text, Cases and Materials'</w:t>
      </w:r>
      <w:r>
        <w:rPr>
          <w:rFonts w:asciiTheme="majorHAnsi" w:hAnsiTheme="majorHAnsi" w:cstheme="majorHAnsi"/>
        </w:rPr>
        <w:t>. 5</w:t>
      </w:r>
      <w:r w:rsidRPr="00484062">
        <w:rPr>
          <w:rFonts w:asciiTheme="majorHAnsi" w:hAnsiTheme="majorHAnsi" w:cstheme="majorHAnsi"/>
          <w:vertAlign w:val="superscript"/>
        </w:rPr>
        <w:t>th</w:t>
      </w:r>
      <w:r>
        <w:rPr>
          <w:rFonts w:asciiTheme="majorHAnsi" w:hAnsiTheme="majorHAnsi" w:cstheme="majorHAnsi"/>
        </w:rPr>
        <w:t xml:space="preserve"> edn. Oxford: Oxford University Press. </w:t>
      </w:r>
    </w:p>
    <w:p w14:paraId="34EF3465" w14:textId="57B9E819" w:rsidR="00C31A7C" w:rsidRDefault="00C31A7C" w:rsidP="00C31A7C">
      <w:pPr>
        <w:rPr>
          <w:rFonts w:asciiTheme="majorHAnsi" w:hAnsiTheme="majorHAnsi" w:cstheme="majorHAnsi"/>
        </w:rPr>
      </w:pPr>
    </w:p>
    <w:p w14:paraId="016C82BD" w14:textId="77777777" w:rsidR="00C31A7C" w:rsidRPr="00C31A7C" w:rsidRDefault="00C31A7C" w:rsidP="00C31A7C">
      <w:pPr>
        <w:rPr>
          <w:rFonts w:asciiTheme="majorHAnsi" w:hAnsiTheme="majorHAnsi" w:cstheme="majorHAnsi"/>
        </w:rPr>
      </w:pPr>
    </w:p>
    <w:p w14:paraId="07B1B5F0" w14:textId="3947FE26" w:rsidR="00DF11CA" w:rsidRDefault="00AF024D" w:rsidP="00AF0D1F">
      <w:pPr>
        <w:jc w:val="both"/>
        <w:rPr>
          <w:rFonts w:asciiTheme="majorHAnsi" w:hAnsiTheme="majorHAnsi" w:cstheme="majorHAnsi"/>
          <w:b/>
          <w:bCs/>
          <w:u w:val="single"/>
        </w:rPr>
      </w:pPr>
      <w:r>
        <w:rPr>
          <w:rFonts w:asciiTheme="majorHAnsi" w:hAnsiTheme="majorHAnsi" w:cstheme="majorHAnsi"/>
          <w:b/>
          <w:bCs/>
          <w:u w:val="single"/>
        </w:rPr>
        <w:t xml:space="preserve">Case Law and Legislation </w:t>
      </w:r>
    </w:p>
    <w:p w14:paraId="19EDC967" w14:textId="525446D7" w:rsidR="003F74FA" w:rsidRDefault="003F74FA" w:rsidP="00AF0D1F">
      <w:pPr>
        <w:jc w:val="both"/>
        <w:rPr>
          <w:rFonts w:asciiTheme="majorHAnsi" w:hAnsiTheme="majorHAnsi" w:cstheme="majorHAnsi"/>
          <w:b/>
          <w:bCs/>
          <w:u w:val="single"/>
        </w:rPr>
      </w:pPr>
    </w:p>
    <w:p w14:paraId="062E7875" w14:textId="6D135DC8" w:rsidR="003F74FA" w:rsidRPr="003F74FA" w:rsidRDefault="00AF024D" w:rsidP="00AF0D1F">
      <w:pPr>
        <w:jc w:val="both"/>
        <w:rPr>
          <w:rFonts w:asciiTheme="majorHAnsi" w:hAnsiTheme="majorHAnsi" w:cstheme="majorHAnsi"/>
        </w:rPr>
      </w:pPr>
      <w:r>
        <w:rPr>
          <w:rFonts w:asciiTheme="majorHAnsi" w:hAnsiTheme="majorHAnsi" w:cstheme="majorHAnsi"/>
        </w:rPr>
        <w:t>Baker v T E Hopkins &amp; Son LTD (1959) 1 WLR 966 (CA)</w:t>
      </w:r>
    </w:p>
    <w:p w14:paraId="508E775A" w14:textId="04859E6D" w:rsidR="007F1228" w:rsidRDefault="007F1228" w:rsidP="00AF0D1F">
      <w:pPr>
        <w:jc w:val="both"/>
        <w:rPr>
          <w:rFonts w:asciiTheme="majorHAnsi" w:hAnsiTheme="majorHAnsi" w:cstheme="majorHAnsi"/>
          <w:b/>
          <w:bCs/>
          <w:u w:val="single"/>
        </w:rPr>
      </w:pPr>
    </w:p>
    <w:p w14:paraId="151B7033" w14:textId="3B2EF329" w:rsidR="007F1228" w:rsidRDefault="00AF024D" w:rsidP="00AF0D1F">
      <w:pPr>
        <w:jc w:val="both"/>
        <w:rPr>
          <w:rFonts w:asciiTheme="majorHAnsi" w:hAnsiTheme="majorHAnsi" w:cstheme="majorHAnsi"/>
        </w:rPr>
      </w:pPr>
      <w:r>
        <w:rPr>
          <w:rFonts w:asciiTheme="majorHAnsi" w:hAnsiTheme="majorHAnsi" w:cstheme="majorHAnsi"/>
        </w:rPr>
        <w:t>Blyth v Birmingham Waterworks (1856) 11 Exch 781</w:t>
      </w:r>
    </w:p>
    <w:p w14:paraId="13333374" w14:textId="2E49AE87" w:rsidR="00994C25" w:rsidRDefault="00994C25" w:rsidP="00AF0D1F">
      <w:pPr>
        <w:jc w:val="both"/>
        <w:rPr>
          <w:rFonts w:asciiTheme="majorHAnsi" w:hAnsiTheme="majorHAnsi" w:cstheme="majorHAnsi"/>
        </w:rPr>
      </w:pPr>
    </w:p>
    <w:p w14:paraId="5BB92C29" w14:textId="7B1BC090" w:rsidR="00994C25" w:rsidRDefault="00AF024D" w:rsidP="00AF0D1F">
      <w:pPr>
        <w:jc w:val="both"/>
        <w:rPr>
          <w:rFonts w:asciiTheme="majorHAnsi" w:hAnsiTheme="majorHAnsi" w:cstheme="majorHAnsi"/>
        </w:rPr>
      </w:pPr>
      <w:r>
        <w:rPr>
          <w:rFonts w:asciiTheme="majorHAnsi" w:hAnsiTheme="majorHAnsi" w:cstheme="majorHAnsi"/>
        </w:rPr>
        <w:t xml:space="preserve">Bolam v Friern Hospital </w:t>
      </w:r>
      <w:r>
        <w:rPr>
          <w:rFonts w:asciiTheme="majorHAnsi" w:hAnsiTheme="majorHAnsi" w:cstheme="majorHAnsi"/>
        </w:rPr>
        <w:t>Management Committee (1957) 1 WLR 582</w:t>
      </w:r>
    </w:p>
    <w:p w14:paraId="6808B08F" w14:textId="306A3E88" w:rsidR="00E97B47" w:rsidRDefault="00E97B47" w:rsidP="00AF0D1F">
      <w:pPr>
        <w:jc w:val="both"/>
        <w:rPr>
          <w:rFonts w:asciiTheme="majorHAnsi" w:hAnsiTheme="majorHAnsi" w:cstheme="majorHAnsi"/>
        </w:rPr>
      </w:pPr>
    </w:p>
    <w:p w14:paraId="76EDC66A" w14:textId="4E39B836" w:rsidR="00E97B47" w:rsidRPr="007F1228" w:rsidRDefault="00AF024D" w:rsidP="00AF0D1F">
      <w:pPr>
        <w:jc w:val="both"/>
        <w:rPr>
          <w:rFonts w:asciiTheme="majorHAnsi" w:hAnsiTheme="majorHAnsi" w:cstheme="majorHAnsi"/>
        </w:rPr>
      </w:pPr>
      <w:r>
        <w:rPr>
          <w:rFonts w:asciiTheme="majorHAnsi" w:hAnsiTheme="majorHAnsi" w:cstheme="majorHAnsi"/>
        </w:rPr>
        <w:t>Darnley v Croyden Health Services NHS Trust (2018) UKSC 50</w:t>
      </w:r>
    </w:p>
    <w:p w14:paraId="318AAC60" w14:textId="3003B8B7" w:rsidR="00AF0D1F" w:rsidRDefault="00AF0D1F" w:rsidP="00AF0D1F">
      <w:pPr>
        <w:jc w:val="both"/>
        <w:rPr>
          <w:rFonts w:asciiTheme="majorHAnsi" w:hAnsiTheme="majorHAnsi" w:cstheme="majorHAnsi"/>
          <w:b/>
          <w:bCs/>
          <w:u w:val="single"/>
        </w:rPr>
      </w:pPr>
    </w:p>
    <w:p w14:paraId="19D21628" w14:textId="35B28FD7" w:rsidR="00AF0D1F" w:rsidRDefault="00AF024D" w:rsidP="00AF0D1F">
      <w:pPr>
        <w:jc w:val="both"/>
        <w:rPr>
          <w:rFonts w:asciiTheme="majorHAnsi" w:hAnsiTheme="majorHAnsi" w:cstheme="majorHAnsi"/>
        </w:rPr>
      </w:pPr>
      <w:r>
        <w:rPr>
          <w:rFonts w:asciiTheme="majorHAnsi" w:hAnsiTheme="majorHAnsi" w:cstheme="majorHAnsi"/>
        </w:rPr>
        <w:t>Donoghue v Stevenson (1932) UKHL 100</w:t>
      </w:r>
    </w:p>
    <w:p w14:paraId="1E450B51" w14:textId="59CFDE98" w:rsidR="006A521C" w:rsidRDefault="006A521C" w:rsidP="00AF0D1F">
      <w:pPr>
        <w:jc w:val="both"/>
        <w:rPr>
          <w:rFonts w:asciiTheme="majorHAnsi" w:hAnsiTheme="majorHAnsi" w:cstheme="majorHAnsi"/>
        </w:rPr>
      </w:pPr>
    </w:p>
    <w:p w14:paraId="169B4197" w14:textId="4EDF6088" w:rsidR="006A521C" w:rsidRDefault="00AF024D" w:rsidP="00AF0D1F">
      <w:pPr>
        <w:jc w:val="both"/>
        <w:rPr>
          <w:rFonts w:asciiTheme="majorHAnsi" w:hAnsiTheme="majorHAnsi" w:cstheme="majorHAnsi"/>
        </w:rPr>
      </w:pPr>
      <w:r>
        <w:rPr>
          <w:rFonts w:asciiTheme="majorHAnsi" w:hAnsiTheme="majorHAnsi" w:cstheme="majorHAnsi"/>
        </w:rPr>
        <w:t>Dunnage v Randall &amp; Another (2015) EWCA Civ 673</w:t>
      </w:r>
    </w:p>
    <w:p w14:paraId="6A871CF7" w14:textId="5C6F2E95" w:rsidR="009061FD" w:rsidRDefault="009061FD" w:rsidP="00AF0D1F">
      <w:pPr>
        <w:jc w:val="both"/>
        <w:rPr>
          <w:rFonts w:asciiTheme="majorHAnsi" w:hAnsiTheme="majorHAnsi" w:cstheme="majorHAnsi"/>
        </w:rPr>
      </w:pPr>
    </w:p>
    <w:p w14:paraId="305AF7D3" w14:textId="282D70D5" w:rsidR="009061FD" w:rsidRDefault="00AF024D" w:rsidP="00AF0D1F">
      <w:pPr>
        <w:jc w:val="both"/>
        <w:rPr>
          <w:rFonts w:asciiTheme="majorHAnsi" w:hAnsiTheme="majorHAnsi" w:cstheme="majorHAnsi"/>
        </w:rPr>
      </w:pPr>
      <w:r>
        <w:rPr>
          <w:rFonts w:asciiTheme="majorHAnsi" w:hAnsiTheme="majorHAnsi" w:cstheme="majorHAnsi"/>
        </w:rPr>
        <w:t>Gough v Thorne (1966) 1 WLR 1387 (CA)</w:t>
      </w:r>
    </w:p>
    <w:p w14:paraId="19454D94" w14:textId="12BDE2F0" w:rsidR="004116BD" w:rsidRDefault="004116BD" w:rsidP="00AF0D1F">
      <w:pPr>
        <w:jc w:val="both"/>
        <w:rPr>
          <w:rFonts w:asciiTheme="majorHAnsi" w:hAnsiTheme="majorHAnsi" w:cstheme="majorHAnsi"/>
        </w:rPr>
      </w:pPr>
    </w:p>
    <w:p w14:paraId="19B7BF32" w14:textId="27B9C8D4" w:rsidR="004116BD" w:rsidRDefault="00AF024D" w:rsidP="00AF0D1F">
      <w:pPr>
        <w:jc w:val="both"/>
        <w:rPr>
          <w:rFonts w:asciiTheme="majorHAnsi" w:hAnsiTheme="majorHAnsi" w:cstheme="majorHAnsi"/>
        </w:rPr>
      </w:pPr>
      <w:r>
        <w:rPr>
          <w:rFonts w:asciiTheme="majorHAnsi" w:hAnsiTheme="majorHAnsi" w:cstheme="majorHAnsi"/>
        </w:rPr>
        <w:t xml:space="preserve">Haley v London </w:t>
      </w:r>
      <w:r>
        <w:rPr>
          <w:rFonts w:asciiTheme="majorHAnsi" w:hAnsiTheme="majorHAnsi" w:cstheme="majorHAnsi"/>
        </w:rPr>
        <w:t>Electricity Board (1965) AC 778 (HL)</w:t>
      </w:r>
    </w:p>
    <w:p w14:paraId="11244586" w14:textId="378BD76F" w:rsidR="007757C0" w:rsidRDefault="007757C0" w:rsidP="00AF0D1F">
      <w:pPr>
        <w:jc w:val="both"/>
        <w:rPr>
          <w:rFonts w:asciiTheme="majorHAnsi" w:hAnsiTheme="majorHAnsi" w:cstheme="majorHAnsi"/>
        </w:rPr>
      </w:pPr>
    </w:p>
    <w:p w14:paraId="0AD4882E" w14:textId="0967B9FA" w:rsidR="007757C0" w:rsidRDefault="00AF024D" w:rsidP="00AF0D1F">
      <w:pPr>
        <w:jc w:val="both"/>
        <w:rPr>
          <w:rFonts w:asciiTheme="majorHAnsi" w:hAnsiTheme="majorHAnsi" w:cstheme="majorHAnsi"/>
        </w:rPr>
      </w:pPr>
      <w:r>
        <w:rPr>
          <w:rFonts w:asciiTheme="majorHAnsi" w:hAnsiTheme="majorHAnsi" w:cstheme="majorHAnsi"/>
        </w:rPr>
        <w:t>Hall v Brooklands (1933) 1 KB 205</w:t>
      </w:r>
      <w:r>
        <w:rPr>
          <w:rFonts w:asciiTheme="majorHAnsi" w:hAnsiTheme="majorHAnsi" w:cstheme="majorHAnsi"/>
        </w:rPr>
        <w:tab/>
      </w:r>
    </w:p>
    <w:p w14:paraId="6B5672DA" w14:textId="6E80F686" w:rsidR="007266F5" w:rsidRDefault="007266F5" w:rsidP="00AF0D1F">
      <w:pPr>
        <w:jc w:val="both"/>
        <w:rPr>
          <w:rFonts w:asciiTheme="majorHAnsi" w:hAnsiTheme="majorHAnsi" w:cstheme="majorHAnsi"/>
        </w:rPr>
      </w:pPr>
    </w:p>
    <w:p w14:paraId="647E7115" w14:textId="32E99531" w:rsidR="007266F5" w:rsidRDefault="00AF024D" w:rsidP="00AF0D1F">
      <w:pPr>
        <w:jc w:val="both"/>
        <w:rPr>
          <w:rFonts w:asciiTheme="majorHAnsi" w:hAnsiTheme="majorHAnsi" w:cstheme="majorHAnsi"/>
        </w:rPr>
      </w:pPr>
      <w:r>
        <w:rPr>
          <w:rFonts w:asciiTheme="majorHAnsi" w:hAnsiTheme="majorHAnsi" w:cstheme="majorHAnsi"/>
        </w:rPr>
        <w:t>Nettleship v Weston (1971) 2 QB 691 (CA)</w:t>
      </w:r>
    </w:p>
    <w:p w14:paraId="460D563C" w14:textId="08B2290C" w:rsidR="00744F54" w:rsidRDefault="00744F54" w:rsidP="00AF0D1F">
      <w:pPr>
        <w:jc w:val="both"/>
        <w:rPr>
          <w:rFonts w:asciiTheme="majorHAnsi" w:hAnsiTheme="majorHAnsi" w:cstheme="majorHAnsi"/>
        </w:rPr>
      </w:pPr>
    </w:p>
    <w:p w14:paraId="35DD5E64" w14:textId="3BDDA60B" w:rsidR="00744F54" w:rsidRDefault="00AF024D" w:rsidP="00AF0D1F">
      <w:pPr>
        <w:jc w:val="both"/>
        <w:rPr>
          <w:rFonts w:asciiTheme="majorHAnsi" w:hAnsiTheme="majorHAnsi" w:cstheme="majorHAnsi"/>
        </w:rPr>
      </w:pPr>
      <w:r>
        <w:rPr>
          <w:rFonts w:asciiTheme="majorHAnsi" w:hAnsiTheme="majorHAnsi" w:cstheme="majorHAnsi"/>
        </w:rPr>
        <w:t>Mansfield v Weetabix (1997) EWCA Civ 1352</w:t>
      </w:r>
    </w:p>
    <w:p w14:paraId="3E25E9F9" w14:textId="4F8DC149" w:rsidR="00C50D8B" w:rsidRDefault="00C50D8B" w:rsidP="00AF0D1F">
      <w:pPr>
        <w:jc w:val="both"/>
        <w:rPr>
          <w:rFonts w:asciiTheme="majorHAnsi" w:hAnsiTheme="majorHAnsi" w:cstheme="majorHAnsi"/>
        </w:rPr>
      </w:pPr>
    </w:p>
    <w:p w14:paraId="0C3CE078" w14:textId="4C00022F" w:rsidR="00C50D8B" w:rsidRDefault="00AF024D" w:rsidP="00AF0D1F">
      <w:pPr>
        <w:jc w:val="both"/>
        <w:rPr>
          <w:rFonts w:asciiTheme="majorHAnsi" w:hAnsiTheme="majorHAnsi" w:cstheme="majorHAnsi"/>
        </w:rPr>
      </w:pPr>
      <w:r>
        <w:rPr>
          <w:rFonts w:asciiTheme="majorHAnsi" w:hAnsiTheme="majorHAnsi" w:cstheme="majorHAnsi"/>
        </w:rPr>
        <w:t>Mullin v Richards (1998) 1 WLR 1304 (CA)</w:t>
      </w:r>
    </w:p>
    <w:p w14:paraId="3760B146" w14:textId="137D88FF" w:rsidR="00F627F2" w:rsidRDefault="00F627F2" w:rsidP="00AF0D1F">
      <w:pPr>
        <w:jc w:val="both"/>
        <w:rPr>
          <w:rFonts w:asciiTheme="majorHAnsi" w:hAnsiTheme="majorHAnsi" w:cstheme="majorHAnsi"/>
        </w:rPr>
      </w:pPr>
    </w:p>
    <w:p w14:paraId="6FB6DB86" w14:textId="6C56B220" w:rsidR="00F627F2" w:rsidRDefault="00AF024D" w:rsidP="00AF0D1F">
      <w:pPr>
        <w:jc w:val="both"/>
        <w:rPr>
          <w:rFonts w:asciiTheme="majorHAnsi" w:hAnsiTheme="majorHAnsi" w:cstheme="majorHAnsi"/>
        </w:rPr>
      </w:pPr>
      <w:r>
        <w:rPr>
          <w:rFonts w:asciiTheme="majorHAnsi" w:hAnsiTheme="majorHAnsi" w:cstheme="majorHAnsi"/>
        </w:rPr>
        <w:t>Orchard v Lee (2009) EWCA 295</w:t>
      </w:r>
    </w:p>
    <w:p w14:paraId="54FC63C5" w14:textId="718C6264" w:rsidR="00E867FB" w:rsidRDefault="00E867FB" w:rsidP="00AF0D1F">
      <w:pPr>
        <w:jc w:val="both"/>
        <w:rPr>
          <w:rFonts w:asciiTheme="majorHAnsi" w:hAnsiTheme="majorHAnsi" w:cstheme="majorHAnsi"/>
        </w:rPr>
      </w:pPr>
    </w:p>
    <w:p w14:paraId="00B48594" w14:textId="28752ECC" w:rsidR="005A2A29" w:rsidRDefault="00AF024D" w:rsidP="00AF0D1F">
      <w:pPr>
        <w:jc w:val="both"/>
        <w:rPr>
          <w:rFonts w:asciiTheme="majorHAnsi" w:hAnsiTheme="majorHAnsi" w:cstheme="majorHAnsi"/>
        </w:rPr>
      </w:pPr>
      <w:r>
        <w:rPr>
          <w:rFonts w:asciiTheme="majorHAnsi" w:hAnsiTheme="majorHAnsi" w:cstheme="majorHAnsi"/>
        </w:rPr>
        <w:t xml:space="preserve">Paris v Stepney Borough </w:t>
      </w:r>
      <w:r>
        <w:rPr>
          <w:rFonts w:asciiTheme="majorHAnsi" w:hAnsiTheme="majorHAnsi" w:cstheme="majorHAnsi"/>
        </w:rPr>
        <w:t>Council (1951) AC 367 (HL)</w:t>
      </w:r>
    </w:p>
    <w:p w14:paraId="018BCA17" w14:textId="6AD479A1" w:rsidR="005A2A29" w:rsidRDefault="005A2A29" w:rsidP="00AF0D1F">
      <w:pPr>
        <w:jc w:val="both"/>
        <w:rPr>
          <w:rFonts w:asciiTheme="majorHAnsi" w:hAnsiTheme="majorHAnsi" w:cstheme="majorHAnsi"/>
        </w:rPr>
      </w:pPr>
    </w:p>
    <w:p w14:paraId="744B108E" w14:textId="08E74BA5" w:rsidR="005A2A29" w:rsidRDefault="00AF024D" w:rsidP="00AF0D1F">
      <w:pPr>
        <w:jc w:val="both"/>
        <w:rPr>
          <w:rFonts w:asciiTheme="majorHAnsi" w:hAnsiTheme="majorHAnsi" w:cstheme="majorHAnsi"/>
        </w:rPr>
      </w:pPr>
      <w:r>
        <w:rPr>
          <w:rFonts w:asciiTheme="majorHAnsi" w:hAnsiTheme="majorHAnsi" w:cstheme="majorHAnsi"/>
        </w:rPr>
        <w:t xml:space="preserve">Roe v Minister of Health (1954) 2 WLR 915 </w:t>
      </w:r>
    </w:p>
    <w:p w14:paraId="1474B416" w14:textId="5C2D67BD" w:rsidR="000A27CB" w:rsidRDefault="000A27CB" w:rsidP="00AF0D1F">
      <w:pPr>
        <w:jc w:val="both"/>
        <w:rPr>
          <w:rFonts w:asciiTheme="majorHAnsi" w:hAnsiTheme="majorHAnsi" w:cstheme="majorHAnsi"/>
        </w:rPr>
      </w:pPr>
    </w:p>
    <w:p w14:paraId="54F19CE5" w14:textId="0A6A7C67" w:rsidR="000A27CB" w:rsidRDefault="00AF024D" w:rsidP="00AF0D1F">
      <w:pPr>
        <w:jc w:val="both"/>
        <w:rPr>
          <w:rFonts w:asciiTheme="majorHAnsi" w:hAnsiTheme="majorHAnsi" w:cstheme="majorHAnsi"/>
        </w:rPr>
      </w:pPr>
      <w:r>
        <w:rPr>
          <w:rFonts w:asciiTheme="majorHAnsi" w:hAnsiTheme="majorHAnsi" w:cstheme="majorHAnsi"/>
        </w:rPr>
        <w:t>Smith &amp; others v Littlewoods organisation LTD (1987) AC 241</w:t>
      </w:r>
    </w:p>
    <w:p w14:paraId="32333C88" w14:textId="3F659588" w:rsidR="00FF4A68" w:rsidRDefault="00FF4A68" w:rsidP="00AF0D1F">
      <w:pPr>
        <w:jc w:val="both"/>
        <w:rPr>
          <w:rFonts w:asciiTheme="majorHAnsi" w:hAnsiTheme="majorHAnsi" w:cstheme="majorHAnsi"/>
        </w:rPr>
      </w:pPr>
    </w:p>
    <w:p w14:paraId="536EC86C" w14:textId="0701262E" w:rsidR="00484062" w:rsidRDefault="00AF024D" w:rsidP="00484062">
      <w:pPr>
        <w:jc w:val="both"/>
        <w:rPr>
          <w:rFonts w:asciiTheme="majorHAnsi" w:hAnsiTheme="majorHAnsi" w:cstheme="majorHAnsi"/>
        </w:rPr>
      </w:pPr>
      <w:r>
        <w:rPr>
          <w:rFonts w:asciiTheme="majorHAnsi" w:hAnsiTheme="majorHAnsi" w:cstheme="majorHAnsi"/>
        </w:rPr>
        <w:t>Overseas Tankship (UK) Ltd v The Miller Steamship Co (The Wagon Mound No 2’) (1967) 1 AC 617</w:t>
      </w:r>
    </w:p>
    <w:p w14:paraId="37264D43" w14:textId="77777777" w:rsidR="00484062" w:rsidRDefault="00484062" w:rsidP="00AF0D1F">
      <w:pPr>
        <w:jc w:val="both"/>
        <w:rPr>
          <w:rFonts w:asciiTheme="majorHAnsi" w:hAnsiTheme="majorHAnsi" w:cstheme="majorHAnsi"/>
        </w:rPr>
      </w:pPr>
    </w:p>
    <w:p w14:paraId="658DB7C6" w14:textId="0EECB8E5" w:rsidR="00FF4A68" w:rsidRDefault="00AF024D" w:rsidP="00AF0D1F">
      <w:pPr>
        <w:jc w:val="both"/>
        <w:rPr>
          <w:rFonts w:asciiTheme="majorHAnsi" w:hAnsiTheme="majorHAnsi" w:cstheme="majorHAnsi"/>
        </w:rPr>
      </w:pPr>
      <w:r>
        <w:rPr>
          <w:rFonts w:asciiTheme="majorHAnsi" w:hAnsiTheme="majorHAnsi" w:cstheme="majorHAnsi"/>
        </w:rPr>
        <w:t xml:space="preserve">Watt v </w:t>
      </w:r>
      <w:r>
        <w:rPr>
          <w:rFonts w:asciiTheme="majorHAnsi" w:hAnsiTheme="majorHAnsi" w:cstheme="majorHAnsi"/>
        </w:rPr>
        <w:t>Hertfordshire (1954) 1 WLR 835</w:t>
      </w:r>
    </w:p>
    <w:p w14:paraId="682C6F43" w14:textId="0BB5524E" w:rsidR="003F74FA" w:rsidRDefault="003F74FA" w:rsidP="00AF0D1F">
      <w:pPr>
        <w:jc w:val="both"/>
        <w:rPr>
          <w:rFonts w:asciiTheme="majorHAnsi" w:hAnsiTheme="majorHAnsi" w:cstheme="majorHAnsi"/>
        </w:rPr>
      </w:pPr>
    </w:p>
    <w:p w14:paraId="46234291" w14:textId="0CAB0148" w:rsidR="003F74FA" w:rsidRDefault="00AF024D" w:rsidP="00AF0D1F">
      <w:pPr>
        <w:jc w:val="both"/>
        <w:rPr>
          <w:rFonts w:asciiTheme="majorHAnsi" w:hAnsiTheme="majorHAnsi" w:cstheme="majorHAnsi"/>
        </w:rPr>
      </w:pPr>
      <w:r>
        <w:rPr>
          <w:rFonts w:asciiTheme="majorHAnsi" w:hAnsiTheme="majorHAnsi" w:cstheme="majorHAnsi"/>
        </w:rPr>
        <w:t>White v Chief Constable of South Yorkshire Police (1999) 2 AC 455 (HL)</w:t>
      </w:r>
    </w:p>
    <w:p w14:paraId="68E3EEF5" w14:textId="0B532185" w:rsidR="007266F5" w:rsidRDefault="007266F5" w:rsidP="00AF0D1F">
      <w:pPr>
        <w:jc w:val="both"/>
        <w:rPr>
          <w:rFonts w:asciiTheme="majorHAnsi" w:hAnsiTheme="majorHAnsi" w:cstheme="majorHAnsi"/>
        </w:rPr>
      </w:pPr>
    </w:p>
    <w:p w14:paraId="0F39B01B" w14:textId="43EAA503" w:rsidR="007266F5" w:rsidRDefault="00AF024D" w:rsidP="00AF0D1F">
      <w:pPr>
        <w:jc w:val="both"/>
        <w:rPr>
          <w:rFonts w:asciiTheme="majorHAnsi" w:hAnsiTheme="majorHAnsi" w:cstheme="majorHAnsi"/>
        </w:rPr>
      </w:pPr>
      <w:r>
        <w:rPr>
          <w:rFonts w:asciiTheme="majorHAnsi" w:hAnsiTheme="majorHAnsi" w:cstheme="majorHAnsi"/>
        </w:rPr>
        <w:t>Wilsher v Essex Area Health Authority (1987) QB 730 (CA)</w:t>
      </w:r>
    </w:p>
    <w:p w14:paraId="1BC94101" w14:textId="12CF7FD5" w:rsidR="009E7998" w:rsidRDefault="009E7998" w:rsidP="00AF0D1F">
      <w:pPr>
        <w:jc w:val="both"/>
        <w:rPr>
          <w:rFonts w:asciiTheme="majorHAnsi" w:hAnsiTheme="majorHAnsi" w:cstheme="majorHAnsi"/>
        </w:rPr>
      </w:pPr>
    </w:p>
    <w:p w14:paraId="3D67D842" w14:textId="630BF729" w:rsidR="009E7998" w:rsidRDefault="00AF024D" w:rsidP="00AF0D1F">
      <w:pPr>
        <w:jc w:val="both"/>
        <w:rPr>
          <w:rFonts w:asciiTheme="majorHAnsi" w:hAnsiTheme="majorHAnsi" w:cstheme="majorHAnsi"/>
        </w:rPr>
      </w:pPr>
      <w:r>
        <w:rPr>
          <w:rFonts w:asciiTheme="majorHAnsi" w:hAnsiTheme="majorHAnsi" w:cstheme="majorHAnsi"/>
        </w:rPr>
        <w:t>Wooldridge v Sumner (1963) 2 QB 43 (CA)</w:t>
      </w:r>
    </w:p>
    <w:p w14:paraId="5D15C5B8" w14:textId="274F1E47" w:rsidR="00EA23B2" w:rsidRDefault="00EA23B2" w:rsidP="00AF0D1F">
      <w:pPr>
        <w:jc w:val="both"/>
        <w:rPr>
          <w:rFonts w:asciiTheme="majorHAnsi" w:hAnsiTheme="majorHAnsi" w:cstheme="majorHAnsi"/>
        </w:rPr>
      </w:pPr>
    </w:p>
    <w:p w14:paraId="21495BFE" w14:textId="6FD635E9" w:rsidR="00EA23B2" w:rsidRPr="00EA23B2" w:rsidRDefault="00AF024D" w:rsidP="00AF0D1F">
      <w:pPr>
        <w:jc w:val="both"/>
        <w:rPr>
          <w:rFonts w:asciiTheme="majorHAnsi" w:hAnsiTheme="majorHAnsi" w:cstheme="majorHAnsi"/>
        </w:rPr>
      </w:pPr>
      <w:r>
        <w:rPr>
          <w:rFonts w:asciiTheme="majorHAnsi" w:hAnsiTheme="majorHAnsi" w:cstheme="majorHAnsi"/>
          <w:b/>
          <w:bCs/>
          <w:u w:val="single"/>
        </w:rPr>
        <w:t xml:space="preserve">Legislation </w:t>
      </w:r>
    </w:p>
    <w:p w14:paraId="3395FDB1" w14:textId="015FA081" w:rsidR="007F1228" w:rsidRDefault="007F1228" w:rsidP="00AF0D1F">
      <w:pPr>
        <w:jc w:val="both"/>
        <w:rPr>
          <w:rFonts w:asciiTheme="majorHAnsi" w:hAnsiTheme="majorHAnsi" w:cstheme="majorHAnsi"/>
        </w:rPr>
      </w:pPr>
    </w:p>
    <w:p w14:paraId="4C9D1C6D" w14:textId="621598FD" w:rsidR="00EA23B2" w:rsidRDefault="00AF024D" w:rsidP="00AF0D1F">
      <w:pPr>
        <w:jc w:val="both"/>
        <w:rPr>
          <w:rFonts w:asciiTheme="majorHAnsi" w:hAnsiTheme="majorHAnsi" w:cstheme="majorHAnsi"/>
        </w:rPr>
      </w:pPr>
      <w:r>
        <w:rPr>
          <w:rFonts w:asciiTheme="majorHAnsi" w:hAnsiTheme="majorHAnsi" w:cstheme="majorHAnsi"/>
        </w:rPr>
        <w:t xml:space="preserve">Compensation Act 2006 </w:t>
      </w:r>
    </w:p>
    <w:p w14:paraId="719B0497" w14:textId="77777777" w:rsidR="00EA23B2" w:rsidRDefault="00EA23B2" w:rsidP="00AF0D1F">
      <w:pPr>
        <w:jc w:val="both"/>
        <w:rPr>
          <w:rFonts w:asciiTheme="majorHAnsi" w:hAnsiTheme="majorHAnsi" w:cstheme="majorHAnsi"/>
        </w:rPr>
      </w:pPr>
    </w:p>
    <w:p w14:paraId="195FF654" w14:textId="08F96147" w:rsidR="00EA23B2" w:rsidRPr="00AF0D1F" w:rsidRDefault="00AF024D" w:rsidP="00AF0D1F">
      <w:pPr>
        <w:jc w:val="both"/>
        <w:rPr>
          <w:rFonts w:asciiTheme="majorHAnsi" w:hAnsiTheme="majorHAnsi" w:cstheme="majorHAnsi"/>
        </w:rPr>
      </w:pPr>
      <w:r>
        <w:rPr>
          <w:rFonts w:asciiTheme="majorHAnsi" w:hAnsiTheme="majorHAnsi" w:cstheme="majorHAnsi"/>
        </w:rPr>
        <w:t>Social Action Responsibility and Heroism Act 2015</w:t>
      </w:r>
    </w:p>
    <w:sectPr w:rsidR="00EA23B2" w:rsidRPr="00AF0D1F" w:rsidSect="00BD7923">
      <w:pgSz w:w="11900" w:h="16820"/>
      <w:pgMar w:top="720" w:right="720" w:bottom="720" w:left="720" w:header="709" w:footer="454"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1CA"/>
    <w:rsid w:val="00024B32"/>
    <w:rsid w:val="0007058C"/>
    <w:rsid w:val="000A27CB"/>
    <w:rsid w:val="000A3AD3"/>
    <w:rsid w:val="000C68AF"/>
    <w:rsid w:val="001240C8"/>
    <w:rsid w:val="001A28F7"/>
    <w:rsid w:val="002C47EC"/>
    <w:rsid w:val="003920F9"/>
    <w:rsid w:val="003F74FA"/>
    <w:rsid w:val="004116BD"/>
    <w:rsid w:val="00484062"/>
    <w:rsid w:val="004B14CB"/>
    <w:rsid w:val="004B418B"/>
    <w:rsid w:val="004D37AF"/>
    <w:rsid w:val="004F76C5"/>
    <w:rsid w:val="00522CD1"/>
    <w:rsid w:val="0052679C"/>
    <w:rsid w:val="005A2A29"/>
    <w:rsid w:val="00616FA7"/>
    <w:rsid w:val="00637A04"/>
    <w:rsid w:val="00665767"/>
    <w:rsid w:val="00682FEE"/>
    <w:rsid w:val="006A426B"/>
    <w:rsid w:val="006A521C"/>
    <w:rsid w:val="007266F5"/>
    <w:rsid w:val="00744F54"/>
    <w:rsid w:val="007757C0"/>
    <w:rsid w:val="00790F4E"/>
    <w:rsid w:val="007D3AC3"/>
    <w:rsid w:val="007E1804"/>
    <w:rsid w:val="007F1228"/>
    <w:rsid w:val="00814A27"/>
    <w:rsid w:val="009061FD"/>
    <w:rsid w:val="009613E6"/>
    <w:rsid w:val="00994C25"/>
    <w:rsid w:val="009E7998"/>
    <w:rsid w:val="00A01699"/>
    <w:rsid w:val="00A26C54"/>
    <w:rsid w:val="00A808E9"/>
    <w:rsid w:val="00AF024D"/>
    <w:rsid w:val="00AF0D1F"/>
    <w:rsid w:val="00AF4DFA"/>
    <w:rsid w:val="00B74E6A"/>
    <w:rsid w:val="00BA075A"/>
    <w:rsid w:val="00BC76B3"/>
    <w:rsid w:val="00BD7923"/>
    <w:rsid w:val="00C31A7C"/>
    <w:rsid w:val="00C50D8B"/>
    <w:rsid w:val="00C5289B"/>
    <w:rsid w:val="00C65B53"/>
    <w:rsid w:val="00C93521"/>
    <w:rsid w:val="00CD1996"/>
    <w:rsid w:val="00D46D8C"/>
    <w:rsid w:val="00D51255"/>
    <w:rsid w:val="00DF11CA"/>
    <w:rsid w:val="00E31BDE"/>
    <w:rsid w:val="00E867FB"/>
    <w:rsid w:val="00E87B02"/>
    <w:rsid w:val="00E97B47"/>
    <w:rsid w:val="00EA23B2"/>
    <w:rsid w:val="00EA5276"/>
    <w:rsid w:val="00EF2E9C"/>
    <w:rsid w:val="00F038C9"/>
    <w:rsid w:val="00F627F2"/>
    <w:rsid w:val="00F94FF9"/>
    <w:rsid w:val="00F953EC"/>
    <w:rsid w:val="00FF4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514B6C"/>
  <w15:chartTrackingRefBased/>
  <w15:docId w15:val="{5E484C3D-2639-B249-BE7D-B6FCA7FE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23B2"/>
    <w:rPr>
      <w:color w:val="0563C1" w:themeColor="hyperlink"/>
      <w:u w:val="single"/>
    </w:rPr>
  </w:style>
  <w:style w:type="character" w:customStyle="1" w:styleId="UnresolvedMention1">
    <w:name w:val="Unresolved Mention1"/>
    <w:basedOn w:val="DefaultParagraphFont"/>
    <w:uiPriority w:val="99"/>
    <w:semiHidden/>
    <w:unhideWhenUsed/>
    <w:rsid w:val="00EA23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heguardian.com/law/2014/sep/12/opposition-mps-question-chris-grayling-sarah-bill-social-action-responsibility-hero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2586</Words>
  <Characters>14746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Anne Kan (2017444)</dc:creator>
  <cp:lastModifiedBy>Teresa Anne Kan (2017444)</cp:lastModifiedBy>
  <cp:revision>2</cp:revision>
  <dcterms:created xsi:type="dcterms:W3CDTF">2021-11-05T14:06:00Z</dcterms:created>
  <dcterms:modified xsi:type="dcterms:W3CDTF">2021-11-05T14:06:00Z</dcterms:modified>
</cp:coreProperties>
</file>