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7608D" w14:textId="3A230AA9" w:rsidR="0049284B" w:rsidRDefault="0049284B" w:rsidP="00142758">
      <w:pPr>
        <w:spacing w:after="120" w:line="360" w:lineRule="auto"/>
        <w:rPr>
          <w:rFonts w:ascii="Arial" w:eastAsia="source serif 4" w:hAnsi="Arial" w:cs="Arial"/>
          <w:b/>
          <w:color w:val="000000" w:themeColor="text1"/>
          <w:kern w:val="0"/>
          <w:lang w:val="en-US"/>
          <w14:ligatures w14:val="none"/>
        </w:rPr>
      </w:pPr>
      <w:r>
        <w:rPr>
          <w:rFonts w:ascii="Arial" w:eastAsia="source serif 4" w:hAnsi="Arial" w:cs="Arial"/>
          <w:b/>
          <w:noProof/>
          <w:color w:val="000000" w:themeColor="text1"/>
          <w:kern w:val="0"/>
          <w:lang w:val="en-US"/>
          <w14:ligatures w14:val="none"/>
        </w:rPr>
        <w:drawing>
          <wp:inline distT="0" distB="0" distL="0" distR="0" wp14:anchorId="5BEC42E1" wp14:editId="144DD330">
            <wp:extent cx="2200910" cy="743585"/>
            <wp:effectExtent l="0" t="0" r="8890" b="0"/>
            <wp:docPr id="4535911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910" cy="743585"/>
                    </a:xfrm>
                    <a:prstGeom prst="rect">
                      <a:avLst/>
                    </a:prstGeom>
                    <a:noFill/>
                  </pic:spPr>
                </pic:pic>
              </a:graphicData>
            </a:graphic>
          </wp:inline>
        </w:drawing>
      </w:r>
    </w:p>
    <w:tbl>
      <w:tblPr>
        <w:tblStyle w:val="TableGrid11"/>
        <w:tblpPr w:leftFromText="180" w:rightFromText="180" w:vertAnchor="text" w:horzAnchor="margin" w:tblpY="9"/>
        <w:tblW w:w="9360"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2"/>
        <w:gridCol w:w="5968"/>
      </w:tblGrid>
      <w:tr w:rsidR="0049284B" w:rsidRPr="0049284B" w14:paraId="530474E3" w14:textId="77777777" w:rsidTr="00642FD9">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2062240B" w14:textId="77777777" w:rsidR="0049284B" w:rsidRPr="0049284B" w:rsidRDefault="0049284B" w:rsidP="0049284B">
            <w:pPr>
              <w:suppressAutoHyphens/>
              <w:spacing w:before="120" w:after="120" w:line="360" w:lineRule="auto"/>
              <w:rPr>
                <w:rFonts w:ascii="Calibri" w:eastAsia="Tahoma" w:hAnsi="Calibri" w:cs="Calibri"/>
                <w:color w:val="000000"/>
                <w:sz w:val="28"/>
                <w:szCs w:val="28"/>
                <w:lang w:val="en-US" w:eastAsia="ar-SA"/>
              </w:rPr>
            </w:pPr>
            <w:r w:rsidRPr="0049284B">
              <w:rPr>
                <w:rFonts w:ascii="Calibri" w:eastAsia="Tahoma" w:hAnsi="Calibri" w:cs="Calibri"/>
                <w:color w:val="000000"/>
                <w:sz w:val="28"/>
                <w:szCs w:val="28"/>
                <w:lang w:val="en-US" w:eastAsia="ar-SA"/>
              </w:rPr>
              <w:t>Student Name: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00D8DC3" w14:textId="77777777" w:rsidR="0049284B" w:rsidRPr="0049284B" w:rsidRDefault="0049284B" w:rsidP="0049284B">
            <w:pPr>
              <w:suppressAutoHyphens/>
              <w:spacing w:before="120" w:after="120" w:line="360" w:lineRule="auto"/>
              <w:rPr>
                <w:rFonts w:ascii="Calibri" w:eastAsia="Arial" w:hAnsi="Calibri" w:cs="Calibri"/>
                <w:b/>
                <w:bCs/>
                <w:color w:val="000000"/>
                <w:sz w:val="28"/>
                <w:szCs w:val="28"/>
                <w:lang w:val="en-US" w:eastAsia="ar-SA"/>
              </w:rPr>
            </w:pPr>
            <w:r w:rsidRPr="0049284B">
              <w:rPr>
                <w:rFonts w:ascii="Calibri" w:eastAsia="Arial" w:hAnsi="Calibri" w:cs="Calibri"/>
                <w:b/>
                <w:bCs/>
                <w:color w:val="000000"/>
                <w:sz w:val="28"/>
                <w:szCs w:val="28"/>
                <w:lang w:val="en-US" w:eastAsia="ar-SA"/>
              </w:rPr>
              <w:t>Kaz Williams</w:t>
            </w:r>
          </w:p>
        </w:tc>
      </w:tr>
      <w:tr w:rsidR="0049284B" w:rsidRPr="0049284B" w14:paraId="5D075F69" w14:textId="77777777" w:rsidTr="00642FD9">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6D051CD3" w14:textId="77777777" w:rsidR="0049284B" w:rsidRPr="0049284B" w:rsidRDefault="0049284B" w:rsidP="0049284B">
            <w:pPr>
              <w:suppressAutoHyphens/>
              <w:spacing w:before="120" w:after="120" w:line="360" w:lineRule="auto"/>
              <w:rPr>
                <w:rFonts w:ascii="Calibri" w:eastAsia="Tahoma" w:hAnsi="Calibri" w:cs="Calibri"/>
                <w:color w:val="000000"/>
                <w:sz w:val="28"/>
                <w:szCs w:val="28"/>
                <w:lang w:val="en-US" w:eastAsia="ar-SA"/>
              </w:rPr>
            </w:pPr>
            <w:r w:rsidRPr="0049284B">
              <w:rPr>
                <w:rFonts w:ascii="Calibri" w:eastAsia="Tahoma" w:hAnsi="Calibri" w:cs="Calibri"/>
                <w:color w:val="000000"/>
                <w:sz w:val="28"/>
                <w:szCs w:val="28"/>
                <w:lang w:val="en-US" w:eastAsia="ar-SA"/>
              </w:rPr>
              <w:t>Student Number:</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82FCE39" w14:textId="77777777" w:rsidR="0049284B" w:rsidRPr="0049284B" w:rsidRDefault="0049284B" w:rsidP="0049284B">
            <w:pPr>
              <w:suppressAutoHyphens/>
              <w:spacing w:before="120" w:after="120" w:line="360" w:lineRule="auto"/>
              <w:rPr>
                <w:rFonts w:ascii="Calibri" w:eastAsia="Arial" w:hAnsi="Calibri" w:cs="Calibri"/>
                <w:b/>
                <w:bCs/>
                <w:color w:val="000000"/>
                <w:sz w:val="28"/>
                <w:szCs w:val="28"/>
                <w:lang w:val="en-US" w:eastAsia="ar-SA"/>
              </w:rPr>
            </w:pPr>
            <w:r w:rsidRPr="0049284B">
              <w:rPr>
                <w:rFonts w:ascii="Calibri" w:eastAsia="Arial" w:hAnsi="Calibri" w:cs="Calibri"/>
                <w:b/>
                <w:bCs/>
                <w:color w:val="000000"/>
                <w:sz w:val="28"/>
                <w:szCs w:val="28"/>
                <w:lang w:val="en-US" w:eastAsia="ar-SA"/>
              </w:rPr>
              <w:t>2414373</w:t>
            </w:r>
          </w:p>
        </w:tc>
      </w:tr>
      <w:tr w:rsidR="0049284B" w:rsidRPr="0049284B" w14:paraId="63634E22" w14:textId="77777777" w:rsidTr="00642FD9">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7EE41EF9" w14:textId="77777777" w:rsidR="0049284B" w:rsidRPr="0049284B" w:rsidRDefault="0049284B" w:rsidP="0049284B">
            <w:pPr>
              <w:suppressAutoHyphens/>
              <w:spacing w:before="120" w:after="120" w:line="360" w:lineRule="auto"/>
              <w:rPr>
                <w:rFonts w:ascii="Calibri" w:eastAsia="Tahoma" w:hAnsi="Calibri" w:cs="Calibri"/>
                <w:color w:val="000000"/>
                <w:sz w:val="28"/>
                <w:szCs w:val="28"/>
                <w:lang w:val="en-US" w:eastAsia="ar-SA"/>
              </w:rPr>
            </w:pPr>
            <w:r w:rsidRPr="0049284B">
              <w:rPr>
                <w:rFonts w:ascii="Calibri" w:eastAsia="Tahoma" w:hAnsi="Calibri" w:cs="Calibri"/>
                <w:color w:val="000000"/>
                <w:sz w:val="28"/>
                <w:szCs w:val="28"/>
                <w:lang w:val="en-US" w:eastAsia="ar-SA"/>
              </w:rPr>
              <w:t>Module No:</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08542E0" w14:textId="1ECE94A4" w:rsidR="0049284B" w:rsidRPr="0049284B" w:rsidRDefault="0049284B" w:rsidP="0049284B">
            <w:pPr>
              <w:suppressAutoHyphens/>
              <w:spacing w:before="120" w:after="120" w:line="360" w:lineRule="auto"/>
              <w:rPr>
                <w:rFonts w:ascii="Calibri" w:eastAsia="Tahoma" w:hAnsi="Calibri" w:cs="Calibri"/>
                <w:b/>
                <w:bCs/>
                <w:color w:val="000000"/>
                <w:sz w:val="28"/>
                <w:szCs w:val="28"/>
                <w:lang w:val="en-US" w:eastAsia="ar-SA"/>
              </w:rPr>
            </w:pPr>
            <w:proofErr w:type="spellStart"/>
            <w:r w:rsidRPr="0049284B">
              <w:rPr>
                <w:rFonts w:ascii="Calibri" w:eastAsia="Tahoma" w:hAnsi="Calibri" w:cs="Calibri"/>
                <w:b/>
                <w:bCs/>
                <w:color w:val="000000"/>
                <w:sz w:val="28"/>
                <w:szCs w:val="28"/>
                <w:lang w:val="en-US" w:eastAsia="ar-SA"/>
              </w:rPr>
              <w:t>BMDP</w:t>
            </w:r>
            <w:proofErr w:type="spellEnd"/>
            <w:r w:rsidRPr="0049284B">
              <w:rPr>
                <w:rFonts w:ascii="Calibri" w:eastAsia="Tahoma" w:hAnsi="Calibri" w:cs="Calibri"/>
                <w:b/>
                <w:bCs/>
                <w:color w:val="000000"/>
                <w:sz w:val="28"/>
                <w:szCs w:val="28"/>
                <w:lang w:val="en-US" w:eastAsia="ar-SA"/>
              </w:rPr>
              <w:t xml:space="preserve"> 700</w:t>
            </w:r>
            <w:r>
              <w:rPr>
                <w:rFonts w:ascii="Calibri" w:eastAsia="Tahoma" w:hAnsi="Calibri" w:cs="Calibri"/>
                <w:b/>
                <w:bCs/>
                <w:color w:val="000000"/>
                <w:sz w:val="28"/>
                <w:szCs w:val="28"/>
                <w:lang w:val="en-US" w:eastAsia="ar-SA"/>
              </w:rPr>
              <w:t>9</w:t>
            </w:r>
          </w:p>
        </w:tc>
      </w:tr>
      <w:tr w:rsidR="0049284B" w:rsidRPr="0049284B" w14:paraId="76B5AF4B" w14:textId="77777777" w:rsidTr="00642FD9">
        <w:trPr>
          <w:trHeight w:val="300"/>
        </w:trPr>
        <w:tc>
          <w:tcPr>
            <w:tcW w:w="3392" w:type="dxa"/>
            <w:tcBorders>
              <w:top w:val="single" w:sz="6" w:space="0" w:color="000000"/>
              <w:left w:val="single" w:sz="6" w:space="0" w:color="000000"/>
              <w:bottom w:val="single" w:sz="6" w:space="0" w:color="000000"/>
              <w:right w:val="single" w:sz="6" w:space="0" w:color="000000"/>
            </w:tcBorders>
            <w:shd w:val="clear" w:color="auto" w:fill="D9D9D9"/>
            <w:tcMar>
              <w:left w:w="105" w:type="dxa"/>
              <w:right w:w="105" w:type="dxa"/>
            </w:tcMar>
          </w:tcPr>
          <w:p w14:paraId="73B9687B" w14:textId="77777777" w:rsidR="0049284B" w:rsidRPr="0049284B" w:rsidRDefault="0049284B" w:rsidP="0049284B">
            <w:pPr>
              <w:suppressAutoHyphens/>
              <w:spacing w:before="120" w:after="120" w:line="360" w:lineRule="auto"/>
              <w:rPr>
                <w:rFonts w:ascii="Calibri" w:eastAsia="Tahoma" w:hAnsi="Calibri" w:cs="Calibri"/>
                <w:color w:val="000000"/>
                <w:sz w:val="28"/>
                <w:szCs w:val="28"/>
                <w:lang w:val="en-US" w:eastAsia="ar-SA"/>
              </w:rPr>
            </w:pPr>
            <w:r w:rsidRPr="0049284B">
              <w:rPr>
                <w:rFonts w:ascii="Calibri" w:eastAsia="Tahoma" w:hAnsi="Calibri" w:cs="Calibri"/>
                <w:color w:val="000000"/>
                <w:sz w:val="28"/>
                <w:szCs w:val="28"/>
                <w:lang w:val="en-US" w:eastAsia="ar-SA"/>
              </w:rPr>
              <w:t>Module Title:</w:t>
            </w:r>
          </w:p>
        </w:tc>
        <w:tc>
          <w:tcPr>
            <w:tcW w:w="5968"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AEA39BC" w14:textId="56907923" w:rsidR="0049284B" w:rsidRPr="0049284B" w:rsidRDefault="0049284B" w:rsidP="0049284B">
            <w:pPr>
              <w:suppressAutoHyphens/>
              <w:spacing w:before="120" w:after="120" w:line="360" w:lineRule="auto"/>
              <w:rPr>
                <w:rFonts w:ascii="Calibri" w:eastAsia="Tahoma" w:hAnsi="Calibri" w:cs="Calibri"/>
                <w:b/>
                <w:bCs/>
                <w:color w:val="000000"/>
                <w:sz w:val="28"/>
                <w:szCs w:val="28"/>
                <w:lang w:val="en-US" w:eastAsia="ar-SA"/>
              </w:rPr>
            </w:pPr>
            <w:r>
              <w:rPr>
                <w:rFonts w:ascii="Calibri" w:eastAsia="Tahoma" w:hAnsi="Calibri" w:cs="Calibri"/>
                <w:b/>
                <w:bCs/>
                <w:color w:val="000000"/>
                <w:sz w:val="28"/>
                <w:szCs w:val="28"/>
                <w:lang w:val="en-US" w:eastAsia="ar-SA"/>
              </w:rPr>
              <w:t>Quantitative Research Paper</w:t>
            </w:r>
          </w:p>
        </w:tc>
      </w:tr>
    </w:tbl>
    <w:p w14:paraId="37C26E92"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345A6D7A" w14:textId="77777777" w:rsidR="0049284B" w:rsidRPr="0049284B" w:rsidRDefault="0049284B" w:rsidP="0049284B">
      <w:pPr>
        <w:spacing w:line="240" w:lineRule="auto"/>
        <w:rPr>
          <w:rFonts w:ascii="Arial" w:eastAsia="Tahoma" w:hAnsi="Arial" w:cs="Arial"/>
          <w:b/>
          <w:bCs/>
          <w:color w:val="000000"/>
          <w:kern w:val="0"/>
          <w:lang w:eastAsia="ar-SA"/>
          <w14:ligatures w14:val="none"/>
        </w:rPr>
      </w:pPr>
      <w:r w:rsidRPr="0049284B">
        <w:rPr>
          <w:rFonts w:ascii="Arial" w:eastAsia="Tahoma" w:hAnsi="Arial" w:cs="Arial"/>
          <w:b/>
          <w:bCs/>
          <w:color w:val="000000"/>
          <w:kern w:val="0"/>
          <w:lang w:eastAsia="ar-SA"/>
          <w14:ligatures w14:val="none"/>
        </w:rPr>
        <w:t>Statement of Confirmation of Authenticity</w:t>
      </w:r>
    </w:p>
    <w:p w14:paraId="0C26A8A8"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220E583"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Attention is drawn to the plagiarism and unfair practice policies of both the University and of ILM.</w:t>
      </w:r>
    </w:p>
    <w:p w14:paraId="03119A13"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I acknowledge the use of the following tools in completing this assessment, in line with UWTSD Policy on AI:</w:t>
      </w:r>
    </w:p>
    <w:p w14:paraId="55508951"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Google Scholar (https://scholar.google.com/) for database searching and bibliography support throughout the preparation of this proposal.</w:t>
      </w:r>
    </w:p>
    <w:p w14:paraId="0DB0CE09"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Consensus (https://consensus.app/) for searching and interrogating academic literature relevant to the proposal topic.</w:t>
      </w:r>
    </w:p>
    <w:p w14:paraId="52DCDF13" w14:textId="77777777" w:rsidR="0049284B" w:rsidRP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SciSpace (https://scispace.com/) for searching and summarising academic literature.</w:t>
      </w:r>
    </w:p>
    <w:p w14:paraId="67327A6F" w14:textId="4533180C" w:rsidR="0049284B" w:rsidRDefault="0049284B" w:rsidP="0049284B">
      <w:pPr>
        <w:spacing w:line="240" w:lineRule="auto"/>
        <w:rPr>
          <w:rFonts w:ascii="Arial" w:eastAsia="Tahoma" w:hAnsi="Arial" w:cs="Arial"/>
          <w:color w:val="000000"/>
          <w:kern w:val="0"/>
          <w:sz w:val="20"/>
          <w:szCs w:val="20"/>
          <w:lang w:eastAsia="ar-SA"/>
          <w14:ligatures w14:val="none"/>
        </w:rPr>
      </w:pPr>
      <w:r w:rsidRPr="0049284B">
        <w:rPr>
          <w:rFonts w:ascii="Arial" w:eastAsia="Tahoma" w:hAnsi="Arial" w:cs="Arial"/>
          <w:color w:val="000000"/>
          <w:kern w:val="0"/>
          <w:sz w:val="20"/>
          <w:szCs w:val="20"/>
          <w:lang w:eastAsia="ar-SA"/>
          <w14:ligatures w14:val="none"/>
        </w:rPr>
        <w:t xml:space="preserve">Claude (https://claude.ai/) for </w:t>
      </w:r>
      <w:r>
        <w:rPr>
          <w:rFonts w:ascii="Arial" w:eastAsia="Tahoma" w:hAnsi="Arial" w:cs="Arial"/>
          <w:color w:val="000000"/>
          <w:kern w:val="0"/>
          <w:sz w:val="20"/>
          <w:szCs w:val="20"/>
          <w:lang w:eastAsia="ar-SA"/>
          <w14:ligatures w14:val="none"/>
        </w:rPr>
        <w:t>confirming SPSS procedures and actions where errors were evident.</w:t>
      </w:r>
    </w:p>
    <w:p w14:paraId="6A90B95B" w14:textId="77777777" w:rsidR="0049284B" w:rsidRDefault="0049284B" w:rsidP="0049284B">
      <w:pPr>
        <w:spacing w:line="240" w:lineRule="auto"/>
        <w:rPr>
          <w:rFonts w:ascii="Arial" w:eastAsia="Tahoma" w:hAnsi="Arial" w:cs="Arial"/>
          <w:color w:val="000000"/>
          <w:kern w:val="0"/>
          <w:sz w:val="20"/>
          <w:szCs w:val="20"/>
          <w:lang w:eastAsia="ar-SA"/>
          <w14:ligatures w14:val="none"/>
        </w:rPr>
      </w:pPr>
      <w:r>
        <w:rPr>
          <w:rFonts w:ascii="Arial" w:eastAsia="Tahoma" w:hAnsi="Arial" w:cs="Arial"/>
          <w:color w:val="000000"/>
          <w:kern w:val="0"/>
          <w:sz w:val="20"/>
          <w:szCs w:val="20"/>
          <w:lang w:eastAsia="ar-SA"/>
          <w14:ligatures w14:val="none"/>
        </w:rPr>
        <w:t>Grammarly</w:t>
      </w:r>
      <w:r w:rsidRPr="0049284B">
        <w:rPr>
          <w:rFonts w:ascii="Arial" w:eastAsia="Tahoma" w:hAnsi="Arial" w:cs="Arial"/>
          <w:color w:val="000000"/>
          <w:kern w:val="0"/>
          <w:sz w:val="20"/>
          <w:szCs w:val="20"/>
          <w:lang w:eastAsia="ar-SA"/>
          <w14:ligatures w14:val="none"/>
        </w:rPr>
        <w:t xml:space="preserve"> was used to check syntactical errors in my own text</w:t>
      </w:r>
      <w:r>
        <w:rPr>
          <w:rFonts w:ascii="Arial" w:eastAsia="Tahoma" w:hAnsi="Arial" w:cs="Arial"/>
          <w:color w:val="000000"/>
          <w:kern w:val="0"/>
          <w:sz w:val="20"/>
          <w:szCs w:val="20"/>
          <w:lang w:eastAsia="ar-SA"/>
          <w14:ligatures w14:val="none"/>
        </w:rPr>
        <w:t>.</w:t>
      </w:r>
    </w:p>
    <w:p w14:paraId="3B748765" w14:textId="6B0644F7" w:rsidR="0049284B" w:rsidRPr="0049284B" w:rsidRDefault="0049284B" w:rsidP="0049284B">
      <w:pPr>
        <w:spacing w:line="240" w:lineRule="auto"/>
        <w:rPr>
          <w:rFonts w:ascii="Arial" w:hAnsi="Arial" w:cs="Arial"/>
          <w:color w:val="000000" w:themeColor="text1"/>
          <w:sz w:val="20"/>
          <w:szCs w:val="20"/>
        </w:rPr>
      </w:pPr>
      <w:r w:rsidRPr="0049284B">
        <w:rPr>
          <w:rFonts w:ascii="Arial" w:eastAsia="Tahoma" w:hAnsi="Arial" w:cs="Arial"/>
          <w:color w:val="000000"/>
          <w:kern w:val="0"/>
          <w:sz w:val="20"/>
          <w:szCs w:val="20"/>
          <w:lang w:eastAsia="ar-SA"/>
          <w14:ligatures w14:val="none"/>
        </w:rPr>
        <w:t>I confirm that I have not presented any AI-generated text as my own work.</w:t>
      </w:r>
    </w:p>
    <w:p w14:paraId="7C516924" w14:textId="77777777" w:rsidR="0049284B" w:rsidRPr="0049284B" w:rsidRDefault="0049284B" w:rsidP="00142758">
      <w:pPr>
        <w:spacing w:after="120" w:line="360" w:lineRule="auto"/>
        <w:rPr>
          <w:rFonts w:ascii="Arial" w:eastAsia="source serif 4" w:hAnsi="Arial" w:cs="Arial"/>
          <w:b/>
          <w:color w:val="000000" w:themeColor="text1"/>
          <w:kern w:val="0"/>
          <w14:ligatures w14:val="none"/>
        </w:rPr>
      </w:pPr>
    </w:p>
    <w:p w14:paraId="37ED0CA6"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6D01E1C7"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2E0EE5D9"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37282FE3"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7FF4606E" w14:textId="0C947A65"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Early Assessment Engagement and Programme Completion among Mature Learners on a Widening-Participation Programme: A Secondary Quantitative Analysis of Three Level 4 Applied Leadership and Management Cohorts</w:t>
      </w:r>
    </w:p>
    <w:p w14:paraId="5D2459C4"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56948D24"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Abstract</w:t>
      </w:r>
    </w:p>
    <w:p w14:paraId="033E3BD4" w14:textId="06AF3E7D"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Mature learners on widening-participation programmes are a priority group in United Kingdom higher education, but programme-level evidence about non-completion and how early it can be identified remains limited (Gongadze, 2021). This study analysed three years of institutional data from a Level 4 Applied Leadership and Management programme at a Welsh university (168 enrolment records representing 159 students, 83.3% female, mean age 35.9 years). Five hypotheses were examined using chi-square, </w:t>
      </w:r>
      <w:proofErr w:type="gramStart"/>
      <w:r w:rsidRPr="00874ABF">
        <w:rPr>
          <w:rFonts w:ascii="Arial" w:eastAsia="source serif 4" w:hAnsi="Arial" w:cs="Arial"/>
          <w:bCs/>
          <w:color w:val="000000" w:themeColor="text1"/>
          <w:kern w:val="0"/>
          <w:lang w:val="en-US"/>
          <w14:ligatures w14:val="none"/>
        </w:rPr>
        <w:t>independent-samples</w:t>
      </w:r>
      <w:proofErr w:type="gramEnd"/>
      <w:r w:rsidRPr="00874ABF">
        <w:rPr>
          <w:rFonts w:ascii="Arial" w:eastAsia="source serif 4" w:hAnsi="Arial" w:cs="Arial"/>
          <w:bCs/>
          <w:color w:val="000000" w:themeColor="text1"/>
          <w:kern w:val="0"/>
          <w:lang w:val="en-US"/>
          <w14:ligatures w14:val="none"/>
        </w:rPr>
        <w:t xml:space="preserve"> and paired-samples t-tests, Pearson correlation and Welch's analysis of variance, with Spearman and Wilcoxon used as targeted sensitivity checks. Students who submitted the first assessment were far more likely to complete the remaining five modules than those who did not: 80.8% versus 7.9%, </w:t>
      </w:r>
      <w:r w:rsidR="00134D1D">
        <w:t>χ</w:t>
      </w:r>
      <w:proofErr w:type="gramStart"/>
      <w:r w:rsidR="00134D1D">
        <w:t>²</w:t>
      </w:r>
      <w:r w:rsidRPr="00874ABF">
        <w:rPr>
          <w:rFonts w:ascii="Arial" w:eastAsia="source serif 4" w:hAnsi="Arial" w:cs="Arial"/>
          <w:bCs/>
          <w:color w:val="000000" w:themeColor="text1"/>
          <w:kern w:val="0"/>
          <w:lang w:val="en-US"/>
          <w14:ligatures w14:val="none"/>
        </w:rPr>
        <w:t>(</w:t>
      </w:r>
      <w:proofErr w:type="gramEnd"/>
      <w:r w:rsidRPr="00874ABF">
        <w:rPr>
          <w:rFonts w:ascii="Arial" w:eastAsia="source serif 4" w:hAnsi="Arial" w:cs="Arial"/>
          <w:bCs/>
          <w:color w:val="000000" w:themeColor="text1"/>
          <w:kern w:val="0"/>
          <w:lang w:val="en-US"/>
          <w14:ligatures w14:val="none"/>
        </w:rPr>
        <w:t xml:space="preserve">1, N = 168) = 64.88, p &lt; .001, φ = .64. Repeat-enrolment records averaged 9.64 marks lower, </w:t>
      </w:r>
      <w:proofErr w:type="gramStart"/>
      <w:r w:rsidRPr="00874ABF">
        <w:rPr>
          <w:rFonts w:ascii="Arial" w:eastAsia="source serif 4" w:hAnsi="Arial" w:cs="Arial"/>
          <w:bCs/>
          <w:color w:val="000000" w:themeColor="text1"/>
          <w:kern w:val="0"/>
          <w:lang w:val="en-US"/>
          <w14:ligatures w14:val="none"/>
        </w:rPr>
        <w:t>t(</w:t>
      </w:r>
      <w:proofErr w:type="gramEnd"/>
      <w:r w:rsidRPr="00874ABF">
        <w:rPr>
          <w:rFonts w:ascii="Arial" w:eastAsia="source serif 4" w:hAnsi="Arial" w:cs="Arial"/>
          <w:bCs/>
          <w:color w:val="000000" w:themeColor="text1"/>
          <w:kern w:val="0"/>
          <w:lang w:val="en-US"/>
          <w14:ligatures w14:val="none"/>
        </w:rPr>
        <w:t xml:space="preserve">149) = 3.76, p &lt; .001, g = 0.82. A higher number of non-submissions was associated with lower mean marks, r = -.38, p &lt; .001. Mean marks did not differ across cohorts, Welch's </w:t>
      </w:r>
      <w:proofErr w:type="gramStart"/>
      <w:r w:rsidRPr="00874ABF">
        <w:rPr>
          <w:rFonts w:ascii="Arial" w:eastAsia="source serif 4" w:hAnsi="Arial" w:cs="Arial"/>
          <w:bCs/>
          <w:color w:val="000000" w:themeColor="text1"/>
          <w:kern w:val="0"/>
          <w:lang w:val="en-US"/>
          <w14:ligatures w14:val="none"/>
        </w:rPr>
        <w:t>F(</w:t>
      </w:r>
      <w:proofErr w:type="gramEnd"/>
      <w:r w:rsidRPr="00874ABF">
        <w:rPr>
          <w:rFonts w:ascii="Arial" w:eastAsia="source serif 4" w:hAnsi="Arial" w:cs="Arial"/>
          <w:bCs/>
          <w:color w:val="000000" w:themeColor="text1"/>
          <w:kern w:val="0"/>
          <w:lang w:val="en-US"/>
          <w14:ligatures w14:val="none"/>
        </w:rPr>
        <w:t xml:space="preserve">2, 83.6) = 0.17, p = .842, or across the module sequence, </w:t>
      </w:r>
      <w:proofErr w:type="gramStart"/>
      <w:r w:rsidRPr="00874ABF">
        <w:rPr>
          <w:rFonts w:ascii="Arial" w:eastAsia="source serif 4" w:hAnsi="Arial" w:cs="Arial"/>
          <w:bCs/>
          <w:color w:val="000000" w:themeColor="text1"/>
          <w:kern w:val="0"/>
          <w:lang w:val="en-US"/>
          <w14:ligatures w14:val="none"/>
        </w:rPr>
        <w:t>t(</w:t>
      </w:r>
      <w:proofErr w:type="gramEnd"/>
      <w:r w:rsidRPr="00874ABF">
        <w:rPr>
          <w:rFonts w:ascii="Arial" w:eastAsia="source serif 4" w:hAnsi="Arial" w:cs="Arial"/>
          <w:bCs/>
          <w:color w:val="000000" w:themeColor="text1"/>
          <w:kern w:val="0"/>
          <w:lang w:val="en-US"/>
          <w14:ligatures w14:val="none"/>
        </w:rPr>
        <w:t>127) = 0.32, p = .747</w:t>
      </w:r>
      <w:r w:rsidR="00134D1D">
        <w:rPr>
          <w:rFonts w:ascii="Arial" w:eastAsia="source serif 4" w:hAnsi="Arial" w:cs="Arial"/>
          <w:bCs/>
          <w:color w:val="000000" w:themeColor="text1"/>
          <w:kern w:val="0"/>
          <w:lang w:val="en-US"/>
          <w14:ligatures w14:val="none"/>
        </w:rPr>
        <w:t xml:space="preserve">. </w:t>
      </w:r>
      <w:proofErr w:type="gramStart"/>
      <w:r w:rsidR="00134D1D" w:rsidRPr="00134D1D">
        <w:rPr>
          <w:rFonts w:ascii="Arial" w:eastAsia="source serif 4" w:hAnsi="Arial" w:cs="Arial"/>
          <w:bCs/>
          <w:color w:val="000000" w:themeColor="text1"/>
          <w:kern w:val="0"/>
          <w:lang w:val="en-US"/>
          <w14:ligatures w14:val="none"/>
        </w:rPr>
        <w:t>A</w:t>
      </w:r>
      <w:proofErr w:type="gramEnd"/>
      <w:r w:rsidR="00134D1D" w:rsidRPr="00134D1D">
        <w:rPr>
          <w:rFonts w:ascii="Arial" w:eastAsia="source serif 4" w:hAnsi="Arial" w:cs="Arial"/>
          <w:bCs/>
          <w:color w:val="000000" w:themeColor="text1"/>
          <w:kern w:val="0"/>
          <w:lang w:val="en-US"/>
          <w14:ligatures w14:val="none"/>
        </w:rPr>
        <w:t xml:space="preserve"> </w:t>
      </w:r>
      <w:r w:rsidR="00134D1D">
        <w:rPr>
          <w:rFonts w:ascii="Arial" w:eastAsia="source serif 4" w:hAnsi="Arial" w:cs="Arial"/>
          <w:bCs/>
          <w:color w:val="000000" w:themeColor="text1"/>
          <w:kern w:val="0"/>
          <w:lang w:val="en-US"/>
          <w14:ligatures w14:val="none"/>
        </w:rPr>
        <w:t xml:space="preserve">additional </w:t>
      </w:r>
      <w:r w:rsidR="00134D1D" w:rsidRPr="00134D1D">
        <w:rPr>
          <w:rFonts w:ascii="Arial" w:eastAsia="source serif 4" w:hAnsi="Arial" w:cs="Arial"/>
          <w:bCs/>
          <w:color w:val="000000" w:themeColor="text1"/>
          <w:kern w:val="0"/>
          <w:lang w:val="en-US"/>
          <w14:ligatures w14:val="none"/>
        </w:rPr>
        <w:t xml:space="preserve">person-level check, repeating the five main tests on the most recent enrolment record for each student, gave the same conclusions, so the findings were not </w:t>
      </w:r>
      <w:r w:rsidR="00134D1D">
        <w:rPr>
          <w:rFonts w:ascii="Arial" w:eastAsia="source serif 4" w:hAnsi="Arial" w:cs="Arial"/>
          <w:bCs/>
          <w:color w:val="000000" w:themeColor="text1"/>
          <w:kern w:val="0"/>
          <w:lang w:val="en-US"/>
          <w14:ligatures w14:val="none"/>
        </w:rPr>
        <w:t>impacted by the</w:t>
      </w:r>
      <w:r w:rsidR="00134D1D" w:rsidRPr="00134D1D">
        <w:rPr>
          <w:rFonts w:ascii="Arial" w:eastAsia="source serif 4" w:hAnsi="Arial" w:cs="Arial"/>
          <w:bCs/>
          <w:color w:val="000000" w:themeColor="text1"/>
          <w:kern w:val="0"/>
          <w:lang w:val="en-US"/>
          <w14:ligatures w14:val="none"/>
        </w:rPr>
        <w:t xml:space="preserve"> nine students appearing in two academic years.</w:t>
      </w:r>
      <w:r w:rsidR="00134D1D">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 xml:space="preserve">Formal confirmation of reasonable adjustments through a Statement of Compensatory Measures was recorded on 12 of the 168 analysed enrolment records, </w:t>
      </w:r>
      <w:r w:rsidR="00DF757F" w:rsidRPr="00874ABF">
        <w:rPr>
          <w:rFonts w:ascii="Arial" w:eastAsia="source serif 4" w:hAnsi="Arial" w:cs="Arial"/>
          <w:bCs/>
          <w:color w:val="000000" w:themeColor="text1"/>
          <w:kern w:val="0"/>
          <w:lang w:val="en-US"/>
          <w14:ligatures w14:val="none"/>
        </w:rPr>
        <w:t>representing</w:t>
      </w:r>
      <w:r w:rsidRPr="00874ABF">
        <w:rPr>
          <w:rFonts w:ascii="Arial" w:eastAsia="source serif 4" w:hAnsi="Arial" w:cs="Arial"/>
          <w:bCs/>
          <w:color w:val="000000" w:themeColor="text1"/>
          <w:kern w:val="0"/>
          <w:lang w:val="en-US"/>
          <w14:ligatures w14:val="none"/>
        </w:rPr>
        <w:t xml:space="preserve"> 10 of the 159 </w:t>
      </w:r>
      <w:r w:rsidR="00DF757F" w:rsidRPr="00874ABF">
        <w:rPr>
          <w:rFonts w:ascii="Arial" w:eastAsia="source serif 4" w:hAnsi="Arial" w:cs="Arial"/>
          <w:bCs/>
          <w:color w:val="000000" w:themeColor="text1"/>
          <w:kern w:val="0"/>
          <w:lang w:val="en-US"/>
          <w14:ligatures w14:val="none"/>
        </w:rPr>
        <w:t xml:space="preserve">individual </w:t>
      </w:r>
      <w:r w:rsidRPr="00874ABF">
        <w:rPr>
          <w:rFonts w:ascii="Arial" w:eastAsia="source serif 4" w:hAnsi="Arial" w:cs="Arial"/>
          <w:bCs/>
          <w:color w:val="000000" w:themeColor="text1"/>
          <w:kern w:val="0"/>
          <w:lang w:val="en-US"/>
          <w14:ligatures w14:val="none"/>
        </w:rPr>
        <w:t>students</w:t>
      </w:r>
      <w:r w:rsidR="00DF757F" w:rsidRPr="00874ABF">
        <w:rPr>
          <w:rFonts w:ascii="Arial" w:eastAsia="source serif 4" w:hAnsi="Arial" w:cs="Arial"/>
          <w:bCs/>
          <w:color w:val="000000" w:themeColor="text1"/>
          <w:kern w:val="0"/>
          <w:lang w:val="en-US"/>
          <w14:ligatures w14:val="none"/>
        </w:rPr>
        <w:t>;</w:t>
      </w:r>
      <w:r w:rsidRPr="00874ABF">
        <w:rPr>
          <w:rFonts w:ascii="Arial" w:eastAsia="source serif 4" w:hAnsi="Arial" w:cs="Arial"/>
          <w:bCs/>
          <w:color w:val="000000" w:themeColor="text1"/>
          <w:kern w:val="0"/>
          <w:lang w:val="en-US"/>
          <w14:ligatures w14:val="none"/>
        </w:rPr>
        <w:t xml:space="preserve"> </w:t>
      </w:r>
      <w:r w:rsidR="00134D1D">
        <w:rPr>
          <w:rFonts w:ascii="Arial" w:eastAsia="source serif 4" w:hAnsi="Arial" w:cs="Arial"/>
          <w:bCs/>
          <w:color w:val="000000" w:themeColor="text1"/>
          <w:kern w:val="0"/>
          <w:lang w:val="en-US"/>
          <w14:ligatures w14:val="none"/>
        </w:rPr>
        <w:t>(</w:t>
      </w:r>
      <w:r w:rsidRPr="00874ABF">
        <w:rPr>
          <w:rFonts w:ascii="Arial" w:eastAsia="source serif 4" w:hAnsi="Arial" w:cs="Arial"/>
          <w:bCs/>
          <w:color w:val="000000" w:themeColor="text1"/>
          <w:kern w:val="0"/>
          <w:lang w:val="en-US"/>
          <w14:ligatures w14:val="none"/>
        </w:rPr>
        <w:t>6.3%</w:t>
      </w:r>
      <w:r w:rsidR="00134D1D">
        <w:rPr>
          <w:rFonts w:ascii="Arial" w:eastAsia="source serif 4" w:hAnsi="Arial" w:cs="Arial"/>
          <w:bCs/>
          <w:color w:val="000000" w:themeColor="text1"/>
          <w:kern w:val="0"/>
          <w:lang w:val="en-US"/>
          <w14:ligatures w14:val="none"/>
        </w:rPr>
        <w:t xml:space="preserve">). </w:t>
      </w:r>
    </w:p>
    <w:p w14:paraId="0589D763"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Keywords</w:t>
      </w:r>
    </w:p>
    <w:p w14:paraId="14189A41"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assessment engagement; non-submission; programme completion; widening participation; mature learners; secondary data analysis</w:t>
      </w:r>
    </w:p>
    <w:p w14:paraId="0EE27D4F"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0D0D1F13" w14:textId="77777777" w:rsidR="00C47432" w:rsidRDefault="00C47432" w:rsidP="00142758">
      <w:pPr>
        <w:spacing w:after="120" w:line="360" w:lineRule="auto"/>
        <w:rPr>
          <w:rFonts w:ascii="Arial" w:eastAsia="source serif 4" w:hAnsi="Arial" w:cs="Arial"/>
          <w:b/>
          <w:color w:val="000000" w:themeColor="text1"/>
          <w:kern w:val="0"/>
          <w:lang w:val="en-US"/>
          <w14:ligatures w14:val="none"/>
        </w:rPr>
      </w:pPr>
    </w:p>
    <w:p w14:paraId="4ED36CBF" w14:textId="77777777" w:rsidR="00C47432" w:rsidRDefault="00C47432" w:rsidP="00142758">
      <w:pPr>
        <w:spacing w:after="120" w:line="360" w:lineRule="auto"/>
        <w:rPr>
          <w:rFonts w:ascii="Arial" w:eastAsia="source serif 4" w:hAnsi="Arial" w:cs="Arial"/>
          <w:b/>
          <w:color w:val="000000" w:themeColor="text1"/>
          <w:kern w:val="0"/>
          <w:lang w:val="en-US"/>
          <w14:ligatures w14:val="none"/>
        </w:rPr>
      </w:pPr>
    </w:p>
    <w:p w14:paraId="21EDF1CA" w14:textId="4B6DD00D"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1. Introduction</w:t>
      </w:r>
    </w:p>
    <w:p w14:paraId="4061A96A" w14:textId="18122A25"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Programme completion among mature learners on widening-participation (WP) programmes is a persistent concern for higher education </w:t>
      </w:r>
      <w:r w:rsidR="00134D1D">
        <w:rPr>
          <w:rFonts w:ascii="Arial" w:eastAsia="source serif 4" w:hAnsi="Arial" w:cs="Arial"/>
          <w:bCs/>
          <w:color w:val="000000" w:themeColor="text1"/>
          <w:kern w:val="0"/>
          <w:lang w:val="en-US"/>
          <w14:ligatures w14:val="none"/>
        </w:rPr>
        <w:t xml:space="preserve">(HE) </w:t>
      </w:r>
      <w:r w:rsidRPr="00874ABF">
        <w:rPr>
          <w:rFonts w:ascii="Arial" w:eastAsia="source serif 4" w:hAnsi="Arial" w:cs="Arial"/>
          <w:bCs/>
          <w:color w:val="000000" w:themeColor="text1"/>
          <w:kern w:val="0"/>
          <w:lang w:val="en-US"/>
          <w14:ligatures w14:val="none"/>
        </w:rPr>
        <w:t>institutions (Office for Students [</w:t>
      </w:r>
      <w:proofErr w:type="spellStart"/>
      <w:r w:rsidRPr="00874ABF">
        <w:rPr>
          <w:rFonts w:ascii="Arial" w:eastAsia="source serif 4" w:hAnsi="Arial" w:cs="Arial"/>
          <w:bCs/>
          <w:color w:val="000000" w:themeColor="text1"/>
          <w:kern w:val="0"/>
          <w:lang w:val="en-US"/>
          <w14:ligatures w14:val="none"/>
        </w:rPr>
        <w:t>OfS</w:t>
      </w:r>
      <w:proofErr w:type="spellEnd"/>
      <w:r w:rsidRPr="00874ABF">
        <w:rPr>
          <w:rFonts w:ascii="Arial" w:eastAsia="source serif 4" w:hAnsi="Arial" w:cs="Arial"/>
          <w:bCs/>
          <w:color w:val="000000" w:themeColor="text1"/>
          <w:kern w:val="0"/>
          <w:lang w:val="en-US"/>
          <w14:ligatures w14:val="none"/>
        </w:rPr>
        <w:t xml:space="preserve">], 2021). In the United Kingdom, widening participation policy primarily focuses on access, retention and attainment for students from non-traditional backgrounds, including mature learners who enter higher education later in life and frequently combine study with employment and caring responsibilities (Moore et al., 2013; </w:t>
      </w:r>
      <w:proofErr w:type="spellStart"/>
      <w:r w:rsidRPr="00874ABF">
        <w:rPr>
          <w:rFonts w:ascii="Arial" w:eastAsia="source serif 4" w:hAnsi="Arial" w:cs="Arial"/>
          <w:bCs/>
          <w:color w:val="000000" w:themeColor="text1"/>
          <w:kern w:val="0"/>
          <w:lang w:val="en-US"/>
          <w14:ligatures w14:val="none"/>
        </w:rPr>
        <w:t>OfS</w:t>
      </w:r>
      <w:proofErr w:type="spellEnd"/>
      <w:r w:rsidRPr="00874ABF">
        <w:rPr>
          <w:rFonts w:ascii="Arial" w:eastAsia="source serif 4" w:hAnsi="Arial" w:cs="Arial"/>
          <w:bCs/>
          <w:color w:val="000000" w:themeColor="text1"/>
          <w:kern w:val="0"/>
          <w:lang w:val="en-US"/>
          <w14:ligatures w14:val="none"/>
        </w:rPr>
        <w:t>, 2021).</w:t>
      </w:r>
    </w:p>
    <w:p w14:paraId="7DAD0D3A" w14:textId="7A17AD16"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At the University of Wales Trinity Saint David (</w:t>
      </w:r>
      <w:proofErr w:type="spellStart"/>
      <w:r w:rsidRPr="00874ABF">
        <w:rPr>
          <w:rFonts w:ascii="Arial" w:eastAsia="source serif 4" w:hAnsi="Arial" w:cs="Arial"/>
          <w:bCs/>
          <w:color w:val="000000" w:themeColor="text1"/>
          <w:kern w:val="0"/>
          <w:lang w:val="en-US"/>
          <w14:ligatures w14:val="none"/>
        </w:rPr>
        <w:t>UWTSD</w:t>
      </w:r>
      <w:proofErr w:type="spellEnd"/>
      <w:r w:rsidRPr="00874ABF">
        <w:rPr>
          <w:rFonts w:ascii="Arial" w:eastAsia="source serif 4" w:hAnsi="Arial" w:cs="Arial"/>
          <w:bCs/>
          <w:color w:val="000000" w:themeColor="text1"/>
          <w:kern w:val="0"/>
          <w:lang w:val="en-US"/>
          <w14:ligatures w14:val="none"/>
        </w:rPr>
        <w:t xml:space="preserve">), Level 4 Applied Leadership and Management (ALaM) students in the Institute of Management and Health are predominantly mature learners, and the programme is delivered across five campuses in south and west Wales. Entry is open, in that admission considers relevant work and supervisory experience rather than prior formal qualifications </w:t>
      </w:r>
      <w:r w:rsidR="00134D1D">
        <w:rPr>
          <w:rFonts w:ascii="Arial" w:eastAsia="source serif 4" w:hAnsi="Arial" w:cs="Arial"/>
          <w:bCs/>
          <w:color w:val="000000" w:themeColor="text1"/>
          <w:kern w:val="0"/>
          <w:lang w:val="en-US"/>
          <w14:ligatures w14:val="none"/>
        </w:rPr>
        <w:t xml:space="preserve">which </w:t>
      </w:r>
      <w:r w:rsidRPr="00874ABF">
        <w:rPr>
          <w:rFonts w:ascii="Arial" w:eastAsia="source serif 4" w:hAnsi="Arial" w:cs="Arial"/>
          <w:bCs/>
          <w:color w:val="000000" w:themeColor="text1"/>
          <w:kern w:val="0"/>
          <w:lang w:val="en-US"/>
          <w14:ligatures w14:val="none"/>
        </w:rPr>
        <w:t>is reflected in a cohort mean age of 35.9 years.</w:t>
      </w:r>
    </w:p>
    <w:p w14:paraId="72E157C3" w14:textId="79581DA0"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Together, the open-entry route and mature learner course profile make this a widening-participation programme. However, </w:t>
      </w:r>
      <w:r w:rsidR="00DF757F" w:rsidRPr="00874ABF">
        <w:rPr>
          <w:rFonts w:ascii="Arial" w:eastAsia="source serif 4" w:hAnsi="Arial" w:cs="Arial"/>
          <w:bCs/>
          <w:color w:val="000000" w:themeColor="text1"/>
          <w:kern w:val="0"/>
          <w:lang w:val="en-US"/>
          <w14:ligatures w14:val="none"/>
        </w:rPr>
        <w:t>analysis</w:t>
      </w:r>
      <w:r w:rsidRPr="00874ABF">
        <w:rPr>
          <w:rFonts w:ascii="Arial" w:eastAsia="source serif 4" w:hAnsi="Arial" w:cs="Arial"/>
          <w:bCs/>
          <w:color w:val="000000" w:themeColor="text1"/>
          <w:kern w:val="0"/>
          <w:lang w:val="en-US"/>
          <w14:ligatures w14:val="none"/>
        </w:rPr>
        <w:t xml:space="preserve"> data contain no individual-level widening-participation indicators (Section 5.</w:t>
      </w:r>
      <w:r w:rsidR="00203BD1">
        <w:rPr>
          <w:rFonts w:ascii="Arial" w:eastAsia="source serif 4" w:hAnsi="Arial" w:cs="Arial"/>
          <w:bCs/>
          <w:color w:val="000000" w:themeColor="text1"/>
          <w:kern w:val="0"/>
          <w:lang w:val="en-US"/>
          <w14:ligatures w14:val="none"/>
        </w:rPr>
        <w:t>6</w:t>
      </w:r>
      <w:r w:rsidRPr="00874ABF">
        <w:rPr>
          <w:rFonts w:ascii="Arial" w:eastAsia="source serif 4" w:hAnsi="Arial" w:cs="Arial"/>
          <w:bCs/>
          <w:color w:val="000000" w:themeColor="text1"/>
          <w:kern w:val="0"/>
          <w:lang w:val="en-US"/>
          <w14:ligatures w14:val="none"/>
        </w:rPr>
        <w:t>).</w:t>
      </w:r>
    </w:p>
    <w:p w14:paraId="49F0D10B" w14:textId="042BE6B2" w:rsidR="00142758" w:rsidRPr="00874ABF" w:rsidRDefault="00DF757F"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Research indicates that such mature learners often arrive in HE </w:t>
      </w:r>
      <w:proofErr w:type="gramStart"/>
      <w:r w:rsidR="00134D1D" w:rsidRPr="00874ABF">
        <w:rPr>
          <w:rFonts w:ascii="Arial" w:eastAsia="source serif 4" w:hAnsi="Arial" w:cs="Arial"/>
          <w:bCs/>
          <w:color w:val="000000" w:themeColor="text1"/>
          <w:kern w:val="0"/>
          <w:lang w:val="en-US"/>
          <w14:ligatures w14:val="none"/>
        </w:rPr>
        <w:t>demonstrating</w:t>
      </w:r>
      <w:proofErr w:type="gramEnd"/>
      <w:r w:rsidRPr="00874ABF">
        <w:rPr>
          <w:rFonts w:ascii="Arial" w:eastAsia="source serif 4" w:hAnsi="Arial" w:cs="Arial"/>
          <w:bCs/>
          <w:color w:val="000000" w:themeColor="text1"/>
          <w:kern w:val="0"/>
          <w:lang w:val="en-US"/>
          <w14:ligatures w14:val="none"/>
        </w:rPr>
        <w:t xml:space="preserve"> strong commitment and motivation, yet often initially experience uncertainty about belonging, confidence and academic expectations (Erb &amp; Drysdale, 2017; Jones et al., 2025). Consequently, early s</w:t>
      </w:r>
      <w:r w:rsidR="00142758" w:rsidRPr="00874ABF">
        <w:rPr>
          <w:rFonts w:ascii="Arial" w:eastAsia="source serif 4" w:hAnsi="Arial" w:cs="Arial"/>
          <w:bCs/>
          <w:color w:val="000000" w:themeColor="text1"/>
          <w:kern w:val="0"/>
          <w:lang w:val="en-US"/>
          <w14:ligatures w14:val="none"/>
        </w:rPr>
        <w:t>tructured, strengths-based academic literacy support may help students translate professional knowledge into academic work while supporting confidence, self-efficacy and belonging (Gilani &amp; Thomas, 2025).</w:t>
      </w:r>
    </w:p>
    <w:p w14:paraId="744318AA" w14:textId="68BF8318" w:rsidR="00F050ED" w:rsidRDefault="00142758" w:rsidP="00F050ED">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Supportive environments are associated with greater engagement and reduced disengagement (Chen et al., 2023)</w:t>
      </w:r>
      <w:r w:rsidR="00DF757F" w:rsidRPr="00874ABF">
        <w:rPr>
          <w:rFonts w:ascii="Arial" w:eastAsia="source serif 4" w:hAnsi="Arial" w:cs="Arial"/>
          <w:bCs/>
          <w:color w:val="000000" w:themeColor="text1"/>
          <w:kern w:val="0"/>
          <w:lang w:val="en-US"/>
          <w14:ligatures w14:val="none"/>
        </w:rPr>
        <w:t>. However, well</w:t>
      </w:r>
      <w:r w:rsidR="00134D1D">
        <w:rPr>
          <w:rFonts w:ascii="Arial" w:eastAsia="source serif 4" w:hAnsi="Arial" w:cs="Arial"/>
          <w:bCs/>
          <w:color w:val="000000" w:themeColor="text1"/>
          <w:kern w:val="0"/>
          <w:lang w:val="en-US"/>
          <w14:ligatures w14:val="none"/>
        </w:rPr>
        <w:t>-</w:t>
      </w:r>
      <w:r w:rsidR="00DF757F" w:rsidRPr="00874ABF">
        <w:rPr>
          <w:rFonts w:ascii="Arial" w:eastAsia="source serif 4" w:hAnsi="Arial" w:cs="Arial"/>
          <w:bCs/>
          <w:color w:val="000000" w:themeColor="text1"/>
          <w:kern w:val="0"/>
          <w:lang w:val="en-US"/>
          <w14:ligatures w14:val="none"/>
        </w:rPr>
        <w:t>intention</w:t>
      </w:r>
      <w:r w:rsidR="008F1407" w:rsidRPr="00874ABF">
        <w:rPr>
          <w:rFonts w:ascii="Arial" w:eastAsia="source serif 4" w:hAnsi="Arial" w:cs="Arial"/>
          <w:bCs/>
          <w:color w:val="000000" w:themeColor="text1"/>
          <w:kern w:val="0"/>
          <w:lang w:val="en-US"/>
          <w14:ligatures w14:val="none"/>
        </w:rPr>
        <w:t>ed</w:t>
      </w:r>
      <w:r w:rsidR="00DF757F" w:rsidRPr="00874ABF">
        <w:rPr>
          <w:rFonts w:ascii="Arial" w:eastAsia="source serif 4" w:hAnsi="Arial" w:cs="Arial"/>
          <w:bCs/>
          <w:color w:val="000000" w:themeColor="text1"/>
          <w:kern w:val="0"/>
          <w:lang w:val="en-US"/>
          <w14:ligatures w14:val="none"/>
        </w:rPr>
        <w:t xml:space="preserve"> support provision should consider that </w:t>
      </w:r>
      <w:r w:rsidRPr="00874ABF">
        <w:rPr>
          <w:rFonts w:ascii="Arial" w:eastAsia="source serif 4" w:hAnsi="Arial" w:cs="Arial"/>
          <w:bCs/>
          <w:color w:val="000000" w:themeColor="text1"/>
          <w:kern w:val="0"/>
          <w:lang w:val="en-US"/>
          <w14:ligatures w14:val="none"/>
        </w:rPr>
        <w:t>stigma, uncertainty about services and self-</w:t>
      </w:r>
      <w:proofErr w:type="gramStart"/>
      <w:r w:rsidRPr="00874ABF">
        <w:rPr>
          <w:rFonts w:ascii="Arial" w:eastAsia="source serif 4" w:hAnsi="Arial" w:cs="Arial"/>
          <w:bCs/>
          <w:color w:val="000000" w:themeColor="text1"/>
          <w:kern w:val="0"/>
          <w:lang w:val="en-US"/>
          <w14:ligatures w14:val="none"/>
        </w:rPr>
        <w:t>doubt can</w:t>
      </w:r>
      <w:proofErr w:type="gramEnd"/>
      <w:r w:rsidRPr="00874ABF">
        <w:rPr>
          <w:rFonts w:ascii="Arial" w:eastAsia="source serif 4" w:hAnsi="Arial" w:cs="Arial"/>
          <w:bCs/>
          <w:color w:val="000000" w:themeColor="text1"/>
          <w:kern w:val="0"/>
          <w:lang w:val="en-US"/>
          <w14:ligatures w14:val="none"/>
        </w:rPr>
        <w:t xml:space="preserve"> limit the extent to which students, in practice, utilise the support available to them (Hyseni Duraku et al., 2023; Pollard et al., 2021). </w:t>
      </w:r>
      <w:r w:rsidR="0049106D" w:rsidRPr="00874ABF">
        <w:rPr>
          <w:rFonts w:ascii="Arial" w:eastAsia="source serif 4" w:hAnsi="Arial" w:cs="Arial"/>
          <w:bCs/>
          <w:color w:val="000000" w:themeColor="text1"/>
          <w:kern w:val="0"/>
          <w:lang w:val="en-US"/>
          <w14:ligatures w14:val="none"/>
        </w:rPr>
        <w:t>Additionally</w:t>
      </w:r>
      <w:r w:rsidR="00DF757F" w:rsidRPr="00874ABF">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 xml:space="preserve">HE Sector reports indicate that progression and attainment remain uneven for disabled learners, with the integration of support into teaching and assessment identified as </w:t>
      </w:r>
      <w:r w:rsidR="008F1407" w:rsidRPr="00874ABF">
        <w:rPr>
          <w:rFonts w:ascii="Arial" w:eastAsia="source serif 4" w:hAnsi="Arial" w:cs="Arial"/>
          <w:bCs/>
          <w:color w:val="000000" w:themeColor="text1"/>
          <w:kern w:val="0"/>
          <w:lang w:val="en-US"/>
          <w14:ligatures w14:val="none"/>
        </w:rPr>
        <w:t xml:space="preserve">beneficial to outcomes </w:t>
      </w:r>
      <w:r w:rsidR="00DF757F" w:rsidRPr="00874ABF">
        <w:rPr>
          <w:rFonts w:ascii="Arial" w:eastAsia="source serif 4" w:hAnsi="Arial" w:cs="Arial"/>
          <w:bCs/>
          <w:color w:val="000000" w:themeColor="text1"/>
          <w:kern w:val="0"/>
          <w:lang w:val="en-US"/>
          <w14:ligatures w14:val="none"/>
        </w:rPr>
        <w:t xml:space="preserve">rather than relying </w:t>
      </w:r>
      <w:r w:rsidR="008F1407" w:rsidRPr="00874ABF">
        <w:rPr>
          <w:rFonts w:ascii="Arial" w:eastAsia="source serif 4" w:hAnsi="Arial" w:cs="Arial"/>
          <w:bCs/>
          <w:color w:val="000000" w:themeColor="text1"/>
          <w:kern w:val="0"/>
          <w:lang w:val="en-US"/>
          <w14:ligatures w14:val="none"/>
        </w:rPr>
        <w:t xml:space="preserve">primarily </w:t>
      </w:r>
      <w:r w:rsidR="00DF757F" w:rsidRPr="00874ABF">
        <w:rPr>
          <w:rFonts w:ascii="Arial" w:eastAsia="source serif 4" w:hAnsi="Arial" w:cs="Arial"/>
          <w:bCs/>
          <w:color w:val="000000" w:themeColor="text1"/>
          <w:kern w:val="0"/>
          <w:lang w:val="en-US"/>
          <w14:ligatures w14:val="none"/>
        </w:rPr>
        <w:t xml:space="preserve">on </w:t>
      </w:r>
      <w:r w:rsidR="0049106D" w:rsidRPr="00874ABF">
        <w:rPr>
          <w:rFonts w:ascii="Arial" w:eastAsia="source serif 4" w:hAnsi="Arial" w:cs="Arial"/>
          <w:bCs/>
          <w:color w:val="000000" w:themeColor="text1"/>
          <w:kern w:val="0"/>
          <w:lang w:val="en-US"/>
          <w14:ligatures w14:val="none"/>
        </w:rPr>
        <w:t>student</w:t>
      </w:r>
      <w:r w:rsidR="00134D1D">
        <w:rPr>
          <w:rFonts w:ascii="Arial" w:eastAsia="source serif 4" w:hAnsi="Arial" w:cs="Arial"/>
          <w:bCs/>
          <w:color w:val="000000" w:themeColor="text1"/>
          <w:kern w:val="0"/>
          <w:lang w:val="en-US"/>
          <w14:ligatures w14:val="none"/>
        </w:rPr>
        <w:t>-</w:t>
      </w:r>
      <w:r w:rsidR="0049106D" w:rsidRPr="00874ABF">
        <w:rPr>
          <w:rFonts w:ascii="Arial" w:eastAsia="source serif 4" w:hAnsi="Arial" w:cs="Arial"/>
          <w:bCs/>
          <w:color w:val="000000" w:themeColor="text1"/>
          <w:kern w:val="0"/>
          <w:lang w:val="en-US"/>
          <w14:ligatures w14:val="none"/>
        </w:rPr>
        <w:t xml:space="preserve">specific support </w:t>
      </w:r>
      <w:r w:rsidRPr="00874ABF">
        <w:rPr>
          <w:rFonts w:ascii="Arial" w:eastAsia="source serif 4" w:hAnsi="Arial" w:cs="Arial"/>
          <w:bCs/>
          <w:color w:val="000000" w:themeColor="text1"/>
          <w:kern w:val="0"/>
          <w:lang w:val="en-US"/>
          <w14:ligatures w14:val="none"/>
        </w:rPr>
        <w:t>(Advance HE, 2023).</w:t>
      </w:r>
    </w:p>
    <w:p w14:paraId="6C4C821E" w14:textId="273620C9" w:rsidR="00142758" w:rsidRPr="00874ABF" w:rsidRDefault="00142758" w:rsidP="00F050ED">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lastRenderedPageBreak/>
        <w:t xml:space="preserve">Within the ALaM programme, </w:t>
      </w:r>
      <w:r w:rsidR="0049106D" w:rsidRPr="00874ABF">
        <w:rPr>
          <w:rFonts w:ascii="Arial" w:eastAsia="source serif 4" w:hAnsi="Arial" w:cs="Arial"/>
          <w:bCs/>
          <w:color w:val="000000" w:themeColor="text1"/>
          <w:kern w:val="0"/>
          <w14:ligatures w14:val="none"/>
        </w:rPr>
        <w:t xml:space="preserve">UWTSD </w:t>
      </w:r>
      <w:r w:rsidRPr="00874ABF">
        <w:rPr>
          <w:rFonts w:ascii="Arial" w:eastAsia="source serif 4" w:hAnsi="Arial" w:cs="Arial"/>
          <w:bCs/>
          <w:color w:val="000000" w:themeColor="text1"/>
          <w:kern w:val="0"/>
          <w14:ligatures w14:val="none"/>
        </w:rPr>
        <w:t xml:space="preserve">academic support is available to all students. </w:t>
      </w:r>
      <w:r w:rsidR="0049106D" w:rsidRPr="00874ABF">
        <w:rPr>
          <w:rFonts w:ascii="Arial" w:eastAsia="source serif 4" w:hAnsi="Arial" w:cs="Arial"/>
          <w:bCs/>
          <w:color w:val="000000" w:themeColor="text1"/>
          <w:kern w:val="0"/>
          <w14:ligatures w14:val="none"/>
        </w:rPr>
        <w:t>However, i</w:t>
      </w:r>
      <w:r w:rsidRPr="00874ABF">
        <w:rPr>
          <w:rFonts w:ascii="Arial" w:eastAsia="source serif 4" w:hAnsi="Arial" w:cs="Arial"/>
          <w:bCs/>
          <w:color w:val="000000" w:themeColor="text1"/>
          <w:kern w:val="0"/>
          <w14:ligatures w14:val="none"/>
        </w:rPr>
        <w:t xml:space="preserve">nternal programme monitoring suggests that patterns of non-submission, extenuating circumstances (ECs), completion and progression </w:t>
      </w:r>
      <w:r w:rsidR="00C57E77" w:rsidRPr="00874ABF">
        <w:rPr>
          <w:rFonts w:ascii="Arial" w:eastAsia="source serif 4" w:hAnsi="Arial" w:cs="Arial"/>
          <w:bCs/>
          <w:color w:val="000000" w:themeColor="text1"/>
          <w:kern w:val="0"/>
          <w14:ligatures w14:val="none"/>
        </w:rPr>
        <w:t>vary</w:t>
      </w:r>
      <w:r w:rsidRPr="00874ABF">
        <w:rPr>
          <w:rFonts w:ascii="Arial" w:eastAsia="source serif 4" w:hAnsi="Arial" w:cs="Arial"/>
          <w:bCs/>
          <w:color w:val="000000" w:themeColor="text1"/>
          <w:kern w:val="0"/>
          <w14:ligatures w14:val="none"/>
        </w:rPr>
        <w:t xml:space="preserve"> between cohorts and across academic years. This raises an important practical question: can students at greater risk of non-completion be identified </w:t>
      </w:r>
      <w:r w:rsidR="0049106D" w:rsidRPr="00874ABF">
        <w:rPr>
          <w:rFonts w:ascii="Arial" w:eastAsia="source serif 4" w:hAnsi="Arial" w:cs="Arial"/>
          <w:bCs/>
          <w:color w:val="000000" w:themeColor="text1"/>
          <w:kern w:val="0"/>
          <w14:ligatures w14:val="none"/>
        </w:rPr>
        <w:t xml:space="preserve">earlier than is presently the case, </w:t>
      </w:r>
      <w:r w:rsidRPr="00874ABF">
        <w:rPr>
          <w:rFonts w:ascii="Arial" w:eastAsia="source serif 4" w:hAnsi="Arial" w:cs="Arial"/>
          <w:bCs/>
          <w:color w:val="000000" w:themeColor="text1"/>
          <w:kern w:val="0"/>
          <w14:ligatures w14:val="none"/>
        </w:rPr>
        <w:t>using information already held by the programme, and how early in the student journey does this information become available?</w:t>
      </w:r>
    </w:p>
    <w:p w14:paraId="32247B85" w14:textId="30AE5393" w:rsidR="00A6052D" w:rsidRPr="00874ABF" w:rsidRDefault="00A6052D"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This is particularly relevant to widening-participation students, including those on the ALaM programme, who may attend off-site classes in the evenings or at weekends. For these students, academic self-efficacy, effective study strategies, wider institutional support and a sense of belonging are important intermediate outcomes linked to access, persistence and academic success (Thomson et al., 2022).</w:t>
      </w:r>
    </w:p>
    <w:p w14:paraId="4E5F1B86" w14:textId="1B020A23" w:rsidR="00A6052D" w:rsidRPr="00874ABF" w:rsidRDefault="00C57E77" w:rsidP="00142758">
      <w:pPr>
        <w:spacing w:after="120" w:line="360" w:lineRule="auto"/>
        <w:rPr>
          <w:rFonts w:ascii="Arial" w:eastAsia="source serif 4" w:hAnsi="Arial" w:cs="Arial"/>
          <w:bCs/>
          <w:color w:val="000000" w:themeColor="text1"/>
          <w:kern w:val="0"/>
          <w14:ligatures w14:val="none"/>
        </w:rPr>
      </w:pPr>
      <w:r w:rsidRPr="00C57E77">
        <w:rPr>
          <w:rFonts w:ascii="Arial" w:eastAsia="source serif 4" w:hAnsi="Arial" w:cs="Arial"/>
          <w:bCs/>
          <w:color w:val="000000" w:themeColor="text1"/>
          <w:kern w:val="0"/>
          <w14:ligatures w14:val="none"/>
        </w:rPr>
        <w:t>Routinely collected administrative data may help programmes identify students who could benefit from earlier, targeted support</w:t>
      </w:r>
      <w:r>
        <w:rPr>
          <w:rFonts w:ascii="Arial" w:eastAsia="source serif 4" w:hAnsi="Arial" w:cs="Arial"/>
          <w:bCs/>
          <w:color w:val="000000" w:themeColor="text1"/>
          <w:kern w:val="0"/>
          <w14:ligatures w14:val="none"/>
        </w:rPr>
        <w:t xml:space="preserve">. </w:t>
      </w:r>
      <w:r w:rsidR="00A6052D" w:rsidRPr="00874ABF">
        <w:rPr>
          <w:rFonts w:ascii="Arial" w:eastAsia="source serif 4" w:hAnsi="Arial" w:cs="Arial"/>
          <w:bCs/>
          <w:color w:val="000000" w:themeColor="text1"/>
          <w:kern w:val="0"/>
          <w14:ligatures w14:val="none"/>
        </w:rPr>
        <w:t>Early-alert systems can identify students who may be at greater risk of discontinuing their studies, although it is important to recognise the support offered after identification varies considerably across higher-education settings (Larrabee Sønderlund et al., 2019; Villano et al., 2018).</w:t>
      </w:r>
    </w:p>
    <w:p w14:paraId="27A5522B" w14:textId="2D8C89E2" w:rsidR="00CA6814" w:rsidRPr="00874ABF" w:rsidRDefault="00CA6814" w:rsidP="00CA6814">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lang w:val="en-US"/>
          <w14:ligatures w14:val="none"/>
        </w:rPr>
        <w:t xml:space="preserve">Against this background, the study examines whether early signs of assessment engagement and enrolment, recorded in university data, are linked to programme completion and academic attainment among Level 4 ALaM students. It also examines how many students have </w:t>
      </w:r>
      <w:proofErr w:type="gramStart"/>
      <w:r w:rsidRPr="00874ABF">
        <w:rPr>
          <w:rFonts w:ascii="Arial" w:eastAsia="source serif 4" w:hAnsi="Arial" w:cs="Arial"/>
          <w:bCs/>
          <w:color w:val="000000" w:themeColor="text1"/>
          <w:kern w:val="0"/>
          <w:lang w:val="en-US"/>
          <w14:ligatures w14:val="none"/>
        </w:rPr>
        <w:t>formally-approved</w:t>
      </w:r>
      <w:proofErr w:type="gramEnd"/>
      <w:r w:rsidRPr="00874ABF">
        <w:rPr>
          <w:rFonts w:ascii="Arial" w:eastAsia="source serif 4" w:hAnsi="Arial" w:cs="Arial"/>
          <w:bCs/>
          <w:color w:val="000000" w:themeColor="text1"/>
          <w:kern w:val="0"/>
          <w:lang w:val="en-US"/>
          <w14:ligatures w14:val="none"/>
        </w:rPr>
        <w:t xml:space="preserve"> reasonable adjustments and when these are put in place. </w:t>
      </w:r>
      <w:r w:rsidRPr="00874ABF">
        <w:rPr>
          <w:rFonts w:ascii="Arial" w:eastAsia="source serif 4" w:hAnsi="Arial" w:cs="Arial"/>
          <w:bCs/>
          <w:color w:val="000000" w:themeColor="text1"/>
          <w:kern w:val="0"/>
          <w14:ligatures w14:val="none"/>
        </w:rPr>
        <w:t>The study therefore addresses one main research question and three sub-questions:</w:t>
      </w:r>
    </w:p>
    <w:p w14:paraId="17AF6FF3" w14:textId="354DC3C1" w:rsidR="00142758" w:rsidRPr="00874ABF" w:rsidRDefault="00142758" w:rsidP="00CA6814">
      <w:pPr>
        <w:spacing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Main research question</w:t>
      </w:r>
      <w:r w:rsidRPr="00874ABF">
        <w:rPr>
          <w:rFonts w:ascii="Arial" w:eastAsia="source serif 4" w:hAnsi="Arial" w:cs="Arial"/>
          <w:bCs/>
          <w:color w:val="000000" w:themeColor="text1"/>
          <w:kern w:val="0"/>
          <w:lang w:val="en-US"/>
          <w14:ligatures w14:val="none"/>
        </w:rPr>
        <w:t xml:space="preserve">: Which early signs of assessment engagement and enrolment, already </w:t>
      </w:r>
      <w:r w:rsidR="00CA6814" w:rsidRPr="00874ABF">
        <w:rPr>
          <w:rFonts w:ascii="Arial" w:eastAsia="source serif 4" w:hAnsi="Arial" w:cs="Arial"/>
          <w:bCs/>
          <w:color w:val="000000" w:themeColor="text1"/>
          <w:kern w:val="0"/>
          <w:lang w:val="en-US"/>
          <w14:ligatures w14:val="none"/>
        </w:rPr>
        <w:t>available</w:t>
      </w:r>
      <w:r w:rsidRPr="00874ABF">
        <w:rPr>
          <w:rFonts w:ascii="Arial" w:eastAsia="source serif 4" w:hAnsi="Arial" w:cs="Arial"/>
          <w:bCs/>
          <w:color w:val="000000" w:themeColor="text1"/>
          <w:kern w:val="0"/>
          <w:lang w:val="en-US"/>
          <w14:ligatures w14:val="none"/>
        </w:rPr>
        <w:t xml:space="preserve"> in university records, are associated with programme completion and academic attainment among mature learners on a Level 4 </w:t>
      </w:r>
      <w:r w:rsidR="00CA6814" w:rsidRPr="00874ABF">
        <w:rPr>
          <w:rFonts w:ascii="Arial" w:eastAsia="source serif 4" w:hAnsi="Arial" w:cs="Arial"/>
          <w:bCs/>
          <w:color w:val="000000" w:themeColor="text1"/>
          <w:kern w:val="0"/>
          <w:lang w:val="en-US"/>
          <w14:ligatures w14:val="none"/>
        </w:rPr>
        <w:t>mature</w:t>
      </w:r>
      <w:r w:rsidRPr="00874ABF">
        <w:rPr>
          <w:rFonts w:ascii="Arial" w:eastAsia="source serif 4" w:hAnsi="Arial" w:cs="Arial"/>
          <w:bCs/>
          <w:color w:val="000000" w:themeColor="text1"/>
          <w:kern w:val="0"/>
          <w:lang w:val="en-US"/>
          <w14:ligatures w14:val="none"/>
        </w:rPr>
        <w:t xml:space="preserve"> widening-participation programme?</w:t>
      </w:r>
    </w:p>
    <w:p w14:paraId="4066812A" w14:textId="77777777" w:rsidR="00142758" w:rsidRPr="00874ABF" w:rsidRDefault="00142758" w:rsidP="00CA6814">
      <w:pPr>
        <w:pStyle w:val="ListParagraph"/>
        <w:numPr>
          <w:ilvl w:val="0"/>
          <w:numId w:val="43"/>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SQ1.</w:t>
      </w:r>
      <w:r w:rsidRPr="00874ABF">
        <w:rPr>
          <w:rFonts w:ascii="Arial" w:eastAsia="source serif 4" w:hAnsi="Arial" w:cs="Arial"/>
          <w:bCs/>
          <w:color w:val="000000" w:themeColor="text1"/>
          <w:kern w:val="0"/>
          <w:lang w:val="en-US"/>
          <w14:ligatures w14:val="none"/>
        </w:rPr>
        <w:t xml:space="preserve"> Is non-submission of the first assessment associated with completion of the remaining modules?</w:t>
      </w:r>
    </w:p>
    <w:p w14:paraId="3775F177" w14:textId="77777777" w:rsidR="00142758" w:rsidRPr="00874ABF" w:rsidRDefault="00142758" w:rsidP="00CA6814">
      <w:pPr>
        <w:pStyle w:val="ListParagraph"/>
        <w:numPr>
          <w:ilvl w:val="0"/>
          <w:numId w:val="43"/>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SQ2</w:t>
      </w:r>
      <w:r w:rsidRPr="00874ABF">
        <w:rPr>
          <w:rFonts w:ascii="Arial" w:eastAsia="source serif 4" w:hAnsi="Arial" w:cs="Arial"/>
          <w:bCs/>
          <w:color w:val="000000" w:themeColor="text1"/>
          <w:kern w:val="0"/>
          <w:lang w:val="en-US"/>
          <w14:ligatures w14:val="none"/>
        </w:rPr>
        <w:t>. Is repeat enrolment associated with differences in academic attainment?</w:t>
      </w:r>
    </w:p>
    <w:p w14:paraId="42BD2777" w14:textId="77777777" w:rsidR="00142758" w:rsidRPr="00874ABF" w:rsidRDefault="00142758" w:rsidP="00CA6814">
      <w:pPr>
        <w:pStyle w:val="ListParagraph"/>
        <w:numPr>
          <w:ilvl w:val="0"/>
          <w:numId w:val="43"/>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SQ3. </w:t>
      </w:r>
      <w:r w:rsidRPr="00874ABF">
        <w:rPr>
          <w:rFonts w:ascii="Arial" w:eastAsia="source serif 4" w:hAnsi="Arial" w:cs="Arial"/>
          <w:bCs/>
          <w:color w:val="000000" w:themeColor="text1"/>
          <w:kern w:val="0"/>
          <w:lang w:val="en-US"/>
          <w14:ligatures w14:val="none"/>
        </w:rPr>
        <w:t xml:space="preserve">Is the number of </w:t>
      </w:r>
      <w:proofErr w:type="gramStart"/>
      <w:r w:rsidRPr="00874ABF">
        <w:rPr>
          <w:rFonts w:ascii="Arial" w:eastAsia="source serif 4" w:hAnsi="Arial" w:cs="Arial"/>
          <w:bCs/>
          <w:color w:val="000000" w:themeColor="text1"/>
          <w:kern w:val="0"/>
          <w:lang w:val="en-US"/>
          <w14:ligatures w14:val="none"/>
        </w:rPr>
        <w:t>assessment</w:t>
      </w:r>
      <w:proofErr w:type="gramEnd"/>
      <w:r w:rsidRPr="00874ABF">
        <w:rPr>
          <w:rFonts w:ascii="Arial" w:eastAsia="source serif 4" w:hAnsi="Arial" w:cs="Arial"/>
          <w:bCs/>
          <w:color w:val="000000" w:themeColor="text1"/>
          <w:kern w:val="0"/>
          <w:lang w:val="en-US"/>
          <w14:ligatures w14:val="none"/>
        </w:rPr>
        <w:t xml:space="preserve"> non-submissions associated with academic attainment?</w:t>
      </w:r>
    </w:p>
    <w:p w14:paraId="6D9FD3C6"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278C4113"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2. Literature Review</w:t>
      </w:r>
    </w:p>
    <w:p w14:paraId="6B5ABC25" w14:textId="77777777" w:rsidR="004A1327" w:rsidRPr="00874ABF" w:rsidRDefault="004A1327" w:rsidP="004A1327">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Widening-participation literature identifies mature learners and students entering higher education through non-traditional routes, including those with limited prior qualifications or interrupted educational histories, as groups with distinctive circumstances and support needs (Fowle, 2022;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xml:space="preserve">, 2020). It also identifies persistent inequalities in their access, continuation, completion and attainment (Gongadze et al., 2021;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xml:space="preserve">, 2021, 2024; Robinson &amp; </w:t>
      </w:r>
      <w:proofErr w:type="spellStart"/>
      <w:r w:rsidRPr="00874ABF">
        <w:rPr>
          <w:rFonts w:ascii="Arial" w:eastAsia="source serif 4" w:hAnsi="Arial" w:cs="Arial"/>
          <w:bCs/>
          <w:color w:val="000000" w:themeColor="text1"/>
          <w:kern w:val="0"/>
          <w14:ligatures w14:val="none"/>
        </w:rPr>
        <w:t>Salvestrini</w:t>
      </w:r>
      <w:proofErr w:type="spellEnd"/>
      <w:r w:rsidRPr="00874ABF">
        <w:rPr>
          <w:rFonts w:ascii="Arial" w:eastAsia="source serif 4" w:hAnsi="Arial" w:cs="Arial"/>
          <w:bCs/>
          <w:color w:val="000000" w:themeColor="text1"/>
          <w:kern w:val="0"/>
          <w14:ligatures w14:val="none"/>
        </w:rPr>
        <w:t>, 2020).</w:t>
      </w:r>
    </w:p>
    <w:p w14:paraId="6974D739" w14:textId="77777777" w:rsidR="00C57E77" w:rsidRDefault="00C57E77" w:rsidP="004A1327">
      <w:pPr>
        <w:spacing w:line="360" w:lineRule="auto"/>
        <w:rPr>
          <w:rFonts w:ascii="Arial" w:eastAsia="source serif 4" w:hAnsi="Arial" w:cs="Arial"/>
          <w:b/>
          <w:color w:val="000000" w:themeColor="text1"/>
          <w:kern w:val="0"/>
          <w14:ligatures w14:val="none"/>
        </w:rPr>
      </w:pPr>
    </w:p>
    <w:p w14:paraId="5BD65BEC" w14:textId="4991624C" w:rsidR="00C57E77" w:rsidRDefault="00C57E77" w:rsidP="004A1327">
      <w:pPr>
        <w:spacing w:line="360" w:lineRule="auto"/>
        <w:rPr>
          <w:rFonts w:ascii="Arial" w:eastAsia="source serif 4" w:hAnsi="Arial" w:cs="Arial"/>
          <w:b/>
          <w:color w:val="000000" w:themeColor="text1"/>
          <w:kern w:val="0"/>
          <w14:ligatures w14:val="none"/>
        </w:rPr>
      </w:pPr>
      <w:r w:rsidRPr="00C57E77">
        <w:rPr>
          <w:rFonts w:ascii="Arial" w:eastAsia="source serif 4" w:hAnsi="Arial" w:cs="Arial"/>
          <w:b/>
          <w:color w:val="000000" w:themeColor="text1"/>
          <w:kern w:val="0"/>
          <w14:ligatures w14:val="none"/>
        </w:rPr>
        <w:t>2.1 Mature learners and widening participation.</w:t>
      </w:r>
    </w:p>
    <w:p w14:paraId="12F0BE3F" w14:textId="65146E3F" w:rsidR="004A1327" w:rsidRPr="00C57E77" w:rsidRDefault="004A1327" w:rsidP="004A1327">
      <w:pPr>
        <w:spacing w:line="360" w:lineRule="auto"/>
        <w:rPr>
          <w:rFonts w:ascii="Arial" w:eastAsia="source serif 4" w:hAnsi="Arial" w:cs="Arial"/>
          <w:b/>
          <w:color w:val="000000" w:themeColor="text1"/>
          <w:kern w:val="0"/>
          <w14:ligatures w14:val="none"/>
        </w:rPr>
      </w:pPr>
      <w:r w:rsidRPr="00874ABF">
        <w:rPr>
          <w:rFonts w:ascii="Arial" w:eastAsia="source serif 4" w:hAnsi="Arial" w:cs="Arial"/>
          <w:bCs/>
          <w:color w:val="000000" w:themeColor="text1"/>
          <w:kern w:val="0"/>
          <w14:ligatures w14:val="none"/>
        </w:rPr>
        <w:t xml:space="preserve">Mature learners often bring considerable life and work experience to higher education and may view study as an opportunity for personal development, career progression or a move into a different type of work (Garvey, 2024). However, they may need to balance this motivation to study with the demands of paid employment, financial pressures, caring responsibilities and limited time. These demands can, in turn, affect engagement, continuation and academic outcomes (Gongadze et al., 2021;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2021).</w:t>
      </w:r>
    </w:p>
    <w:p w14:paraId="6B0350A7" w14:textId="22E95F46" w:rsidR="004A1327" w:rsidRPr="00874ABF" w:rsidRDefault="004A1327" w:rsidP="004A1327">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Despite the strengths and motivations that mature and other widening-participation students may bring to higher education, some groups continue to experience poorer outcomes. In </w:t>
      </w:r>
      <w:r w:rsidR="00C57E77" w:rsidRPr="00C57E77">
        <w:rPr>
          <w:rFonts w:ascii="Arial" w:eastAsia="source serif 4" w:hAnsi="Arial" w:cs="Arial"/>
          <w:bCs/>
          <w:color w:val="000000" w:themeColor="text1"/>
          <w:kern w:val="0"/>
          <w14:ligatures w14:val="none"/>
        </w:rPr>
        <w:t>2021</w:t>
      </w:r>
      <w:r w:rsidR="00C57E77">
        <w:rPr>
          <w:rFonts w:ascii="Arial" w:eastAsia="source serif 4" w:hAnsi="Arial" w:cs="Arial"/>
          <w:bCs/>
          <w:color w:val="000000" w:themeColor="text1"/>
          <w:kern w:val="0"/>
          <w14:ligatures w14:val="none"/>
        </w:rPr>
        <w:t>-</w:t>
      </w:r>
      <w:r w:rsidR="00C57E77" w:rsidRPr="00C57E77">
        <w:rPr>
          <w:rFonts w:ascii="Arial" w:eastAsia="source serif 4" w:hAnsi="Arial" w:cs="Arial"/>
          <w:bCs/>
          <w:color w:val="000000" w:themeColor="text1"/>
          <w:kern w:val="0"/>
          <w14:ligatures w14:val="none"/>
        </w:rPr>
        <w:t>22</w:t>
      </w:r>
      <w:r w:rsidRPr="00874ABF">
        <w:rPr>
          <w:rFonts w:ascii="Arial" w:eastAsia="source serif 4" w:hAnsi="Arial" w:cs="Arial"/>
          <w:bCs/>
          <w:color w:val="000000" w:themeColor="text1"/>
          <w:kern w:val="0"/>
          <w14:ligatures w14:val="none"/>
        </w:rPr>
        <w:t xml:space="preserve">, entrants classified by the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xml:space="preserve"> as significantly disadvantaged had a continuation rate of 84.6%, 6.9% lower than for other entrants and 5.1% </w:t>
      </w:r>
      <w:r w:rsidR="00C57E77">
        <w:rPr>
          <w:rFonts w:ascii="Arial" w:eastAsia="source serif 4" w:hAnsi="Arial" w:cs="Arial"/>
          <w:bCs/>
          <w:color w:val="000000" w:themeColor="text1"/>
          <w:kern w:val="0"/>
          <w14:ligatures w14:val="none"/>
        </w:rPr>
        <w:t xml:space="preserve">lower </w:t>
      </w:r>
      <w:r w:rsidRPr="00874ABF">
        <w:rPr>
          <w:rFonts w:ascii="Arial" w:eastAsia="source serif 4" w:hAnsi="Arial" w:cs="Arial"/>
          <w:bCs/>
          <w:color w:val="000000" w:themeColor="text1"/>
          <w:kern w:val="0"/>
          <w14:ligatures w14:val="none"/>
        </w:rPr>
        <w:t xml:space="preserve">for </w:t>
      </w:r>
      <w:r w:rsidRPr="00874ABF">
        <w:rPr>
          <w:rFonts w:ascii="Arial" w:eastAsia="source serif 4" w:hAnsi="Arial" w:cs="Arial"/>
          <w:bCs/>
          <w:i/>
          <w:iCs/>
          <w:color w:val="000000" w:themeColor="text1"/>
          <w:kern w:val="0"/>
          <w14:ligatures w14:val="none"/>
        </w:rPr>
        <w:t>economically precarious</w:t>
      </w:r>
      <w:r w:rsidRPr="00874ABF">
        <w:rPr>
          <w:rFonts w:ascii="Arial" w:eastAsia="source serif 4" w:hAnsi="Arial" w:cs="Arial"/>
          <w:bCs/>
          <w:color w:val="000000" w:themeColor="text1"/>
          <w:kern w:val="0"/>
          <w14:ligatures w14:val="none"/>
        </w:rPr>
        <w:t xml:space="preserve"> entrants; a group identified by the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xml:space="preserve"> through measures of financial vulnerability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2024).</w:t>
      </w:r>
    </w:p>
    <w:p w14:paraId="1B32C02D" w14:textId="6A839051" w:rsidR="004F3A57" w:rsidRPr="00874ABF" w:rsidRDefault="004F3A57" w:rsidP="004F3A57">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Qualitative research with mature undergraduates suggests that course-based communities of practice can strengthen belonging, confidence, engagement and wellbeing during the transition to university, even where students initially feel uncertain about what is expected of them or whether they belong in higher education (Jones et al., 2025). It also highlights the importance of early support in helping students develop more positive beliefs about their capacity to learn during their studies (Jones &amp; McConnell, 2023).</w:t>
      </w:r>
    </w:p>
    <w:p w14:paraId="3E46E02D" w14:textId="0A75756E" w:rsidR="004F3A57" w:rsidRPr="00874ABF" w:rsidRDefault="004F3A57" w:rsidP="004F3A57">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lastRenderedPageBreak/>
        <w:t xml:space="preserve">These findings suggest that early experiences of academic and social engagement may shape students’ sense of belonging and their likelihood of continuing their studies. Additional research indicates academic and social engagement are independently associated with belonging and retention (Ahn &amp; Davis, 2023), and specifically among mature international students, support that </w:t>
      </w:r>
      <w:proofErr w:type="spellStart"/>
      <w:r w:rsidRPr="00874ABF">
        <w:rPr>
          <w:rFonts w:ascii="Arial" w:eastAsia="source serif 4" w:hAnsi="Arial" w:cs="Arial"/>
          <w:bCs/>
          <w:color w:val="000000" w:themeColor="text1"/>
          <w:kern w:val="0"/>
          <w:lang w:val="en-US"/>
          <w14:ligatures w14:val="none"/>
        </w:rPr>
        <w:t>recognises</w:t>
      </w:r>
      <w:proofErr w:type="spellEnd"/>
      <w:r w:rsidRPr="00874ABF">
        <w:rPr>
          <w:rFonts w:ascii="Arial" w:eastAsia="source serif 4" w:hAnsi="Arial" w:cs="Arial"/>
          <w:bCs/>
          <w:color w:val="000000" w:themeColor="text1"/>
          <w:kern w:val="0"/>
          <w:lang w:val="en-US"/>
          <w14:ligatures w14:val="none"/>
        </w:rPr>
        <w:t xml:space="preserve"> and promotes cultural inclusion may also help strengthen belonging (Pervez et al., 2024).</w:t>
      </w:r>
    </w:p>
    <w:p w14:paraId="2CEFA4AD" w14:textId="451FDA2F" w:rsidR="004F3A57" w:rsidRPr="00874ABF" w:rsidRDefault="004F3A57" w:rsidP="004F3A57">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Age should not be treated as a measure of ability or motivation. Although outcomes can differ by age, these differences are not explained by age alone (</w:t>
      </w:r>
      <w:proofErr w:type="spellStart"/>
      <w:r w:rsidRPr="00874ABF">
        <w:rPr>
          <w:rFonts w:ascii="Arial" w:eastAsia="source serif 4" w:hAnsi="Arial" w:cs="Arial"/>
          <w:bCs/>
          <w:color w:val="000000" w:themeColor="text1"/>
          <w:kern w:val="0"/>
          <w:lang w:val="en-US"/>
          <w14:ligatures w14:val="none"/>
        </w:rPr>
        <w:t>OfS</w:t>
      </w:r>
      <w:proofErr w:type="spellEnd"/>
      <w:r w:rsidRPr="00874ABF">
        <w:rPr>
          <w:rFonts w:ascii="Arial" w:eastAsia="source serif 4" w:hAnsi="Arial" w:cs="Arial"/>
          <w:bCs/>
          <w:color w:val="000000" w:themeColor="text1"/>
          <w:kern w:val="0"/>
          <w:lang w:val="en-US"/>
          <w14:ligatures w14:val="none"/>
        </w:rPr>
        <w:t>, 2021, 2024). Mature students are a diverse group, with experiences shaped by factors such as study mode, previous qualifications, employment, caring responsibilities and access to support (Gongadze et al., 2021).</w:t>
      </w:r>
    </w:p>
    <w:p w14:paraId="570D56EF" w14:textId="77777777" w:rsidR="004F3A57" w:rsidRPr="00874ABF" w:rsidRDefault="004F3A57" w:rsidP="00142758">
      <w:pPr>
        <w:spacing w:after="120" w:line="360" w:lineRule="auto"/>
        <w:rPr>
          <w:rFonts w:ascii="Arial" w:eastAsia="source serif 4" w:hAnsi="Arial" w:cs="Arial"/>
          <w:b/>
          <w:color w:val="000000" w:themeColor="text1"/>
          <w:kern w:val="0"/>
          <w:lang w:val="en-US"/>
          <w14:ligatures w14:val="none"/>
        </w:rPr>
      </w:pPr>
    </w:p>
    <w:p w14:paraId="5EECC160" w14:textId="72022333"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2.2 Engagement, non-completion and early assessment engagement</w:t>
      </w:r>
    </w:p>
    <w:p w14:paraId="0BF87412" w14:textId="77777777" w:rsidR="00867B9F" w:rsidRPr="00874ABF" w:rsidRDefault="00867B9F"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As universities face increasing financial pressures and seek to improve student retention, research has increasingly focused not only on why students leave, but also on identifying early signs of disengagement and withdrawal so that support can be offered before students discontinue their studies (Linden et al., 2023).</w:t>
      </w:r>
    </w:p>
    <w:p w14:paraId="13FEB260" w14:textId="55898FA2" w:rsidR="0098745B" w:rsidRPr="00874ABF" w:rsidRDefault="0098745B"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Information already held by universities, such as missed classes and failed modules, can sometimes be more useful than demographic details in identifying students at risk. For example, among first-year business and social science students, a higher proportion of failed or unattended subjects in the first semester </w:t>
      </w:r>
      <w:proofErr w:type="gramStart"/>
      <w:r w:rsidRPr="00874ABF">
        <w:rPr>
          <w:rFonts w:ascii="Arial" w:eastAsia="source serif 4" w:hAnsi="Arial" w:cs="Arial"/>
          <w:bCs/>
          <w:color w:val="000000" w:themeColor="text1"/>
          <w:kern w:val="0"/>
          <w:lang w:val="en-US"/>
          <w14:ligatures w14:val="none"/>
        </w:rPr>
        <w:t>was</w:t>
      </w:r>
      <w:proofErr w:type="gramEnd"/>
      <w:r w:rsidRPr="00874ABF">
        <w:rPr>
          <w:rFonts w:ascii="Arial" w:eastAsia="source serif 4" w:hAnsi="Arial" w:cs="Arial"/>
          <w:bCs/>
          <w:color w:val="000000" w:themeColor="text1"/>
          <w:kern w:val="0"/>
          <w:lang w:val="en-US"/>
          <w14:ligatures w14:val="none"/>
        </w:rPr>
        <w:t xml:space="preserve"> linked to a greater likelihood of dropping out (Ortiz-Lozano et al., 2024).</w:t>
      </w:r>
    </w:p>
    <w:p w14:paraId="2823DF81" w14:textId="77777777" w:rsidR="00BC461A" w:rsidRPr="00874ABF" w:rsidRDefault="00BC461A" w:rsidP="00BC461A">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Assessment submission can provide an early sign that a student may be struggling to engage. Linden (2022) describes an Australian retention model that identified students who had not submitted an early assessment and contacted them before the census date, when withdrawal could have financial or academic consequences. At UWTSD, students may withdraw within 14 days of their programme start date.</w:t>
      </w:r>
    </w:p>
    <w:p w14:paraId="72351981" w14:textId="37FCF62D" w:rsidR="00BC461A" w:rsidRPr="00874ABF" w:rsidRDefault="00BC461A" w:rsidP="00BC461A">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 model combined early assessment monitoring with heightened direct contact and targeted support. It was associated with improved module progression rates and lower first-year withdrawal. This suggests that an early non-submission can give staff </w:t>
      </w:r>
      <w:r w:rsidRPr="00874ABF">
        <w:rPr>
          <w:rFonts w:ascii="Arial" w:eastAsia="source serif 4" w:hAnsi="Arial" w:cs="Arial"/>
          <w:bCs/>
          <w:color w:val="000000" w:themeColor="text1"/>
          <w:kern w:val="0"/>
          <w14:ligatures w14:val="none"/>
        </w:rPr>
        <w:lastRenderedPageBreak/>
        <w:t>a practical opportunity to contact students, offer support and discuss their options before they disengage further.</w:t>
      </w:r>
    </w:p>
    <w:p w14:paraId="6F2F6956" w14:textId="35AC56C4" w:rsidR="003E0FDB" w:rsidRPr="00874ABF" w:rsidRDefault="003E0FDB" w:rsidP="003E0FDB">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In a quantitative study of 198 students on a fully online first-year course, Cochrane et al. (2026) found that students who submitted their first assessment on time were more likely to submit the next assessment on time. Those who did not submit the first assessment were more likely to miss subsequent assessments or withdraw, while marks did not differ substantially between submission groups</w:t>
      </w:r>
    </w:p>
    <w:p w14:paraId="09FC562A" w14:textId="7AFDA003" w:rsidR="00671A30" w:rsidRPr="00874ABF" w:rsidRDefault="00671A30"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 specific reasons why mature and widening-participation students do not submit work have received relatively little attention in the research literature. At a UK widening-participation university, two-thirds of the reasons students gave for non-submission related to circumstances outside their studies, including physical or mental health and family or caring responsibilities (King &amp; </w:t>
      </w:r>
      <w:proofErr w:type="spellStart"/>
      <w:r w:rsidRPr="00874ABF">
        <w:rPr>
          <w:rFonts w:ascii="Arial" w:eastAsia="source serif 4" w:hAnsi="Arial" w:cs="Arial"/>
          <w:bCs/>
          <w:color w:val="000000" w:themeColor="text1"/>
          <w:kern w:val="0"/>
          <w14:ligatures w14:val="none"/>
        </w:rPr>
        <w:t>Loddick</w:t>
      </w:r>
      <w:proofErr w:type="spellEnd"/>
      <w:r w:rsidRPr="00874ABF">
        <w:rPr>
          <w:rFonts w:ascii="Arial" w:eastAsia="source serif 4" w:hAnsi="Arial" w:cs="Arial"/>
          <w:bCs/>
          <w:color w:val="000000" w:themeColor="text1"/>
          <w:kern w:val="0"/>
          <w14:ligatures w14:val="none"/>
        </w:rPr>
        <w:t xml:space="preserve">, 2026). The findings reflect the wider evidence that caring responsibilities, employment, financial pressures and health can disrupt study routines and academic engagement, particularly for mature and widening-participation students (Gongadze et al., 2021; </w:t>
      </w:r>
      <w:proofErr w:type="spellStart"/>
      <w:r w:rsidRPr="00874ABF">
        <w:rPr>
          <w:rFonts w:ascii="Arial" w:eastAsia="source serif 4" w:hAnsi="Arial" w:cs="Arial"/>
          <w:bCs/>
          <w:color w:val="000000" w:themeColor="text1"/>
          <w:kern w:val="0"/>
          <w14:ligatures w14:val="none"/>
        </w:rPr>
        <w:t>Runacres</w:t>
      </w:r>
      <w:proofErr w:type="spellEnd"/>
      <w:r w:rsidRPr="00874ABF">
        <w:rPr>
          <w:rFonts w:ascii="Arial" w:eastAsia="source serif 4" w:hAnsi="Arial" w:cs="Arial"/>
          <w:bCs/>
          <w:color w:val="000000" w:themeColor="text1"/>
          <w:kern w:val="0"/>
          <w14:ligatures w14:val="none"/>
        </w:rPr>
        <w:t xml:space="preserve"> et al., 2024).</w:t>
      </w:r>
    </w:p>
    <w:p w14:paraId="48FF91DC" w14:textId="6DF8C00B" w:rsidR="002F1A85" w:rsidRPr="00874ABF" w:rsidRDefault="002F1A85"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UK research shows the growing use of learning analytics and early-alert systems to identify patterns associated with student engagement, progression and retention. At the Open University, predictive indicators drawing on learner activity and assessment data are used to identify students who may be at risk of not submitting their next tutor-marked assignment. This allows tutors and student-support teams to consider timely, context-sensitive support (</w:t>
      </w:r>
      <w:proofErr w:type="spellStart"/>
      <w:r w:rsidRPr="00874ABF">
        <w:rPr>
          <w:rFonts w:ascii="Arial" w:eastAsia="source serif 4" w:hAnsi="Arial" w:cs="Arial"/>
          <w:bCs/>
          <w:color w:val="000000" w:themeColor="text1"/>
          <w:kern w:val="0"/>
          <w14:ligatures w14:val="none"/>
        </w:rPr>
        <w:t>Boroowa</w:t>
      </w:r>
      <w:proofErr w:type="spellEnd"/>
      <w:r w:rsidRPr="00874ABF">
        <w:rPr>
          <w:rFonts w:ascii="Arial" w:eastAsia="source serif 4" w:hAnsi="Arial" w:cs="Arial"/>
          <w:bCs/>
          <w:color w:val="000000" w:themeColor="text1"/>
          <w:kern w:val="0"/>
          <w14:ligatures w14:val="none"/>
        </w:rPr>
        <w:t xml:space="preserve"> &amp; </w:t>
      </w:r>
      <w:proofErr w:type="spellStart"/>
      <w:r w:rsidRPr="00874ABF">
        <w:rPr>
          <w:rFonts w:ascii="Arial" w:eastAsia="source serif 4" w:hAnsi="Arial" w:cs="Arial"/>
          <w:bCs/>
          <w:color w:val="000000" w:themeColor="text1"/>
          <w:kern w:val="0"/>
          <w14:ligatures w14:val="none"/>
        </w:rPr>
        <w:t>Herodotou</w:t>
      </w:r>
      <w:proofErr w:type="spellEnd"/>
      <w:r w:rsidRPr="00874ABF">
        <w:rPr>
          <w:rFonts w:ascii="Arial" w:eastAsia="source serif 4" w:hAnsi="Arial" w:cs="Arial"/>
          <w:bCs/>
          <w:color w:val="000000" w:themeColor="text1"/>
          <w:kern w:val="0"/>
          <w14:ligatures w14:val="none"/>
        </w:rPr>
        <w:t>, 2022). Recent UK case-study research similarly identifies student engagement, retention, progression and wellbeing as key applications of learning analytics, while highlighting variation in institutional practice and the importance of interpreting data in context (Dixon et al., 2025)</w:t>
      </w:r>
      <w:r w:rsidR="00C57E77">
        <w:rPr>
          <w:rFonts w:ascii="Arial" w:eastAsia="source serif 4" w:hAnsi="Arial" w:cs="Arial"/>
          <w:bCs/>
          <w:color w:val="000000" w:themeColor="text1"/>
          <w:kern w:val="0"/>
          <w14:ligatures w14:val="none"/>
        </w:rPr>
        <w:t>.</w:t>
      </w:r>
    </w:p>
    <w:p w14:paraId="05B7EB3D" w14:textId="77777777" w:rsidR="004455DB" w:rsidRPr="00874ABF" w:rsidRDefault="004455DB" w:rsidP="004455DB">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Enrolment pattern provides a second recorded indicator of possible disruption. Students who experience an initial interruption to enrolment are more likely to experience further interruptions and less likely to graduate (</w:t>
      </w:r>
      <w:proofErr w:type="spellStart"/>
      <w:r w:rsidRPr="00874ABF">
        <w:rPr>
          <w:rFonts w:ascii="Arial" w:eastAsia="source serif 4" w:hAnsi="Arial" w:cs="Arial"/>
          <w:bCs/>
          <w:color w:val="000000" w:themeColor="text1"/>
          <w:kern w:val="0"/>
          <w14:ligatures w14:val="none"/>
        </w:rPr>
        <w:t>DesJardins</w:t>
      </w:r>
      <w:proofErr w:type="spellEnd"/>
      <w:r w:rsidRPr="00874ABF">
        <w:rPr>
          <w:rFonts w:ascii="Arial" w:eastAsia="source serif 4" w:hAnsi="Arial" w:cs="Arial"/>
          <w:bCs/>
          <w:color w:val="000000" w:themeColor="text1"/>
          <w:kern w:val="0"/>
          <w14:ligatures w14:val="none"/>
        </w:rPr>
        <w:t xml:space="preserve"> et al., 2006). However, repeat enrolment does not have a single meaning: it may reflect disruption or academic difficulty, but it may also offer an opportunity for improvement. For example, where repeating a full year is compulsory rather than voluntary, it has been </w:t>
      </w:r>
      <w:r w:rsidRPr="00874ABF">
        <w:rPr>
          <w:rFonts w:ascii="Arial" w:eastAsia="source serif 4" w:hAnsi="Arial" w:cs="Arial"/>
          <w:bCs/>
          <w:color w:val="000000" w:themeColor="text1"/>
          <w:kern w:val="0"/>
          <w14:ligatures w14:val="none"/>
        </w:rPr>
        <w:lastRenderedPageBreak/>
        <w:t>associated with higher subsequent grade-point averages but also with an increased likelihood of first-year dropout (</w:t>
      </w:r>
      <w:proofErr w:type="spellStart"/>
      <w:r w:rsidRPr="00874ABF">
        <w:rPr>
          <w:rFonts w:ascii="Arial" w:eastAsia="source serif 4" w:hAnsi="Arial" w:cs="Arial"/>
          <w:bCs/>
          <w:color w:val="000000" w:themeColor="text1"/>
          <w:kern w:val="0"/>
          <w14:ligatures w14:val="none"/>
        </w:rPr>
        <w:t>Tafreschi</w:t>
      </w:r>
      <w:proofErr w:type="spellEnd"/>
      <w:r w:rsidRPr="00874ABF">
        <w:rPr>
          <w:rFonts w:ascii="Arial" w:eastAsia="source serif 4" w:hAnsi="Arial" w:cs="Arial"/>
          <w:bCs/>
          <w:color w:val="000000" w:themeColor="text1"/>
          <w:kern w:val="0"/>
          <w14:ligatures w14:val="none"/>
        </w:rPr>
        <w:t xml:space="preserve"> &amp; Thiemann, 2016). Repeat enrolment is therefore treated here as an indicator associated with disruption or academic recovery, rather than as an explanation of student outcomes.</w:t>
      </w:r>
    </w:p>
    <w:p w14:paraId="7BC82F4A" w14:textId="55931851" w:rsidR="004455DB" w:rsidRPr="00874ABF" w:rsidRDefault="004455DB" w:rsidP="004455DB">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At UWTSD, students are normally permitted to retain marks already achieved when they repeat study. Consequently, repeat enrolment in the A</w:t>
      </w:r>
      <w:r w:rsidR="00C57E77">
        <w:rPr>
          <w:rFonts w:ascii="Arial" w:eastAsia="source serif 4" w:hAnsi="Arial" w:cs="Arial"/>
          <w:bCs/>
          <w:color w:val="000000" w:themeColor="text1"/>
          <w:kern w:val="0"/>
          <w14:ligatures w14:val="none"/>
        </w:rPr>
        <w:t>L</w:t>
      </w:r>
      <w:r w:rsidRPr="00874ABF">
        <w:rPr>
          <w:rFonts w:ascii="Arial" w:eastAsia="source serif 4" w:hAnsi="Arial" w:cs="Arial"/>
          <w:bCs/>
          <w:color w:val="000000" w:themeColor="text1"/>
          <w:kern w:val="0"/>
          <w14:ligatures w14:val="none"/>
        </w:rPr>
        <w:t xml:space="preserve">aM </w:t>
      </w:r>
      <w:r w:rsidR="00F767DA" w:rsidRPr="00874ABF">
        <w:rPr>
          <w:rFonts w:ascii="Arial" w:eastAsia="source serif 4" w:hAnsi="Arial" w:cs="Arial"/>
          <w:bCs/>
          <w:color w:val="000000" w:themeColor="text1"/>
          <w:kern w:val="0"/>
          <w14:ligatures w14:val="none"/>
        </w:rPr>
        <w:t xml:space="preserve">cohort </w:t>
      </w:r>
      <w:r w:rsidRPr="00874ABF">
        <w:rPr>
          <w:rFonts w:ascii="Arial" w:eastAsia="source serif 4" w:hAnsi="Arial" w:cs="Arial"/>
          <w:bCs/>
          <w:color w:val="000000" w:themeColor="text1"/>
          <w:kern w:val="0"/>
          <w14:ligatures w14:val="none"/>
        </w:rPr>
        <w:t>data is more likely to indicate a disruption to a student’s original programme than a routine opportunity to improve previously completed work.</w:t>
      </w:r>
    </w:p>
    <w:p w14:paraId="3F3B09D4" w14:textId="77777777" w:rsidR="00874ABF" w:rsidRPr="00874ABF" w:rsidRDefault="00874ABF" w:rsidP="00142758">
      <w:pPr>
        <w:spacing w:after="120" w:line="360" w:lineRule="auto"/>
        <w:rPr>
          <w:rFonts w:ascii="Arial" w:eastAsia="source serif 4" w:hAnsi="Arial" w:cs="Arial"/>
          <w:b/>
          <w:color w:val="000000" w:themeColor="text1"/>
          <w:kern w:val="0"/>
          <w:lang w:val="en-US"/>
          <w14:ligatures w14:val="none"/>
        </w:rPr>
      </w:pPr>
    </w:p>
    <w:p w14:paraId="30E28280" w14:textId="789E3970"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2.3 Academic literacy, belonging, self-efficacy and support</w:t>
      </w:r>
    </w:p>
    <w:p w14:paraId="77B55AEF" w14:textId="77777777" w:rsidR="005C3B07" w:rsidRPr="00874ABF" w:rsidRDefault="00142758" w:rsidP="005C3B07">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lang w:val="en-US"/>
          <w14:ligatures w14:val="none"/>
        </w:rPr>
        <w:t>For Level 4 ALaM students, transition into higher education involve</w:t>
      </w:r>
      <w:r w:rsidR="005C3B07" w:rsidRPr="00874ABF">
        <w:rPr>
          <w:rFonts w:ascii="Arial" w:eastAsia="source serif 4" w:hAnsi="Arial" w:cs="Arial"/>
          <w:bCs/>
          <w:color w:val="000000" w:themeColor="text1"/>
          <w:kern w:val="0"/>
          <w:lang w:val="en-US"/>
          <w14:ligatures w14:val="none"/>
        </w:rPr>
        <w:t>s</w:t>
      </w:r>
      <w:r w:rsidRPr="00874ABF">
        <w:rPr>
          <w:rFonts w:ascii="Arial" w:eastAsia="source serif 4" w:hAnsi="Arial" w:cs="Arial"/>
          <w:bCs/>
          <w:color w:val="000000" w:themeColor="text1"/>
          <w:kern w:val="0"/>
          <w:lang w:val="en-US"/>
          <w14:ligatures w14:val="none"/>
        </w:rPr>
        <w:t xml:space="preserve"> translating substantial professional and managerial experience into the forms of academic work required for assessment: academic writing, critical reading, the use of evidence and engagement with feedback. </w:t>
      </w:r>
      <w:r w:rsidR="005C3B07" w:rsidRPr="00874ABF">
        <w:rPr>
          <w:rFonts w:ascii="Arial" w:eastAsia="source serif 4" w:hAnsi="Arial" w:cs="Arial"/>
          <w:bCs/>
          <w:color w:val="000000" w:themeColor="text1"/>
          <w:kern w:val="0"/>
          <w14:ligatures w14:val="none"/>
        </w:rPr>
        <w:t>This may be particularly relevant for mature students entering higher education through non-traditional routes, some of whom may have had limited recent experience of formal study. Such students should not, however, be understood through a deficit model that equates unfamiliarity with academic conventions with a lack of ability (Farini &amp; Scollan, 2021; Lyu et al., 2025). Early academic-literacy support is therefore often needed to help students engage with unfamiliar academic conventions and communicate the knowledge, skills and experience they already bring in ways that meet assessment criteria (Lea &amp; Street, 1998).</w:t>
      </w:r>
    </w:p>
    <w:p w14:paraId="332FE20C" w14:textId="77777777" w:rsidR="0026563D" w:rsidRPr="00874ABF" w:rsidRDefault="0026563D" w:rsidP="0026563D">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Belonging and academic self-efficacy are increasingly recognised as important for understanding engagement, persistence and academic success among widening-participation students. Research highlights the importance of meaningful social interaction with peers and staff for learning, belonging and the development of academic self-efficacy, particularly during the first year of study (Jones et al., 2025; McKenzie et al., 2024; Reilly et al., 2024).</w:t>
      </w:r>
    </w:p>
    <w:p w14:paraId="65D88807" w14:textId="77777777" w:rsidR="0026563D" w:rsidRPr="00874ABF" w:rsidRDefault="0026563D" w:rsidP="0026563D">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color w:val="000000" w:themeColor="text1"/>
          <w:kern w:val="0"/>
          <w14:ligatures w14:val="none"/>
        </w:rPr>
        <w:t>Sense of belonging and academic self-efficacy</w:t>
      </w:r>
      <w:r w:rsidRPr="00874ABF">
        <w:rPr>
          <w:rFonts w:ascii="Arial" w:eastAsia="source serif 4" w:hAnsi="Arial" w:cs="Arial"/>
          <w:bCs/>
          <w:color w:val="000000" w:themeColor="text1"/>
          <w:kern w:val="0"/>
          <w14:ligatures w14:val="none"/>
        </w:rPr>
        <w:t xml:space="preserve"> are relevant because students’ confidence, sense of legitimacy and willingness to seek help may shape how they engage with assessment. However, neither construct is measured directly in the </w:t>
      </w:r>
      <w:r w:rsidRPr="00874ABF">
        <w:rPr>
          <w:rFonts w:ascii="Arial" w:eastAsia="source serif 4" w:hAnsi="Arial" w:cs="Arial"/>
          <w:bCs/>
          <w:color w:val="000000" w:themeColor="text1"/>
          <w:kern w:val="0"/>
          <w14:ligatures w14:val="none"/>
        </w:rPr>
        <w:lastRenderedPageBreak/>
        <w:t>dataset used in this study. They are therefore treated cautiously as possible explanations for patterns in assessment engagement.</w:t>
      </w:r>
    </w:p>
    <w:p w14:paraId="32ABB908" w14:textId="3EE774BF"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00E64319"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2.4 Additional learning support and academic support in higher education</w:t>
      </w:r>
    </w:p>
    <w:p w14:paraId="1CA8CBBC"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Research and sector guidance suggest that supporting student achievement is most effective when academic support, disability provision, wellbeing support and opportunities for social and academic integration are coordinated across the student journey rather than introduced reactively (Kutscher &amp; Tuckwiller, 2019; </w:t>
      </w:r>
      <w:proofErr w:type="spellStart"/>
      <w:r w:rsidRPr="00874ABF">
        <w:rPr>
          <w:rFonts w:ascii="Arial" w:eastAsia="source serif 4" w:hAnsi="Arial" w:cs="Arial"/>
          <w:bCs/>
          <w:color w:val="000000" w:themeColor="text1"/>
          <w:kern w:val="0"/>
          <w:lang w:val="en-US"/>
          <w14:ligatures w14:val="none"/>
        </w:rPr>
        <w:t>Moriña</w:t>
      </w:r>
      <w:proofErr w:type="spellEnd"/>
      <w:r w:rsidRPr="00874ABF">
        <w:rPr>
          <w:rFonts w:ascii="Arial" w:eastAsia="source serif 4" w:hAnsi="Arial" w:cs="Arial"/>
          <w:bCs/>
          <w:color w:val="000000" w:themeColor="text1"/>
          <w:kern w:val="0"/>
          <w:lang w:val="en-US"/>
          <w14:ligatures w14:val="none"/>
        </w:rPr>
        <w:t xml:space="preserve"> &amp; Biagiotti, 2022; </w:t>
      </w:r>
      <w:proofErr w:type="spellStart"/>
      <w:r w:rsidRPr="00874ABF">
        <w:rPr>
          <w:rFonts w:ascii="Arial" w:eastAsia="source serif 4" w:hAnsi="Arial" w:cs="Arial"/>
          <w:bCs/>
          <w:color w:val="000000" w:themeColor="text1"/>
          <w:kern w:val="0"/>
          <w:lang w:val="en-US"/>
          <w14:ligatures w14:val="none"/>
        </w:rPr>
        <w:t>Römhild</w:t>
      </w:r>
      <w:proofErr w:type="spellEnd"/>
      <w:r w:rsidRPr="00874ABF">
        <w:rPr>
          <w:rFonts w:ascii="Arial" w:eastAsia="source serif 4" w:hAnsi="Arial" w:cs="Arial"/>
          <w:bCs/>
          <w:color w:val="000000" w:themeColor="text1"/>
          <w:kern w:val="0"/>
          <w:lang w:val="en-US"/>
          <w14:ligatures w14:val="none"/>
        </w:rPr>
        <w:t xml:space="preserve"> &amp; Hollederer, 2024). UK policy and sector reports indicate that progression and attainment for students with disabilities and additional learning needs remain uneven, and </w:t>
      </w:r>
      <w:proofErr w:type="spellStart"/>
      <w:r w:rsidRPr="00874ABF">
        <w:rPr>
          <w:rFonts w:ascii="Arial" w:eastAsia="source serif 4" w:hAnsi="Arial" w:cs="Arial"/>
          <w:bCs/>
          <w:color w:val="000000" w:themeColor="text1"/>
          <w:kern w:val="0"/>
          <w:lang w:val="en-US"/>
          <w14:ligatures w14:val="none"/>
        </w:rPr>
        <w:t>emphasise</w:t>
      </w:r>
      <w:proofErr w:type="spellEnd"/>
      <w:r w:rsidRPr="00874ABF">
        <w:rPr>
          <w:rFonts w:ascii="Arial" w:eastAsia="source serif 4" w:hAnsi="Arial" w:cs="Arial"/>
          <w:bCs/>
          <w:color w:val="000000" w:themeColor="text1"/>
          <w:kern w:val="0"/>
          <w:lang w:val="en-US"/>
          <w14:ligatures w14:val="none"/>
        </w:rPr>
        <w:t xml:space="preserve"> embedding support within curriculum design, delivery and assessment (Advance HE, 2023; </w:t>
      </w:r>
      <w:proofErr w:type="spellStart"/>
      <w:r w:rsidRPr="00874ABF">
        <w:rPr>
          <w:rFonts w:ascii="Arial" w:eastAsia="source serif 4" w:hAnsi="Arial" w:cs="Arial"/>
          <w:bCs/>
          <w:color w:val="000000" w:themeColor="text1"/>
          <w:kern w:val="0"/>
          <w:lang w:val="en-US"/>
          <w14:ligatures w14:val="none"/>
        </w:rPr>
        <w:t>OfS</w:t>
      </w:r>
      <w:proofErr w:type="spellEnd"/>
      <w:r w:rsidRPr="00874ABF">
        <w:rPr>
          <w:rFonts w:ascii="Arial" w:eastAsia="source serif 4" w:hAnsi="Arial" w:cs="Arial"/>
          <w:bCs/>
          <w:color w:val="000000" w:themeColor="text1"/>
          <w:kern w:val="0"/>
          <w:lang w:val="en-US"/>
          <w14:ligatures w14:val="none"/>
        </w:rPr>
        <w:t>, 2019; Reardon et al., 2021).</w:t>
      </w:r>
    </w:p>
    <w:p w14:paraId="16694616" w14:textId="2DA63F68" w:rsidR="0026563D" w:rsidRPr="00874ABF" w:rsidRDefault="00625260" w:rsidP="0026563D">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However, quantitative studies most closely aligned with the present design report mixed findings. A scoping review of 46 empirical studies found that disability support and assessment adjustments were less consistently associated with academic success than interventions promoting social and academic integration (</w:t>
      </w:r>
      <w:proofErr w:type="spellStart"/>
      <w:r w:rsidRPr="00874ABF">
        <w:rPr>
          <w:rFonts w:ascii="Arial" w:eastAsia="source serif 4" w:hAnsi="Arial" w:cs="Arial"/>
          <w:bCs/>
          <w:color w:val="000000" w:themeColor="text1"/>
          <w:kern w:val="0"/>
          <w14:ligatures w14:val="none"/>
        </w:rPr>
        <w:t>Römhild</w:t>
      </w:r>
      <w:proofErr w:type="spellEnd"/>
      <w:r w:rsidRPr="00874ABF">
        <w:rPr>
          <w:rFonts w:ascii="Arial" w:eastAsia="source serif 4" w:hAnsi="Arial" w:cs="Arial"/>
          <w:bCs/>
          <w:color w:val="000000" w:themeColor="text1"/>
          <w:kern w:val="0"/>
          <w14:ligatures w14:val="none"/>
        </w:rPr>
        <w:t xml:space="preserve"> &amp; Hollederer, 2024). In contrast, a large US longitudinal, quasi-experimental secondary-data study of approximately 2,300 students with disabilities found that those who did access support were more likely to persist in, or complete, their studies (Newman et al., 2021). </w:t>
      </w:r>
      <w:r w:rsidR="0026563D" w:rsidRPr="00874ABF">
        <w:rPr>
          <w:rFonts w:ascii="Arial" w:eastAsia="source serif 4" w:hAnsi="Arial" w:cs="Arial"/>
          <w:bCs/>
          <w:color w:val="000000" w:themeColor="text1"/>
          <w:kern w:val="0"/>
          <w14:ligatures w14:val="none"/>
        </w:rPr>
        <w:t>Timing and sustained engagement with support may also be important, although patterns vary between disability groups (Blasey et al., 2023; Freeman, 2025).</w:t>
      </w:r>
    </w:p>
    <w:p w14:paraId="47C3C913" w14:textId="77777777" w:rsidR="00625260" w:rsidRPr="00874ABF" w:rsidRDefault="00625260" w:rsidP="00625260">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One reason for these mixed findings is that support is not provided randomly. Students who use support may already differ from those who do not in their disability-related needs, prior educational experience and other factors linked to academic outcomes. Differences between support users and non-users cannot therefore be assumed to result from the support itself (Balzer Carr &amp; London, 2019; </w:t>
      </w:r>
      <w:proofErr w:type="spellStart"/>
      <w:r w:rsidRPr="00874ABF">
        <w:rPr>
          <w:rFonts w:ascii="Arial" w:eastAsia="source serif 4" w:hAnsi="Arial" w:cs="Arial"/>
          <w:bCs/>
          <w:color w:val="000000" w:themeColor="text1"/>
          <w:kern w:val="0"/>
          <w14:ligatures w14:val="none"/>
        </w:rPr>
        <w:t>Römhild</w:t>
      </w:r>
      <w:proofErr w:type="spellEnd"/>
      <w:r w:rsidRPr="00874ABF">
        <w:rPr>
          <w:rFonts w:ascii="Arial" w:eastAsia="source serif 4" w:hAnsi="Arial" w:cs="Arial"/>
          <w:bCs/>
          <w:color w:val="000000" w:themeColor="text1"/>
          <w:kern w:val="0"/>
          <w14:ligatures w14:val="none"/>
        </w:rPr>
        <w:t xml:space="preserve"> &amp; Hollederer, 2024).</w:t>
      </w:r>
    </w:p>
    <w:p w14:paraId="3E2DB347" w14:textId="77777777" w:rsidR="006360F5" w:rsidRDefault="00625260"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Records of support use may not show how many students </w:t>
      </w:r>
      <w:proofErr w:type="gramStart"/>
      <w:r w:rsidRPr="00874ABF">
        <w:rPr>
          <w:rFonts w:ascii="Arial" w:eastAsia="source serif 4" w:hAnsi="Arial" w:cs="Arial"/>
          <w:bCs/>
          <w:color w:val="000000" w:themeColor="text1"/>
          <w:kern w:val="0"/>
          <w14:ligatures w14:val="none"/>
        </w:rPr>
        <w:t>actually need</w:t>
      </w:r>
      <w:proofErr w:type="gramEnd"/>
      <w:r w:rsidRPr="00874ABF">
        <w:rPr>
          <w:rFonts w:ascii="Arial" w:eastAsia="source serif 4" w:hAnsi="Arial" w:cs="Arial"/>
          <w:bCs/>
          <w:color w:val="000000" w:themeColor="text1"/>
          <w:kern w:val="0"/>
          <w14:ligatures w14:val="none"/>
        </w:rPr>
        <w:t xml:space="preserve"> help. A systematic review found that stigma, self-reliance and uncertainty about available services can prevent students from seeking academic support (Martín-</w:t>
      </w:r>
      <w:proofErr w:type="spellStart"/>
      <w:r w:rsidRPr="00874ABF">
        <w:rPr>
          <w:rFonts w:ascii="Arial" w:eastAsia="source serif 4" w:hAnsi="Arial" w:cs="Arial"/>
          <w:bCs/>
          <w:color w:val="000000" w:themeColor="text1"/>
          <w:kern w:val="0"/>
          <w14:ligatures w14:val="none"/>
        </w:rPr>
        <w:t>Arbós</w:t>
      </w:r>
      <w:proofErr w:type="spellEnd"/>
      <w:r w:rsidRPr="00874ABF">
        <w:rPr>
          <w:rFonts w:ascii="Arial" w:eastAsia="source serif 4" w:hAnsi="Arial" w:cs="Arial"/>
          <w:bCs/>
          <w:color w:val="000000" w:themeColor="text1"/>
          <w:kern w:val="0"/>
          <w14:ligatures w14:val="none"/>
        </w:rPr>
        <w:t xml:space="preserve"> et al., 2021). These barriers may be more relevant for students with limited recent </w:t>
      </w:r>
      <w:r w:rsidRPr="00874ABF">
        <w:rPr>
          <w:rFonts w:ascii="Arial" w:eastAsia="source serif 4" w:hAnsi="Arial" w:cs="Arial"/>
          <w:bCs/>
          <w:color w:val="000000" w:themeColor="text1"/>
          <w:kern w:val="0"/>
          <w14:ligatures w14:val="none"/>
        </w:rPr>
        <w:lastRenderedPageBreak/>
        <w:t xml:space="preserve">experience of formal education or little experience of asking for academic help, </w:t>
      </w:r>
      <w:r w:rsidR="003D5409" w:rsidRPr="00874ABF">
        <w:rPr>
          <w:rFonts w:ascii="Arial" w:eastAsia="source serif 4" w:hAnsi="Arial" w:cs="Arial"/>
          <w:bCs/>
          <w:color w:val="000000" w:themeColor="text1"/>
          <w:kern w:val="0"/>
          <w14:ligatures w14:val="none"/>
        </w:rPr>
        <w:t>s</w:t>
      </w:r>
      <w:r w:rsidRPr="00874ABF">
        <w:rPr>
          <w:rFonts w:ascii="Arial" w:eastAsia="source serif 4" w:hAnsi="Arial" w:cs="Arial"/>
          <w:bCs/>
          <w:color w:val="000000" w:themeColor="text1"/>
          <w:kern w:val="0"/>
          <w14:ligatures w14:val="none"/>
        </w:rPr>
        <w:t>uch as ALaM students, although their effects may vary across settings (</w:t>
      </w:r>
      <w:proofErr w:type="spellStart"/>
      <w:r w:rsidRPr="00874ABF">
        <w:rPr>
          <w:rFonts w:ascii="Arial" w:eastAsia="source serif 4" w:hAnsi="Arial" w:cs="Arial"/>
          <w:bCs/>
          <w:color w:val="000000" w:themeColor="text1"/>
          <w:kern w:val="0"/>
          <w14:ligatures w14:val="none"/>
        </w:rPr>
        <w:t>Bornschlegl</w:t>
      </w:r>
      <w:proofErr w:type="spellEnd"/>
      <w:r w:rsidRPr="00874ABF">
        <w:rPr>
          <w:rFonts w:ascii="Arial" w:eastAsia="source serif 4" w:hAnsi="Arial" w:cs="Arial"/>
          <w:bCs/>
          <w:color w:val="000000" w:themeColor="text1"/>
          <w:kern w:val="0"/>
          <w14:ligatures w14:val="none"/>
        </w:rPr>
        <w:t xml:space="preserve"> et al., 2020).</w:t>
      </w:r>
      <w:r w:rsidR="00142758" w:rsidRPr="00874ABF">
        <w:rPr>
          <w:rFonts w:ascii="Arial" w:eastAsia="source serif 4" w:hAnsi="Arial" w:cs="Arial"/>
          <w:bCs/>
          <w:color w:val="000000" w:themeColor="text1"/>
          <w:kern w:val="0"/>
          <w:lang w:val="en-US"/>
          <w14:ligatures w14:val="none"/>
        </w:rPr>
        <w:t>The present observational study therefore interprets any association between recorded adjustments and student outcomes cautiously and does not infer causation.</w:t>
      </w:r>
    </w:p>
    <w:p w14:paraId="089DAB0C" w14:textId="77777777" w:rsidR="006360F5" w:rsidRDefault="006360F5" w:rsidP="00142758">
      <w:pPr>
        <w:spacing w:after="120" w:line="360" w:lineRule="auto"/>
        <w:rPr>
          <w:rFonts w:ascii="Arial" w:eastAsia="source serif 4" w:hAnsi="Arial" w:cs="Arial"/>
          <w:bCs/>
          <w:color w:val="000000" w:themeColor="text1"/>
          <w:kern w:val="0"/>
          <w:lang w:val="en-US"/>
          <w14:ligatures w14:val="none"/>
        </w:rPr>
      </w:pPr>
    </w:p>
    <w:p w14:paraId="15AD3DD8" w14:textId="7A4372F2"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2.5 Limitations of the existing evidence and the contribution of the present study</w:t>
      </w:r>
    </w:p>
    <w:p w14:paraId="322A3EC4" w14:textId="666DC96C"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literature establishes that academic, disability and social support can be relevant</w:t>
      </w:r>
      <w:r w:rsidR="00625260" w:rsidRPr="00874ABF">
        <w:rPr>
          <w:rFonts w:ascii="Arial" w:eastAsia="source serif 4" w:hAnsi="Arial" w:cs="Arial"/>
          <w:bCs/>
          <w:color w:val="000000" w:themeColor="text1"/>
          <w:kern w:val="0"/>
          <w:lang w:val="en-US"/>
          <w14:ligatures w14:val="none"/>
        </w:rPr>
        <w:t xml:space="preserve"> in supporting </w:t>
      </w:r>
      <w:r w:rsidRPr="00874ABF">
        <w:rPr>
          <w:rFonts w:ascii="Arial" w:eastAsia="source serif 4" w:hAnsi="Arial" w:cs="Arial"/>
          <w:bCs/>
          <w:color w:val="000000" w:themeColor="text1"/>
          <w:kern w:val="0"/>
          <w:lang w:val="en-US"/>
          <w14:ligatures w14:val="none"/>
        </w:rPr>
        <w:t xml:space="preserve">engagement, continuation and attainment for mature and widening-participation learners, but evidence on individual support </w:t>
      </w:r>
      <w:r w:rsidR="003D5409" w:rsidRPr="00874ABF">
        <w:rPr>
          <w:rFonts w:ascii="Arial" w:eastAsia="source serif 4" w:hAnsi="Arial" w:cs="Arial"/>
          <w:bCs/>
          <w:color w:val="000000" w:themeColor="text1"/>
          <w:kern w:val="0"/>
          <w:lang w:val="en-US"/>
          <w14:ligatures w14:val="none"/>
        </w:rPr>
        <w:t>is inconsistent</w:t>
      </w:r>
      <w:r w:rsidRPr="00874ABF">
        <w:rPr>
          <w:rFonts w:ascii="Arial" w:eastAsia="source serif 4" w:hAnsi="Arial" w:cs="Arial"/>
          <w:bCs/>
          <w:color w:val="000000" w:themeColor="text1"/>
          <w:kern w:val="0"/>
          <w:lang w:val="en-US"/>
          <w14:ligatures w14:val="none"/>
        </w:rPr>
        <w:t xml:space="preserve">. </w:t>
      </w:r>
      <w:r w:rsidR="003D5409" w:rsidRPr="00874ABF">
        <w:rPr>
          <w:rFonts w:ascii="Arial" w:eastAsia="source serif 4" w:hAnsi="Arial" w:cs="Arial"/>
          <w:bCs/>
          <w:color w:val="000000" w:themeColor="text1"/>
          <w:kern w:val="0"/>
          <w:lang w:val="en-US"/>
          <w14:ligatures w14:val="none"/>
        </w:rPr>
        <w:t>Additionally, m</w:t>
      </w:r>
      <w:r w:rsidRPr="00874ABF">
        <w:rPr>
          <w:rFonts w:ascii="Arial" w:eastAsia="source serif 4" w:hAnsi="Arial" w:cs="Arial"/>
          <w:bCs/>
          <w:color w:val="000000" w:themeColor="text1"/>
          <w:kern w:val="0"/>
          <w:lang w:val="en-US"/>
          <w14:ligatures w14:val="none"/>
        </w:rPr>
        <w:t xml:space="preserve">uch of the quantitative literature is based on North American contexts where support users and non-users differ in underlying need, so observed differences cannot readily be read as causal effects of support (Freeman, 2025; Newman et al., 2021; </w:t>
      </w:r>
      <w:proofErr w:type="spellStart"/>
      <w:r w:rsidRPr="00874ABF">
        <w:rPr>
          <w:rFonts w:ascii="Arial" w:eastAsia="source serif 4" w:hAnsi="Arial" w:cs="Arial"/>
          <w:bCs/>
          <w:color w:val="000000" w:themeColor="text1"/>
          <w:kern w:val="0"/>
          <w:lang w:val="en-US"/>
          <w14:ligatures w14:val="none"/>
        </w:rPr>
        <w:t>Römhild</w:t>
      </w:r>
      <w:proofErr w:type="spellEnd"/>
      <w:r w:rsidRPr="00874ABF">
        <w:rPr>
          <w:rFonts w:ascii="Arial" w:eastAsia="source serif 4" w:hAnsi="Arial" w:cs="Arial"/>
          <w:bCs/>
          <w:color w:val="000000" w:themeColor="text1"/>
          <w:kern w:val="0"/>
          <w:lang w:val="en-US"/>
          <w14:ligatures w14:val="none"/>
        </w:rPr>
        <w:t xml:space="preserve"> &amp; Hollederer, 2024).</w:t>
      </w:r>
    </w:p>
    <w:p w14:paraId="3FEA6409" w14:textId="4DB84CE9" w:rsidR="00E73068" w:rsidRPr="00874ABF" w:rsidRDefault="00E7306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The literature reviewed for this study identified few studies examining whether routine data on assignment submission and assessment adjustments can identify early risk of non-completion in work-based, multi-campus programmes serving mainly mature students. Learning-analytics research increasingly uses assignment-submission, enrolment and digital-engagement data to identify students who may be at risk. However, there is limited evidence that these approaches work consistently across different higher-education settings (Larrabee Sønderlund et al., 2019; Viberg et al., 20</w:t>
      </w:r>
      <w:r w:rsidR="00C57E77">
        <w:rPr>
          <w:rFonts w:ascii="Arial" w:eastAsia="source serif 4" w:hAnsi="Arial" w:cs="Arial"/>
          <w:bCs/>
          <w:color w:val="000000" w:themeColor="text1"/>
          <w:kern w:val="0"/>
          <w14:ligatures w14:val="none"/>
        </w:rPr>
        <w:t>18</w:t>
      </w:r>
      <w:r w:rsidRPr="00874ABF">
        <w:rPr>
          <w:rFonts w:ascii="Arial" w:eastAsia="source serif 4" w:hAnsi="Arial" w:cs="Arial"/>
          <w:bCs/>
          <w:color w:val="000000" w:themeColor="text1"/>
          <w:kern w:val="0"/>
          <w14:ligatures w14:val="none"/>
        </w:rPr>
        <w:t>). National statistics can show differences in outcomes between student groups, but they cannot show how assessment engagement and support operate within a particular programme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2024).</w:t>
      </w:r>
    </w:p>
    <w:p w14:paraId="1316974F" w14:textId="531001B4"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present study addresses this gap through secondary analysis of three years of </w:t>
      </w:r>
      <w:proofErr w:type="spellStart"/>
      <w:r w:rsidRPr="00874ABF">
        <w:rPr>
          <w:rFonts w:ascii="Arial" w:eastAsia="source serif 4" w:hAnsi="Arial" w:cs="Arial"/>
          <w:bCs/>
          <w:color w:val="000000" w:themeColor="text1"/>
          <w:kern w:val="0"/>
          <w:lang w:val="en-US"/>
          <w14:ligatures w14:val="none"/>
        </w:rPr>
        <w:t>anonymised</w:t>
      </w:r>
      <w:proofErr w:type="spellEnd"/>
      <w:r w:rsidRPr="00874ABF">
        <w:rPr>
          <w:rFonts w:ascii="Arial" w:eastAsia="source serif 4" w:hAnsi="Arial" w:cs="Arial"/>
          <w:bCs/>
          <w:color w:val="000000" w:themeColor="text1"/>
          <w:kern w:val="0"/>
          <w:lang w:val="en-US"/>
          <w14:ligatures w14:val="none"/>
        </w:rPr>
        <w:t xml:space="preserve"> institutional data from the Level 4 Applied Leadership and Management programme at </w:t>
      </w:r>
      <w:proofErr w:type="spellStart"/>
      <w:r w:rsidRPr="00874ABF">
        <w:rPr>
          <w:rFonts w:ascii="Arial" w:eastAsia="source serif 4" w:hAnsi="Arial" w:cs="Arial"/>
          <w:bCs/>
          <w:color w:val="000000" w:themeColor="text1"/>
          <w:kern w:val="0"/>
          <w:lang w:val="en-US"/>
          <w14:ligatures w14:val="none"/>
        </w:rPr>
        <w:t>UWTSD</w:t>
      </w:r>
      <w:proofErr w:type="spellEnd"/>
      <w:r w:rsidRPr="00874ABF">
        <w:rPr>
          <w:rFonts w:ascii="Arial" w:eastAsia="source serif 4" w:hAnsi="Arial" w:cs="Arial"/>
          <w:bCs/>
          <w:color w:val="000000" w:themeColor="text1"/>
          <w:kern w:val="0"/>
          <w:lang w:val="en-US"/>
          <w14:ligatures w14:val="none"/>
        </w:rPr>
        <w:t xml:space="preserve">. It examines associations between early assessment engagement, enrolment pattern, assessment disruption, academic attainment and Level 4 completion, and describes the </w:t>
      </w:r>
      <w:r w:rsidR="003D5409" w:rsidRPr="00874ABF">
        <w:rPr>
          <w:rFonts w:ascii="Arial" w:eastAsia="source serif 4" w:hAnsi="Arial" w:cs="Arial"/>
          <w:bCs/>
          <w:color w:val="000000" w:themeColor="text1"/>
          <w:kern w:val="0"/>
          <w:lang w:val="en-US"/>
          <w14:ligatures w14:val="none"/>
        </w:rPr>
        <w:t>relevance</w:t>
      </w:r>
      <w:r w:rsidRPr="00874ABF">
        <w:rPr>
          <w:rFonts w:ascii="Arial" w:eastAsia="source serif 4" w:hAnsi="Arial" w:cs="Arial"/>
          <w:bCs/>
          <w:color w:val="000000" w:themeColor="text1"/>
          <w:kern w:val="0"/>
          <w:lang w:val="en-US"/>
          <w14:ligatures w14:val="none"/>
        </w:rPr>
        <w:t xml:space="preserve"> and timing of formally recorded reasonable adjustments in the same cohort, adding </w:t>
      </w:r>
      <w:r w:rsidR="003D5409" w:rsidRPr="00874ABF">
        <w:rPr>
          <w:rFonts w:ascii="Arial" w:eastAsia="source serif 4" w:hAnsi="Arial" w:cs="Arial"/>
          <w:bCs/>
          <w:color w:val="000000" w:themeColor="text1"/>
          <w:kern w:val="0"/>
          <w:lang w:val="en-US"/>
          <w14:ligatures w14:val="none"/>
        </w:rPr>
        <w:t xml:space="preserve">local </w:t>
      </w:r>
      <w:r w:rsidRPr="00874ABF">
        <w:rPr>
          <w:rFonts w:ascii="Arial" w:eastAsia="source serif 4" w:hAnsi="Arial" w:cs="Arial"/>
          <w:bCs/>
          <w:color w:val="000000" w:themeColor="text1"/>
          <w:kern w:val="0"/>
          <w:lang w:val="en-US"/>
          <w14:ligatures w14:val="none"/>
        </w:rPr>
        <w:t xml:space="preserve">programme-level evidence </w:t>
      </w:r>
      <w:r w:rsidRPr="00874ABF">
        <w:rPr>
          <w:rFonts w:ascii="Arial" w:eastAsia="source serif 4" w:hAnsi="Arial" w:cs="Arial"/>
          <w:bCs/>
          <w:color w:val="000000" w:themeColor="text1"/>
          <w:kern w:val="0"/>
          <w:lang w:val="en-US"/>
          <w14:ligatures w14:val="none"/>
        </w:rPr>
        <w:lastRenderedPageBreak/>
        <w:t>to literature that has largely addressed national patterns, broad institutional interventions or online learning environments.</w:t>
      </w:r>
    </w:p>
    <w:p w14:paraId="6BD0B416" w14:textId="736EF2E5"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40999346"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 Methodology</w:t>
      </w:r>
    </w:p>
    <w:p w14:paraId="5EB3B1D4" w14:textId="5BA8E1A4"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This study adopts a secondary quantitative, observational design using</w:t>
      </w:r>
      <w:r w:rsidR="00C57E77">
        <w:rPr>
          <w:rFonts w:ascii="Arial" w:eastAsia="source serif 4" w:hAnsi="Arial" w:cs="Arial"/>
          <w:bCs/>
          <w:color w:val="000000" w:themeColor="text1"/>
          <w:kern w:val="0"/>
          <w:lang w:val="en-US"/>
          <w14:ligatures w14:val="none"/>
        </w:rPr>
        <w:t xml:space="preserve"> </w:t>
      </w:r>
      <w:proofErr w:type="spellStart"/>
      <w:r w:rsidR="00C57E77">
        <w:rPr>
          <w:rFonts w:ascii="Arial" w:eastAsia="source serif 4" w:hAnsi="Arial" w:cs="Arial"/>
          <w:bCs/>
          <w:color w:val="000000" w:themeColor="text1"/>
          <w:kern w:val="0"/>
          <w:lang w:val="en-US"/>
          <w14:ligatures w14:val="none"/>
        </w:rPr>
        <w:t>pseudonymised</w:t>
      </w:r>
      <w:proofErr w:type="spellEnd"/>
      <w:r w:rsidR="00C57E77">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student-level institutional data for Level 4 Applied Leadership and Management (ALaM) students. A quantitative approach suits research questions about measurable associations between assessment engagement, enrolment pattern, assessment disruption and outcomes including marks and completion; because these variables are recorded numerically or categorically for the full cohort across three years, the dataset supports both descriptive and inferential analysis (Creswell, 2009; Saunders et al., 2019).</w:t>
      </w:r>
    </w:p>
    <w:p w14:paraId="7527E5E5" w14:textId="022DAD1E" w:rsidR="00136E40" w:rsidRPr="00874ABF" w:rsidRDefault="00191BF6"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This study takes a post-positivist approach. It uses information recorded by the university and statistical tests to examine the study questions. However, because the data come from existing student records rather than an experiment, the findings can show patterns and relationships but cannot prove that one factor causes another (Creswell &amp; Creswell, 2018; Phillips &amp; </w:t>
      </w:r>
      <w:proofErr w:type="spellStart"/>
      <w:r w:rsidRPr="00874ABF">
        <w:rPr>
          <w:rFonts w:ascii="Arial" w:eastAsia="source serif 4" w:hAnsi="Arial" w:cs="Arial"/>
          <w:bCs/>
          <w:color w:val="000000" w:themeColor="text1"/>
          <w:kern w:val="0"/>
          <w14:ligatures w14:val="none"/>
        </w:rPr>
        <w:t>Burbules</w:t>
      </w:r>
      <w:proofErr w:type="spellEnd"/>
      <w:r w:rsidRPr="00874ABF">
        <w:rPr>
          <w:rFonts w:ascii="Arial" w:eastAsia="source serif 4" w:hAnsi="Arial" w:cs="Arial"/>
          <w:bCs/>
          <w:color w:val="000000" w:themeColor="text1"/>
          <w:kern w:val="0"/>
          <w14:ligatures w14:val="none"/>
        </w:rPr>
        <w:t>, 2000).</w:t>
      </w:r>
    </w:p>
    <w:p w14:paraId="7C7974C8" w14:textId="77777777" w:rsidR="00F404A5" w:rsidRDefault="00F404A5" w:rsidP="00142758">
      <w:pPr>
        <w:spacing w:after="120" w:line="360" w:lineRule="auto"/>
        <w:rPr>
          <w:rFonts w:ascii="Arial" w:eastAsia="source serif 4" w:hAnsi="Arial" w:cs="Arial"/>
          <w:b/>
          <w:color w:val="000000" w:themeColor="text1"/>
          <w:kern w:val="0"/>
          <w:lang w:val="en-US"/>
          <w14:ligatures w14:val="none"/>
        </w:rPr>
      </w:pPr>
    </w:p>
    <w:p w14:paraId="07B8D94B" w14:textId="2D56F81E"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3.1 Researcher positionality and reflexivity</w:t>
      </w:r>
    </w:p>
    <w:p w14:paraId="5974C0C6" w14:textId="2F48F636" w:rsidR="00142758" w:rsidRPr="00874ABF" w:rsidRDefault="00BB002C"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The researcher is an insider, with lecturing and programme responsibilities on the ALaM programme. This position may influence the questions asked and how the findings are interpreted. Positionality is therefore considered as part of the research design, not simply as a limitation (Cohen et al., 2018; Holmes, 2020)</w:t>
      </w:r>
      <w:r w:rsidR="00142758" w:rsidRPr="00874ABF">
        <w:rPr>
          <w:rFonts w:ascii="Arial" w:eastAsia="source serif 4" w:hAnsi="Arial" w:cs="Arial"/>
          <w:bCs/>
          <w:color w:val="000000" w:themeColor="text1"/>
          <w:kern w:val="0"/>
          <w:lang w:val="en-US"/>
          <w14:ligatures w14:val="none"/>
        </w:rPr>
        <w:t>.</w:t>
      </w:r>
    </w:p>
    <w:p w14:paraId="12AD6A11" w14:textId="77777777" w:rsidR="00F404A5" w:rsidRDefault="00BB002C"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Insider status gives the researcher useful knowledge of the programme and its data-coding conventions, but it may also introduce bias (Saunders et al., 2019). The researcher taught 40 students included in the dataset. However, all marks were available for blind marking, and both internal and external moderation by the awarding body. The analysis therefore uses final agreed outcomes, rather than the marks originally awarded by individual assessors.</w:t>
      </w:r>
    </w:p>
    <w:p w14:paraId="19BBF2E9" w14:textId="5CF3DE8B" w:rsidR="00142758" w:rsidRPr="00874ABF" w:rsidRDefault="00BB002C"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Insider knowledge can help the researcher understand the programme, but it can also affect how findings are interpreted (Berkovic et al., 2020). To reduce this risk, </w:t>
      </w:r>
      <w:r w:rsidRPr="00874ABF">
        <w:rPr>
          <w:rFonts w:ascii="Arial" w:eastAsia="source serif 4" w:hAnsi="Arial" w:cs="Arial"/>
          <w:bCs/>
          <w:color w:val="000000" w:themeColor="text1"/>
          <w:kern w:val="0"/>
          <w14:ligatures w14:val="none"/>
        </w:rPr>
        <w:lastRenderedPageBreak/>
        <w:t>the study defined its hypotheses, variables and analysis plan before examining the outcome data. The group-difference hypotheses did not predict which group would have better or worse outcomes. Sensitivity analyses tests were also used (Appendix C), and a data journal details how variables were created, recoded and excluded</w:t>
      </w:r>
      <w:r w:rsidR="00344B8A" w:rsidRPr="00874ABF">
        <w:rPr>
          <w:rFonts w:ascii="Arial" w:eastAsia="source serif 4" w:hAnsi="Arial" w:cs="Arial"/>
          <w:bCs/>
          <w:color w:val="000000" w:themeColor="text1"/>
          <w:kern w:val="0"/>
          <w14:ligatures w14:val="none"/>
        </w:rPr>
        <w:t xml:space="preserve"> (Appendix F).</w:t>
      </w:r>
    </w:p>
    <w:p w14:paraId="33029A40" w14:textId="77777777" w:rsidR="00BB002C" w:rsidRPr="00874ABF" w:rsidRDefault="00BB002C" w:rsidP="00142758">
      <w:pPr>
        <w:spacing w:after="120" w:line="360" w:lineRule="auto"/>
        <w:rPr>
          <w:rFonts w:ascii="Arial" w:eastAsia="source serif 4" w:hAnsi="Arial" w:cs="Arial"/>
          <w:bCs/>
          <w:color w:val="000000" w:themeColor="text1"/>
          <w:kern w:val="0"/>
          <w14:ligatures w14:val="none"/>
        </w:rPr>
      </w:pPr>
    </w:p>
    <w:p w14:paraId="5A628353"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3.2 Data source and sample</w:t>
      </w:r>
    </w:p>
    <w:p w14:paraId="1054E737" w14:textId="11B5B8F2"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dataset comprises </w:t>
      </w:r>
      <w:proofErr w:type="spellStart"/>
      <w:r w:rsidR="00425DDA" w:rsidRPr="00425DDA">
        <w:rPr>
          <w:rFonts w:ascii="Arial" w:eastAsia="source serif 4" w:hAnsi="Arial" w:cs="Arial"/>
          <w:bCs/>
          <w:color w:val="000000" w:themeColor="text1"/>
          <w:kern w:val="0"/>
          <w:lang w:val="en-US"/>
          <w14:ligatures w14:val="none"/>
        </w:rPr>
        <w:t>pseudonymised</w:t>
      </w:r>
      <w:proofErr w:type="spellEnd"/>
      <w:r w:rsidR="00425DDA" w:rsidRPr="00425DDA">
        <w:rPr>
          <w:rFonts w:ascii="Arial" w:eastAsia="source serif 4" w:hAnsi="Arial" w:cs="Arial"/>
          <w:bCs/>
          <w:color w:val="000000" w:themeColor="text1"/>
          <w:kern w:val="0"/>
          <w:lang w:val="en-US"/>
          <w14:ligatures w14:val="none"/>
        </w:rPr>
        <w:t xml:space="preserve"> student-level records taken from institutional Exam Board records and programme tracking documents</w:t>
      </w:r>
      <w:r w:rsidR="00425DDA">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 xml:space="preserve">for all Level 4 ALaM students enrolled across three </w:t>
      </w:r>
      <w:r w:rsidR="00425DDA" w:rsidRPr="00874ABF">
        <w:rPr>
          <w:rFonts w:ascii="Arial" w:eastAsia="source serif 4" w:hAnsi="Arial" w:cs="Arial"/>
          <w:bCs/>
          <w:color w:val="000000" w:themeColor="text1"/>
          <w:kern w:val="0"/>
          <w:lang w:val="en-US"/>
          <w14:ligatures w14:val="none"/>
        </w:rPr>
        <w:t>complete</w:t>
      </w:r>
      <w:r w:rsidRPr="00874ABF">
        <w:rPr>
          <w:rFonts w:ascii="Arial" w:eastAsia="source serif 4" w:hAnsi="Arial" w:cs="Arial"/>
          <w:bCs/>
          <w:color w:val="000000" w:themeColor="text1"/>
          <w:kern w:val="0"/>
          <w:lang w:val="en-US"/>
          <w14:ligatures w14:val="none"/>
        </w:rPr>
        <w:t xml:space="preserve"> academic years</w:t>
      </w:r>
      <w:r w:rsidR="00425DDA">
        <w:rPr>
          <w:rFonts w:ascii="Arial" w:eastAsia="source serif 4" w:hAnsi="Arial" w:cs="Arial"/>
          <w:bCs/>
          <w:color w:val="000000" w:themeColor="text1"/>
          <w:kern w:val="0"/>
          <w:lang w:val="en-US"/>
          <w14:ligatures w14:val="none"/>
        </w:rPr>
        <w:t xml:space="preserve">. This was considered </w:t>
      </w:r>
      <w:r w:rsidRPr="00874ABF">
        <w:rPr>
          <w:rFonts w:ascii="Arial" w:eastAsia="source serif 4" w:hAnsi="Arial" w:cs="Arial"/>
          <w:bCs/>
          <w:color w:val="000000" w:themeColor="text1"/>
          <w:kern w:val="0"/>
          <w:lang w:val="en-US"/>
          <w14:ligatures w14:val="none"/>
        </w:rPr>
        <w:t>an appropriate source of secondary data</w:t>
      </w:r>
      <w:r w:rsidR="00425DDA">
        <w:rPr>
          <w:rFonts w:ascii="Arial" w:eastAsia="source serif 4" w:hAnsi="Arial" w:cs="Arial"/>
          <w:bCs/>
          <w:color w:val="000000" w:themeColor="text1"/>
          <w:kern w:val="0"/>
          <w:lang w:val="en-US"/>
          <w14:ligatures w14:val="none"/>
        </w:rPr>
        <w:t xml:space="preserve"> for the research,</w:t>
      </w:r>
      <w:r w:rsidRPr="00874ABF">
        <w:rPr>
          <w:rFonts w:ascii="Arial" w:eastAsia="source serif 4" w:hAnsi="Arial" w:cs="Arial"/>
          <w:bCs/>
          <w:color w:val="000000" w:themeColor="text1"/>
          <w:kern w:val="0"/>
          <w:lang w:val="en-US"/>
          <w14:ligatures w14:val="none"/>
        </w:rPr>
        <w:t xml:space="preserve"> where access </w:t>
      </w:r>
      <w:r w:rsidR="00425DDA">
        <w:rPr>
          <w:rFonts w:ascii="Arial" w:eastAsia="source serif 4" w:hAnsi="Arial" w:cs="Arial"/>
          <w:bCs/>
          <w:color w:val="000000" w:themeColor="text1"/>
          <w:kern w:val="0"/>
          <w:lang w:val="en-US"/>
          <w14:ligatures w14:val="none"/>
        </w:rPr>
        <w:t>was</w:t>
      </w:r>
      <w:r w:rsidRPr="00874ABF">
        <w:rPr>
          <w:rFonts w:ascii="Arial" w:eastAsia="source serif 4" w:hAnsi="Arial" w:cs="Arial"/>
          <w:bCs/>
          <w:color w:val="000000" w:themeColor="text1"/>
          <w:kern w:val="0"/>
          <w:lang w:val="en-US"/>
          <w14:ligatures w14:val="none"/>
        </w:rPr>
        <w:t xml:space="preserve"> </w:t>
      </w:r>
      <w:proofErr w:type="spellStart"/>
      <w:r w:rsidRPr="00874ABF">
        <w:rPr>
          <w:rFonts w:ascii="Arial" w:eastAsia="source serif 4" w:hAnsi="Arial" w:cs="Arial"/>
          <w:bCs/>
          <w:color w:val="000000" w:themeColor="text1"/>
          <w:kern w:val="0"/>
          <w:lang w:val="en-US"/>
          <w14:ligatures w14:val="none"/>
        </w:rPr>
        <w:t>authorised</w:t>
      </w:r>
      <w:proofErr w:type="spellEnd"/>
      <w:r w:rsidRPr="00874ABF">
        <w:rPr>
          <w:rFonts w:ascii="Arial" w:eastAsia="source serif 4" w:hAnsi="Arial" w:cs="Arial"/>
          <w:bCs/>
          <w:color w:val="000000" w:themeColor="text1"/>
          <w:kern w:val="0"/>
          <w:lang w:val="en-US"/>
          <w14:ligatures w14:val="none"/>
        </w:rPr>
        <w:t>, confidentiality protected and variables sufficiently documented (O’Leary &amp; Hunt, 2017; Saunders et al., 2019).</w:t>
      </w:r>
    </w:p>
    <w:p w14:paraId="62B41164" w14:textId="3B8F7A18" w:rsidR="00142758" w:rsidRDefault="00344B8A"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No sampling was used</w:t>
      </w:r>
      <w:r w:rsidR="00425DDA">
        <w:rPr>
          <w:rFonts w:ascii="Arial" w:eastAsia="source serif 4" w:hAnsi="Arial" w:cs="Arial"/>
          <w:bCs/>
          <w:color w:val="000000" w:themeColor="text1"/>
          <w:kern w:val="0"/>
          <w14:ligatures w14:val="none"/>
        </w:rPr>
        <w:t xml:space="preserve"> as t</w:t>
      </w:r>
      <w:r w:rsidRPr="00874ABF">
        <w:rPr>
          <w:rFonts w:ascii="Arial" w:eastAsia="source serif 4" w:hAnsi="Arial" w:cs="Arial"/>
          <w:bCs/>
          <w:color w:val="000000" w:themeColor="text1"/>
          <w:kern w:val="0"/>
          <w14:ligatures w14:val="none"/>
        </w:rPr>
        <w:t>he dataset includes all accessible students on the programme during the study period, rather than a smaller sample. Combining records from three years also reduces the chance that the findings reflect only one student cohort</w:t>
      </w:r>
      <w:r w:rsidR="00F404A5">
        <w:rPr>
          <w:rFonts w:ascii="Arial" w:eastAsia="source serif 4" w:hAnsi="Arial" w:cs="Arial"/>
          <w:bCs/>
          <w:color w:val="000000" w:themeColor="text1"/>
          <w:kern w:val="0"/>
          <w14:ligatures w14:val="none"/>
        </w:rPr>
        <w:t xml:space="preserve">. </w:t>
      </w:r>
    </w:p>
    <w:p w14:paraId="7602A537" w14:textId="77777777" w:rsidR="00F404A5" w:rsidRPr="00874ABF" w:rsidRDefault="00F404A5" w:rsidP="00142758">
      <w:pPr>
        <w:spacing w:after="120" w:line="360" w:lineRule="auto"/>
        <w:rPr>
          <w:rFonts w:ascii="Arial" w:eastAsia="source serif 4" w:hAnsi="Arial" w:cs="Arial"/>
          <w:bCs/>
          <w:color w:val="000000" w:themeColor="text1"/>
          <w:kern w:val="0"/>
          <w:lang w:val="en-US"/>
          <w14:ligatures w14:val="none"/>
        </w:rPr>
      </w:pPr>
    </w:p>
    <w:p w14:paraId="310C03B1"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3.3 Variables and measures</w:t>
      </w:r>
    </w:p>
    <w:p w14:paraId="34F67963" w14:textId="14819966" w:rsidR="00142758" w:rsidRPr="00874ABF" w:rsidRDefault="00344B8A"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The variables used to test the hypotheses are the number of non-submissions, whether a mark was recorded for Module 1, the number of modules attempted, and enrolment pattern. </w:t>
      </w:r>
      <w:r w:rsidR="00142758" w:rsidRPr="00874ABF">
        <w:rPr>
          <w:rFonts w:ascii="Arial" w:eastAsia="source serif 4" w:hAnsi="Arial" w:cs="Arial"/>
          <w:bCs/>
          <w:color w:val="000000" w:themeColor="text1"/>
          <w:kern w:val="0"/>
          <w:lang w:val="en-US"/>
          <w14:ligatures w14:val="none"/>
        </w:rPr>
        <w:t xml:space="preserve">Academic year, age at start and gender </w:t>
      </w:r>
      <w:proofErr w:type="spellStart"/>
      <w:r w:rsidR="00142758" w:rsidRPr="00874ABF">
        <w:rPr>
          <w:rFonts w:ascii="Arial" w:eastAsia="source serif 4" w:hAnsi="Arial" w:cs="Arial"/>
          <w:bCs/>
          <w:color w:val="000000" w:themeColor="text1"/>
          <w:kern w:val="0"/>
          <w:lang w:val="en-US"/>
          <w14:ligatures w14:val="none"/>
        </w:rPr>
        <w:t>characterise</w:t>
      </w:r>
      <w:proofErr w:type="spellEnd"/>
      <w:r w:rsidR="00142758" w:rsidRPr="00874ABF">
        <w:rPr>
          <w:rFonts w:ascii="Arial" w:eastAsia="source serif 4" w:hAnsi="Arial" w:cs="Arial"/>
          <w:bCs/>
          <w:color w:val="000000" w:themeColor="text1"/>
          <w:kern w:val="0"/>
          <w:lang w:val="en-US"/>
          <w14:ligatures w14:val="none"/>
        </w:rPr>
        <w:t xml:space="preserve"> the cohort and are reported descriptively rather than tested. Outcome </w:t>
      </w:r>
      <w:proofErr w:type="gramStart"/>
      <w:r w:rsidR="00142758" w:rsidRPr="00874ABF">
        <w:rPr>
          <w:rFonts w:ascii="Arial" w:eastAsia="source serif 4" w:hAnsi="Arial" w:cs="Arial"/>
          <w:bCs/>
          <w:color w:val="000000" w:themeColor="text1"/>
          <w:kern w:val="0"/>
          <w:lang w:val="en-US"/>
          <w14:ligatures w14:val="none"/>
        </w:rPr>
        <w:t>variables are</w:t>
      </w:r>
      <w:proofErr w:type="gramEnd"/>
      <w:r w:rsidR="00142758" w:rsidRPr="00874ABF">
        <w:rPr>
          <w:rFonts w:ascii="Arial" w:eastAsia="source serif 4" w:hAnsi="Arial" w:cs="Arial"/>
          <w:bCs/>
          <w:color w:val="000000" w:themeColor="text1"/>
          <w:kern w:val="0"/>
          <w:lang w:val="en-US"/>
          <w14:ligatures w14:val="none"/>
        </w:rPr>
        <w:t xml:space="preserve"> mean academic mark and completion, defined as a recorded mark for all six modules. Enrolment pattern distinguishes repeat-enrolment records (n = 28) from single-year records (n = 140). A repeat enrolment is a return to the programme to complete modules outstanding from an earlier enrolment rather than a first year of study; because a student may return from an enrolment that began before the study period, the 28 records are not confined to the nine students who appear twice within the three-year window (Section 4.1.1). Mean academic mark is calculated from full academic marks, the best available uncapped numeric mark for each module, including marks awarded following extenuating circumstances or late submission. </w:t>
      </w:r>
      <w:r w:rsidRPr="00874ABF">
        <w:rPr>
          <w:rFonts w:ascii="Arial" w:eastAsia="source serif 4" w:hAnsi="Arial" w:cs="Arial"/>
          <w:bCs/>
          <w:color w:val="000000" w:themeColor="text1"/>
          <w:kern w:val="0"/>
          <w14:ligatures w14:val="none"/>
        </w:rPr>
        <w:lastRenderedPageBreak/>
        <w:t xml:space="preserve">Capped marks are stored separately and are not analysed because they reflect the application of assessment </w:t>
      </w:r>
      <w:r w:rsidR="00F404A5" w:rsidRPr="00F404A5">
        <w:rPr>
          <w:rFonts w:ascii="Arial" w:eastAsia="source serif 4" w:hAnsi="Arial" w:cs="Arial"/>
          <w:bCs/>
          <w:color w:val="000000" w:themeColor="text1"/>
          <w:kern w:val="0"/>
          <w14:ligatures w14:val="none"/>
        </w:rPr>
        <w:t>regulations</w:t>
      </w:r>
      <w:r w:rsidR="00F404A5">
        <w:rPr>
          <w:rFonts w:ascii="Arial" w:eastAsia="source serif 4" w:hAnsi="Arial" w:cs="Arial"/>
          <w:bCs/>
          <w:color w:val="000000" w:themeColor="text1"/>
          <w:kern w:val="0"/>
          <w14:ligatures w14:val="none"/>
        </w:rPr>
        <w:t>.</w:t>
      </w:r>
      <w:r w:rsidRPr="00874ABF">
        <w:rPr>
          <w:rFonts w:ascii="Arial" w:eastAsia="source serif 4" w:hAnsi="Arial" w:cs="Arial"/>
          <w:bCs/>
          <w:color w:val="000000" w:themeColor="text1"/>
          <w:kern w:val="0"/>
          <w14:ligatures w14:val="none"/>
        </w:rPr>
        <w:t xml:space="preserve"> </w:t>
      </w:r>
      <w:r w:rsidR="00142758" w:rsidRPr="00874ABF">
        <w:rPr>
          <w:rFonts w:ascii="Arial" w:eastAsia="source serif 4" w:hAnsi="Arial" w:cs="Arial"/>
          <w:bCs/>
          <w:color w:val="000000" w:themeColor="text1"/>
          <w:kern w:val="0"/>
          <w:lang w:val="en-US"/>
          <w14:ligatures w14:val="none"/>
        </w:rPr>
        <w:t xml:space="preserve">Students may submit up to seven days after a module deadline and still receive a mark, capped at 40; a module is only treated as not submitted once that seven-day window has passed. Whether a mark exists for a module, whatever its value, is therefore normally known eight days </w:t>
      </w:r>
      <w:r w:rsidRPr="00874ABF">
        <w:rPr>
          <w:rFonts w:ascii="Arial" w:eastAsia="source serif 4" w:hAnsi="Arial" w:cs="Arial"/>
          <w:bCs/>
          <w:color w:val="000000" w:themeColor="text1"/>
          <w:kern w:val="0"/>
          <w:lang w:val="en-US"/>
          <w14:ligatures w14:val="none"/>
        </w:rPr>
        <w:t>after</w:t>
      </w:r>
      <w:r w:rsidR="00142758" w:rsidRPr="00874ABF">
        <w:rPr>
          <w:rFonts w:ascii="Arial" w:eastAsia="source serif 4" w:hAnsi="Arial" w:cs="Arial"/>
          <w:bCs/>
          <w:color w:val="000000" w:themeColor="text1"/>
          <w:kern w:val="0"/>
          <w:lang w:val="en-US"/>
          <w14:ligatures w14:val="none"/>
        </w:rPr>
        <w:t xml:space="preserve"> the deadline. Presence of a Statement of Compensatory Measures (SCM) record and its creation date were obtained from Learner Support and are reported descriptively only, for the reasons set out in Section 3.7.</w:t>
      </w:r>
    </w:p>
    <w:p w14:paraId="656A14DB" w14:textId="1A11F59F" w:rsidR="00142758"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Age and marks are treated as scale variables; enrolment pattern, academic year, gender, </w:t>
      </w:r>
      <w:r w:rsidR="00425DDA">
        <w:rPr>
          <w:rFonts w:ascii="Arial" w:eastAsia="source serif 4" w:hAnsi="Arial" w:cs="Arial"/>
          <w:bCs/>
          <w:color w:val="000000" w:themeColor="text1"/>
          <w:kern w:val="0"/>
          <w:lang w:val="en-US"/>
          <w14:ligatures w14:val="none"/>
        </w:rPr>
        <w:t>M</w:t>
      </w:r>
      <w:r w:rsidRPr="00874ABF">
        <w:rPr>
          <w:rFonts w:ascii="Arial" w:eastAsia="source serif 4" w:hAnsi="Arial" w:cs="Arial"/>
          <w:bCs/>
          <w:color w:val="000000" w:themeColor="text1"/>
          <w:kern w:val="0"/>
          <w:lang w:val="en-US"/>
          <w14:ligatures w14:val="none"/>
        </w:rPr>
        <w:t>odule 1 submission status and completion as categorical; non-submission and EC totals as counts.</w:t>
      </w:r>
    </w:p>
    <w:p w14:paraId="65BFC57C" w14:textId="77777777" w:rsidR="00F404A5" w:rsidRPr="00874ABF" w:rsidRDefault="00F404A5" w:rsidP="00142758">
      <w:pPr>
        <w:spacing w:after="120" w:line="360" w:lineRule="auto"/>
        <w:rPr>
          <w:rFonts w:ascii="Arial" w:eastAsia="source serif 4" w:hAnsi="Arial" w:cs="Arial"/>
          <w:bCs/>
          <w:color w:val="000000" w:themeColor="text1"/>
          <w:kern w:val="0"/>
          <w:lang w:val="en-US"/>
          <w14:ligatures w14:val="none"/>
        </w:rPr>
      </w:pPr>
    </w:p>
    <w:p w14:paraId="31AF1576"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3.4 Data preparation</w:t>
      </w:r>
    </w:p>
    <w:p w14:paraId="24D72C08"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dataset was cleaned, coded and </w:t>
      </w:r>
      <w:proofErr w:type="spellStart"/>
      <w:r w:rsidRPr="00874ABF">
        <w:rPr>
          <w:rFonts w:ascii="Arial" w:eastAsia="source serif 4" w:hAnsi="Arial" w:cs="Arial"/>
          <w:bCs/>
          <w:color w:val="000000" w:themeColor="text1"/>
          <w:kern w:val="0"/>
          <w:lang w:val="en-US"/>
          <w14:ligatures w14:val="none"/>
        </w:rPr>
        <w:t>pseudonymised</w:t>
      </w:r>
      <w:proofErr w:type="spellEnd"/>
      <w:r w:rsidRPr="00874ABF">
        <w:rPr>
          <w:rFonts w:ascii="Arial" w:eastAsia="source serif 4" w:hAnsi="Arial" w:cs="Arial"/>
          <w:bCs/>
          <w:color w:val="000000" w:themeColor="text1"/>
          <w:kern w:val="0"/>
          <w:lang w:val="en-US"/>
          <w14:ligatures w14:val="none"/>
        </w:rPr>
        <w:t xml:space="preserve"> before analysis. Direct identifiers were removed and replaced with study codes, and a data dictionary records each variable, its source, coding, measurement level and derivation. Inclusion and exclusion decisions, duplicate records, implausible values and missingness were documented so that the analysis can be audited and repeated. Corrections applied during preparation are logged in the workbook's change record and </w:t>
      </w:r>
      <w:proofErr w:type="spellStart"/>
      <w:r w:rsidRPr="00874ABF">
        <w:rPr>
          <w:rFonts w:ascii="Arial" w:eastAsia="source serif 4" w:hAnsi="Arial" w:cs="Arial"/>
          <w:bCs/>
          <w:color w:val="000000" w:themeColor="text1"/>
          <w:kern w:val="0"/>
          <w:lang w:val="en-US"/>
          <w14:ligatures w14:val="none"/>
        </w:rPr>
        <w:t>summarised</w:t>
      </w:r>
      <w:proofErr w:type="spellEnd"/>
      <w:r w:rsidRPr="00874ABF">
        <w:rPr>
          <w:rFonts w:ascii="Arial" w:eastAsia="source serif 4" w:hAnsi="Arial" w:cs="Arial"/>
          <w:bCs/>
          <w:color w:val="000000" w:themeColor="text1"/>
          <w:kern w:val="0"/>
          <w:lang w:val="en-US"/>
          <w14:ligatures w14:val="none"/>
        </w:rPr>
        <w:t xml:space="preserve"> in Appendix C.</w:t>
      </w:r>
    </w:p>
    <w:p w14:paraId="1E20BF9A" w14:textId="3E089CC5" w:rsidR="00142758" w:rsidRDefault="00633C51"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Missing marks, non-submissions, extenuating circumstances and deferred assessments were kept as separate categories rather than treated as zero marks. As capping is most common for students who re-enrol, using uncapped marks avoids making their performance appear lower because of an administrative rule. </w:t>
      </w:r>
    </w:p>
    <w:p w14:paraId="34FCE3D0" w14:textId="77777777" w:rsidR="00425DDA" w:rsidRPr="00874ABF" w:rsidRDefault="00425DDA" w:rsidP="00142758">
      <w:pPr>
        <w:spacing w:after="120" w:line="360" w:lineRule="auto"/>
        <w:rPr>
          <w:rFonts w:ascii="Arial" w:eastAsia="source serif 4" w:hAnsi="Arial" w:cs="Arial"/>
          <w:bCs/>
          <w:color w:val="000000" w:themeColor="text1"/>
          <w:kern w:val="0"/>
          <w:lang w:val="en-US"/>
          <w14:ligatures w14:val="none"/>
        </w:rPr>
      </w:pPr>
    </w:p>
    <w:p w14:paraId="69632A6B" w14:textId="0B2DB248" w:rsidR="00142758" w:rsidRPr="00874ABF" w:rsidRDefault="00142758" w:rsidP="00142758">
      <w:pPr>
        <w:spacing w:line="360" w:lineRule="auto"/>
        <w:rPr>
          <w:rFonts w:ascii="Arial" w:eastAsia="Aptos" w:hAnsi="Arial" w:cs="Arial"/>
          <w:b/>
          <w:bCs/>
          <w:color w:val="000000" w:themeColor="text1"/>
          <w:lang w:eastAsia="en-GB"/>
        </w:rPr>
      </w:pPr>
      <w:r w:rsidRPr="00874ABF">
        <w:rPr>
          <w:rFonts w:ascii="Arial" w:eastAsia="Aptos" w:hAnsi="Arial" w:cs="Arial"/>
          <w:b/>
          <w:bCs/>
          <w:color w:val="000000" w:themeColor="text1"/>
          <w:lang w:eastAsia="en-GB"/>
        </w:rPr>
        <w:t>3.5 Hypotheses</w:t>
      </w:r>
    </w:p>
    <w:p w14:paraId="6F745C5A" w14:textId="64BC646C" w:rsidR="00633C51" w:rsidRPr="00874ABF" w:rsidRDefault="00633C51"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color w:val="000000" w:themeColor="text1"/>
          <w:kern w:val="0"/>
          <w:lang w:eastAsia="en-GB"/>
          <w14:ligatures w14:val="none"/>
        </w:rPr>
        <w:t>Five null hypotheses were tested. The statistical tests were chosen based on the type of data available, before the results were examined.</w:t>
      </w:r>
    </w:p>
    <w:p w14:paraId="117B3015" w14:textId="77777777" w:rsidR="00D31B2B" w:rsidRPr="00874ABF" w:rsidRDefault="00D31B2B" w:rsidP="00D31B2B">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color w:val="000000" w:themeColor="text1"/>
          <w:kern w:val="0"/>
          <w:lang w:eastAsia="en-GB"/>
          <w14:ligatures w14:val="none"/>
        </w:rPr>
        <w:t xml:space="preserve">Each null hypothesis states that there is no relationship or difference in the wider population. Each alternative hypothesis states that there is a relationship or </w:t>
      </w:r>
      <w:r w:rsidRPr="00874ABF">
        <w:rPr>
          <w:rFonts w:ascii="Arial" w:eastAsia="Times New Roman" w:hAnsi="Arial" w:cs="Arial"/>
          <w:color w:val="000000" w:themeColor="text1"/>
          <w:kern w:val="0"/>
          <w:lang w:eastAsia="en-GB"/>
          <w14:ligatures w14:val="none"/>
        </w:rPr>
        <w:lastRenderedPageBreak/>
        <w:t>difference. The hypotheses are non-directional, so they do not predict which group will have higher or lower outcomes.</w:t>
      </w:r>
    </w:p>
    <w:p w14:paraId="7D55100C" w14:textId="77777777" w:rsidR="00D31B2B" w:rsidRPr="00874ABF" w:rsidRDefault="00D31B2B"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color w:val="000000" w:themeColor="text1"/>
          <w:kern w:val="0"/>
          <w:lang w:eastAsia="en-GB"/>
          <w14:ligatures w14:val="none"/>
        </w:rPr>
        <w:t>Where the variable used to predict an outcome was also included within that outcome, the analysis was adjusted to avoid circularity. For example, Module 1 submission is the predictor in H1, but Module 1 is included in completion of all six modules. H1 therefore uses completion of Modules 2–6 as the outcome.</w:t>
      </w:r>
    </w:p>
    <w:p w14:paraId="02B98AFE" w14:textId="43559EF6" w:rsidR="00142758" w:rsidRPr="00874ABF" w:rsidRDefault="00142758"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 xml:space="preserve">H1. </w:t>
      </w:r>
      <w:r w:rsidRPr="00874ABF">
        <w:rPr>
          <w:rFonts w:ascii="Arial" w:eastAsia="Times New Roman" w:hAnsi="Arial" w:cs="Arial"/>
          <w:color w:val="000000" w:themeColor="text1"/>
          <w:kern w:val="0"/>
          <w:lang w:eastAsia="en-GB"/>
          <w14:ligatures w14:val="none"/>
        </w:rPr>
        <w:t>No association between a recorded mark for Module 1 and completion of Modules 2 to 6.</w:t>
      </w:r>
    </w:p>
    <w:p w14:paraId="1B29FC45" w14:textId="46C00DEC" w:rsidR="00142758" w:rsidRPr="00874ABF" w:rsidRDefault="00142758"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 xml:space="preserve">H2. </w:t>
      </w:r>
      <w:r w:rsidRPr="00874ABF">
        <w:rPr>
          <w:rFonts w:ascii="Arial" w:eastAsia="Times New Roman" w:hAnsi="Arial" w:cs="Arial"/>
          <w:color w:val="000000" w:themeColor="text1"/>
          <w:kern w:val="0"/>
          <w:lang w:eastAsia="en-GB"/>
          <w14:ligatures w14:val="none"/>
        </w:rPr>
        <w:t>No difference in mean academic mark between single-year and repeat-enrolment records.</w:t>
      </w:r>
    </w:p>
    <w:p w14:paraId="37D0A3B5" w14:textId="50E2E64F" w:rsidR="00142758" w:rsidRPr="00874ABF" w:rsidRDefault="00142758"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H3.</w:t>
      </w:r>
      <w:r w:rsidRPr="00874ABF">
        <w:rPr>
          <w:rFonts w:ascii="Arial" w:eastAsia="Times New Roman" w:hAnsi="Arial" w:cs="Arial"/>
          <w:color w:val="000000" w:themeColor="text1"/>
          <w:kern w:val="0"/>
          <w:lang w:eastAsia="en-GB"/>
          <w14:ligatures w14:val="none"/>
        </w:rPr>
        <w:t xml:space="preserve"> No linear relationship between number of non-submissions and mean academic mark.</w:t>
      </w:r>
    </w:p>
    <w:p w14:paraId="5FEB6735" w14:textId="2BAA3ACB" w:rsidR="00142758" w:rsidRPr="00874ABF" w:rsidRDefault="00142758" w:rsidP="00142758">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 xml:space="preserve">H4. </w:t>
      </w:r>
      <w:r w:rsidRPr="00874ABF">
        <w:rPr>
          <w:rFonts w:ascii="Arial" w:eastAsia="Times New Roman" w:hAnsi="Arial" w:cs="Arial"/>
          <w:color w:val="000000" w:themeColor="text1"/>
          <w:kern w:val="0"/>
          <w:lang w:eastAsia="en-GB"/>
          <w14:ligatures w14:val="none"/>
        </w:rPr>
        <w:t>No difference in mean academic mark across academic cohorts.</w:t>
      </w:r>
    </w:p>
    <w:p w14:paraId="7F060134" w14:textId="3C9E4C45" w:rsidR="00142758" w:rsidRPr="00874AB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Times New Roman" w:hAnsi="Arial" w:cs="Arial"/>
          <w:b/>
          <w:bCs/>
          <w:color w:val="000000" w:themeColor="text1"/>
          <w:kern w:val="0"/>
          <w:lang w:eastAsia="en-GB"/>
          <w14:ligatures w14:val="none"/>
        </w:rPr>
        <w:t xml:space="preserve">H5. </w:t>
      </w:r>
      <w:r w:rsidRPr="00874ABF">
        <w:rPr>
          <w:rFonts w:ascii="Arial" w:eastAsia="Times New Roman" w:hAnsi="Arial" w:cs="Arial"/>
          <w:color w:val="000000" w:themeColor="text1"/>
          <w:kern w:val="0"/>
          <w:lang w:eastAsia="en-GB"/>
          <w14:ligatures w14:val="none"/>
        </w:rPr>
        <w:t>No difference in mean marks between the first and second halves of the module sequence.</w:t>
      </w:r>
    </w:p>
    <w:p w14:paraId="34941919" w14:textId="77777777" w:rsidR="001825DE" w:rsidRPr="00874ABF" w:rsidRDefault="001825DE" w:rsidP="001825DE">
      <w:pPr>
        <w:spacing w:after="120" w:line="360" w:lineRule="auto"/>
        <w:rPr>
          <w:rFonts w:ascii="Arial" w:eastAsia="Times New Roman" w:hAnsi="Arial" w:cs="Arial"/>
          <w:color w:val="000000" w:themeColor="text1"/>
          <w:kern w:val="0"/>
          <w:lang w:eastAsia="en-GB"/>
          <w14:ligatures w14:val="none"/>
        </w:rPr>
      </w:pPr>
      <w:r w:rsidRPr="00874ABF">
        <w:rPr>
          <w:rFonts w:ascii="Arial" w:eastAsia="Times New Roman" w:hAnsi="Arial" w:cs="Arial"/>
          <w:color w:val="000000" w:themeColor="text1"/>
          <w:kern w:val="0"/>
          <w:lang w:eastAsia="en-GB"/>
          <w14:ligatures w14:val="none"/>
        </w:rPr>
        <w:t>H4 and H5 are checks on whether cohort or module position affected the results, rather than the study’s main questions.</w:t>
      </w:r>
    </w:p>
    <w:p w14:paraId="6DFAF781" w14:textId="2A65767A" w:rsidR="00142758" w:rsidRPr="00874ABF" w:rsidRDefault="001825DE"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Times New Roman" w:hAnsi="Arial" w:cs="Arial"/>
          <w:color w:val="000000" w:themeColor="text1"/>
          <w:kern w:val="0"/>
          <w:lang w:eastAsia="en-GB"/>
          <w14:ligatures w14:val="none"/>
        </w:rPr>
        <w:t>Reasonable adjustments and gender are reported descriptively only because the groups were too small for reliable statistical testing. Age is examined separately as an exploratory analysis in Section 4.2.7 and interpreted cautiously because few records relate to students aged under 25.</w:t>
      </w:r>
    </w:p>
    <w:p w14:paraId="7B2BE369" w14:textId="77777777" w:rsidR="001825DE" w:rsidRPr="00874ABF" w:rsidRDefault="001825DE" w:rsidP="00142758">
      <w:pPr>
        <w:spacing w:after="120" w:line="360" w:lineRule="auto"/>
        <w:rPr>
          <w:rFonts w:ascii="Arial" w:eastAsia="source serif 4" w:hAnsi="Arial" w:cs="Arial"/>
          <w:b/>
          <w:color w:val="000000" w:themeColor="text1"/>
          <w:kern w:val="0"/>
          <w:lang w:val="en-US"/>
          <w14:ligatures w14:val="none"/>
        </w:rPr>
      </w:pPr>
    </w:p>
    <w:p w14:paraId="4FF60919" w14:textId="0FF66921"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3.6 Data analysis</w:t>
      </w:r>
    </w:p>
    <w:p w14:paraId="0AA1F67C" w14:textId="77777777" w:rsidR="001825DE" w:rsidRPr="00874ABF" w:rsidRDefault="001825DE" w:rsidP="001825DE">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The analysis began with descriptive statistics to show the main characteristics of the dataset. Frequencies and percentages were used for categorical variables, such as gender, academic year and completion status. Means, standard deviations and ranges were used for numerical variables, such as age, academic marks and the number of non-submissions.</w:t>
      </w:r>
    </w:p>
    <w:p w14:paraId="0A03FF23" w14:textId="4065224D" w:rsidR="00142758" w:rsidRPr="00874ABF" w:rsidRDefault="001825DE"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Inferential tests were then used to examine the five hypotheses. These tests assessed whether the patterns found in this dataset were unlikely to be due to </w:t>
      </w:r>
      <w:r w:rsidRPr="00874ABF">
        <w:rPr>
          <w:rFonts w:ascii="Arial" w:eastAsia="source serif 4" w:hAnsi="Arial" w:cs="Arial"/>
          <w:bCs/>
          <w:color w:val="000000" w:themeColor="text1"/>
          <w:kern w:val="0"/>
          <w14:ligatures w14:val="none"/>
        </w:rPr>
        <w:lastRenderedPageBreak/>
        <w:t xml:space="preserve">chance alone. Where a record had missing information for a particular test, it was excluded only from that test, not from the whole study. The valid number of records analysed </w:t>
      </w:r>
      <w:r w:rsidR="00425DDA">
        <w:rPr>
          <w:rFonts w:ascii="Arial" w:eastAsia="source serif 4" w:hAnsi="Arial" w:cs="Arial"/>
          <w:bCs/>
          <w:color w:val="000000" w:themeColor="text1"/>
          <w:kern w:val="0"/>
          <w14:ligatures w14:val="none"/>
        </w:rPr>
        <w:t>(</w:t>
      </w:r>
      <w:r w:rsidRPr="00874ABF">
        <w:rPr>
          <w:rFonts w:ascii="Arial" w:eastAsia="source serif 4" w:hAnsi="Arial" w:cs="Arial"/>
          <w:bCs/>
          <w:color w:val="000000" w:themeColor="text1"/>
          <w:kern w:val="0"/>
          <w14:ligatures w14:val="none"/>
        </w:rPr>
        <w:t>n</w:t>
      </w:r>
      <w:r w:rsidR="00425DDA">
        <w:rPr>
          <w:rFonts w:ascii="Arial" w:eastAsia="source serif 4" w:hAnsi="Arial" w:cs="Arial"/>
          <w:bCs/>
          <w:color w:val="000000" w:themeColor="text1"/>
          <w:kern w:val="0"/>
          <w14:ligatures w14:val="none"/>
        </w:rPr>
        <w:t xml:space="preserve">) </w:t>
      </w:r>
      <w:r w:rsidRPr="00874ABF">
        <w:rPr>
          <w:rFonts w:ascii="Arial" w:eastAsia="source serif 4" w:hAnsi="Arial" w:cs="Arial"/>
          <w:bCs/>
          <w:color w:val="000000" w:themeColor="text1"/>
          <w:kern w:val="0"/>
          <w14:ligatures w14:val="none"/>
        </w:rPr>
        <w:t>is therefore reported for each test.</w:t>
      </w:r>
    </w:p>
    <w:p w14:paraId="25A52567" w14:textId="77777777" w:rsidR="001825DE" w:rsidRPr="00874ABF" w:rsidRDefault="001825DE" w:rsidP="00142758">
      <w:pPr>
        <w:spacing w:after="120" w:line="360" w:lineRule="auto"/>
        <w:rPr>
          <w:rFonts w:ascii="Arial" w:eastAsia="source serif 4" w:hAnsi="Arial" w:cs="Arial"/>
          <w:bCs/>
          <w:color w:val="000000" w:themeColor="text1"/>
          <w:kern w:val="0"/>
          <w14:ligatures w14:val="none"/>
        </w:rPr>
      </w:pPr>
    </w:p>
    <w:p w14:paraId="6CD05B73" w14:textId="77777777" w:rsidR="00C67D3C" w:rsidRPr="00874ABF" w:rsidRDefault="00C67D3C" w:rsidP="00C67D3C">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3.7 Inferential analysis</w:t>
      </w:r>
    </w:p>
    <w:p w14:paraId="1940764F" w14:textId="6827CF7B"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Each statistical test was selected to match the variables being compared and the study design.</w:t>
      </w:r>
    </w:p>
    <w:p w14:paraId="0393A4E6" w14:textId="5351C504"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H1:</w:t>
      </w:r>
      <w:r w:rsidRPr="00874ABF">
        <w:rPr>
          <w:rFonts w:ascii="Arial" w:eastAsia="source serif 4" w:hAnsi="Arial" w:cs="Arial"/>
          <w:bCs/>
          <w:color w:val="000000" w:themeColor="text1"/>
          <w:kern w:val="0"/>
          <w:lang w:val="en-US"/>
          <w14:ligatures w14:val="none"/>
        </w:rPr>
        <w:t xml:space="preserve"> A chi-square test examined whether having a recorded mark for Module 1 was associated with completing Modules 2–6. Yates’s continuity correction was used, and phi (ϕ) measured the strength of the association.</w:t>
      </w:r>
    </w:p>
    <w:p w14:paraId="6DF0406A" w14:textId="4CE15D55"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H2:</w:t>
      </w:r>
      <w:r w:rsidRPr="00874ABF">
        <w:rPr>
          <w:rFonts w:ascii="Arial" w:eastAsia="source serif 4" w:hAnsi="Arial" w:cs="Arial"/>
          <w:bCs/>
          <w:color w:val="000000" w:themeColor="text1"/>
          <w:kern w:val="0"/>
          <w:lang w:val="en-US"/>
          <w14:ligatures w14:val="none"/>
        </w:rPr>
        <w:t xml:space="preserve"> An </w:t>
      </w:r>
      <w:proofErr w:type="gramStart"/>
      <w:r w:rsidRPr="00874ABF">
        <w:rPr>
          <w:rFonts w:ascii="Arial" w:eastAsia="source serif 4" w:hAnsi="Arial" w:cs="Arial"/>
          <w:bCs/>
          <w:color w:val="000000" w:themeColor="text1"/>
          <w:kern w:val="0"/>
          <w:lang w:val="en-US"/>
          <w14:ligatures w14:val="none"/>
        </w:rPr>
        <w:t>independent-samples</w:t>
      </w:r>
      <w:proofErr w:type="gramEnd"/>
      <w:r w:rsidRPr="00874ABF">
        <w:rPr>
          <w:rFonts w:ascii="Arial" w:eastAsia="source serif 4" w:hAnsi="Arial" w:cs="Arial"/>
          <w:bCs/>
          <w:color w:val="000000" w:themeColor="text1"/>
          <w:kern w:val="0"/>
          <w:lang w:val="en-US"/>
          <w14:ligatures w14:val="none"/>
        </w:rPr>
        <w:t xml:space="preserve"> t-test compared mean marks for single-year and repeat-enrolment records. Levene’s test checked whether mark variation was similar across the two groups, and Hedges’s g measured the size of any difference.</w:t>
      </w:r>
    </w:p>
    <w:p w14:paraId="2AADA490" w14:textId="77777777"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H3:</w:t>
      </w:r>
      <w:r w:rsidRPr="00874ABF">
        <w:rPr>
          <w:rFonts w:ascii="Arial" w:eastAsia="source serif 4" w:hAnsi="Arial" w:cs="Arial"/>
          <w:bCs/>
          <w:color w:val="000000" w:themeColor="text1"/>
          <w:kern w:val="0"/>
          <w:lang w:val="en-US"/>
          <w14:ligatures w14:val="none"/>
        </w:rPr>
        <w:t xml:space="preserve"> Pearson’s correlation tested whether non-submission count was related to mean academic mark. Spearman’s rank correlation was also used as a check because non-submission is a count variable.</w:t>
      </w:r>
    </w:p>
    <w:p w14:paraId="1F2DB390" w14:textId="77777777"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H4:</w:t>
      </w:r>
      <w:r w:rsidRPr="00874ABF">
        <w:rPr>
          <w:rFonts w:ascii="Arial" w:eastAsia="source serif 4" w:hAnsi="Arial" w:cs="Arial"/>
          <w:bCs/>
          <w:color w:val="000000" w:themeColor="text1"/>
          <w:kern w:val="0"/>
          <w:lang w:val="en-US"/>
          <w14:ligatures w14:val="none"/>
        </w:rPr>
        <w:t xml:space="preserve"> Welch’s one-way analysis of variance compared mean marks across the three academic-year cohorts. This test was used because the variation in marks was unequal across cohorts.</w:t>
      </w:r>
    </w:p>
    <w:p w14:paraId="137C5262" w14:textId="393F0321"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H5:</w:t>
      </w:r>
      <w:r w:rsidRPr="00874ABF">
        <w:rPr>
          <w:rFonts w:ascii="Arial" w:eastAsia="source serif 4" w:hAnsi="Arial" w:cs="Arial"/>
          <w:bCs/>
          <w:color w:val="000000" w:themeColor="text1"/>
          <w:kern w:val="0"/>
          <w:lang w:val="en-US"/>
          <w14:ligatures w14:val="none"/>
        </w:rPr>
        <w:t xml:space="preserve"> A paired-samples t-test compared mean marks from Modules 1–3 with mean marks from Modules 4–6 for the same records. Wilcoxon’s signed-rank test was also used as a check.</w:t>
      </w:r>
    </w:p>
    <w:p w14:paraId="18EF01DD" w14:textId="2660C6CE" w:rsidR="00C67D3C"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Results were considered statistically significant where p</w:t>
      </w:r>
      <w:r w:rsidR="00425DDA">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&lt;</w:t>
      </w:r>
      <w:r w:rsidR="00425DDA">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 xml:space="preserve">.05. Each result reports the test </w:t>
      </w:r>
      <w:proofErr w:type="gramStart"/>
      <w:r w:rsidRPr="00874ABF">
        <w:rPr>
          <w:rFonts w:ascii="Arial" w:eastAsia="source serif 4" w:hAnsi="Arial" w:cs="Arial"/>
          <w:bCs/>
          <w:color w:val="000000" w:themeColor="text1"/>
          <w:kern w:val="0"/>
          <w:lang w:val="en-US"/>
          <w14:ligatures w14:val="none"/>
        </w:rPr>
        <w:t>statistic</w:t>
      </w:r>
      <w:proofErr w:type="gramEnd"/>
      <w:r w:rsidRPr="00874ABF">
        <w:rPr>
          <w:rFonts w:ascii="Arial" w:eastAsia="source serif 4" w:hAnsi="Arial" w:cs="Arial"/>
          <w:bCs/>
          <w:color w:val="000000" w:themeColor="text1"/>
          <w:kern w:val="0"/>
          <w:lang w:val="en-US"/>
          <w14:ligatures w14:val="none"/>
        </w:rPr>
        <w:t>, degrees of freedom, exact p value, relevant group statistics, confidence intervals and effect sizes where appropriate.</w:t>
      </w:r>
      <w:r w:rsidR="00425DDA">
        <w:rPr>
          <w:rFonts w:ascii="Arial" w:eastAsia="source serif 4" w:hAnsi="Arial" w:cs="Arial"/>
          <w:bCs/>
          <w:color w:val="000000" w:themeColor="text1"/>
          <w:kern w:val="0"/>
          <w:lang w:val="en-US"/>
          <w14:ligatures w14:val="none"/>
        </w:rPr>
        <w:t xml:space="preserve"> </w:t>
      </w:r>
      <w:r w:rsidR="00425DDA" w:rsidRPr="00425DDA">
        <w:rPr>
          <w:rFonts w:ascii="Arial" w:eastAsia="source serif 4" w:hAnsi="Arial" w:cs="Arial"/>
          <w:bCs/>
          <w:color w:val="000000" w:themeColor="text1"/>
          <w:kern w:val="0"/>
          <w:lang w:val="en-US"/>
          <w14:ligatures w14:val="none"/>
        </w:rPr>
        <w:t>Effect sizes were interpreted using Cohen’s (1988) conventions</w:t>
      </w:r>
      <w:r w:rsidR="00425DDA">
        <w:rPr>
          <w:rFonts w:ascii="Arial" w:eastAsia="source serif 4" w:hAnsi="Arial" w:cs="Arial"/>
          <w:bCs/>
          <w:color w:val="000000" w:themeColor="text1"/>
          <w:kern w:val="0"/>
          <w:lang w:val="en-US"/>
          <w14:ligatures w14:val="none"/>
        </w:rPr>
        <w:t>.</w:t>
      </w:r>
    </w:p>
    <w:p w14:paraId="490E3CF7" w14:textId="4B8D379C" w:rsidR="00142758" w:rsidRPr="00874ABF" w:rsidRDefault="00C67D3C" w:rsidP="00C67D3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Two analyses considered at the design stage were not conducted. A before-and-after comparison around the SCM record-creation date was not possible because too few records had suitable marks before and after that date. A multivariable completion model, which would have examined several predictors at the same time, was not used because some of the strongest available predictors were already part </w:t>
      </w:r>
      <w:r w:rsidRPr="00874ABF">
        <w:rPr>
          <w:rFonts w:ascii="Arial" w:eastAsia="source serif 4" w:hAnsi="Arial" w:cs="Arial"/>
          <w:bCs/>
          <w:color w:val="000000" w:themeColor="text1"/>
          <w:kern w:val="0"/>
          <w:lang w:val="en-US"/>
          <w14:ligatures w14:val="none"/>
        </w:rPr>
        <w:lastRenderedPageBreak/>
        <w:t xml:space="preserve">of the definition of completion. Both decisions were based on the structure of the available data, rather than on the study results. Further </w:t>
      </w:r>
      <w:r w:rsidR="00425DDA" w:rsidRPr="00874ABF">
        <w:rPr>
          <w:rFonts w:ascii="Arial" w:eastAsia="source serif 4" w:hAnsi="Arial" w:cs="Arial"/>
          <w:bCs/>
          <w:color w:val="000000" w:themeColor="text1"/>
          <w:kern w:val="0"/>
          <w:lang w:val="en-US"/>
          <w14:ligatures w14:val="none"/>
        </w:rPr>
        <w:t>details are</w:t>
      </w:r>
      <w:r w:rsidRPr="00874ABF">
        <w:rPr>
          <w:rFonts w:ascii="Arial" w:eastAsia="source serif 4" w:hAnsi="Arial" w:cs="Arial"/>
          <w:bCs/>
          <w:color w:val="000000" w:themeColor="text1"/>
          <w:kern w:val="0"/>
          <w:lang w:val="en-US"/>
          <w14:ligatures w14:val="none"/>
        </w:rPr>
        <w:t xml:space="preserve"> provided in Appendix F6.</w:t>
      </w:r>
    </w:p>
    <w:p w14:paraId="3DA7C470" w14:textId="77777777" w:rsidR="00C67D3C" w:rsidRPr="00874ABF" w:rsidRDefault="00C67D3C" w:rsidP="00142758">
      <w:pPr>
        <w:spacing w:after="120" w:line="360" w:lineRule="auto"/>
        <w:rPr>
          <w:rFonts w:ascii="Arial" w:eastAsia="source serif 4" w:hAnsi="Arial" w:cs="Arial"/>
          <w:b/>
          <w:color w:val="000000" w:themeColor="text1"/>
          <w:kern w:val="0"/>
          <w:lang w:val="en-US"/>
          <w14:ligatures w14:val="none"/>
        </w:rPr>
      </w:pPr>
    </w:p>
    <w:p w14:paraId="4245ABF8" w14:textId="35B6B76E"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3.8 Ethics, access and data governance</w:t>
      </w:r>
    </w:p>
    <w:p w14:paraId="6DCD712D" w14:textId="689647F3" w:rsidR="00C67D3C"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Formal permission was obtained for access to the institutional records, and the study followed university research-governance and data-protection requirements</w:t>
      </w:r>
      <w:r w:rsidR="00425DDA">
        <w:rPr>
          <w:rFonts w:ascii="Arial" w:eastAsia="source serif 4" w:hAnsi="Arial" w:cs="Arial"/>
          <w:bCs/>
          <w:color w:val="000000" w:themeColor="text1"/>
          <w:kern w:val="0"/>
          <w:lang w:val="en-US"/>
          <w14:ligatures w14:val="none"/>
        </w:rPr>
        <w:t xml:space="preserve"> (Appendix D)</w:t>
      </w:r>
      <w:r w:rsidRPr="00874ABF">
        <w:rPr>
          <w:rFonts w:ascii="Arial" w:eastAsia="source serif 4" w:hAnsi="Arial" w:cs="Arial"/>
          <w:bCs/>
          <w:color w:val="000000" w:themeColor="text1"/>
          <w:kern w:val="0"/>
          <w:lang w:val="en-US"/>
          <w14:ligatures w14:val="none"/>
        </w:rPr>
        <w:t xml:space="preserve">. Only necessary variables were retained, direct identifiers were removed, files were stored securely, and outcomes are not reported separately for any group smaller than ten records, where doing so could </w:t>
      </w:r>
      <w:r w:rsidR="00C67D3C" w:rsidRPr="00874ABF">
        <w:rPr>
          <w:rFonts w:ascii="Arial" w:eastAsia="source serif 4" w:hAnsi="Arial" w:cs="Arial"/>
          <w:bCs/>
          <w:color w:val="000000" w:themeColor="text1"/>
          <w:kern w:val="0"/>
          <w:lang w:val="en-US"/>
          <w14:ligatures w14:val="none"/>
        </w:rPr>
        <w:t>cause</w:t>
      </w:r>
      <w:r w:rsidRPr="00874ABF">
        <w:rPr>
          <w:rFonts w:ascii="Arial" w:eastAsia="source serif 4" w:hAnsi="Arial" w:cs="Arial"/>
          <w:bCs/>
          <w:color w:val="000000" w:themeColor="text1"/>
          <w:kern w:val="0"/>
          <w:lang w:val="en-US"/>
          <w14:ligatures w14:val="none"/>
        </w:rPr>
        <w:t xml:space="preserve"> indirect identification.</w:t>
      </w:r>
    </w:p>
    <w:p w14:paraId="10CD498B" w14:textId="3697E1F1" w:rsidR="00C67D3C" w:rsidRPr="00874ABF" w:rsidRDefault="00C67D3C" w:rsidP="00C67D3C">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 institution’s Head of Data linked the programme and Learner Support records. The researcher received </w:t>
      </w:r>
      <w:r w:rsidR="00001AA1" w:rsidRPr="00874ABF">
        <w:rPr>
          <w:rFonts w:ascii="Arial" w:eastAsia="source serif 4" w:hAnsi="Arial" w:cs="Arial"/>
          <w:bCs/>
          <w:color w:val="000000" w:themeColor="text1"/>
          <w:kern w:val="0"/>
          <w14:ligatures w14:val="none"/>
        </w:rPr>
        <w:t>data, linked the relevant SCM and deleted the names. O</w:t>
      </w:r>
      <w:r w:rsidRPr="00874ABF">
        <w:rPr>
          <w:rFonts w:ascii="Arial" w:eastAsia="source serif 4" w:hAnsi="Arial" w:cs="Arial"/>
          <w:bCs/>
          <w:color w:val="000000" w:themeColor="text1"/>
          <w:kern w:val="0"/>
          <w14:ligatures w14:val="none"/>
        </w:rPr>
        <w:t>nly the student identifier and SCM record-creation date</w:t>
      </w:r>
      <w:r w:rsidR="00001AA1" w:rsidRPr="00874ABF">
        <w:rPr>
          <w:rFonts w:ascii="Arial" w:eastAsia="source serif 4" w:hAnsi="Arial" w:cs="Arial"/>
          <w:bCs/>
          <w:color w:val="000000" w:themeColor="text1"/>
          <w:kern w:val="0"/>
          <w14:ligatures w14:val="none"/>
        </w:rPr>
        <w:t xml:space="preserve"> remained</w:t>
      </w:r>
      <w:r w:rsidRPr="00874ABF">
        <w:rPr>
          <w:rFonts w:ascii="Arial" w:eastAsia="source serif 4" w:hAnsi="Arial" w:cs="Arial"/>
          <w:bCs/>
          <w:color w:val="000000" w:themeColor="text1"/>
          <w:kern w:val="0"/>
          <w14:ligatures w14:val="none"/>
        </w:rPr>
        <w:t>. Approval covered this as assessed work and internal course improvement; further approval would be needed for external publication.</w:t>
      </w:r>
    </w:p>
    <w:p w14:paraId="7372B701"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Contextual information about support was provided by the Head of Learning Support (personal communication, 18 August 2026): specialist one-to-one academic support is available to all students through the institution's General Study Skills provision, irrespective of disclosure, delivered bilingually by staff with </w:t>
      </w:r>
      <w:proofErr w:type="spellStart"/>
      <w:r w:rsidRPr="00874ABF">
        <w:rPr>
          <w:rFonts w:ascii="Arial" w:eastAsia="source serif 4" w:hAnsi="Arial" w:cs="Arial"/>
          <w:bCs/>
          <w:color w:val="000000" w:themeColor="text1"/>
          <w:kern w:val="0"/>
          <w:lang w:val="en-US"/>
          <w14:ligatures w14:val="none"/>
        </w:rPr>
        <w:t>SpLD</w:t>
      </w:r>
      <w:proofErr w:type="spellEnd"/>
      <w:r w:rsidRPr="00874ABF">
        <w:rPr>
          <w:rFonts w:ascii="Arial" w:eastAsia="source serif 4" w:hAnsi="Arial" w:cs="Arial"/>
          <w:bCs/>
          <w:color w:val="000000" w:themeColor="text1"/>
          <w:kern w:val="0"/>
          <w:lang w:val="en-US"/>
          <w14:ligatures w14:val="none"/>
        </w:rPr>
        <w:t xml:space="preserve"> qualifications beyond their teaching role.</w:t>
      </w:r>
    </w:p>
    <w:p w14:paraId="41C868B4" w14:textId="037BECB4"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is </w:t>
      </w:r>
      <w:r w:rsidR="00C67D3C" w:rsidRPr="00874ABF">
        <w:rPr>
          <w:rFonts w:ascii="Arial" w:eastAsia="source serif 4" w:hAnsi="Arial" w:cs="Arial"/>
          <w:bCs/>
          <w:color w:val="000000" w:themeColor="text1"/>
          <w:kern w:val="0"/>
          <w:lang w:val="en-US"/>
          <w14:ligatures w14:val="none"/>
        </w:rPr>
        <w:t>relevant</w:t>
      </w:r>
      <w:r w:rsidRPr="00874ABF">
        <w:rPr>
          <w:rFonts w:ascii="Arial" w:eastAsia="source serif 4" w:hAnsi="Arial" w:cs="Arial"/>
          <w:bCs/>
          <w:color w:val="000000" w:themeColor="text1"/>
          <w:kern w:val="0"/>
          <w:lang w:val="en-US"/>
          <w14:ligatures w14:val="none"/>
        </w:rPr>
        <w:t xml:space="preserve"> to interpreting the SCM data in Section 4.2.6, because it establishes that students without a formally confirmed adjustment cannot be </w:t>
      </w:r>
      <w:proofErr w:type="spellStart"/>
      <w:r w:rsidRPr="00874ABF">
        <w:rPr>
          <w:rFonts w:ascii="Arial" w:eastAsia="source serif 4" w:hAnsi="Arial" w:cs="Arial"/>
          <w:bCs/>
          <w:color w:val="000000" w:themeColor="text1"/>
          <w:kern w:val="0"/>
          <w:lang w:val="en-US"/>
          <w14:ligatures w14:val="none"/>
        </w:rPr>
        <w:t>characterised</w:t>
      </w:r>
      <w:proofErr w:type="spellEnd"/>
      <w:r w:rsidRPr="00874ABF">
        <w:rPr>
          <w:rFonts w:ascii="Arial" w:eastAsia="source serif 4" w:hAnsi="Arial" w:cs="Arial"/>
          <w:bCs/>
          <w:color w:val="000000" w:themeColor="text1"/>
          <w:kern w:val="0"/>
          <w:lang w:val="en-US"/>
          <w14:ligatures w14:val="none"/>
        </w:rPr>
        <w:t xml:space="preserve"> as unsupported. In accordance with APA convention, personal communications are cited in the text only and are not listed in the references.</w:t>
      </w:r>
    </w:p>
    <w:p w14:paraId="4065862D"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1D93C73"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3.9 Reliability, validity and limitations</w:t>
      </w:r>
    </w:p>
    <w:p w14:paraId="1037C1BD" w14:textId="1E49B78E" w:rsidR="00C67D3C" w:rsidRPr="00874ABF" w:rsidRDefault="00C67D3C" w:rsidP="00C67D3C">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A strength of this secondary-data design is that it uses real student records from routine academic processes. However, the researcher could not control which variables were initially collected or how they were coded (O’Leary &amp; Hunt, 2017; Panchenko &amp; </w:t>
      </w:r>
      <w:proofErr w:type="spellStart"/>
      <w:r w:rsidRPr="00874ABF">
        <w:rPr>
          <w:rFonts w:ascii="Arial" w:eastAsia="source serif 4" w:hAnsi="Arial" w:cs="Arial"/>
          <w:bCs/>
          <w:color w:val="000000" w:themeColor="text1"/>
          <w:kern w:val="0"/>
          <w14:ligatures w14:val="none"/>
        </w:rPr>
        <w:t>Samovilova</w:t>
      </w:r>
      <w:proofErr w:type="spellEnd"/>
      <w:r w:rsidRPr="00874ABF">
        <w:rPr>
          <w:rFonts w:ascii="Arial" w:eastAsia="source serif 4" w:hAnsi="Arial" w:cs="Arial"/>
          <w:bCs/>
          <w:color w:val="000000" w:themeColor="text1"/>
          <w:kern w:val="0"/>
          <w14:ligatures w14:val="none"/>
        </w:rPr>
        <w:t>, 2020).</w:t>
      </w:r>
    </w:p>
    <w:p w14:paraId="461032B9" w14:textId="12535A1F" w:rsidR="00C67D3C" w:rsidRPr="00874ABF" w:rsidRDefault="00C67D3C" w:rsidP="00C67D3C">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lastRenderedPageBreak/>
        <w:t xml:space="preserve">Considering Saunders et al. (2019), three threats to internal validity are relevant. First, students who withdrew are likely to have incomplete records (mortality). Second, module titles, assessment types and deadlines differed across cohorts (instrumentation). Third, the direction of any relationship is unclear, especially for SCM records, because formal adjustments are often recorded after a student has </w:t>
      </w:r>
      <w:proofErr w:type="gramStart"/>
      <w:r w:rsidRPr="00874ABF">
        <w:rPr>
          <w:rFonts w:ascii="Arial" w:eastAsia="source serif 4" w:hAnsi="Arial" w:cs="Arial"/>
          <w:bCs/>
          <w:color w:val="000000" w:themeColor="text1"/>
          <w:kern w:val="0"/>
          <w14:ligatures w14:val="none"/>
        </w:rPr>
        <w:t>experienced difficulty</w:t>
      </w:r>
      <w:proofErr w:type="gramEnd"/>
      <w:r w:rsidRPr="00874ABF">
        <w:rPr>
          <w:rFonts w:ascii="Arial" w:eastAsia="source serif 4" w:hAnsi="Arial" w:cs="Arial"/>
          <w:bCs/>
          <w:color w:val="000000" w:themeColor="text1"/>
          <w:kern w:val="0"/>
          <w14:ligatures w14:val="none"/>
        </w:rPr>
        <w:t xml:space="preserve"> (ambiguity about causal direction).</w:t>
      </w:r>
    </w:p>
    <w:p w14:paraId="7676AC7C" w14:textId="77777777" w:rsidR="00C67D3C" w:rsidRPr="00874ABF" w:rsidRDefault="00C67D3C" w:rsidP="00C67D3C">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The findings therefore show associations and differences, not proven effects (Creswell, 2009).</w:t>
      </w:r>
    </w:p>
    <w:p w14:paraId="0775EF58"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526BB6E5"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3.10 Software</w:t>
      </w:r>
    </w:p>
    <w:p w14:paraId="09544450"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Data were cleaned, coded and </w:t>
      </w:r>
      <w:proofErr w:type="spellStart"/>
      <w:r w:rsidRPr="00874ABF">
        <w:rPr>
          <w:rFonts w:ascii="Arial" w:eastAsia="source serif 4" w:hAnsi="Arial" w:cs="Arial"/>
          <w:bCs/>
          <w:color w:val="000000" w:themeColor="text1"/>
          <w:kern w:val="0"/>
          <w:lang w:val="en-US"/>
          <w14:ligatures w14:val="none"/>
        </w:rPr>
        <w:t>pseudonymised</w:t>
      </w:r>
      <w:proofErr w:type="spellEnd"/>
      <w:r w:rsidRPr="00874ABF">
        <w:rPr>
          <w:rFonts w:ascii="Arial" w:eastAsia="source serif 4" w:hAnsi="Arial" w:cs="Arial"/>
          <w:bCs/>
          <w:color w:val="000000" w:themeColor="text1"/>
          <w:kern w:val="0"/>
          <w:lang w:val="en-US"/>
          <w14:ligatures w14:val="none"/>
        </w:rPr>
        <w:t xml:space="preserve"> in Excel. All derived variables, descriptive summaries and inferential tests were computed in IBM SPSS Statistics (Version 30). Output confirming each analysis reported below is provided in Appendix E.</w:t>
      </w:r>
    </w:p>
    <w:p w14:paraId="00CD71BB"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6490BD0B"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 Results</w:t>
      </w:r>
    </w:p>
    <w:p w14:paraId="1FB12BFC"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4.1 Descriptive statistics</w:t>
      </w:r>
    </w:p>
    <w:p w14:paraId="6AF13172"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4.1.1 Sample characteristics</w:t>
      </w:r>
    </w:p>
    <w:p w14:paraId="4202C685"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analysed dataset comprised 168 enrolment records for Level 4 Applied Leadership and Management students, taught at Treforest, Bridgend, Cardiff, Swansea and Carmarthen over three academic years (2022/23, 2023/24 and 2024/25). These records were taken from 216 Exam Board source rows after 48 exclusions: 14 duplicate board entries, 33 records with no evidence of attendance, and one record for a student whose enrolment fell outside the three-year study period.</w:t>
      </w:r>
    </w:p>
    <w:p w14:paraId="6C2403ED" w14:textId="678708AE" w:rsidR="00142758" w:rsidRPr="00874ABF" w:rsidRDefault="0044789F" w:rsidP="0044789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168 records represent 159 individual students; nine students appear twice because they enrolled in two different academic years. The analysis is therefore based on enrolment episodes (n=168), rather than individual students (n=159). Each record represents one year of a student’s study on the programme.</w:t>
      </w:r>
    </w:p>
    <w:p w14:paraId="27A55579" w14:textId="77777777" w:rsidR="00425DDA" w:rsidRDefault="00425DDA" w:rsidP="00142758">
      <w:pPr>
        <w:spacing w:after="120" w:line="360" w:lineRule="auto"/>
        <w:rPr>
          <w:rFonts w:ascii="Arial" w:eastAsia="source serif 4" w:hAnsi="Arial" w:cs="Arial"/>
          <w:b/>
          <w:color w:val="000000" w:themeColor="text1"/>
          <w:kern w:val="0"/>
          <w:sz w:val="22"/>
          <w:szCs w:val="22"/>
          <w:lang w:val="en-US"/>
          <w14:ligatures w14:val="none"/>
        </w:rPr>
      </w:pPr>
    </w:p>
    <w:p w14:paraId="347B0CF0" w14:textId="44345B74" w:rsidR="003B1826"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lastRenderedPageBreak/>
        <w:t>Table 1. Sample characteristics</w:t>
      </w:r>
    </w:p>
    <w:p w14:paraId="30122692" w14:textId="3695091B" w:rsidR="003B1826" w:rsidRPr="00874ABF" w:rsidRDefault="003B1826"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6F512B00" wp14:editId="74F7801A">
            <wp:extent cx="5245667" cy="2830664"/>
            <wp:effectExtent l="0" t="0" r="0" b="8255"/>
            <wp:docPr id="81018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182231" name=""/>
                    <pic:cNvPicPr/>
                  </pic:nvPicPr>
                  <pic:blipFill rotWithShape="1">
                    <a:blip r:embed="rId12"/>
                    <a:srcRect l="15493" t="30583" r="64208" b="30475"/>
                    <a:stretch>
                      <a:fillRect/>
                    </a:stretch>
                  </pic:blipFill>
                  <pic:spPr bwMode="auto">
                    <a:xfrm>
                      <a:off x="0" y="0"/>
                      <a:ext cx="5341208" cy="2882220"/>
                    </a:xfrm>
                    <a:prstGeom prst="rect">
                      <a:avLst/>
                    </a:prstGeom>
                    <a:ln>
                      <a:noFill/>
                    </a:ln>
                    <a:extLst>
                      <a:ext uri="{53640926-AAD7-44D8-BBD7-CCE9431645EC}">
                        <a14:shadowObscured xmlns:a14="http://schemas.microsoft.com/office/drawing/2010/main"/>
                      </a:ext>
                    </a:extLst>
                  </pic:spPr>
                </pic:pic>
              </a:graphicData>
            </a:graphic>
          </wp:inline>
        </w:drawing>
      </w:r>
    </w:p>
    <w:p w14:paraId="3A4E5A5B" w14:textId="77777777" w:rsidR="004C3D5C" w:rsidRPr="00874ABF" w:rsidRDefault="004C3D5C"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noProof/>
          <w:color w:val="000000" w:themeColor="text1"/>
          <w:kern w:val="0"/>
          <w:lang w:val="en-US"/>
          <w14:ligatures w14:val="none"/>
        </w:rPr>
        <mc:AlternateContent>
          <mc:Choice Requires="wps">
            <w:drawing>
              <wp:anchor distT="45720" distB="45720" distL="114300" distR="114300" simplePos="0" relativeHeight="251669504" behindDoc="0" locked="0" layoutInCell="1" allowOverlap="1" wp14:anchorId="3C58ED5C" wp14:editId="103E65BF">
                <wp:simplePos x="0" y="0"/>
                <wp:positionH relativeFrom="column">
                  <wp:posOffset>3847603</wp:posOffset>
                </wp:positionH>
                <wp:positionV relativeFrom="paragraph">
                  <wp:posOffset>24710</wp:posOffset>
                </wp:positionV>
                <wp:extent cx="381635" cy="222637"/>
                <wp:effectExtent l="0" t="0" r="0" b="6350"/>
                <wp:wrapNone/>
                <wp:docPr id="159231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222637"/>
                        </a:xfrm>
                        <a:prstGeom prst="rect">
                          <a:avLst/>
                        </a:prstGeom>
                        <a:solidFill>
                          <a:srgbClr val="FFFFFF"/>
                        </a:solidFill>
                        <a:ln w="9525">
                          <a:noFill/>
                          <a:miter lim="800000"/>
                          <a:headEnd/>
                          <a:tailEnd/>
                        </a:ln>
                      </wps:spPr>
                      <wps:txbx>
                        <w:txbxContent>
                          <w:p w14:paraId="4287B151" w14:textId="158D992B" w:rsidR="00CE36AC" w:rsidRPr="0044789F" w:rsidRDefault="00CE36AC" w:rsidP="00CE36AC">
                            <w:pPr>
                              <w:rPr>
                                <w:b/>
                                <w:bCs/>
                                <w:sz w:val="18"/>
                                <w:szCs w:val="18"/>
                              </w:rPr>
                            </w:pPr>
                            <w:r w:rsidRPr="0044789F">
                              <w:rPr>
                                <w:b/>
                                <w:bCs/>
                                <w:sz w:val="18"/>
                                <w:szCs w:val="18"/>
                              </w:rPr>
                              <w:t>68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C58ED5C" id="_x0000_t202" coordsize="21600,21600" o:spt="202" path="m,l,21600r21600,l21600,xe">
                <v:stroke joinstyle="miter"/>
                <v:path gradientshapeok="t" o:connecttype="rect"/>
              </v:shapetype>
              <v:shape id="Text Box 2" o:spid="_x0000_s1026" type="#_x0000_t202" style="position:absolute;margin-left:302.95pt;margin-top:1.95pt;width:30.05pt;height:17.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" stroked="f">
                <v:textbox>
                  <w:txbxContent>
                    <w:p w14:paraId="4287B151" w14:textId="158D992B" w:rsidR="00CE36AC" w:rsidRPr="0044789F" w:rsidRDefault="00CE36AC" w:rsidP="00CE36AC">
                      <w:pPr>
                        <w:rPr>
                          <w:b/>
                          <w:bCs/>
                          <w:sz w:val="18"/>
                          <w:szCs w:val="18"/>
                        </w:rPr>
                      </w:pPr>
                      <w:r w:rsidRPr="0044789F">
                        <w:rPr>
                          <w:b/>
                          <w:bCs/>
                          <w:sz w:val="18"/>
                          <w:szCs w:val="18"/>
                        </w:rPr>
                        <w:t>68</w:t>
                      </w:r>
                    </w:p>
                  </w:txbxContent>
                </v:textbox>
              </v:shape>
            </w:pict>
          </mc:Fallback>
        </mc:AlternateContent>
      </w:r>
      <w:r w:rsidR="0044789F" w:rsidRPr="00874ABF">
        <w:rPr>
          <w:rFonts w:ascii="Arial" w:eastAsia="source serif 4" w:hAnsi="Arial" w:cs="Arial"/>
          <w:b/>
          <w:noProof/>
          <w:color w:val="000000" w:themeColor="text1"/>
          <w:kern w:val="0"/>
          <w:lang w:val="en-US"/>
          <w14:ligatures w14:val="none"/>
        </w:rPr>
        <mc:AlternateContent>
          <mc:Choice Requires="wps">
            <w:drawing>
              <wp:anchor distT="45720" distB="45720" distL="114300" distR="114300" simplePos="0" relativeHeight="251667456" behindDoc="0" locked="0" layoutInCell="1" allowOverlap="1" wp14:anchorId="4E973B7A" wp14:editId="551D2266">
                <wp:simplePos x="0" y="0"/>
                <wp:positionH relativeFrom="column">
                  <wp:posOffset>2440361</wp:posOffset>
                </wp:positionH>
                <wp:positionV relativeFrom="paragraph">
                  <wp:posOffset>289533</wp:posOffset>
                </wp:positionV>
                <wp:extent cx="381635" cy="230505"/>
                <wp:effectExtent l="0" t="0" r="0" b="0"/>
                <wp:wrapNone/>
                <wp:docPr id="520643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230505"/>
                        </a:xfrm>
                        <a:prstGeom prst="rect">
                          <a:avLst/>
                        </a:prstGeom>
                        <a:solidFill>
                          <a:srgbClr val="FFFFFF"/>
                        </a:solidFill>
                        <a:ln w="9525">
                          <a:noFill/>
                          <a:miter lim="800000"/>
                          <a:headEnd/>
                          <a:tailEnd/>
                        </a:ln>
                      </wps:spPr>
                      <wps:txbx>
                        <w:txbxContent>
                          <w:p w14:paraId="28A77E7D" w14:textId="6889C9A1" w:rsidR="00CE36AC" w:rsidRPr="0044789F" w:rsidRDefault="00CE36AC" w:rsidP="00CE36AC">
                            <w:pPr>
                              <w:rPr>
                                <w:b/>
                                <w:bCs/>
                                <w:sz w:val="18"/>
                                <w:szCs w:val="18"/>
                              </w:rPr>
                            </w:pPr>
                            <w:r w:rsidRPr="0044789F">
                              <w:rPr>
                                <w:b/>
                                <w:bCs/>
                                <w:sz w:val="18"/>
                                <w:szCs w:val="18"/>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73B7A" id="_x0000_s1027" type="#_x0000_t202" style="position:absolute;margin-left:192.15pt;margin-top:22.8pt;width:30.05pt;height:18.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" stroked="f">
                <v:textbox>
                  <w:txbxContent>
                    <w:p w14:paraId="28A77E7D" w14:textId="6889C9A1" w:rsidR="00CE36AC" w:rsidRPr="0044789F" w:rsidRDefault="00CE36AC" w:rsidP="00CE36AC">
                      <w:pPr>
                        <w:rPr>
                          <w:b/>
                          <w:bCs/>
                          <w:sz w:val="18"/>
                          <w:szCs w:val="18"/>
                        </w:rPr>
                      </w:pPr>
                      <w:r w:rsidRPr="0044789F">
                        <w:rPr>
                          <w:b/>
                          <w:bCs/>
                          <w:sz w:val="18"/>
                          <w:szCs w:val="18"/>
                        </w:rPr>
                        <w:t>59</w:t>
                      </w:r>
                    </w:p>
                  </w:txbxContent>
                </v:textbox>
              </v:shape>
            </w:pict>
          </mc:Fallback>
        </mc:AlternateContent>
      </w:r>
      <w:r w:rsidR="0044789F" w:rsidRPr="00874ABF">
        <w:rPr>
          <w:rFonts w:ascii="Arial" w:eastAsia="source serif 4" w:hAnsi="Arial" w:cs="Arial"/>
          <w:b/>
          <w:noProof/>
          <w:color w:val="000000" w:themeColor="text1"/>
          <w:kern w:val="0"/>
          <w:lang w:val="en-US"/>
          <w14:ligatures w14:val="none"/>
        </w:rPr>
        <mc:AlternateContent>
          <mc:Choice Requires="wps">
            <w:drawing>
              <wp:anchor distT="45720" distB="45720" distL="114300" distR="114300" simplePos="0" relativeHeight="251665408" behindDoc="0" locked="0" layoutInCell="1" allowOverlap="1" wp14:anchorId="2F6906A7" wp14:editId="0D560FD7">
                <wp:simplePos x="0" y="0"/>
                <wp:positionH relativeFrom="column">
                  <wp:posOffset>1096839</wp:posOffset>
                </wp:positionH>
                <wp:positionV relativeFrom="paragraph">
                  <wp:posOffset>870088</wp:posOffset>
                </wp:positionV>
                <wp:extent cx="381635" cy="246491"/>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246491"/>
                        </a:xfrm>
                        <a:prstGeom prst="rect">
                          <a:avLst/>
                        </a:prstGeom>
                        <a:solidFill>
                          <a:srgbClr val="FFFFFF"/>
                        </a:solidFill>
                        <a:ln w="9525">
                          <a:noFill/>
                          <a:miter lim="800000"/>
                          <a:headEnd/>
                          <a:tailEnd/>
                        </a:ln>
                      </wps:spPr>
                      <wps:txbx>
                        <w:txbxContent>
                          <w:p w14:paraId="07F540C7" w14:textId="75B6D9E9" w:rsidR="00CE36AC" w:rsidRPr="0044789F" w:rsidRDefault="00CE36AC">
                            <w:pPr>
                              <w:rPr>
                                <w:b/>
                                <w:bCs/>
                                <w:sz w:val="18"/>
                                <w:szCs w:val="18"/>
                              </w:rPr>
                            </w:pPr>
                            <w:r w:rsidRPr="0044789F">
                              <w:rPr>
                                <w:b/>
                                <w:bCs/>
                                <w:sz w:val="18"/>
                                <w:szCs w:val="18"/>
                              </w:rPr>
                              <w:t>41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906A7" id="_x0000_s1028" type="#_x0000_t202" style="position:absolute;margin-left:86.35pt;margin-top:68.5pt;width:30.05pt;height:19.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" stroked="f">
                <v:textbox>
                  <w:txbxContent>
                    <w:p w14:paraId="07F540C7" w14:textId="75B6D9E9" w:rsidR="00CE36AC" w:rsidRPr="0044789F" w:rsidRDefault="00CE36AC">
                      <w:pPr>
                        <w:rPr>
                          <w:b/>
                          <w:bCs/>
                          <w:sz w:val="18"/>
                          <w:szCs w:val="18"/>
                        </w:rPr>
                      </w:pPr>
                      <w:r w:rsidRPr="0044789F">
                        <w:rPr>
                          <w:b/>
                          <w:bCs/>
                          <w:sz w:val="18"/>
                          <w:szCs w:val="18"/>
                        </w:rPr>
                        <w:t>41</w:t>
                      </w:r>
                    </w:p>
                  </w:txbxContent>
                </v:textbox>
              </v:shape>
            </w:pict>
          </mc:Fallback>
        </mc:AlternateContent>
      </w:r>
      <w:r w:rsidR="00142758" w:rsidRPr="00874ABF">
        <w:rPr>
          <w:rFonts w:ascii="Arial" w:eastAsia="source serif 4" w:hAnsi="Arial" w:cs="Arial"/>
          <w:b/>
          <w:noProof/>
          <w:color w:val="000000" w:themeColor="text1"/>
          <w:kern w:val="0"/>
          <w:lang w:val="en-US"/>
        </w:rPr>
        <w:drawing>
          <wp:inline distT="0" distB="0" distL="0" distR="0" wp14:anchorId="1B7503A9" wp14:editId="4B955190">
            <wp:extent cx="4958467" cy="2917260"/>
            <wp:effectExtent l="19050" t="19050" r="13970" b="16510"/>
            <wp:docPr id="176141477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6848" cy="2933958"/>
                    </a:xfrm>
                    <a:prstGeom prst="rect">
                      <a:avLst/>
                    </a:prstGeom>
                    <a:noFill/>
                    <a:ln>
                      <a:solidFill>
                        <a:srgbClr val="000000"/>
                      </a:solidFill>
                    </a:ln>
                  </pic:spPr>
                </pic:pic>
              </a:graphicData>
            </a:graphic>
          </wp:inline>
        </w:drawing>
      </w:r>
    </w:p>
    <w:p w14:paraId="7FDC8B5E" w14:textId="49B95139" w:rsidR="00874ABF" w:rsidRDefault="00874ABF"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Figure 1. Enrolment records by academic year (N = 168)</w:t>
      </w:r>
    </w:p>
    <w:p w14:paraId="4157762B" w14:textId="77777777" w:rsidR="00874ABF" w:rsidRDefault="00874ABF" w:rsidP="00142758">
      <w:pPr>
        <w:spacing w:after="120" w:line="360" w:lineRule="auto"/>
        <w:rPr>
          <w:rFonts w:ascii="Arial" w:eastAsia="source serif 4" w:hAnsi="Arial" w:cs="Arial"/>
          <w:b/>
          <w:color w:val="000000" w:themeColor="text1"/>
          <w:kern w:val="0"/>
          <w:lang w:val="en-US"/>
          <w14:ligatures w14:val="none"/>
        </w:rPr>
      </w:pPr>
    </w:p>
    <w:p w14:paraId="3F8EA92B" w14:textId="656DD37E"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4.1.2 Age and marks</w:t>
      </w:r>
    </w:p>
    <w:p w14:paraId="6DA8842B" w14:textId="3C1824E8" w:rsidR="0044789F"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Age at the start of the relevant academic year was available for all 168 records and ranged from 19 to 69 years (</w:t>
      </w:r>
      <w:r w:rsidRPr="00874ABF">
        <w:rPr>
          <w:rFonts w:ascii="Arial" w:eastAsia="source serif 4" w:hAnsi="Arial" w:cs="Arial"/>
          <w:color w:val="000000" w:themeColor="text1"/>
          <w:kern w:val="0"/>
          <w14:ligatures w14:val="none"/>
        </w:rPr>
        <w:t>M = 35.92</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9.50</w:t>
      </w:r>
      <w:r w:rsidRPr="00874ABF">
        <w:rPr>
          <w:rFonts w:ascii="Arial" w:eastAsia="source serif 4" w:hAnsi="Arial" w:cs="Arial"/>
          <w:bCs/>
          <w:color w:val="000000" w:themeColor="text1"/>
          <w:kern w:val="0"/>
          <w14:ligatures w14:val="none"/>
        </w:rPr>
        <w:t>). The number of modules with a recorded numeric mark was also available for all 168 records, ranging from 0 to 6 (</w:t>
      </w:r>
      <w:r w:rsidRPr="00874ABF">
        <w:rPr>
          <w:rFonts w:ascii="Arial" w:eastAsia="source serif 4" w:hAnsi="Arial" w:cs="Arial"/>
          <w:color w:val="000000" w:themeColor="text1"/>
          <w:kern w:val="0"/>
          <w14:ligatures w14:val="none"/>
        </w:rPr>
        <w:t>M = 4.54</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2.15</w:t>
      </w:r>
      <w:r w:rsidRPr="00874ABF">
        <w:rPr>
          <w:rFonts w:ascii="Arial" w:eastAsia="source serif 4" w:hAnsi="Arial" w:cs="Arial"/>
          <w:bCs/>
          <w:color w:val="000000" w:themeColor="text1"/>
          <w:kern w:val="0"/>
          <w14:ligatures w14:val="none"/>
        </w:rPr>
        <w:t xml:space="preserve">). Mean academic mark could be calculated only for the 151 </w:t>
      </w:r>
      <w:r w:rsidRPr="00874ABF">
        <w:rPr>
          <w:rFonts w:ascii="Arial" w:eastAsia="source serif 4" w:hAnsi="Arial" w:cs="Arial"/>
          <w:bCs/>
          <w:color w:val="000000" w:themeColor="text1"/>
          <w:kern w:val="0"/>
          <w14:ligatures w14:val="none"/>
        </w:rPr>
        <w:lastRenderedPageBreak/>
        <w:t>records with at least one numeric mark (</w:t>
      </w:r>
      <w:r w:rsidRPr="00874ABF">
        <w:rPr>
          <w:rFonts w:ascii="Arial" w:eastAsia="source serif 4" w:hAnsi="Arial" w:cs="Arial"/>
          <w:color w:val="000000" w:themeColor="text1"/>
          <w:kern w:val="0"/>
          <w14:ligatures w14:val="none"/>
        </w:rPr>
        <w:t>M = 57.35</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12.20</w:t>
      </w:r>
      <w:r w:rsidRPr="00874ABF">
        <w:rPr>
          <w:rFonts w:ascii="Arial" w:eastAsia="source serif 4" w:hAnsi="Arial" w:cs="Arial"/>
          <w:bCs/>
          <w:color w:val="000000" w:themeColor="text1"/>
          <w:kern w:val="0"/>
          <w14:ligatures w14:val="none"/>
        </w:rPr>
        <w:t>, range 20–84); the remaining 17 records had no recorded marks and therefore no calculable mean.</w:t>
      </w:r>
    </w:p>
    <w:p w14:paraId="6BDB4F9A" w14:textId="77777777" w:rsidR="004C3D5C" w:rsidRPr="00874ABF" w:rsidRDefault="004C3D5C" w:rsidP="00142758">
      <w:pPr>
        <w:spacing w:after="120" w:line="360" w:lineRule="auto"/>
        <w:rPr>
          <w:rFonts w:ascii="Arial" w:eastAsia="source serif 4" w:hAnsi="Arial" w:cs="Arial"/>
          <w:bCs/>
          <w:color w:val="000000" w:themeColor="text1"/>
          <w:kern w:val="0"/>
          <w:lang w:val="en-US"/>
          <w14:ligatures w14:val="none"/>
        </w:rPr>
      </w:pPr>
    </w:p>
    <w:p w14:paraId="7EBC40E3" w14:textId="76A01D2E"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2. Age, attainment and engagement</w:t>
      </w:r>
    </w:p>
    <w:p w14:paraId="29BC8D40" w14:textId="00C46BC0" w:rsidR="004C3D5C" w:rsidRPr="00510B84" w:rsidRDefault="00FB491C"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29B72398" wp14:editId="118D4F2E">
            <wp:extent cx="4839335" cy="2329732"/>
            <wp:effectExtent l="0" t="0" r="0" b="0"/>
            <wp:docPr id="108383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35290" name=""/>
                    <pic:cNvPicPr/>
                  </pic:nvPicPr>
                  <pic:blipFill rotWithShape="1">
                    <a:blip r:embed="rId14"/>
                    <a:srcRect l="15606" t="31767" r="64709" b="34544"/>
                    <a:stretch>
                      <a:fillRect/>
                    </a:stretch>
                  </pic:blipFill>
                  <pic:spPr bwMode="auto">
                    <a:xfrm>
                      <a:off x="0" y="0"/>
                      <a:ext cx="4946753" cy="2381445"/>
                    </a:xfrm>
                    <a:prstGeom prst="rect">
                      <a:avLst/>
                    </a:prstGeom>
                    <a:ln>
                      <a:noFill/>
                    </a:ln>
                    <a:extLst>
                      <a:ext uri="{53640926-AAD7-44D8-BBD7-CCE9431645EC}">
                        <a14:shadowObscured xmlns:a14="http://schemas.microsoft.com/office/drawing/2010/main"/>
                      </a:ext>
                    </a:extLst>
                  </pic:spPr>
                </pic:pic>
              </a:graphicData>
            </a:graphic>
          </wp:inline>
        </w:drawing>
      </w:r>
    </w:p>
    <w:p w14:paraId="678800D8"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2F9CAB6E" w14:textId="75235530"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4.1.3 Non-submissions, EC/deferred submissions and progression</w:t>
      </w:r>
    </w:p>
    <w:p w14:paraId="286957F4"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Most records had no non-submissions: 107 of the 168 enrolment records (63.7%) had submitted work for every module. However, 32 records (19.0%) had three or more non-submissions. On average, there was approximately one non-submission per enrolment record (</w:t>
      </w:r>
      <w:r w:rsidRPr="00874ABF">
        <w:rPr>
          <w:rFonts w:ascii="Arial" w:eastAsia="source serif 4" w:hAnsi="Arial" w:cs="Arial"/>
          <w:color w:val="000000" w:themeColor="text1"/>
          <w:kern w:val="0"/>
          <w14:ligatures w14:val="none"/>
        </w:rPr>
        <w:t>M = 0.99</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1.62</w:t>
      </w:r>
      <w:r w:rsidRPr="00874ABF">
        <w:rPr>
          <w:rFonts w:ascii="Arial" w:eastAsia="source serif 4" w:hAnsi="Arial" w:cs="Arial"/>
          <w:bCs/>
          <w:color w:val="000000" w:themeColor="text1"/>
          <w:kern w:val="0"/>
          <w14:ligatures w14:val="none"/>
        </w:rPr>
        <w:t>). Extenuating circumstances or deferred submissions affected only three records (1.8%).</w:t>
      </w:r>
    </w:p>
    <w:p w14:paraId="6EAF0D89" w14:textId="2DDAEF45" w:rsidR="00142758"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Overall, 105 of the 168 enrolment records (62.5%) had a recorded mark for all six required Level 4 modules and </w:t>
      </w:r>
      <w:r w:rsidR="0044789F" w:rsidRPr="00874ABF">
        <w:rPr>
          <w:rFonts w:ascii="Arial" w:eastAsia="source serif 4" w:hAnsi="Arial" w:cs="Arial"/>
          <w:bCs/>
          <w:color w:val="000000" w:themeColor="text1"/>
          <w:kern w:val="0"/>
          <w14:ligatures w14:val="none"/>
        </w:rPr>
        <w:t xml:space="preserve">therefore </w:t>
      </w:r>
      <w:r w:rsidRPr="00874ABF">
        <w:rPr>
          <w:rFonts w:ascii="Arial" w:eastAsia="source serif 4" w:hAnsi="Arial" w:cs="Arial"/>
          <w:bCs/>
          <w:color w:val="000000" w:themeColor="text1"/>
          <w:kern w:val="0"/>
          <w14:ligatures w14:val="none"/>
        </w:rPr>
        <w:t xml:space="preserve">completed the Level 4 qualification. Completion of all six Level 4 modules was higher among single-year enrolment </w:t>
      </w:r>
      <w:r w:rsidR="004C3D5C" w:rsidRPr="00874ABF">
        <w:rPr>
          <w:rFonts w:ascii="Arial" w:eastAsia="source serif 4" w:hAnsi="Arial" w:cs="Arial"/>
          <w:bCs/>
          <w:color w:val="000000" w:themeColor="text1"/>
          <w:kern w:val="0"/>
          <w14:ligatures w14:val="none"/>
        </w:rPr>
        <w:t>students</w:t>
      </w:r>
      <w:r w:rsidRPr="00874ABF">
        <w:rPr>
          <w:rFonts w:ascii="Arial" w:eastAsia="source serif 4" w:hAnsi="Arial" w:cs="Arial"/>
          <w:bCs/>
          <w:color w:val="000000" w:themeColor="text1"/>
          <w:kern w:val="0"/>
          <w14:ligatures w14:val="none"/>
        </w:rPr>
        <w:t>: 97 of 140 (69.3%) had a recorded mark in all six modules, compared with 8 of 28 repeat-enrolment</w:t>
      </w:r>
      <w:r w:rsidR="004C3D5C" w:rsidRPr="00874ABF">
        <w:rPr>
          <w:rFonts w:ascii="Arial" w:eastAsia="source serif 4" w:hAnsi="Arial" w:cs="Arial"/>
          <w:bCs/>
          <w:color w:val="000000" w:themeColor="text1"/>
          <w:kern w:val="0"/>
          <w14:ligatures w14:val="none"/>
        </w:rPr>
        <w:t xml:space="preserve"> students</w:t>
      </w:r>
      <w:r w:rsidRPr="00874ABF">
        <w:rPr>
          <w:rFonts w:ascii="Arial" w:eastAsia="source serif 4" w:hAnsi="Arial" w:cs="Arial"/>
          <w:bCs/>
          <w:color w:val="000000" w:themeColor="text1"/>
          <w:kern w:val="0"/>
          <w14:ligatures w14:val="none"/>
        </w:rPr>
        <w:t xml:space="preserve"> (28.6%).</w:t>
      </w:r>
    </w:p>
    <w:p w14:paraId="55FE0502" w14:textId="77777777" w:rsidR="009A0AED" w:rsidRPr="00874ABF" w:rsidRDefault="009A0AED" w:rsidP="00142758">
      <w:pPr>
        <w:spacing w:after="120" w:line="360" w:lineRule="auto"/>
        <w:rPr>
          <w:rFonts w:ascii="Arial" w:eastAsia="source serif 4" w:hAnsi="Arial" w:cs="Arial"/>
          <w:bCs/>
          <w:color w:val="000000" w:themeColor="text1"/>
          <w:kern w:val="0"/>
          <w14:ligatures w14:val="none"/>
        </w:rPr>
      </w:pPr>
    </w:p>
    <w:p w14:paraId="4CA73FFF"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
          <w:noProof/>
          <w:color w:val="000000" w:themeColor="text1"/>
          <w:kern w:val="0"/>
        </w:rPr>
        <w:lastRenderedPageBreak/>
        <w:drawing>
          <wp:inline distT="0" distB="0" distL="0" distR="0" wp14:anchorId="43012B0F" wp14:editId="1123D775">
            <wp:extent cx="5731510" cy="3384108"/>
            <wp:effectExtent l="19050" t="19050" r="21590" b="26035"/>
            <wp:docPr id="51368485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9088"/>
                    <a:stretch>
                      <a:fillRect/>
                    </a:stretch>
                  </pic:blipFill>
                  <pic:spPr bwMode="auto">
                    <a:xfrm>
                      <a:off x="0" y="0"/>
                      <a:ext cx="5731510" cy="3384108"/>
                    </a:xfrm>
                    <a:prstGeom prst="rect">
                      <a:avLst/>
                    </a:prstGeom>
                    <a:noFill/>
                    <a:ln w="9525" cap="flat"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inline>
        </w:drawing>
      </w:r>
    </w:p>
    <w:p w14:paraId="17A4AF4F" w14:textId="77777777" w:rsidR="00874ABF" w:rsidRPr="00874ABF" w:rsidRDefault="00874ABF" w:rsidP="00874ABF">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
          <w:color w:val="000000" w:themeColor="text1"/>
          <w:kern w:val="0"/>
          <w:sz w:val="22"/>
          <w:szCs w:val="22"/>
          <w14:ligatures w14:val="none"/>
        </w:rPr>
        <w:t>Figure 2. Completion of all six modules by enrolment pattern</w:t>
      </w:r>
    </w:p>
    <w:p w14:paraId="5E30790F" w14:textId="77777777" w:rsidR="00874ABF" w:rsidRDefault="00874ABF" w:rsidP="00142758">
      <w:pPr>
        <w:spacing w:after="120" w:line="360" w:lineRule="auto"/>
        <w:rPr>
          <w:rFonts w:ascii="Arial" w:eastAsia="source serif 4" w:hAnsi="Arial" w:cs="Arial"/>
          <w:bCs/>
          <w:color w:val="000000" w:themeColor="text1"/>
          <w:kern w:val="0"/>
          <w14:ligatures w14:val="none"/>
        </w:rPr>
      </w:pPr>
    </w:p>
    <w:p w14:paraId="474F03F6" w14:textId="13F94DF5" w:rsidR="00142758" w:rsidRPr="00874ABF" w:rsidRDefault="00142758" w:rsidP="00142758">
      <w:pPr>
        <w:spacing w:after="120" w:line="360" w:lineRule="auto"/>
        <w:rPr>
          <w:rFonts w:ascii="Arial" w:eastAsia="source serif 4" w:hAnsi="Arial" w:cs="Arial"/>
          <w:b/>
          <w:color w:val="000000" w:themeColor="text1"/>
          <w:kern w:val="0"/>
          <w14:ligatures w14:val="none"/>
        </w:rPr>
      </w:pPr>
      <w:r w:rsidRPr="00874ABF">
        <w:rPr>
          <w:rFonts w:ascii="Arial" w:eastAsia="source serif 4" w:hAnsi="Arial" w:cs="Arial"/>
          <w:bCs/>
          <w:color w:val="000000" w:themeColor="text1"/>
          <w:kern w:val="0"/>
          <w14:ligatures w14:val="none"/>
        </w:rPr>
        <w:t>This difference is reported descriptively rather than tested statistically because repeat enrolment and completion are not independent: students who complete all six Level 4 modules would not normally need to re-enrol. Repeat-enrolment students were not repeating the whole Level 4 programme; they re-enrolled only to complete modules that they had not completed during an earlier enrolment. The relationship between enrolment and mean academic mark is tested separately in Section 4.2.2</w:t>
      </w:r>
    </w:p>
    <w:p w14:paraId="324097F6" w14:textId="77777777" w:rsidR="00874ABF" w:rsidRDefault="00874ABF" w:rsidP="00142758">
      <w:pPr>
        <w:spacing w:after="120" w:line="360" w:lineRule="auto"/>
        <w:rPr>
          <w:rFonts w:ascii="Arial" w:eastAsia="source serif 4" w:hAnsi="Arial" w:cs="Arial"/>
          <w:b/>
          <w:bCs/>
          <w:color w:val="000000" w:themeColor="text1"/>
          <w:kern w:val="0"/>
          <w:sz w:val="22"/>
          <w:szCs w:val="22"/>
          <w:lang w:val="en-US"/>
          <w14:ligatures w14:val="none"/>
        </w:rPr>
      </w:pPr>
    </w:p>
    <w:p w14:paraId="6378768A"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07D9DC8F"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2AE8F708"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7CB5830A"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3E4F6F75"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58B071C5"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7BC3DE98"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2CBAE392" w14:textId="77777777" w:rsid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6B1BC99B" w14:textId="243F555F" w:rsidR="00142758" w:rsidRPr="00874ABF" w:rsidRDefault="00142758" w:rsidP="00142758">
      <w:pPr>
        <w:spacing w:after="120" w:line="360" w:lineRule="auto"/>
        <w:rPr>
          <w:rFonts w:ascii="Arial" w:eastAsia="source serif 4" w:hAnsi="Arial" w:cs="Arial"/>
          <w:b/>
          <w:bCs/>
          <w:color w:val="000000" w:themeColor="text1"/>
          <w:kern w:val="0"/>
          <w:sz w:val="22"/>
          <w:szCs w:val="22"/>
          <w:lang w:val="en-US"/>
          <w14:ligatures w14:val="none"/>
        </w:rPr>
      </w:pPr>
      <w:r w:rsidRPr="00874ABF">
        <w:rPr>
          <w:rFonts w:ascii="Arial" w:eastAsia="source serif 4" w:hAnsi="Arial" w:cs="Arial"/>
          <w:b/>
          <w:bCs/>
          <w:color w:val="000000" w:themeColor="text1"/>
          <w:kern w:val="0"/>
          <w:sz w:val="22"/>
          <w:szCs w:val="22"/>
          <w:lang w:val="en-US"/>
          <w14:ligatures w14:val="none"/>
        </w:rPr>
        <w:lastRenderedPageBreak/>
        <w:t>Table 3. Non-submission, EC and progression</w:t>
      </w:r>
    </w:p>
    <w:p w14:paraId="778DAAD3" w14:textId="54B753FB" w:rsidR="00510B84" w:rsidRDefault="00FB491C" w:rsidP="00142758">
      <w:pPr>
        <w:spacing w:after="120" w:line="360" w:lineRule="auto"/>
        <w:rPr>
          <w:rFonts w:ascii="Arial" w:eastAsia="source serif 4" w:hAnsi="Arial" w:cs="Arial"/>
          <w:b/>
          <w:bCs/>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05DFEB6A" wp14:editId="7769A9E7">
            <wp:extent cx="5563692" cy="4031311"/>
            <wp:effectExtent l="0" t="0" r="0" b="7620"/>
            <wp:docPr id="1793296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96811" name=""/>
                    <pic:cNvPicPr/>
                  </pic:nvPicPr>
                  <pic:blipFill rotWithShape="1">
                    <a:blip r:embed="rId16"/>
                    <a:srcRect l="15525" t="27629" r="64208" b="20169"/>
                    <a:stretch>
                      <a:fillRect/>
                    </a:stretch>
                  </pic:blipFill>
                  <pic:spPr bwMode="auto">
                    <a:xfrm>
                      <a:off x="0" y="0"/>
                      <a:ext cx="5640084" cy="4086663"/>
                    </a:xfrm>
                    <a:prstGeom prst="rect">
                      <a:avLst/>
                    </a:prstGeom>
                    <a:ln>
                      <a:noFill/>
                    </a:ln>
                    <a:extLst>
                      <a:ext uri="{53640926-AAD7-44D8-BBD7-CCE9431645EC}">
                        <a14:shadowObscured xmlns:a14="http://schemas.microsoft.com/office/drawing/2010/main"/>
                      </a:ext>
                    </a:extLst>
                  </pic:spPr>
                </pic:pic>
              </a:graphicData>
            </a:graphic>
          </wp:inline>
        </w:drawing>
      </w:r>
    </w:p>
    <w:p w14:paraId="429A857B" w14:textId="77777777" w:rsidR="00510B84" w:rsidRPr="00510B84" w:rsidRDefault="00510B84" w:rsidP="00142758">
      <w:pPr>
        <w:spacing w:after="120" w:line="360" w:lineRule="auto"/>
        <w:rPr>
          <w:rFonts w:ascii="Arial" w:eastAsia="source serif 4" w:hAnsi="Arial" w:cs="Arial"/>
          <w:b/>
          <w:bCs/>
          <w:color w:val="000000" w:themeColor="text1"/>
          <w:kern w:val="0"/>
          <w:sz w:val="22"/>
          <w:szCs w:val="22"/>
          <w:lang w:val="en-US"/>
          <w14:ligatures w14:val="none"/>
        </w:rPr>
      </w:pPr>
    </w:p>
    <w:p w14:paraId="44931124" w14:textId="4EF7E370"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4.2 Inferential statistics</w:t>
      </w:r>
    </w:p>
    <w:p w14:paraId="5905677F"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4.2.1 H1 – Module 1 submission and later completion</w:t>
      </w:r>
    </w:p>
    <w:p w14:paraId="3F604FAC"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 chi-square test with Yates’s continuity correction tested whether having a recorded mark for Module 1 was associated with completion of Modules 2 to 6. Module 1 was excluded from the completion measure so that the analysis tested whether having a Module 1 mark was associated with completion of the other five modules. The number of records in each part of the table was large enough to use a chi-square test reliably.</w:t>
      </w:r>
    </w:p>
    <w:p w14:paraId="6CDD5FD6"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There was a statistically significant, large association between having a recorded Module 1 mark and completing the remaining five modules, </w:t>
      </w:r>
      <w:r w:rsidRPr="00874ABF">
        <w:rPr>
          <w:rFonts w:ascii="Arial" w:eastAsia="source serif 4" w:hAnsi="Arial" w:cs="Arial"/>
          <w:color w:val="000000" w:themeColor="text1"/>
          <w:kern w:val="0"/>
          <w14:ligatures w14:val="none"/>
        </w:rPr>
        <w:t>χ²(1, N = 168) = 64.88</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&lt; .001</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ϕ = .64</w:t>
      </w:r>
      <w:r w:rsidRPr="00874ABF">
        <w:rPr>
          <w:rFonts w:ascii="Arial" w:eastAsia="source serif 4" w:hAnsi="Arial" w:cs="Arial"/>
          <w:bCs/>
          <w:color w:val="000000" w:themeColor="text1"/>
          <w:kern w:val="0"/>
          <w14:ligatures w14:val="none"/>
        </w:rPr>
        <w:t>. Fisher’s exact test gave the same conclusion. The null hypothesis was rejected.</w:t>
      </w:r>
    </w:p>
    <w:p w14:paraId="6FFB53DB" w14:textId="68C8473D" w:rsidR="00142758" w:rsidRPr="008C166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Of the 130 enrolment records with a recorded Module 1 mark, 105 (80.8%) had a recorded mark in all of Modules 2 to 6. In comparison, only 3 of the 38 records </w:t>
      </w:r>
      <w:r w:rsidRPr="00874ABF">
        <w:rPr>
          <w:rFonts w:ascii="Arial" w:eastAsia="source serif 4" w:hAnsi="Arial" w:cs="Arial"/>
          <w:bCs/>
          <w:color w:val="000000" w:themeColor="text1"/>
          <w:kern w:val="0"/>
          <w14:ligatures w14:val="none"/>
        </w:rPr>
        <w:lastRenderedPageBreak/>
        <w:t>without a recorded Module 1 mark (7.9%) completed the remaining five modules. The odds of completing Modules 2 to 6 were 49 times higher for records with a Module 1 mark than for those without one.</w:t>
      </w:r>
      <w:r w:rsidR="008C166F">
        <w:rPr>
          <w:rFonts w:ascii="Arial" w:eastAsia="source serif 4" w:hAnsi="Arial" w:cs="Arial"/>
          <w:bCs/>
          <w:color w:val="000000" w:themeColor="text1"/>
          <w:kern w:val="0"/>
          <w14:ligatures w14:val="none"/>
        </w:rPr>
        <w:t xml:space="preserve"> </w:t>
      </w:r>
      <w:r w:rsidRPr="00874ABF">
        <w:rPr>
          <w:rFonts w:ascii="Arial" w:eastAsia="source serif 4" w:hAnsi="Arial" w:cs="Arial"/>
          <w:bCs/>
          <w:color w:val="000000" w:themeColor="text1"/>
          <w:kern w:val="0"/>
          <w14:ligatures w14:val="none"/>
        </w:rPr>
        <w:t>Full results are shown in Table 4 and Figure 3.</w:t>
      </w:r>
    </w:p>
    <w:p w14:paraId="17CCE5F5"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48EF649E" w14:textId="3ADB8535" w:rsidR="00FB491C"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4. Completion by Module 1 submission status</w:t>
      </w:r>
    </w:p>
    <w:p w14:paraId="606CCC83" w14:textId="45C0571B" w:rsidR="00142758" w:rsidRPr="00874ABF" w:rsidRDefault="00FB491C"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7BEE90FF" wp14:editId="0A90FA03">
            <wp:extent cx="5576726" cy="1375576"/>
            <wp:effectExtent l="0" t="0" r="5080" b="0"/>
            <wp:docPr id="205349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92937" name=""/>
                    <pic:cNvPicPr/>
                  </pic:nvPicPr>
                  <pic:blipFill rotWithShape="1">
                    <a:blip r:embed="rId17"/>
                    <a:srcRect l="15529" t="41955" r="64624" b="40641"/>
                    <a:stretch>
                      <a:fillRect/>
                    </a:stretch>
                  </pic:blipFill>
                  <pic:spPr bwMode="auto">
                    <a:xfrm>
                      <a:off x="0" y="0"/>
                      <a:ext cx="5691264" cy="1403828"/>
                    </a:xfrm>
                    <a:prstGeom prst="rect">
                      <a:avLst/>
                    </a:prstGeom>
                    <a:ln>
                      <a:noFill/>
                    </a:ln>
                    <a:extLst>
                      <a:ext uri="{53640926-AAD7-44D8-BBD7-CCE9431645EC}">
                        <a14:shadowObscured xmlns:a14="http://schemas.microsoft.com/office/drawing/2010/main"/>
                      </a:ext>
                    </a:extLst>
                  </pic:spPr>
                </pic:pic>
              </a:graphicData>
            </a:graphic>
          </wp:inline>
        </w:drawing>
      </w:r>
    </w:p>
    <w:p w14:paraId="48EEB147" w14:textId="73127F65"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noProof/>
          <w:color w:val="000000" w:themeColor="text1"/>
          <w:kern w:val="0"/>
          <w:lang w:val="en-US"/>
        </w:rPr>
        <w:drawing>
          <wp:inline distT="0" distB="0" distL="0" distR="0" wp14:anchorId="6456B58B" wp14:editId="7AAC074A">
            <wp:extent cx="5619647" cy="3710112"/>
            <wp:effectExtent l="19050" t="19050" r="19685" b="24130"/>
            <wp:docPr id="77850018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r="10722"/>
                    <a:stretch>
                      <a:fillRect/>
                    </a:stretch>
                  </pic:blipFill>
                  <pic:spPr bwMode="auto">
                    <a:xfrm>
                      <a:off x="0" y="0"/>
                      <a:ext cx="5639130" cy="3722975"/>
                    </a:xfrm>
                    <a:prstGeom prst="rect">
                      <a:avLst/>
                    </a:prstGeom>
                    <a:noFill/>
                    <a:ln w="9525" cmpd="sng">
                      <a:solidFill>
                        <a:srgbClr val="000000"/>
                      </a:solidFill>
                      <a:miter lim="800000"/>
                      <a:headEnd/>
                      <a:tailEnd/>
                    </a:ln>
                    <a:effectLst/>
                  </pic:spPr>
                </pic:pic>
              </a:graphicData>
            </a:graphic>
          </wp:inline>
        </w:drawing>
      </w:r>
    </w:p>
    <w:p w14:paraId="0813DC05" w14:textId="19803B48" w:rsidR="00142758" w:rsidRPr="00874ABF" w:rsidRDefault="00874ABF" w:rsidP="00142758">
      <w:pPr>
        <w:spacing w:after="120" w:line="360" w:lineRule="auto"/>
        <w:rPr>
          <w:rFonts w:ascii="Arial" w:eastAsia="source serif 4" w:hAnsi="Arial" w:cs="Arial"/>
          <w:b/>
          <w:color w:val="000000" w:themeColor="text1"/>
          <w:kern w:val="0"/>
          <w:sz w:val="22"/>
          <w:szCs w:val="22"/>
          <w14:ligatures w14:val="none"/>
        </w:rPr>
      </w:pPr>
      <w:r w:rsidRPr="00874ABF">
        <w:rPr>
          <w:rFonts w:ascii="Arial" w:eastAsia="source serif 4" w:hAnsi="Arial" w:cs="Arial"/>
          <w:b/>
          <w:color w:val="000000" w:themeColor="text1"/>
          <w:kern w:val="0"/>
          <w:sz w:val="22"/>
          <w:szCs w:val="22"/>
          <w14:ligatures w14:val="none"/>
        </w:rPr>
        <w:t>Figure 3. Completion of modules 2 to 6 by module 1 submission status (N = 168)</w:t>
      </w:r>
    </w:p>
    <w:p w14:paraId="0F4670E3"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66F714BB"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3C38A28E"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7A1EDCEF"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7CEC5C84" w14:textId="1C656578"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4.2.2 H2 – Single-year or repeat enrolment and mean marks</w:t>
      </w:r>
    </w:p>
    <w:p w14:paraId="00147C0D" w14:textId="46FCDD77" w:rsidR="004C3D5C" w:rsidRPr="00874AB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An independent-samples t-test compared mean academic marks for the 151 enrolment records with at least one numeric mark. Levene’s test was not statistically significant, F = 3.16, p = .077, indicating no evidence that the variation in marks differed between the groups</w:t>
      </w:r>
      <w:r w:rsidR="004C3D5C" w:rsidRPr="00874ABF">
        <w:rPr>
          <w:rFonts w:ascii="Arial" w:eastAsia="source serif 4" w:hAnsi="Arial" w:cs="Arial"/>
          <w:color w:val="000000" w:themeColor="text1"/>
          <w:kern w:val="0"/>
          <w14:ligatures w14:val="none"/>
        </w:rPr>
        <w:t xml:space="preserve">. The standard t-test result, labelled </w:t>
      </w:r>
      <w:r w:rsidR="008F296B">
        <w:rPr>
          <w:rFonts w:ascii="Arial" w:eastAsia="source serif 4" w:hAnsi="Arial" w:cs="Arial"/>
          <w:color w:val="000000" w:themeColor="text1"/>
          <w:kern w:val="0"/>
          <w14:ligatures w14:val="none"/>
        </w:rPr>
        <w:t>‘</w:t>
      </w:r>
      <w:r w:rsidR="004C3D5C" w:rsidRPr="00874ABF">
        <w:rPr>
          <w:rFonts w:ascii="Arial" w:eastAsia="source serif 4" w:hAnsi="Arial" w:cs="Arial"/>
          <w:color w:val="000000" w:themeColor="text1"/>
          <w:kern w:val="0"/>
          <w14:ligatures w14:val="none"/>
        </w:rPr>
        <w:t>equal variances assumed</w:t>
      </w:r>
      <w:r w:rsidR="008F296B">
        <w:rPr>
          <w:rFonts w:ascii="Arial" w:eastAsia="source serif 4" w:hAnsi="Arial" w:cs="Arial"/>
          <w:color w:val="000000" w:themeColor="text1"/>
          <w:kern w:val="0"/>
          <w14:ligatures w14:val="none"/>
        </w:rPr>
        <w:t>’</w:t>
      </w:r>
      <w:r w:rsidR="004C3D5C" w:rsidRPr="00874ABF">
        <w:rPr>
          <w:rFonts w:ascii="Arial" w:eastAsia="source serif 4" w:hAnsi="Arial" w:cs="Arial"/>
          <w:color w:val="000000" w:themeColor="text1"/>
          <w:kern w:val="0"/>
          <w14:ligatures w14:val="none"/>
        </w:rPr>
        <w:t xml:space="preserve"> in SPSS, was therefore reported.</w:t>
      </w:r>
    </w:p>
    <w:p w14:paraId="0D8D6FE2" w14:textId="491685B6" w:rsidR="00142758" w:rsidRPr="00874AB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 xml:space="preserve">Single-year enrolment records had a higher mean academic mark (M = 58.95, SD = 12.10, n = 126) than repeat-enrolment records (M = 49.31, SD = 9.30, n = 25). The difference of </w:t>
      </w:r>
      <w:proofErr w:type="gramStart"/>
      <w:r w:rsidRPr="00874ABF">
        <w:rPr>
          <w:rFonts w:ascii="Arial" w:eastAsia="source serif 4" w:hAnsi="Arial" w:cs="Arial"/>
          <w:color w:val="000000" w:themeColor="text1"/>
          <w:kern w:val="0"/>
          <w14:ligatures w14:val="none"/>
        </w:rPr>
        <w:t>9.64 mark</w:t>
      </w:r>
      <w:proofErr w:type="gramEnd"/>
      <w:r w:rsidRPr="00874ABF">
        <w:rPr>
          <w:rFonts w:ascii="Arial" w:eastAsia="source serif 4" w:hAnsi="Arial" w:cs="Arial"/>
          <w:color w:val="000000" w:themeColor="text1"/>
          <w:kern w:val="0"/>
          <w14:ligatures w14:val="none"/>
        </w:rPr>
        <w:t xml:space="preserve"> points </w:t>
      </w:r>
      <w:proofErr w:type="gramStart"/>
      <w:r w:rsidRPr="00874ABF">
        <w:rPr>
          <w:rFonts w:ascii="Arial" w:eastAsia="source serif 4" w:hAnsi="Arial" w:cs="Arial"/>
          <w:color w:val="000000" w:themeColor="text1"/>
          <w:kern w:val="0"/>
          <w14:ligatures w14:val="none"/>
        </w:rPr>
        <w:t>was</w:t>
      </w:r>
      <w:proofErr w:type="gramEnd"/>
      <w:r w:rsidRPr="00874ABF">
        <w:rPr>
          <w:rFonts w:ascii="Arial" w:eastAsia="source serif 4" w:hAnsi="Arial" w:cs="Arial"/>
          <w:color w:val="000000" w:themeColor="text1"/>
          <w:kern w:val="0"/>
          <w14:ligatures w14:val="none"/>
        </w:rPr>
        <w:t xml:space="preserve"> statistically significant, t(149) = 3.76, p &lt; .001, 95% CI [4.58, 14.70]. The effect was large, Hedges’s g = 0.82, 95% CI [0.38, 1.26].</w:t>
      </w:r>
    </w:p>
    <w:p w14:paraId="478C912A" w14:textId="77777777" w:rsidR="00142758" w:rsidRPr="00874ABF" w:rsidRDefault="00142758" w:rsidP="00142758">
      <w:pPr>
        <w:spacing w:after="120" w:line="360" w:lineRule="auto"/>
        <w:rPr>
          <w:rFonts w:ascii="Arial" w:eastAsia="source serif 4" w:hAnsi="Arial" w:cs="Arial"/>
          <w:b/>
          <w:color w:val="000000" w:themeColor="text1"/>
          <w:kern w:val="0"/>
          <w:sz w:val="20"/>
          <w:szCs w:val="20"/>
          <w14:ligatures w14:val="none"/>
        </w:rPr>
      </w:pPr>
    </w:p>
    <w:p w14:paraId="76A9E61A" w14:textId="77777777"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5. Mean mark by enrolment pattern</w:t>
      </w:r>
    </w:p>
    <w:p w14:paraId="40475C79" w14:textId="1BC1E052" w:rsidR="009A0AED" w:rsidRPr="009A0AED" w:rsidRDefault="00FB491C" w:rsidP="009A0AED">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3F06C13E" wp14:editId="5E3C42D6">
            <wp:extent cx="4697855" cy="1685676"/>
            <wp:effectExtent l="0" t="0" r="7620" b="0"/>
            <wp:docPr id="993668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68006" name=""/>
                    <pic:cNvPicPr/>
                  </pic:nvPicPr>
                  <pic:blipFill rotWithShape="1">
                    <a:blip r:embed="rId19"/>
                    <a:srcRect l="15550" t="43417" r="64485" b="31116"/>
                    <a:stretch>
                      <a:fillRect/>
                    </a:stretch>
                  </pic:blipFill>
                  <pic:spPr bwMode="auto">
                    <a:xfrm>
                      <a:off x="0" y="0"/>
                      <a:ext cx="4850396" cy="1740411"/>
                    </a:xfrm>
                    <a:prstGeom prst="rect">
                      <a:avLst/>
                    </a:prstGeom>
                    <a:ln>
                      <a:noFill/>
                    </a:ln>
                    <a:extLst>
                      <a:ext uri="{53640926-AAD7-44D8-BBD7-CCE9431645EC}">
                        <a14:shadowObscured xmlns:a14="http://schemas.microsoft.com/office/drawing/2010/main"/>
                      </a:ext>
                    </a:extLst>
                  </pic:spPr>
                </pic:pic>
              </a:graphicData>
            </a:graphic>
          </wp:inline>
        </w:drawing>
      </w:r>
    </w:p>
    <w:p w14:paraId="1AD7642D" w14:textId="77777777" w:rsidR="00142758" w:rsidRPr="00874ABF" w:rsidRDefault="00142758" w:rsidP="00142758">
      <w:pPr>
        <w:spacing w:after="120" w:line="360" w:lineRule="auto"/>
        <w:rPr>
          <w:rFonts w:ascii="Arial" w:eastAsia="source serif 4" w:hAnsi="Arial" w:cs="Arial"/>
          <w:b/>
          <w:bCs/>
          <w:color w:val="000000" w:themeColor="text1"/>
          <w:kern w:val="0"/>
          <w:sz w:val="20"/>
          <w:szCs w:val="20"/>
          <w14:ligatures w14:val="none"/>
        </w:rPr>
      </w:pPr>
      <w:r w:rsidRPr="00874ABF">
        <w:rPr>
          <w:rFonts w:ascii="Arial" w:eastAsia="source serif 4" w:hAnsi="Arial" w:cs="Arial"/>
          <w:b/>
          <w:noProof/>
          <w:color w:val="000000" w:themeColor="text1"/>
          <w:kern w:val="0"/>
          <w:sz w:val="20"/>
          <w:szCs w:val="20"/>
        </w:rPr>
        <w:drawing>
          <wp:inline distT="0" distB="0" distL="0" distR="0" wp14:anchorId="7FB7313C" wp14:editId="262BB15B">
            <wp:extent cx="5060188" cy="2978591"/>
            <wp:effectExtent l="19050" t="19050" r="26670" b="12700"/>
            <wp:docPr id="117965423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44294" cy="3028098"/>
                    </a:xfrm>
                    <a:prstGeom prst="rect">
                      <a:avLst/>
                    </a:prstGeom>
                    <a:noFill/>
                    <a:ln w="9525" cmpd="sng">
                      <a:solidFill>
                        <a:srgbClr val="000000"/>
                      </a:solidFill>
                      <a:miter lim="800000"/>
                      <a:headEnd/>
                      <a:tailEnd/>
                    </a:ln>
                    <a:effectLst/>
                  </pic:spPr>
                </pic:pic>
              </a:graphicData>
            </a:graphic>
          </wp:inline>
        </w:drawing>
      </w:r>
    </w:p>
    <w:p w14:paraId="20A8F19A" w14:textId="77777777" w:rsidR="009A0AED" w:rsidRDefault="00874ABF" w:rsidP="00142758">
      <w:pPr>
        <w:spacing w:after="120" w:line="360" w:lineRule="auto"/>
        <w:rPr>
          <w:rFonts w:ascii="Arial" w:eastAsia="source serif 4" w:hAnsi="Arial" w:cs="Arial"/>
          <w:b/>
          <w:bCs/>
          <w:color w:val="000000" w:themeColor="text1"/>
          <w:kern w:val="0"/>
          <w:sz w:val="22"/>
          <w:szCs w:val="22"/>
          <w:lang w:val="en-US"/>
          <w14:ligatures w14:val="none"/>
        </w:rPr>
      </w:pPr>
      <w:r w:rsidRPr="00874ABF">
        <w:rPr>
          <w:rFonts w:ascii="Arial" w:eastAsia="source serif 4" w:hAnsi="Arial" w:cs="Arial"/>
          <w:b/>
          <w:bCs/>
          <w:color w:val="000000" w:themeColor="text1"/>
          <w:kern w:val="0"/>
          <w:sz w:val="22"/>
          <w:szCs w:val="22"/>
          <w:lang w:val="en-US"/>
          <w14:ligatures w14:val="none"/>
        </w:rPr>
        <w:t>Figure 4. Distribution of mean academic mark by enrolment pattern (n = 151).</w:t>
      </w:r>
    </w:p>
    <w:p w14:paraId="09165444" w14:textId="5DD071C1" w:rsidR="00142758" w:rsidRPr="009A0AED" w:rsidRDefault="00142758" w:rsidP="00142758">
      <w:pPr>
        <w:spacing w:after="120" w:line="360" w:lineRule="auto"/>
        <w:rPr>
          <w:rFonts w:ascii="Arial" w:eastAsia="source serif 4" w:hAnsi="Arial" w:cs="Arial"/>
          <w:b/>
          <w:bCs/>
          <w:color w:val="000000" w:themeColor="text1"/>
          <w:kern w:val="0"/>
          <w:sz w:val="22"/>
          <w:szCs w:val="22"/>
          <w:lang w:val="en-US"/>
          <w14:ligatures w14:val="none"/>
        </w:rPr>
      </w:pPr>
      <w:r w:rsidRPr="00874ABF">
        <w:rPr>
          <w:rFonts w:ascii="Arial" w:eastAsia="source serif 4" w:hAnsi="Arial" w:cs="Arial"/>
          <w:b/>
          <w:bCs/>
          <w:color w:val="000000" w:themeColor="text1"/>
          <w:kern w:val="0"/>
          <w14:ligatures w14:val="none"/>
        </w:rPr>
        <w:lastRenderedPageBreak/>
        <w:t xml:space="preserve">4.2.3 H3 – </w:t>
      </w:r>
      <w:proofErr w:type="gramStart"/>
      <w:r w:rsidRPr="00874ABF">
        <w:rPr>
          <w:rFonts w:ascii="Arial" w:eastAsia="source serif 4" w:hAnsi="Arial" w:cs="Arial"/>
          <w:b/>
          <w:bCs/>
          <w:color w:val="000000" w:themeColor="text1"/>
          <w:kern w:val="0"/>
          <w14:ligatures w14:val="none"/>
        </w:rPr>
        <w:t>Non-submissions</w:t>
      </w:r>
      <w:proofErr w:type="gramEnd"/>
      <w:r w:rsidRPr="00874ABF">
        <w:rPr>
          <w:rFonts w:ascii="Arial" w:eastAsia="source serif 4" w:hAnsi="Arial" w:cs="Arial"/>
          <w:b/>
          <w:bCs/>
          <w:color w:val="000000" w:themeColor="text1"/>
          <w:kern w:val="0"/>
          <w14:ligatures w14:val="none"/>
        </w:rPr>
        <w:t xml:space="preserve"> and mean marks</w:t>
      </w:r>
    </w:p>
    <w:p w14:paraId="38AB6D80" w14:textId="77777777" w:rsidR="00142758" w:rsidRPr="00874AB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A Pearson correlation tested whether the number of non-submissions was associated with mean academic mark among the 151 enrolment records with at least one numeric mark.</w:t>
      </w:r>
    </w:p>
    <w:p w14:paraId="161C64A7" w14:textId="1A9BEF4D" w:rsidR="00371EBB" w:rsidRPr="00874ABF" w:rsidRDefault="00371EBB" w:rsidP="00371EBB">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There was a statistically significant, moderate negative relationship between non-submissions and mean academic mark, r(149)=</w:t>
      </w:r>
      <w:r w:rsidR="00510B84">
        <w:rPr>
          <w:rFonts w:ascii="Arial" w:eastAsia="source serif 4" w:hAnsi="Arial" w:cs="Arial"/>
          <w:color w:val="000000" w:themeColor="text1"/>
          <w:kern w:val="0"/>
          <w14:ligatures w14:val="none"/>
        </w:rPr>
        <w:t xml:space="preserve"> </w:t>
      </w:r>
      <w:r w:rsidRPr="00874ABF">
        <w:rPr>
          <w:rFonts w:ascii="Arial" w:eastAsia="source serif 4" w:hAnsi="Arial" w:cs="Arial"/>
          <w:color w:val="000000" w:themeColor="text1"/>
          <w:kern w:val="0"/>
          <w14:ligatures w14:val="none"/>
        </w:rPr>
        <w:t>−.38, 95% CI [−.51,−.24], p&lt;.001. In other words, records with more non-submissions tended to have lower average marks. The number of non-submissions explained approximately 15% of the differences in mean marks between records (R</w:t>
      </w:r>
      <w:r w:rsidRPr="00874ABF">
        <w:rPr>
          <w:rFonts w:ascii="Arial" w:eastAsia="source serif 4" w:hAnsi="Arial" w:cs="Arial"/>
          <w:color w:val="000000" w:themeColor="text1"/>
          <w:kern w:val="0"/>
          <w:vertAlign w:val="superscript"/>
          <w14:ligatures w14:val="none"/>
        </w:rPr>
        <w:t>2</w:t>
      </w:r>
      <w:r w:rsidR="00510B84">
        <w:rPr>
          <w:rFonts w:ascii="Arial" w:eastAsia="source serif 4" w:hAnsi="Arial" w:cs="Arial"/>
          <w:color w:val="000000" w:themeColor="text1"/>
          <w:kern w:val="0"/>
          <w:vertAlign w:val="superscript"/>
          <w14:ligatures w14:val="none"/>
        </w:rPr>
        <w:t xml:space="preserve"> </w:t>
      </w:r>
      <w:r w:rsidRPr="00874ABF">
        <w:rPr>
          <w:rFonts w:ascii="Arial" w:eastAsia="source serif 4" w:hAnsi="Arial" w:cs="Arial"/>
          <w:color w:val="000000" w:themeColor="text1"/>
          <w:kern w:val="0"/>
          <w14:ligatures w14:val="none"/>
        </w:rPr>
        <w:t>=.15).</w:t>
      </w:r>
    </w:p>
    <w:p w14:paraId="162CAD3B" w14:textId="2EF8F802" w:rsidR="00142758" w:rsidRPr="00874ABF" w:rsidRDefault="00142758" w:rsidP="00371EBB">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 xml:space="preserve">Because non-submission is a count variable, Spearman’s rank correlation was also used as a check. It produced the same overall conclusion, </w:t>
      </w:r>
      <w:r w:rsidR="00510B84" w:rsidRPr="00510B84">
        <w:rPr>
          <w:rFonts w:ascii="Arial" w:eastAsia="source serif 4" w:hAnsi="Arial" w:cs="Arial"/>
          <w:color w:val="000000" w:themeColor="text1"/>
          <w:kern w:val="0"/>
          <w14:ligatures w14:val="none"/>
        </w:rPr>
        <w:t>ρ = -.29</w:t>
      </w:r>
      <w:r w:rsidRPr="00874ABF">
        <w:rPr>
          <w:rFonts w:ascii="Arial" w:eastAsia="source serif 4" w:hAnsi="Arial" w:cs="Arial"/>
          <w:color w:val="000000" w:themeColor="text1"/>
          <w:kern w:val="0"/>
          <w14:ligatures w14:val="none"/>
        </w:rPr>
        <w:t>, p &lt; .001. The null hypothesis was rejected.</w:t>
      </w:r>
    </w:p>
    <w:p w14:paraId="02361949" w14:textId="6B382B0C" w:rsidR="008C166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The fitted line in Figure 5 was y = 59.99</w:t>
      </w:r>
      <w:r w:rsidR="00510B84">
        <w:rPr>
          <w:rFonts w:ascii="Arial" w:eastAsia="source serif 4" w:hAnsi="Arial" w:cs="Arial"/>
          <w:color w:val="000000" w:themeColor="text1"/>
          <w:kern w:val="0"/>
          <w14:ligatures w14:val="none"/>
        </w:rPr>
        <w:t xml:space="preserve"> </w:t>
      </w:r>
      <w:r w:rsidRPr="00874ABF">
        <w:rPr>
          <w:rFonts w:ascii="Arial" w:eastAsia="source serif 4" w:hAnsi="Arial" w:cs="Arial"/>
          <w:color w:val="000000" w:themeColor="text1"/>
          <w:kern w:val="0"/>
          <w14:ligatures w14:val="none"/>
        </w:rPr>
        <w:t>-3.21x. This estimates a mean mark of 59.99 for records with no non-submissions, decreasing by approximately 3.21 marks for each additional non-submission.</w:t>
      </w:r>
    </w:p>
    <w:p w14:paraId="1E8A9974" w14:textId="4ABE50FF" w:rsidR="00142758" w:rsidRPr="00874ABF" w:rsidRDefault="00142758" w:rsidP="00142758">
      <w:pPr>
        <w:spacing w:after="120" w:line="360" w:lineRule="auto"/>
        <w:rPr>
          <w:rFonts w:ascii="Arial" w:eastAsia="source serif 4" w:hAnsi="Arial" w:cs="Arial"/>
          <w:color w:val="000000" w:themeColor="text1"/>
          <w:kern w:val="0"/>
          <w14:ligatures w14:val="none"/>
        </w:rPr>
      </w:pPr>
      <w:r w:rsidRPr="00874ABF">
        <w:rPr>
          <w:rFonts w:ascii="Arial" w:eastAsia="source serif 4" w:hAnsi="Arial" w:cs="Arial"/>
          <w:color w:val="000000" w:themeColor="text1"/>
          <w:kern w:val="0"/>
          <w14:ligatures w14:val="none"/>
        </w:rPr>
        <w:t xml:space="preserve">Two additional relationships were also examined. The number of modules with a recorded mark was moderately and positively related to mean academic mark, r(149) = .44, 95% CI [.30, .56], p &lt; .001. Mean marks from Modules 1–3 </w:t>
      </w:r>
      <w:proofErr w:type="gramStart"/>
      <w:r w:rsidRPr="00874ABF">
        <w:rPr>
          <w:rFonts w:ascii="Arial" w:eastAsia="source serif 4" w:hAnsi="Arial" w:cs="Arial"/>
          <w:color w:val="000000" w:themeColor="text1"/>
          <w:kern w:val="0"/>
          <w14:ligatures w14:val="none"/>
        </w:rPr>
        <w:t>were</w:t>
      </w:r>
      <w:proofErr w:type="gramEnd"/>
      <w:r w:rsidRPr="00874ABF">
        <w:rPr>
          <w:rFonts w:ascii="Arial" w:eastAsia="source serif 4" w:hAnsi="Arial" w:cs="Arial"/>
          <w:color w:val="000000" w:themeColor="text1"/>
          <w:kern w:val="0"/>
          <w14:ligatures w14:val="none"/>
        </w:rPr>
        <w:t xml:space="preserve"> strongly and positively related to mean marks from Modules 4–6, r(126) = .71, 95% CI [.61, .78], p &lt; .001. Table 6 reports all three correlations and their confidence intervals, and Figure 5 shows the relationship between non-submissions and mean academic mark.</w:t>
      </w:r>
    </w:p>
    <w:p w14:paraId="462DBDF3"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p>
    <w:p w14:paraId="427851B9"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6F983869"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7FBEB28B"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5D69E917"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3CCAED72"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46EB49B5"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74AB7FBB" w14:textId="77777777" w:rsidR="009A0AED" w:rsidRDefault="009A0AED" w:rsidP="00142758">
      <w:pPr>
        <w:spacing w:after="120" w:line="360" w:lineRule="auto"/>
        <w:rPr>
          <w:rFonts w:ascii="Arial" w:eastAsia="source serif 4" w:hAnsi="Arial" w:cs="Arial"/>
          <w:b/>
          <w:color w:val="000000" w:themeColor="text1"/>
          <w:kern w:val="0"/>
          <w:sz w:val="22"/>
          <w:szCs w:val="22"/>
          <w:lang w:val="en-US"/>
          <w14:ligatures w14:val="none"/>
        </w:rPr>
      </w:pPr>
    </w:p>
    <w:p w14:paraId="63DCDFB4" w14:textId="0C49576C"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lastRenderedPageBreak/>
        <w:t>Table 6. Correlations between assessment-disruption and attainment</w:t>
      </w:r>
    </w:p>
    <w:p w14:paraId="3FC9173E" w14:textId="5C93AC25" w:rsidR="00371EBB" w:rsidRPr="00874ABF" w:rsidRDefault="00784DC4" w:rsidP="00874ABF">
      <w:pPr>
        <w:spacing w:line="360" w:lineRule="auto"/>
        <w:rPr>
          <w:rFonts w:ascii="Arial" w:hAnsi="Arial" w:cs="Arial"/>
          <w:noProof/>
          <w:color w:val="000000" w:themeColor="text1"/>
        </w:rPr>
      </w:pPr>
      <w:r w:rsidRPr="00874ABF">
        <w:rPr>
          <w:rFonts w:ascii="Arial" w:hAnsi="Arial" w:cs="Arial"/>
          <w:noProof/>
          <w:color w:val="000000" w:themeColor="text1"/>
        </w:rPr>
        <w:drawing>
          <wp:inline distT="0" distB="0" distL="0" distR="0" wp14:anchorId="3D38F832" wp14:editId="01A349E9">
            <wp:extent cx="5835563" cy="2703444"/>
            <wp:effectExtent l="0" t="0" r="0" b="1905"/>
            <wp:docPr id="317959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959969" name=""/>
                    <pic:cNvPicPr/>
                  </pic:nvPicPr>
                  <pic:blipFill rotWithShape="1">
                    <a:blip r:embed="rId21"/>
                    <a:srcRect l="15522" t="27633" r="64485" b="39441"/>
                    <a:stretch>
                      <a:fillRect/>
                    </a:stretch>
                  </pic:blipFill>
                  <pic:spPr bwMode="auto">
                    <a:xfrm>
                      <a:off x="0" y="0"/>
                      <a:ext cx="5942681" cy="2753069"/>
                    </a:xfrm>
                    <a:prstGeom prst="rect">
                      <a:avLst/>
                    </a:prstGeom>
                    <a:ln>
                      <a:noFill/>
                    </a:ln>
                    <a:extLst>
                      <a:ext uri="{53640926-AAD7-44D8-BBD7-CCE9431645EC}">
                        <a14:shadowObscured xmlns:a14="http://schemas.microsoft.com/office/drawing/2010/main"/>
                      </a:ext>
                    </a:extLst>
                  </pic:spPr>
                </pic:pic>
              </a:graphicData>
            </a:graphic>
          </wp:inline>
        </w:drawing>
      </w:r>
    </w:p>
    <w:p w14:paraId="6C7925B1" w14:textId="6F5F47DB" w:rsidR="00371EBB" w:rsidRPr="00874ABF" w:rsidRDefault="00874ABF"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noProof/>
          <w:color w:val="000000" w:themeColor="text1"/>
          <w:kern w:val="0"/>
        </w:rPr>
        <w:drawing>
          <wp:inline distT="0" distB="0" distL="0" distR="0" wp14:anchorId="35547F17" wp14:editId="6A4C9711">
            <wp:extent cx="5879292" cy="3447719"/>
            <wp:effectExtent l="19050" t="19050" r="26670" b="19685"/>
            <wp:docPr id="13613654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57692" cy="3493694"/>
                    </a:xfrm>
                    <a:prstGeom prst="rect">
                      <a:avLst/>
                    </a:prstGeom>
                    <a:noFill/>
                    <a:ln w="9525" cmpd="sng">
                      <a:solidFill>
                        <a:srgbClr val="000000"/>
                      </a:solidFill>
                      <a:miter lim="800000"/>
                      <a:headEnd/>
                      <a:tailEnd/>
                    </a:ln>
                    <a:effectLst/>
                  </pic:spPr>
                </pic:pic>
              </a:graphicData>
            </a:graphic>
          </wp:inline>
        </w:drawing>
      </w:r>
    </w:p>
    <w:p w14:paraId="566A6198" w14:textId="77777777" w:rsidR="00874ABF" w:rsidRPr="00874ABF" w:rsidRDefault="00874ABF" w:rsidP="00874ABF">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Figure 5. Number of non-submissions against mean academic mark, with fitted regression line (n = 151).</w:t>
      </w:r>
    </w:p>
    <w:p w14:paraId="644A1DE8" w14:textId="77777777" w:rsidR="009A0AED" w:rsidRDefault="009A0AED" w:rsidP="00142758">
      <w:pPr>
        <w:spacing w:after="120" w:line="360" w:lineRule="auto"/>
        <w:rPr>
          <w:rFonts w:ascii="Arial" w:eastAsia="source serif 4" w:hAnsi="Arial" w:cs="Arial"/>
          <w:b/>
          <w:bCs/>
          <w:color w:val="000000" w:themeColor="text1"/>
          <w:kern w:val="0"/>
          <w14:ligatures w14:val="none"/>
        </w:rPr>
      </w:pPr>
    </w:p>
    <w:p w14:paraId="37E8B987" w14:textId="174C46F0" w:rsidR="00142758" w:rsidRPr="00874ABF" w:rsidRDefault="00142758" w:rsidP="00142758">
      <w:pPr>
        <w:spacing w:after="120" w:line="360" w:lineRule="auto"/>
        <w:rPr>
          <w:rFonts w:ascii="Arial" w:eastAsia="source serif 4" w:hAnsi="Arial" w:cs="Arial"/>
          <w:b/>
          <w:bCs/>
          <w:color w:val="000000" w:themeColor="text1"/>
          <w:kern w:val="0"/>
          <w14:ligatures w14:val="none"/>
        </w:rPr>
      </w:pPr>
      <w:r w:rsidRPr="00874ABF">
        <w:rPr>
          <w:rFonts w:ascii="Arial" w:eastAsia="source serif 4" w:hAnsi="Arial" w:cs="Arial"/>
          <w:b/>
          <w:bCs/>
          <w:color w:val="000000" w:themeColor="text1"/>
          <w:kern w:val="0"/>
          <w14:ligatures w14:val="none"/>
        </w:rPr>
        <w:t>4.2.4 H4 – Academic-year cohort and mean marks</w:t>
      </w:r>
    </w:p>
    <w:p w14:paraId="76223499"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Welch’s one-way analysis of variance compared mean academic marks across the three academic-year cohorts for the 151 enrolment records with at least one numeric mark. Levene’s test was statistically significant, </w:t>
      </w:r>
      <w:r w:rsidRPr="00874ABF">
        <w:rPr>
          <w:rFonts w:ascii="Arial" w:eastAsia="source serif 4" w:hAnsi="Arial" w:cs="Arial"/>
          <w:color w:val="000000" w:themeColor="text1"/>
          <w:kern w:val="0"/>
          <w14:ligatures w14:val="none"/>
        </w:rPr>
        <w:t>F(2, 148) = 3.57</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 .031</w:t>
      </w:r>
      <w:r w:rsidRPr="00874ABF">
        <w:rPr>
          <w:rFonts w:ascii="Arial" w:eastAsia="source serif 4" w:hAnsi="Arial" w:cs="Arial"/>
          <w:bCs/>
          <w:color w:val="000000" w:themeColor="text1"/>
          <w:kern w:val="0"/>
          <w14:ligatures w14:val="none"/>
        </w:rPr>
        <w:t xml:space="preserve">, indicating </w:t>
      </w:r>
      <w:r w:rsidRPr="00874ABF">
        <w:rPr>
          <w:rFonts w:ascii="Arial" w:eastAsia="source serif 4" w:hAnsi="Arial" w:cs="Arial"/>
          <w:bCs/>
          <w:color w:val="000000" w:themeColor="text1"/>
          <w:kern w:val="0"/>
          <w14:ligatures w14:val="none"/>
        </w:rPr>
        <w:lastRenderedPageBreak/>
        <w:t>that the variation in marks was not similar across the three cohorts. Therefore, Welch’s ANOVA, which is suitable when group variances are unequal, was used.</w:t>
      </w:r>
    </w:p>
    <w:p w14:paraId="1948D981"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There was no statistically significant difference in mean academic marks between the academic-year cohorts, Welch’s </w:t>
      </w:r>
      <w:r w:rsidRPr="00874ABF">
        <w:rPr>
          <w:rFonts w:ascii="Arial" w:eastAsia="source serif 4" w:hAnsi="Arial" w:cs="Arial"/>
          <w:color w:val="000000" w:themeColor="text1"/>
          <w:kern w:val="0"/>
          <w14:ligatures w14:val="none"/>
        </w:rPr>
        <w:t>F(2, 83.6) = 0.17</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 .842</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η² = .002</w:t>
      </w:r>
      <w:r w:rsidRPr="00874ABF">
        <w:rPr>
          <w:rFonts w:ascii="Arial" w:eastAsia="source serif 4" w:hAnsi="Arial" w:cs="Arial"/>
          <w:bCs/>
          <w:color w:val="000000" w:themeColor="text1"/>
          <w:kern w:val="0"/>
          <w14:ligatures w14:val="none"/>
        </w:rPr>
        <w:t>. The null hypothesis was not rejected.</w:t>
      </w:r>
    </w:p>
    <w:p w14:paraId="1ACCF086"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The cohort means were very similar: 2022/23, </w:t>
      </w:r>
      <w:r w:rsidRPr="00874ABF">
        <w:rPr>
          <w:rFonts w:ascii="Arial" w:eastAsia="source serif 4" w:hAnsi="Arial" w:cs="Arial"/>
          <w:color w:val="000000" w:themeColor="text1"/>
          <w:kern w:val="0"/>
          <w14:ligatures w14:val="none"/>
        </w:rPr>
        <w:t>M = 57.06</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14.95</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n = 37</w:t>
      </w:r>
      <w:r w:rsidRPr="00874ABF">
        <w:rPr>
          <w:rFonts w:ascii="Arial" w:eastAsia="source serif 4" w:hAnsi="Arial" w:cs="Arial"/>
          <w:bCs/>
          <w:color w:val="000000" w:themeColor="text1"/>
          <w:kern w:val="0"/>
          <w14:ligatures w14:val="none"/>
        </w:rPr>
        <w:t xml:space="preserve">; 2023/24, </w:t>
      </w:r>
      <w:r w:rsidRPr="00874ABF">
        <w:rPr>
          <w:rFonts w:ascii="Arial" w:eastAsia="source serif 4" w:hAnsi="Arial" w:cs="Arial"/>
          <w:color w:val="000000" w:themeColor="text1"/>
          <w:kern w:val="0"/>
          <w14:ligatures w14:val="none"/>
        </w:rPr>
        <w:t>M = 58.05</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10.31</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n = 56</w:t>
      </w:r>
      <w:r w:rsidRPr="00874ABF">
        <w:rPr>
          <w:rFonts w:ascii="Arial" w:eastAsia="source serif 4" w:hAnsi="Arial" w:cs="Arial"/>
          <w:bCs/>
          <w:color w:val="000000" w:themeColor="text1"/>
          <w:kern w:val="0"/>
          <w14:ligatures w14:val="none"/>
        </w:rPr>
        <w:t xml:space="preserve">; and 2024/25, </w:t>
      </w:r>
      <w:r w:rsidRPr="00874ABF">
        <w:rPr>
          <w:rFonts w:ascii="Arial" w:eastAsia="source serif 4" w:hAnsi="Arial" w:cs="Arial"/>
          <w:color w:val="000000" w:themeColor="text1"/>
          <w:kern w:val="0"/>
          <w14:ligatures w14:val="none"/>
        </w:rPr>
        <w:t>M = 56.86</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12.12</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n = 58</w:t>
      </w:r>
      <w:r w:rsidRPr="00874ABF">
        <w:rPr>
          <w:rFonts w:ascii="Arial" w:eastAsia="source serif 4" w:hAnsi="Arial" w:cs="Arial"/>
          <w:bCs/>
          <w:color w:val="000000" w:themeColor="text1"/>
          <w:kern w:val="0"/>
          <w14:ligatures w14:val="none"/>
        </w:rPr>
        <w:t>.</w:t>
      </w:r>
    </w:p>
    <w:p w14:paraId="4334032C"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The effect size was negligible, with academic-year cohort accounting for approximately 0.2% of the variation in mean academic marks. Table 7 summarises the test result.</w:t>
      </w:r>
    </w:p>
    <w:p w14:paraId="3D6A7531" w14:textId="77777777" w:rsidR="00142758" w:rsidRPr="00874ABF" w:rsidRDefault="00142758" w:rsidP="00142758">
      <w:pPr>
        <w:spacing w:after="120" w:line="360" w:lineRule="auto"/>
        <w:rPr>
          <w:rFonts w:ascii="Arial" w:eastAsia="source serif 4" w:hAnsi="Arial" w:cs="Arial"/>
          <w:b/>
          <w:color w:val="000000" w:themeColor="text1"/>
          <w:kern w:val="0"/>
          <w:sz w:val="20"/>
          <w:szCs w:val="20"/>
          <w:lang w:val="en-US"/>
          <w14:ligatures w14:val="none"/>
        </w:rPr>
      </w:pPr>
    </w:p>
    <w:p w14:paraId="381EBA35" w14:textId="77777777"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7. Mean mark by cohort</w:t>
      </w:r>
    </w:p>
    <w:p w14:paraId="0DDA6231" w14:textId="1BCD54A1" w:rsidR="00142758" w:rsidRPr="00874ABF" w:rsidRDefault="00784DC4" w:rsidP="00784DC4">
      <w:pPr>
        <w:spacing w:after="120" w:line="360" w:lineRule="auto"/>
        <w:rPr>
          <w:rFonts w:ascii="Arial" w:eastAsia="source serif 4" w:hAnsi="Arial" w:cs="Arial"/>
          <w:bCs/>
          <w:color w:val="000000" w:themeColor="text1"/>
          <w:kern w:val="0"/>
          <w:sz w:val="28"/>
          <w:szCs w:val="28"/>
          <w:lang w:val="en-US"/>
          <w14:ligatures w14:val="none"/>
        </w:rPr>
      </w:pPr>
      <w:r w:rsidRPr="00874ABF">
        <w:rPr>
          <w:rFonts w:ascii="Arial" w:hAnsi="Arial" w:cs="Arial"/>
          <w:noProof/>
          <w:color w:val="000000" w:themeColor="text1"/>
        </w:rPr>
        <w:drawing>
          <wp:inline distT="0" distB="0" distL="0" distR="0" wp14:anchorId="241DEF95" wp14:editId="0DFF0DF5">
            <wp:extent cx="5431919" cy="1661823"/>
            <wp:effectExtent l="0" t="0" r="0" b="0"/>
            <wp:docPr id="31338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80098" name=""/>
                    <pic:cNvPicPr/>
                  </pic:nvPicPr>
                  <pic:blipFill rotWithShape="1">
                    <a:blip r:embed="rId23"/>
                    <a:srcRect l="15578" t="26635" r="64660" b="51872"/>
                    <a:stretch>
                      <a:fillRect/>
                    </a:stretch>
                  </pic:blipFill>
                  <pic:spPr bwMode="auto">
                    <a:xfrm>
                      <a:off x="0" y="0"/>
                      <a:ext cx="5513748" cy="1686857"/>
                    </a:xfrm>
                    <a:prstGeom prst="rect">
                      <a:avLst/>
                    </a:prstGeom>
                    <a:ln>
                      <a:noFill/>
                    </a:ln>
                    <a:extLst>
                      <a:ext uri="{53640926-AAD7-44D8-BBD7-CCE9431645EC}">
                        <a14:shadowObscured xmlns:a14="http://schemas.microsoft.com/office/drawing/2010/main"/>
                      </a:ext>
                    </a:extLst>
                  </pic:spPr>
                </pic:pic>
              </a:graphicData>
            </a:graphic>
          </wp:inline>
        </w:drawing>
      </w:r>
    </w:p>
    <w:p w14:paraId="52188FC8" w14:textId="77777777" w:rsidR="00371EBB" w:rsidRPr="00874ABF" w:rsidRDefault="00371EBB" w:rsidP="00142758">
      <w:pPr>
        <w:spacing w:after="120" w:line="360" w:lineRule="auto"/>
        <w:rPr>
          <w:rFonts w:ascii="Arial" w:eastAsia="source serif 4" w:hAnsi="Arial" w:cs="Arial"/>
          <w:b/>
          <w:color w:val="000000" w:themeColor="text1"/>
          <w:kern w:val="0"/>
          <w:lang w:val="en-US"/>
          <w14:ligatures w14:val="none"/>
        </w:rPr>
      </w:pPr>
    </w:p>
    <w:p w14:paraId="0DF5AA9A" w14:textId="0CC73A69"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4.2.5 H5 – Mean marks in Modules 1–3 and Modules 4–6</w:t>
      </w:r>
    </w:p>
    <w:p w14:paraId="249E7D49"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A paired-samples t-test compared mean academic marks in Modules 1–3 with mean academic marks in Modules 4–6 for the 128 enrolment records with at least one numeric mark in each half of the Level 4 programme. The difference scores were approximately normally distributed, Shapiro–Wilk </w:t>
      </w:r>
      <w:r w:rsidRPr="00874ABF">
        <w:rPr>
          <w:rFonts w:ascii="Arial" w:eastAsia="source serif 4" w:hAnsi="Arial" w:cs="Arial"/>
          <w:color w:val="000000" w:themeColor="text1"/>
          <w:kern w:val="0"/>
          <w14:ligatures w14:val="none"/>
        </w:rPr>
        <w:t>W = .987</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 .239</w:t>
      </w:r>
      <w:r w:rsidRPr="00874ABF">
        <w:rPr>
          <w:rFonts w:ascii="Arial" w:eastAsia="source serif 4" w:hAnsi="Arial" w:cs="Arial"/>
          <w:bCs/>
          <w:color w:val="000000" w:themeColor="text1"/>
          <w:kern w:val="0"/>
          <w14:ligatures w14:val="none"/>
        </w:rPr>
        <w:t>, so the assumptions for a paired-samples t-test were met.</w:t>
      </w:r>
    </w:p>
    <w:p w14:paraId="6F391ADB" w14:textId="3B7A2FEB"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Mean marks were almost identical across the two halves: Modules 1–3, </w:t>
      </w:r>
      <w:r w:rsidRPr="00874ABF">
        <w:rPr>
          <w:rFonts w:ascii="Arial" w:eastAsia="source serif 4" w:hAnsi="Arial" w:cs="Arial"/>
          <w:color w:val="000000" w:themeColor="text1"/>
          <w:kern w:val="0"/>
          <w14:ligatures w14:val="none"/>
        </w:rPr>
        <w:t>M = 59.34</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11.41</w:t>
      </w:r>
      <w:r w:rsidRPr="00874ABF">
        <w:rPr>
          <w:rFonts w:ascii="Arial" w:eastAsia="source serif 4" w:hAnsi="Arial" w:cs="Arial"/>
          <w:bCs/>
          <w:color w:val="000000" w:themeColor="text1"/>
          <w:kern w:val="0"/>
          <w14:ligatures w14:val="none"/>
        </w:rPr>
        <w:t xml:space="preserve">; and Modules 4–6, </w:t>
      </w:r>
      <w:r w:rsidRPr="00874ABF">
        <w:rPr>
          <w:rFonts w:ascii="Arial" w:eastAsia="source serif 4" w:hAnsi="Arial" w:cs="Arial"/>
          <w:color w:val="000000" w:themeColor="text1"/>
          <w:kern w:val="0"/>
          <w14:ligatures w14:val="none"/>
        </w:rPr>
        <w:t>M = 59.09</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SD = 11.26</w:t>
      </w:r>
      <w:r w:rsidRPr="00874ABF">
        <w:rPr>
          <w:rFonts w:ascii="Arial" w:eastAsia="source serif 4" w:hAnsi="Arial" w:cs="Arial"/>
          <w:bCs/>
          <w:color w:val="000000" w:themeColor="text1"/>
          <w:kern w:val="0"/>
          <w14:ligatures w14:val="none"/>
        </w:rPr>
        <w:t xml:space="preserve">. </w:t>
      </w:r>
      <w:r w:rsidR="00510B84" w:rsidRPr="00510B84">
        <w:rPr>
          <w:rFonts w:ascii="Arial" w:eastAsia="source serif 4" w:hAnsi="Arial" w:cs="Arial"/>
          <w:bCs/>
          <w:color w:val="000000" w:themeColor="text1"/>
          <w:kern w:val="0"/>
          <w14:ligatures w14:val="none"/>
        </w:rPr>
        <w:t>The 0.25-mark difference was not statistically significant</w:t>
      </w:r>
      <w:r w:rsidR="00510B84">
        <w:rPr>
          <w:rFonts w:ascii="Arial" w:eastAsia="source serif 4" w:hAnsi="Arial" w:cs="Arial"/>
          <w:bCs/>
          <w:color w:val="000000" w:themeColor="text1"/>
          <w:kern w:val="0"/>
          <w14:ligatures w14:val="none"/>
        </w:rPr>
        <w:t>.</w:t>
      </w:r>
      <w:r w:rsidR="00371EBB" w:rsidRPr="00874ABF">
        <w:rPr>
          <w:rFonts w:ascii="Arial" w:eastAsia="source serif 4" w:hAnsi="Arial" w:cs="Arial"/>
          <w:bCs/>
          <w:color w:val="000000" w:themeColor="text1"/>
          <w:kern w:val="0"/>
          <w14:ligatures w14:val="none"/>
        </w:rPr>
        <w:t xml:space="preserve"> This small difference was not statistically significant, so the data provided no evidence of a meaningful difference in average marks </w:t>
      </w:r>
      <w:r w:rsidR="00371EBB" w:rsidRPr="00874ABF">
        <w:rPr>
          <w:rFonts w:ascii="Arial" w:eastAsia="source serif 4" w:hAnsi="Arial" w:cs="Arial"/>
          <w:bCs/>
          <w:color w:val="000000" w:themeColor="text1"/>
          <w:kern w:val="0"/>
          <w14:ligatures w14:val="none"/>
        </w:rPr>
        <w:lastRenderedPageBreak/>
        <w:t>between the two halves of the programme.</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t(127) = 0.32</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 .747</w:t>
      </w:r>
      <w:r w:rsidRPr="00874ABF">
        <w:rPr>
          <w:rFonts w:ascii="Arial" w:eastAsia="source serif 4" w:hAnsi="Arial" w:cs="Arial"/>
          <w:bCs/>
          <w:color w:val="000000" w:themeColor="text1"/>
          <w:kern w:val="0"/>
          <w14:ligatures w14:val="none"/>
        </w:rPr>
        <w:t xml:space="preserve">, 95% CI </w:t>
      </w:r>
      <w:r w:rsidRPr="00874ABF">
        <w:rPr>
          <w:rFonts w:ascii="Arial" w:eastAsia="source serif 4" w:hAnsi="Arial" w:cs="Arial"/>
          <w:color w:val="000000" w:themeColor="text1"/>
          <w:kern w:val="0"/>
          <w14:ligatures w14:val="none"/>
        </w:rPr>
        <w:t>[-1.27, 1.77]</w:t>
      </w:r>
      <w:r w:rsidRPr="00874ABF">
        <w:rPr>
          <w:rFonts w:ascii="Arial" w:eastAsia="source serif 4" w:hAnsi="Arial" w:cs="Arial"/>
          <w:bCs/>
          <w:color w:val="000000" w:themeColor="text1"/>
          <w:kern w:val="0"/>
          <w14:ligatures w14:val="none"/>
        </w:rPr>
        <w:t xml:space="preserve">. The effect size was negligible, Cohen’s </w:t>
      </w:r>
      <w:r w:rsidRPr="00874ABF">
        <w:rPr>
          <w:rFonts w:ascii="Arial" w:eastAsia="source serif 4" w:hAnsi="Arial" w:cs="Arial"/>
          <w:color w:val="000000" w:themeColor="text1"/>
          <w:kern w:val="0"/>
          <w14:ligatures w14:val="none"/>
        </w:rPr>
        <w:t>dz = 0.03</w:t>
      </w:r>
      <w:r w:rsidRPr="00874ABF">
        <w:rPr>
          <w:rFonts w:ascii="Arial" w:eastAsia="source serif 4" w:hAnsi="Arial" w:cs="Arial"/>
          <w:bCs/>
          <w:color w:val="000000" w:themeColor="text1"/>
          <w:kern w:val="0"/>
          <w14:ligatures w14:val="none"/>
        </w:rPr>
        <w:t xml:space="preserve">, 95% CI </w:t>
      </w:r>
      <w:r w:rsidRPr="00874ABF">
        <w:rPr>
          <w:rFonts w:ascii="Arial" w:eastAsia="source serif 4" w:hAnsi="Arial" w:cs="Arial"/>
          <w:color w:val="000000" w:themeColor="text1"/>
          <w:kern w:val="0"/>
          <w14:ligatures w14:val="none"/>
        </w:rPr>
        <w:t>[-0.15, 0.20]</w:t>
      </w:r>
      <w:r w:rsidRPr="00874ABF">
        <w:rPr>
          <w:rFonts w:ascii="Arial" w:eastAsia="source serif 4" w:hAnsi="Arial" w:cs="Arial"/>
          <w:bCs/>
          <w:color w:val="000000" w:themeColor="text1"/>
          <w:kern w:val="0"/>
          <w14:ligatures w14:val="none"/>
        </w:rPr>
        <w:t>.</w:t>
      </w:r>
    </w:p>
    <w:p w14:paraId="265B89F0" w14:textId="0BEE812C"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Wilcoxon’s signed-rank test was also used as a check and gave the same overall conclusion, </w:t>
      </w:r>
      <w:r w:rsidRPr="00874ABF">
        <w:rPr>
          <w:rFonts w:ascii="Arial" w:eastAsia="source serif 4" w:hAnsi="Arial" w:cs="Arial"/>
          <w:color w:val="000000" w:themeColor="text1"/>
          <w:kern w:val="0"/>
          <w14:ligatures w14:val="none"/>
        </w:rPr>
        <w:t>Z = -0.50</w:t>
      </w:r>
      <w:r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color w:val="000000" w:themeColor="text1"/>
          <w:kern w:val="0"/>
          <w14:ligatures w14:val="none"/>
        </w:rPr>
        <w:t>p = .619</w:t>
      </w:r>
      <w:r w:rsidRPr="00874ABF">
        <w:rPr>
          <w:rFonts w:ascii="Arial" w:eastAsia="source serif 4" w:hAnsi="Arial" w:cs="Arial"/>
          <w:bCs/>
          <w:color w:val="000000" w:themeColor="text1"/>
          <w:kern w:val="0"/>
          <w14:ligatures w14:val="none"/>
        </w:rPr>
        <w:t>. The null hypothesis was not rejected.</w:t>
      </w:r>
      <w:r w:rsidR="00371EBB" w:rsidRPr="00874ABF">
        <w:rPr>
          <w:rFonts w:ascii="Arial" w:eastAsia="source serif 4" w:hAnsi="Arial" w:cs="Arial"/>
          <w:bCs/>
          <w:color w:val="000000" w:themeColor="text1"/>
          <w:kern w:val="0"/>
          <w14:ligatures w14:val="none"/>
        </w:rPr>
        <w:t xml:space="preserve"> </w:t>
      </w:r>
      <w:r w:rsidRPr="00874ABF">
        <w:rPr>
          <w:rFonts w:ascii="Arial" w:eastAsia="source serif 4" w:hAnsi="Arial" w:cs="Arial"/>
          <w:bCs/>
          <w:color w:val="000000" w:themeColor="text1"/>
          <w:kern w:val="0"/>
          <w:lang w:val="en-US"/>
          <w14:ligatures w14:val="none"/>
        </w:rPr>
        <w:t xml:space="preserve">Table 8 </w:t>
      </w:r>
      <w:proofErr w:type="spellStart"/>
      <w:r w:rsidRPr="00874ABF">
        <w:rPr>
          <w:rFonts w:ascii="Arial" w:eastAsia="source serif 4" w:hAnsi="Arial" w:cs="Arial"/>
          <w:bCs/>
          <w:color w:val="000000" w:themeColor="text1"/>
          <w:kern w:val="0"/>
          <w:lang w:val="en-US"/>
          <w14:ligatures w14:val="none"/>
        </w:rPr>
        <w:t>summarises</w:t>
      </w:r>
      <w:proofErr w:type="spellEnd"/>
      <w:r w:rsidRPr="00874ABF">
        <w:rPr>
          <w:rFonts w:ascii="Arial" w:eastAsia="source serif 4" w:hAnsi="Arial" w:cs="Arial"/>
          <w:bCs/>
          <w:color w:val="000000" w:themeColor="text1"/>
          <w:kern w:val="0"/>
          <w:lang w:val="en-US"/>
          <w14:ligatures w14:val="none"/>
        </w:rPr>
        <w:t xml:space="preserve"> the group statistics.</w:t>
      </w:r>
    </w:p>
    <w:p w14:paraId="20C78A0A" w14:textId="77777777" w:rsidR="00142758" w:rsidRPr="00874ABF" w:rsidRDefault="00142758" w:rsidP="00142758">
      <w:pPr>
        <w:spacing w:after="120" w:line="360" w:lineRule="auto"/>
        <w:rPr>
          <w:rFonts w:ascii="Arial" w:eastAsia="source serif 4" w:hAnsi="Arial" w:cs="Arial"/>
          <w:b/>
          <w:color w:val="000000" w:themeColor="text1"/>
          <w:kern w:val="0"/>
          <w:sz w:val="20"/>
          <w:szCs w:val="20"/>
          <w:lang w:val="en-US"/>
          <w14:ligatures w14:val="none"/>
        </w:rPr>
      </w:pPr>
    </w:p>
    <w:p w14:paraId="220770E9" w14:textId="1995B936"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8. Mean mark, first vs second half (N = 128)</w:t>
      </w:r>
    </w:p>
    <w:p w14:paraId="128354DE" w14:textId="7D159E02" w:rsidR="00142758" w:rsidRPr="00874ABF" w:rsidRDefault="00784DC4" w:rsidP="00371EBB">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031DD322" wp14:editId="2E57E5BF">
            <wp:extent cx="5430455" cy="1900362"/>
            <wp:effectExtent l="0" t="0" r="0" b="5080"/>
            <wp:docPr id="24127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7400" name=""/>
                    <pic:cNvPicPr/>
                  </pic:nvPicPr>
                  <pic:blipFill rotWithShape="1">
                    <a:blip r:embed="rId24"/>
                    <a:srcRect l="15571" t="41442" r="64574" b="33857"/>
                    <a:stretch>
                      <a:fillRect/>
                    </a:stretch>
                  </pic:blipFill>
                  <pic:spPr bwMode="auto">
                    <a:xfrm>
                      <a:off x="0" y="0"/>
                      <a:ext cx="5510975" cy="1928540"/>
                    </a:xfrm>
                    <a:prstGeom prst="rect">
                      <a:avLst/>
                    </a:prstGeom>
                    <a:ln>
                      <a:noFill/>
                    </a:ln>
                    <a:extLst>
                      <a:ext uri="{53640926-AAD7-44D8-BBD7-CCE9431645EC}">
                        <a14:shadowObscured xmlns:a14="http://schemas.microsoft.com/office/drawing/2010/main"/>
                      </a:ext>
                    </a:extLst>
                  </pic:spPr>
                </pic:pic>
              </a:graphicData>
            </a:graphic>
          </wp:inline>
        </w:drawing>
      </w:r>
    </w:p>
    <w:p w14:paraId="76F49A4F" w14:textId="77777777" w:rsidR="00371EBB" w:rsidRPr="00874ABF" w:rsidRDefault="00371EBB" w:rsidP="00371EBB">
      <w:pPr>
        <w:spacing w:after="120" w:line="360" w:lineRule="auto"/>
        <w:rPr>
          <w:rFonts w:ascii="Arial" w:eastAsia="source serif 4" w:hAnsi="Arial" w:cs="Arial"/>
          <w:b/>
          <w:color w:val="000000" w:themeColor="text1"/>
          <w:kern w:val="0"/>
          <w:sz w:val="22"/>
          <w:szCs w:val="22"/>
          <w:lang w:val="en-US"/>
          <w14:ligatures w14:val="none"/>
        </w:rPr>
      </w:pPr>
    </w:p>
    <w:p w14:paraId="535B814B"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4.2.6 Formally recorded reasonable adjustments</w:t>
      </w:r>
    </w:p>
    <w:p w14:paraId="787C005F" w14:textId="1A5CF4D1" w:rsidR="00142758" w:rsidRPr="00874ABF" w:rsidRDefault="00371EBB"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Despite initially planning to do so, n</w:t>
      </w:r>
      <w:r w:rsidR="00142758" w:rsidRPr="00874ABF">
        <w:rPr>
          <w:rFonts w:ascii="Arial" w:eastAsia="source serif 4" w:hAnsi="Arial" w:cs="Arial"/>
          <w:bCs/>
          <w:color w:val="000000" w:themeColor="text1"/>
          <w:kern w:val="0"/>
          <w:lang w:val="en-US"/>
          <w14:ligatures w14:val="none"/>
        </w:rPr>
        <w:t>o hypothesis was tested for formally recorded reasonable adjustments because the number of records was too small for reliable inferential analysis. The findings are therefore reported descriptively.</w:t>
      </w:r>
    </w:p>
    <w:p w14:paraId="48272C74"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 formal record of reasonable adjustments, known as a Statement of Compensatory Measures (SCM), was recorded for 12 of the 168 analysed enrolment records (7.1%). These 12 records related to 10 of the 159 individual students in the dataset, meaning that 6.3% of students had an SCM record.</w:t>
      </w:r>
    </w:p>
    <w:p w14:paraId="21E1465E" w14:textId="42141725"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SCM record-creation dates ranged from June 202</w:t>
      </w:r>
      <w:r w:rsidR="00371EBB" w:rsidRPr="00874ABF">
        <w:rPr>
          <w:rFonts w:ascii="Arial" w:eastAsia="source serif 4" w:hAnsi="Arial" w:cs="Arial"/>
          <w:bCs/>
          <w:color w:val="000000" w:themeColor="text1"/>
          <w:kern w:val="0"/>
          <w:lang w:val="en-US"/>
          <w14:ligatures w14:val="none"/>
        </w:rPr>
        <w:t>3</w:t>
      </w:r>
      <w:r w:rsidRPr="00874ABF">
        <w:rPr>
          <w:rFonts w:ascii="Arial" w:eastAsia="source serif 4" w:hAnsi="Arial" w:cs="Arial"/>
          <w:bCs/>
          <w:color w:val="000000" w:themeColor="text1"/>
          <w:kern w:val="0"/>
          <w:lang w:val="en-US"/>
          <w14:ligatures w14:val="none"/>
        </w:rPr>
        <w:t xml:space="preserve"> to March 202</w:t>
      </w:r>
      <w:r w:rsidR="00371EBB" w:rsidRPr="00874ABF">
        <w:rPr>
          <w:rFonts w:ascii="Arial" w:eastAsia="source serif 4" w:hAnsi="Arial" w:cs="Arial"/>
          <w:bCs/>
          <w:color w:val="000000" w:themeColor="text1"/>
          <w:kern w:val="0"/>
          <w:lang w:val="en-US"/>
          <w14:ligatures w14:val="none"/>
        </w:rPr>
        <w:t>5</w:t>
      </w:r>
      <w:r w:rsidRPr="00874ABF">
        <w:rPr>
          <w:rFonts w:ascii="Arial" w:eastAsia="source serif 4" w:hAnsi="Arial" w:cs="Arial"/>
          <w:bCs/>
          <w:color w:val="000000" w:themeColor="text1"/>
          <w:kern w:val="0"/>
          <w:lang w:val="en-US"/>
          <w14:ligatures w14:val="none"/>
        </w:rPr>
        <w:t>. For three enrolment records, the SCM record was created after 31 August in the academic year to which that enrolment record related. Only two records had module marks both before and after the SCM record-creation date. This meant that there were too few suitable cases to compare marks before and after the record was created. No statistical test was therefore carried out.</w:t>
      </w:r>
    </w:p>
    <w:p w14:paraId="0DE6C06A" w14:textId="598D2376" w:rsidR="00371EBB"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lastRenderedPageBreak/>
        <w:t xml:space="preserve">The SCM date refers to when the administrative record was created. It does not necessarily show when a student first received support or reasonable adjustments. </w:t>
      </w:r>
    </w:p>
    <w:p w14:paraId="2357BFC8" w14:textId="77777777" w:rsidR="008F296B" w:rsidRPr="008F296B" w:rsidRDefault="008F296B" w:rsidP="00142758">
      <w:pPr>
        <w:spacing w:after="120" w:line="360" w:lineRule="auto"/>
        <w:rPr>
          <w:rFonts w:ascii="Arial" w:eastAsia="source serif 4" w:hAnsi="Arial" w:cs="Arial"/>
          <w:bCs/>
          <w:color w:val="000000" w:themeColor="text1"/>
          <w:kern w:val="0"/>
          <w:lang w:val="en-US"/>
          <w14:ligatures w14:val="none"/>
        </w:rPr>
      </w:pPr>
    </w:p>
    <w:p w14:paraId="546C926F" w14:textId="77777777"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9. Formal confirmation of reasonable adjustments</w:t>
      </w:r>
    </w:p>
    <w:p w14:paraId="7B9702AF" w14:textId="4FC03289" w:rsidR="00225746" w:rsidRPr="00874ABF" w:rsidRDefault="00225746"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1B5F822C" wp14:editId="008BAB78">
            <wp:extent cx="5284135" cy="1351722"/>
            <wp:effectExtent l="0" t="0" r="0" b="1270"/>
            <wp:docPr id="54083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39835" name=""/>
                    <pic:cNvPicPr/>
                  </pic:nvPicPr>
                  <pic:blipFill rotWithShape="1">
                    <a:blip r:embed="rId25"/>
                    <a:srcRect l="15562" t="40892" r="64163" b="40668"/>
                    <a:stretch>
                      <a:fillRect/>
                    </a:stretch>
                  </pic:blipFill>
                  <pic:spPr bwMode="auto">
                    <a:xfrm>
                      <a:off x="0" y="0"/>
                      <a:ext cx="5370373" cy="1373782"/>
                    </a:xfrm>
                    <a:prstGeom prst="rect">
                      <a:avLst/>
                    </a:prstGeom>
                    <a:ln>
                      <a:noFill/>
                    </a:ln>
                    <a:extLst>
                      <a:ext uri="{53640926-AAD7-44D8-BBD7-CCE9431645EC}">
                        <a14:shadowObscured xmlns:a14="http://schemas.microsoft.com/office/drawing/2010/main"/>
                      </a:ext>
                    </a:extLst>
                  </pic:spPr>
                </pic:pic>
              </a:graphicData>
            </a:graphic>
          </wp:inline>
        </w:drawing>
      </w:r>
    </w:p>
    <w:p w14:paraId="643A8676" w14:textId="25A055A4" w:rsidR="00142758" w:rsidRPr="00874ABF" w:rsidRDefault="00142758" w:rsidP="00142758">
      <w:pPr>
        <w:spacing w:line="360" w:lineRule="auto"/>
        <w:rPr>
          <w:rFonts w:ascii="Arial" w:hAnsi="Arial" w:cs="Arial"/>
          <w:color w:val="000000" w:themeColor="text1"/>
        </w:rPr>
      </w:pPr>
    </w:p>
    <w:p w14:paraId="34454A6A" w14:textId="77777777"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10. SCM records by academic year (source rows)</w:t>
      </w:r>
    </w:p>
    <w:p w14:paraId="1B00F540" w14:textId="739BCF07" w:rsidR="00225746" w:rsidRPr="00874ABF" w:rsidRDefault="00225746" w:rsidP="00142758">
      <w:pPr>
        <w:spacing w:line="360" w:lineRule="auto"/>
        <w:rPr>
          <w:rFonts w:ascii="Arial" w:hAnsi="Arial" w:cs="Arial"/>
          <w:noProof/>
          <w:color w:val="000000" w:themeColor="text1"/>
        </w:rPr>
      </w:pPr>
      <w:r w:rsidRPr="00874ABF">
        <w:rPr>
          <w:rFonts w:ascii="Arial" w:hAnsi="Arial" w:cs="Arial"/>
          <w:noProof/>
          <w:color w:val="000000" w:themeColor="text1"/>
        </w:rPr>
        <w:drawing>
          <wp:inline distT="0" distB="0" distL="0" distR="0" wp14:anchorId="69D4EE18" wp14:editId="71ACCFA0">
            <wp:extent cx="5244937" cy="2337435"/>
            <wp:effectExtent l="0" t="0" r="0" b="5715"/>
            <wp:docPr id="554875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75877" name=""/>
                    <pic:cNvPicPr/>
                  </pic:nvPicPr>
                  <pic:blipFill rotWithShape="1">
                    <a:blip r:embed="rId26"/>
                    <a:srcRect l="15642" t="29615" r="64435" b="38822"/>
                    <a:stretch>
                      <a:fillRect/>
                    </a:stretch>
                  </pic:blipFill>
                  <pic:spPr bwMode="auto">
                    <a:xfrm>
                      <a:off x="0" y="0"/>
                      <a:ext cx="5334096" cy="2377169"/>
                    </a:xfrm>
                    <a:prstGeom prst="rect">
                      <a:avLst/>
                    </a:prstGeom>
                    <a:ln>
                      <a:noFill/>
                    </a:ln>
                    <a:extLst>
                      <a:ext uri="{53640926-AAD7-44D8-BBD7-CCE9431645EC}">
                        <a14:shadowObscured xmlns:a14="http://schemas.microsoft.com/office/drawing/2010/main"/>
                      </a:ext>
                    </a:extLst>
                  </pic:spPr>
                </pic:pic>
              </a:graphicData>
            </a:graphic>
          </wp:inline>
        </w:drawing>
      </w:r>
    </w:p>
    <w:p w14:paraId="405D14EE" w14:textId="77777777" w:rsidR="00225746" w:rsidRPr="00874ABF" w:rsidRDefault="00225746" w:rsidP="00142758">
      <w:pPr>
        <w:spacing w:after="120" w:line="360" w:lineRule="auto"/>
        <w:rPr>
          <w:rFonts w:ascii="Arial" w:eastAsia="source serif 4" w:hAnsi="Arial" w:cs="Arial"/>
          <w:b/>
          <w:color w:val="000000" w:themeColor="text1"/>
          <w:kern w:val="0"/>
          <w:lang w:val="en-US"/>
          <w14:ligatures w14:val="none"/>
        </w:rPr>
      </w:pPr>
    </w:p>
    <w:p w14:paraId="1DF1EB3C" w14:textId="3B622CCA"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4.2.7 Additional checks</w:t>
      </w:r>
    </w:p>
    <w:p w14:paraId="64DA1A76"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Three additional checks were carried out to help interpret the main findings. They were not part of the five main hypotheses.</w:t>
      </w:r>
    </w:p>
    <w:p w14:paraId="1E360D84" w14:textId="16A74E26"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First, Module 1 marks were compared between records that did and did not go on to complete Modules 2–6. Completers had a slightly higher mean mark (M = 62.15, SD = 14.10, n = 105) than non-completers (M = 56.56, SD = 14.49, n = 25), </w:t>
      </w:r>
      <w:proofErr w:type="gramStart"/>
      <w:r w:rsidRPr="00874ABF">
        <w:rPr>
          <w:rFonts w:ascii="Arial" w:eastAsia="source serif 4" w:hAnsi="Arial" w:cs="Arial"/>
          <w:bCs/>
          <w:color w:val="000000" w:themeColor="text1"/>
          <w:kern w:val="0"/>
          <w:lang w:val="en-US"/>
          <w14:ligatures w14:val="none"/>
        </w:rPr>
        <w:t>t(</w:t>
      </w:r>
      <w:proofErr w:type="gramEnd"/>
      <w:r w:rsidRPr="00874ABF">
        <w:rPr>
          <w:rFonts w:ascii="Arial" w:eastAsia="source serif 4" w:hAnsi="Arial" w:cs="Arial"/>
          <w:bCs/>
          <w:color w:val="000000" w:themeColor="text1"/>
          <w:kern w:val="0"/>
          <w:lang w:val="en-US"/>
          <w14:ligatures w14:val="none"/>
        </w:rPr>
        <w:t>128) = 1.77, p = .079, Hedges’s g = -0.39, 95% CI [-0.83, 0.05]</w:t>
      </w:r>
      <w:r w:rsidR="00225746" w:rsidRPr="00874ABF">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not statistically significant, though with only 25 non-completers t</w:t>
      </w:r>
      <w:r w:rsidR="009E021C" w:rsidRPr="00874ABF">
        <w:rPr>
          <w:rFonts w:ascii="Arial" w:eastAsia="source serif 4" w:hAnsi="Arial" w:cs="Arial"/>
          <w:bCs/>
          <w:color w:val="000000" w:themeColor="text1"/>
          <w:kern w:val="0"/>
          <w:lang w:val="en-US"/>
          <w14:ligatures w14:val="none"/>
        </w:rPr>
        <w:t>he sample may have been too small to detect a smaller difference.</w:t>
      </w:r>
      <w:r w:rsidRPr="00874ABF">
        <w:rPr>
          <w:rFonts w:ascii="Arial" w:eastAsia="source serif 4" w:hAnsi="Arial" w:cs="Arial"/>
          <w:bCs/>
          <w:color w:val="000000" w:themeColor="text1"/>
          <w:kern w:val="0"/>
          <w:lang w:val="en-US"/>
          <w14:ligatures w14:val="none"/>
        </w:rPr>
        <w:t xml:space="preserve"> The earlier H1 result remains the stronger, earlier indicator: </w:t>
      </w:r>
      <w:r w:rsidRPr="00874ABF">
        <w:rPr>
          <w:rFonts w:ascii="Arial" w:eastAsia="source serif 4" w:hAnsi="Arial" w:cs="Arial"/>
          <w:bCs/>
          <w:color w:val="000000" w:themeColor="text1"/>
          <w:kern w:val="0"/>
          <w:lang w:val="en-US"/>
          <w14:ligatures w14:val="none"/>
        </w:rPr>
        <w:lastRenderedPageBreak/>
        <w:t>simply having a recorded Module 1 mark, not the mark itself, distinguished completers from non-completers.</w:t>
      </w:r>
    </w:p>
    <w:p w14:paraId="1AB142F8" w14:textId="3EEB2F24"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Second, the 19 records for students under 25 at enrolment were compared with the rest. Under-25 records were less likely to have a recorded Module 1 mark (57.9% vs 79.9%, Fisher’s exact p = .042) and less likely to complete all six modules (42.1% vs 65.1%), though the completion difference was not statistically significant (p = .076). Fisher’s exact test was used because one expected cell count fell below five; given the small group size, both results should be interpreted </w:t>
      </w:r>
      <w:r w:rsidR="009E021C" w:rsidRPr="00874ABF">
        <w:rPr>
          <w:rFonts w:ascii="Arial" w:eastAsia="source serif 4" w:hAnsi="Arial" w:cs="Arial"/>
          <w:bCs/>
          <w:color w:val="000000" w:themeColor="text1"/>
          <w:kern w:val="0"/>
          <w:lang w:val="en-US"/>
          <w14:ligatures w14:val="none"/>
        </w:rPr>
        <w:t>with caution due to the small cohort sample.</w:t>
      </w:r>
    </w:p>
    <w:p w14:paraId="45A4E469" w14:textId="77777777" w:rsidR="009E021C" w:rsidRPr="00874ABF" w:rsidRDefault="009E021C"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Third, the five main hypothesis tests were repeated using only the most recent enrolment record for each of the 159 individual students. The conclusions from all five tests remained the same.</w:t>
      </w:r>
    </w:p>
    <w:p w14:paraId="39F674CA" w14:textId="77777777" w:rsidR="009E021C" w:rsidRPr="00874ABF" w:rsidRDefault="009E021C" w:rsidP="00142758">
      <w:pPr>
        <w:spacing w:after="120" w:line="360" w:lineRule="auto"/>
        <w:rPr>
          <w:rFonts w:ascii="Arial" w:eastAsia="source serif 4" w:hAnsi="Arial" w:cs="Arial"/>
          <w:bCs/>
          <w:color w:val="000000" w:themeColor="text1"/>
          <w:kern w:val="0"/>
          <w:lang w:val="en-US"/>
          <w14:ligatures w14:val="none"/>
        </w:rPr>
      </w:pPr>
    </w:p>
    <w:p w14:paraId="38B03D83"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67C921D5"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3D1A5F43"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2825E323"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7BC06A93"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75E40C28"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228A5D2F"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08F61094"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46BA4E3D"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7CA0E9E6"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05AA4200"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36BE3B96"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24B7838E"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13B1C539"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489C9467" w14:textId="77777777" w:rsidR="009A0AED" w:rsidRDefault="009A0AED" w:rsidP="00142758">
      <w:pPr>
        <w:spacing w:after="120" w:line="360" w:lineRule="auto"/>
        <w:rPr>
          <w:rFonts w:ascii="Arial" w:eastAsia="source serif 4" w:hAnsi="Arial" w:cs="Arial"/>
          <w:b/>
          <w:color w:val="000000" w:themeColor="text1"/>
          <w:kern w:val="0"/>
          <w:lang w:val="en-US"/>
          <w14:ligatures w14:val="none"/>
        </w:rPr>
      </w:pPr>
    </w:p>
    <w:p w14:paraId="741A2C07" w14:textId="25E7CC7D"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4.2.8 Summary of results</w:t>
      </w:r>
    </w:p>
    <w:p w14:paraId="1CEBB65E" w14:textId="3AFF955F" w:rsidR="00510B84" w:rsidRPr="00510B84" w:rsidRDefault="00510B84" w:rsidP="00142758">
      <w:pPr>
        <w:spacing w:after="120" w:line="360" w:lineRule="auto"/>
        <w:rPr>
          <w:rFonts w:ascii="Arial" w:eastAsia="source serif 4" w:hAnsi="Arial" w:cs="Arial"/>
          <w:bCs/>
          <w:color w:val="000000" w:themeColor="text1"/>
          <w:kern w:val="0"/>
          <w:sz w:val="22"/>
          <w:szCs w:val="22"/>
          <w:lang w:val="en-US"/>
          <w14:ligatures w14:val="none"/>
        </w:rPr>
      </w:pPr>
      <w:r w:rsidRPr="00510B84">
        <w:rPr>
          <w:rFonts w:ascii="Arial" w:eastAsia="source serif 4" w:hAnsi="Arial" w:cs="Arial"/>
          <w:bCs/>
          <w:color w:val="000000" w:themeColor="text1"/>
          <w:kern w:val="0"/>
          <w:sz w:val="22"/>
          <w:szCs w:val="22"/>
          <w:lang w:val="en-US"/>
          <w14:ligatures w14:val="none"/>
        </w:rPr>
        <w:t xml:space="preserve">Table 11 </w:t>
      </w:r>
      <w:proofErr w:type="spellStart"/>
      <w:r w:rsidRPr="00510B84">
        <w:rPr>
          <w:rFonts w:ascii="Arial" w:eastAsia="source serif 4" w:hAnsi="Arial" w:cs="Arial"/>
          <w:bCs/>
          <w:color w:val="000000" w:themeColor="text1"/>
          <w:kern w:val="0"/>
          <w:sz w:val="22"/>
          <w:szCs w:val="22"/>
          <w:lang w:val="en-US"/>
          <w14:ligatures w14:val="none"/>
        </w:rPr>
        <w:t>summarises</w:t>
      </w:r>
      <w:proofErr w:type="spellEnd"/>
      <w:r w:rsidRPr="00510B84">
        <w:rPr>
          <w:rFonts w:ascii="Arial" w:eastAsia="source serif 4" w:hAnsi="Arial" w:cs="Arial"/>
          <w:bCs/>
          <w:color w:val="000000" w:themeColor="text1"/>
          <w:kern w:val="0"/>
          <w:sz w:val="22"/>
          <w:szCs w:val="22"/>
          <w:lang w:val="en-US"/>
          <w14:ligatures w14:val="none"/>
        </w:rPr>
        <w:t xml:space="preserve"> the outcome of each hypothesis test</w:t>
      </w:r>
    </w:p>
    <w:p w14:paraId="51BB943D" w14:textId="16963E96" w:rsidR="00142758" w:rsidRPr="00874ABF" w:rsidRDefault="00142758" w:rsidP="00142758">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eastAsia="source serif 4" w:hAnsi="Arial" w:cs="Arial"/>
          <w:b/>
          <w:color w:val="000000" w:themeColor="text1"/>
          <w:kern w:val="0"/>
          <w:sz w:val="22"/>
          <w:szCs w:val="22"/>
          <w:lang w:val="en-US"/>
          <w14:ligatures w14:val="none"/>
        </w:rPr>
        <w:t>Table 11. Summary of hypothesis tests</w:t>
      </w:r>
    </w:p>
    <w:p w14:paraId="2432BA6F" w14:textId="368958AE" w:rsidR="00142758" w:rsidRPr="00874ABF" w:rsidRDefault="00225746" w:rsidP="003C2ACF">
      <w:pPr>
        <w:spacing w:after="120" w:line="360" w:lineRule="auto"/>
        <w:rPr>
          <w:rFonts w:ascii="Arial" w:eastAsia="source serif 4" w:hAnsi="Arial" w:cs="Arial"/>
          <w:b/>
          <w:color w:val="000000" w:themeColor="text1"/>
          <w:kern w:val="0"/>
          <w:sz w:val="22"/>
          <w:szCs w:val="22"/>
          <w:lang w:val="en-US"/>
          <w14:ligatures w14:val="none"/>
        </w:rPr>
      </w:pPr>
      <w:r w:rsidRPr="00874ABF">
        <w:rPr>
          <w:rFonts w:ascii="Arial" w:hAnsi="Arial" w:cs="Arial"/>
          <w:noProof/>
          <w:color w:val="000000" w:themeColor="text1"/>
        </w:rPr>
        <w:drawing>
          <wp:inline distT="0" distB="0" distL="0" distR="0" wp14:anchorId="1605E721" wp14:editId="037AB1EF">
            <wp:extent cx="6209969" cy="6443714"/>
            <wp:effectExtent l="0" t="0" r="635" b="0"/>
            <wp:docPr id="199585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52669" name=""/>
                    <pic:cNvPicPr/>
                  </pic:nvPicPr>
                  <pic:blipFill rotWithShape="1">
                    <a:blip r:embed="rId27"/>
                    <a:srcRect l="15538" t="20722" r="64645" b="6181"/>
                    <a:stretch>
                      <a:fillRect/>
                    </a:stretch>
                  </pic:blipFill>
                  <pic:spPr bwMode="auto">
                    <a:xfrm>
                      <a:off x="0" y="0"/>
                      <a:ext cx="6264776" cy="6500584"/>
                    </a:xfrm>
                    <a:prstGeom prst="rect">
                      <a:avLst/>
                    </a:prstGeom>
                    <a:ln>
                      <a:noFill/>
                    </a:ln>
                    <a:extLst>
                      <a:ext uri="{53640926-AAD7-44D8-BBD7-CCE9431645EC}">
                        <a14:shadowObscured xmlns:a14="http://schemas.microsoft.com/office/drawing/2010/main"/>
                      </a:ext>
                    </a:extLst>
                  </pic:spPr>
                </pic:pic>
              </a:graphicData>
            </a:graphic>
          </wp:inline>
        </w:drawing>
      </w:r>
    </w:p>
    <w:p w14:paraId="1E7F9D49" w14:textId="77777777" w:rsidR="003C2ACF" w:rsidRPr="00874ABF" w:rsidRDefault="003C2ACF" w:rsidP="003C2ACF">
      <w:pPr>
        <w:spacing w:after="120" w:line="360" w:lineRule="auto"/>
        <w:rPr>
          <w:rFonts w:ascii="Arial" w:eastAsia="source serif 4" w:hAnsi="Arial" w:cs="Arial"/>
          <w:b/>
          <w:color w:val="000000" w:themeColor="text1"/>
          <w:kern w:val="0"/>
          <w:sz w:val="22"/>
          <w:szCs w:val="22"/>
          <w:lang w:val="en-US"/>
          <w14:ligatures w14:val="none"/>
        </w:rPr>
      </w:pPr>
    </w:p>
    <w:p w14:paraId="08610445"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0DC6300D"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0F4CE63C" w14:textId="77777777" w:rsidR="00510B84" w:rsidRDefault="00510B84" w:rsidP="00142758">
      <w:pPr>
        <w:spacing w:after="120" w:line="360" w:lineRule="auto"/>
        <w:rPr>
          <w:rFonts w:ascii="Arial" w:eastAsia="source serif 4" w:hAnsi="Arial" w:cs="Arial"/>
          <w:b/>
          <w:color w:val="000000" w:themeColor="text1"/>
          <w:kern w:val="0"/>
          <w:lang w:val="en-US"/>
          <w14:ligatures w14:val="none"/>
        </w:rPr>
      </w:pPr>
    </w:p>
    <w:p w14:paraId="4926F8BC" w14:textId="072E1E4B"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5. Discussion</w:t>
      </w:r>
    </w:p>
    <w:p w14:paraId="772117EA"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5.1 Principal finding</w:t>
      </w:r>
    </w:p>
    <w:p w14:paraId="4B9F611F"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Submission of the first assessment was strongly associated with subsequent completion. Students who submitted Module 1 completed the remaining five modules at more than ten times the rate of those who did not. However, among students who submitted Module 1, the mark achieved did not significantly distinguish completers from non-completers. The key difference therefore appears to be in submitting the first assessment, rather than in the academic mark achieved.</w:t>
      </w:r>
    </w:p>
    <w:p w14:paraId="171A3CFF" w14:textId="0561E30B" w:rsidR="009E021C" w:rsidRPr="00874ABF" w:rsidRDefault="009E021C" w:rsidP="00142758">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Marks from the first assignment are available later because the work must be marked, moderated and confirmed, normally 20 working days after submission. In contrast, staff can see much sooner after the deadline whether a student submitted. If submission, rather than the mark achieved, is the earliest difference between students who complete and those who do not, staff can identify students who may benefit from supportive contact much earlier.</w:t>
      </w:r>
    </w:p>
    <w:p w14:paraId="727C0952" w14:textId="01C5AA13"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Other studies have found that early assessment activity can reveal potential difficulty before attainment data is available. Linden (2022) developed an institutional retention model based on submission of a single early assessment item. Ortiz-Lozano et al. (2024) found that assessments not attempted in the first semester had predictive value for dropout, while Cochrane et al. (2026) found that submission </w:t>
      </w:r>
      <w:proofErr w:type="spellStart"/>
      <w:r w:rsidRPr="00874ABF">
        <w:rPr>
          <w:rFonts w:ascii="Arial" w:eastAsia="source serif 4" w:hAnsi="Arial" w:cs="Arial"/>
          <w:bCs/>
          <w:color w:val="000000" w:themeColor="text1"/>
          <w:kern w:val="0"/>
          <w:lang w:val="en-US"/>
          <w14:ligatures w14:val="none"/>
        </w:rPr>
        <w:t>behaviour</w:t>
      </w:r>
      <w:proofErr w:type="spellEnd"/>
      <w:r w:rsidRPr="00874ABF">
        <w:rPr>
          <w:rFonts w:ascii="Arial" w:eastAsia="source serif 4" w:hAnsi="Arial" w:cs="Arial"/>
          <w:bCs/>
          <w:color w:val="000000" w:themeColor="text1"/>
          <w:kern w:val="0"/>
          <w:lang w:val="en-US"/>
          <w14:ligatures w14:val="none"/>
        </w:rPr>
        <w:t xml:space="preserve"> tended to persist across assessments even when marks did not differ meaningfully between submission groups.</w:t>
      </w:r>
    </w:p>
    <w:p w14:paraId="62152E73"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dataset cannot show why students did not submit. King and </w:t>
      </w:r>
      <w:proofErr w:type="spellStart"/>
      <w:r w:rsidRPr="00874ABF">
        <w:rPr>
          <w:rFonts w:ascii="Arial" w:eastAsia="source serif 4" w:hAnsi="Arial" w:cs="Arial"/>
          <w:bCs/>
          <w:color w:val="000000" w:themeColor="text1"/>
          <w:kern w:val="0"/>
          <w:lang w:val="en-US"/>
          <w14:ligatures w14:val="none"/>
        </w:rPr>
        <w:t>Loddick</w:t>
      </w:r>
      <w:proofErr w:type="spellEnd"/>
      <w:r w:rsidRPr="00874ABF">
        <w:rPr>
          <w:rFonts w:ascii="Arial" w:eastAsia="source serif 4" w:hAnsi="Arial" w:cs="Arial"/>
          <w:bCs/>
          <w:color w:val="000000" w:themeColor="text1"/>
          <w:kern w:val="0"/>
          <w:lang w:val="en-US"/>
          <w14:ligatures w14:val="none"/>
        </w:rPr>
        <w:t xml:space="preserve"> (2026) found that two-thirds of the reasons students gave for non-submission were situational, mainly health, family and caring responsibilities. Non-submission should therefore not automatically be read as disengagement.</w:t>
      </w:r>
    </w:p>
    <w:p w14:paraId="6A7AA551" w14:textId="77777777" w:rsidR="009E021C" w:rsidRPr="00874ABF" w:rsidRDefault="009E021C" w:rsidP="009E021C">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Students’ willingness or ability to seek support may also affect engagement and completion, but the dataset did not record support use or personal circumstances.</w:t>
      </w:r>
    </w:p>
    <w:p w14:paraId="650C0F74"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p>
    <w:p w14:paraId="2E92B838" w14:textId="77777777" w:rsidR="009A0AED" w:rsidRDefault="009A0AED" w:rsidP="00142758">
      <w:pPr>
        <w:spacing w:line="360" w:lineRule="auto"/>
        <w:rPr>
          <w:rFonts w:ascii="Arial" w:eastAsia="source serif 4" w:hAnsi="Arial" w:cs="Arial"/>
          <w:b/>
          <w:color w:val="000000" w:themeColor="text1"/>
          <w:kern w:val="0"/>
          <w:lang w:val="en-US"/>
          <w14:ligatures w14:val="none"/>
        </w:rPr>
      </w:pPr>
    </w:p>
    <w:p w14:paraId="43ADDEE2" w14:textId="77777777" w:rsidR="009A0AED" w:rsidRDefault="009A0AED" w:rsidP="00142758">
      <w:pPr>
        <w:spacing w:line="360" w:lineRule="auto"/>
        <w:rPr>
          <w:rFonts w:ascii="Arial" w:eastAsia="source serif 4" w:hAnsi="Arial" w:cs="Arial"/>
          <w:b/>
          <w:color w:val="000000" w:themeColor="text1"/>
          <w:kern w:val="0"/>
          <w:lang w:val="en-US"/>
          <w14:ligatures w14:val="none"/>
        </w:rPr>
      </w:pPr>
    </w:p>
    <w:p w14:paraId="1AB9CF93" w14:textId="4DB213C9"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5.2 Enrolment pattern and attainment</w:t>
      </w:r>
    </w:p>
    <w:p w14:paraId="655D0C99"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Students returning through repeat enrolment achieved markedly lower mean marks than students enrolled for a single year: repeat-enrolment records scored, on average, 9.64 marks lower, a large difference. Completion rates showed a similar pattern, although this is reported descriptively because completing all six modules within one year means that a student has no reason to re-</w:t>
      </w:r>
      <w:proofErr w:type="spellStart"/>
      <w:r w:rsidRPr="00874ABF">
        <w:rPr>
          <w:rFonts w:ascii="Arial" w:eastAsia="source serif 4" w:hAnsi="Arial" w:cs="Arial"/>
          <w:bCs/>
          <w:color w:val="000000" w:themeColor="text1"/>
          <w:kern w:val="0"/>
          <w:lang w:val="en-US"/>
          <w14:ligatures w14:val="none"/>
        </w:rPr>
        <w:t>enrol</w:t>
      </w:r>
      <w:proofErr w:type="spellEnd"/>
      <w:r w:rsidRPr="00874ABF">
        <w:rPr>
          <w:rFonts w:ascii="Arial" w:eastAsia="source serif 4" w:hAnsi="Arial" w:cs="Arial"/>
          <w:bCs/>
          <w:color w:val="000000" w:themeColor="text1"/>
          <w:kern w:val="0"/>
          <w:lang w:val="en-US"/>
          <w14:ligatures w14:val="none"/>
        </w:rPr>
        <w:t>. Among the 28 repeat-enrolment records, 8 completed all six modules (28.6%).</w:t>
      </w:r>
    </w:p>
    <w:p w14:paraId="3DB92D63"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Studies of interrupted enrolment show a broadly similar pattern, although the evidence is not consistent. </w:t>
      </w:r>
      <w:proofErr w:type="spellStart"/>
      <w:r w:rsidRPr="00874ABF">
        <w:rPr>
          <w:rFonts w:ascii="Arial" w:eastAsia="source serif 4" w:hAnsi="Arial" w:cs="Arial"/>
          <w:bCs/>
          <w:color w:val="000000" w:themeColor="text1"/>
          <w:kern w:val="0"/>
          <w:lang w:val="en-US"/>
          <w14:ligatures w14:val="none"/>
        </w:rPr>
        <w:t>DesJardins</w:t>
      </w:r>
      <w:proofErr w:type="spellEnd"/>
      <w:r w:rsidRPr="00874ABF">
        <w:rPr>
          <w:rFonts w:ascii="Arial" w:eastAsia="source serif 4" w:hAnsi="Arial" w:cs="Arial"/>
          <w:bCs/>
          <w:color w:val="000000" w:themeColor="text1"/>
          <w:kern w:val="0"/>
          <w:lang w:val="en-US"/>
          <w14:ligatures w14:val="none"/>
        </w:rPr>
        <w:t xml:space="preserve"> et al. (2006) found that students whose enrolment was interrupted were more likely to experience further interruptions and less likely to graduate. However, </w:t>
      </w:r>
      <w:proofErr w:type="spellStart"/>
      <w:r w:rsidRPr="00874ABF">
        <w:rPr>
          <w:rFonts w:ascii="Arial" w:eastAsia="source serif 4" w:hAnsi="Arial" w:cs="Arial"/>
          <w:bCs/>
          <w:color w:val="000000" w:themeColor="text1"/>
          <w:kern w:val="0"/>
          <w:lang w:val="en-US"/>
          <w14:ligatures w14:val="none"/>
        </w:rPr>
        <w:t>Tafreschi</w:t>
      </w:r>
      <w:proofErr w:type="spellEnd"/>
      <w:r w:rsidRPr="00874ABF">
        <w:rPr>
          <w:rFonts w:ascii="Arial" w:eastAsia="source serif 4" w:hAnsi="Arial" w:cs="Arial"/>
          <w:bCs/>
          <w:color w:val="000000" w:themeColor="text1"/>
          <w:kern w:val="0"/>
          <w:lang w:val="en-US"/>
          <w14:ligatures w14:val="none"/>
        </w:rPr>
        <w:t xml:space="preserve"> and Thiemann (2016) found that where students were required to repeat a full year, their later grade point averages improved, even though first-year dropout increased. Repetition may therefore have different consequences depending on how and why it occurs.</w:t>
      </w:r>
    </w:p>
    <w:p w14:paraId="040F06B6" w14:textId="521C6454" w:rsidR="00142758" w:rsidRPr="00874ABF" w:rsidRDefault="00810DD4"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ALaM students returning normally retain their previous marks, </w:t>
      </w:r>
      <w:r w:rsidR="00BD04F8" w:rsidRPr="00BD04F8">
        <w:rPr>
          <w:rFonts w:ascii="Arial" w:eastAsia="source serif 4" w:hAnsi="Arial" w:cs="Arial"/>
          <w:bCs/>
          <w:color w:val="000000" w:themeColor="text1"/>
          <w:kern w:val="0"/>
          <w:lang w:val="en-US"/>
          <w14:ligatures w14:val="none"/>
        </w:rPr>
        <w:t>completing only the modules left unfinished</w:t>
      </w:r>
      <w:r w:rsidRPr="00874ABF">
        <w:rPr>
          <w:rFonts w:ascii="Arial" w:eastAsia="source serif 4" w:hAnsi="Arial" w:cs="Arial"/>
          <w:bCs/>
          <w:color w:val="000000" w:themeColor="text1"/>
          <w:kern w:val="0"/>
          <w:lang w:val="en-US"/>
          <w14:ligatures w14:val="none"/>
        </w:rPr>
        <w:t xml:space="preserve">. </w:t>
      </w:r>
      <w:r w:rsidR="00142758" w:rsidRPr="00874ABF">
        <w:rPr>
          <w:rFonts w:ascii="Arial" w:eastAsia="source serif 4" w:hAnsi="Arial" w:cs="Arial"/>
          <w:bCs/>
          <w:color w:val="000000" w:themeColor="text1"/>
          <w:kern w:val="0"/>
          <w:lang w:val="en-US"/>
          <w14:ligatures w14:val="none"/>
        </w:rPr>
        <w:t xml:space="preserve">Repeat enrolment in this study may </w:t>
      </w:r>
      <w:r w:rsidR="009E021C" w:rsidRPr="00874ABF">
        <w:rPr>
          <w:rFonts w:ascii="Arial" w:eastAsia="source serif 4" w:hAnsi="Arial" w:cs="Arial"/>
          <w:bCs/>
          <w:color w:val="000000" w:themeColor="text1"/>
          <w:kern w:val="0"/>
          <w:lang w:val="en-US"/>
          <w14:ligatures w14:val="none"/>
        </w:rPr>
        <w:t xml:space="preserve">therefore </w:t>
      </w:r>
      <w:r w:rsidR="00142758" w:rsidRPr="00874ABF">
        <w:rPr>
          <w:rFonts w:ascii="Arial" w:eastAsia="source serif 4" w:hAnsi="Arial" w:cs="Arial"/>
          <w:bCs/>
          <w:color w:val="000000" w:themeColor="text1"/>
          <w:kern w:val="0"/>
          <w:lang w:val="en-US"/>
          <w14:ligatures w14:val="none"/>
        </w:rPr>
        <w:t xml:space="preserve">reflect disruption rather than a planned opportunity to repeat and improve. This fits wider evidence that interrupted educational histories are linked to lower continuation and attainment, and that mature learners often balance financial pressure, caring responsibilities and limited time (Erb &amp; Drysdale, 2017; Moore et al., 2013; </w:t>
      </w:r>
      <w:proofErr w:type="spellStart"/>
      <w:r w:rsidR="00142758" w:rsidRPr="00874ABF">
        <w:rPr>
          <w:rFonts w:ascii="Arial" w:eastAsia="source serif 4" w:hAnsi="Arial" w:cs="Arial"/>
          <w:bCs/>
          <w:color w:val="000000" w:themeColor="text1"/>
          <w:kern w:val="0"/>
          <w:lang w:val="en-US"/>
          <w14:ligatures w14:val="none"/>
        </w:rPr>
        <w:t>OfS</w:t>
      </w:r>
      <w:proofErr w:type="spellEnd"/>
      <w:r w:rsidR="00142758" w:rsidRPr="00874ABF">
        <w:rPr>
          <w:rFonts w:ascii="Arial" w:eastAsia="source serif 4" w:hAnsi="Arial" w:cs="Arial"/>
          <w:bCs/>
          <w:color w:val="000000" w:themeColor="text1"/>
          <w:kern w:val="0"/>
          <w:lang w:val="en-US"/>
          <w14:ligatures w14:val="none"/>
        </w:rPr>
        <w:t>, 2021). The records do not show why individual students re-enrolled.</w:t>
      </w:r>
    </w:p>
    <w:p w14:paraId="4F811C21" w14:textId="58FB2C48" w:rsidR="00142758" w:rsidRPr="00874ABF" w:rsidRDefault="00810DD4"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data cannot distinguish between students who re-enrolled and resumed their studies and those who re-enrolled but did not go on to engage; intention to return was recorded only as text </w:t>
      </w:r>
      <w:proofErr w:type="gramStart"/>
      <w:r w:rsidRPr="00874ABF">
        <w:rPr>
          <w:rFonts w:ascii="Arial" w:eastAsia="source serif 4" w:hAnsi="Arial" w:cs="Arial"/>
          <w:bCs/>
          <w:color w:val="000000" w:themeColor="text1"/>
          <w:kern w:val="0"/>
          <w:lang w:val="en-US"/>
          <w14:ligatures w14:val="none"/>
        </w:rPr>
        <w:t>notes, and</w:t>
      </w:r>
      <w:proofErr w:type="gramEnd"/>
      <w:r w:rsidRPr="00874ABF">
        <w:rPr>
          <w:rFonts w:ascii="Arial" w:eastAsia="source serif 4" w:hAnsi="Arial" w:cs="Arial"/>
          <w:bCs/>
          <w:color w:val="000000" w:themeColor="text1"/>
          <w:kern w:val="0"/>
          <w:lang w:val="en-US"/>
          <w14:ligatures w14:val="none"/>
        </w:rPr>
        <w:t xml:space="preserve"> not analysed. This is likely to affect few records, since 25 of the 28 repeat-enrolment records had at least one mark and 8 completed all six modules, suggesting most repeat-enrolment records represent genuine returns to study.</w:t>
      </w:r>
    </w:p>
    <w:p w14:paraId="2720F7AE" w14:textId="77777777" w:rsidR="00142758" w:rsidRPr="00874ABF"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analysis cannot show whether lower attainment reflects the circumstances that caused the initial interruption, the interruption itself, or the challenge of re-joining the programme partway through a subsequent year.</w:t>
      </w:r>
    </w:p>
    <w:p w14:paraId="36CA91F2"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44DD28C"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5.3 Stability of attainment</w:t>
      </w:r>
    </w:p>
    <w:p w14:paraId="25C8EF14" w14:textId="77777777" w:rsidR="00810DD4" w:rsidRPr="00874ABF" w:rsidRDefault="00810DD4"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Mean marks did not differ significantly between the three cohorts or between the first and second halves of the six-module sequence. The same conclusions were reached when alternative statistical tests were used.</w:t>
      </w:r>
    </w:p>
    <w:p w14:paraId="022C8E76" w14:textId="5B6CA09A" w:rsidR="00142758" w:rsidRPr="00874ABF" w:rsidRDefault="00810DD4"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These results do not prove that the cohorts or module halves were </w:t>
      </w:r>
      <w:proofErr w:type="gramStart"/>
      <w:r w:rsidRPr="00874ABF">
        <w:rPr>
          <w:rFonts w:ascii="Arial" w:eastAsia="source serif 4" w:hAnsi="Arial" w:cs="Arial"/>
          <w:bCs/>
          <w:color w:val="000000" w:themeColor="text1"/>
          <w:kern w:val="0"/>
          <w14:ligatures w14:val="none"/>
        </w:rPr>
        <w:t>exactly the same</w:t>
      </w:r>
      <w:proofErr w:type="gramEnd"/>
      <w:r w:rsidRPr="00874ABF">
        <w:rPr>
          <w:rFonts w:ascii="Arial" w:eastAsia="source serif 4" w:hAnsi="Arial" w:cs="Arial"/>
          <w:bCs/>
          <w:color w:val="000000" w:themeColor="text1"/>
          <w:kern w:val="0"/>
          <w14:ligatures w14:val="none"/>
        </w:rPr>
        <w:t>. They only show that this dataset found no clear evidence of a difference. However, this makes it less likely that the main findings were caused by large differences between cohorts or by major changes in assessment difficulty across the programme.</w:t>
      </w:r>
    </w:p>
    <w:p w14:paraId="63677C77" w14:textId="77777777" w:rsidR="00810DD4" w:rsidRPr="00874ABF" w:rsidRDefault="00810DD4" w:rsidP="00142758">
      <w:pPr>
        <w:spacing w:after="120" w:line="360" w:lineRule="auto"/>
        <w:rPr>
          <w:rFonts w:ascii="Arial" w:eastAsia="source serif 4" w:hAnsi="Arial" w:cs="Arial"/>
          <w:b/>
          <w:color w:val="000000" w:themeColor="text1"/>
          <w:kern w:val="0"/>
          <w:lang w:val="en-US"/>
          <w14:ligatures w14:val="none"/>
        </w:rPr>
      </w:pPr>
    </w:p>
    <w:p w14:paraId="0261FBA5" w14:textId="2B4DD169"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5.4 Assessment disruption and attainment</w:t>
      </w:r>
    </w:p>
    <w:p w14:paraId="7873BF03" w14:textId="3FD458E4" w:rsidR="00810DD4" w:rsidRPr="00874ABF" w:rsidRDefault="00142758" w:rsidP="00142758">
      <w:pPr>
        <w:spacing w:after="120" w:line="360" w:lineRule="auto"/>
        <w:rPr>
          <w:rFonts w:ascii="Arial" w:eastAsia="Aptos" w:hAnsi="Arial" w:cs="Arial"/>
          <w:color w:val="000000" w:themeColor="text1"/>
        </w:rPr>
      </w:pPr>
      <w:r w:rsidRPr="00874ABF">
        <w:rPr>
          <w:rFonts w:ascii="Arial" w:eastAsia="Aptos" w:hAnsi="Arial" w:cs="Arial"/>
          <w:color w:val="000000" w:themeColor="text1"/>
        </w:rPr>
        <w:t xml:space="preserve">More non-submissions were associated with lower mean marks, </w:t>
      </w:r>
      <w:r w:rsidRPr="00874ABF">
        <w:rPr>
          <w:rFonts w:ascii="Arial" w:eastAsia="source serif 4" w:hAnsi="Arial" w:cs="Arial"/>
          <w:bCs/>
          <w:color w:val="000000" w:themeColor="text1"/>
          <w:kern w:val="0"/>
          <w:lang w:val="en-US"/>
          <w14:ligatures w14:val="none"/>
        </w:rPr>
        <w:t xml:space="preserve">r </w:t>
      </w:r>
      <w:r w:rsidR="00BD04F8" w:rsidRPr="00BD04F8">
        <w:rPr>
          <w:rFonts w:ascii="Arial" w:eastAsia="source serif 4" w:hAnsi="Arial" w:cs="Arial"/>
          <w:bCs/>
          <w:color w:val="000000" w:themeColor="text1"/>
          <w:kern w:val="0"/>
          <w:lang w:val="en-US"/>
          <w14:ligatures w14:val="none"/>
        </w:rPr>
        <w:t>= -.38</w:t>
      </w:r>
      <w:r w:rsidRPr="00874ABF">
        <w:rPr>
          <w:rFonts w:ascii="Arial" w:eastAsia="source serif 4" w:hAnsi="Arial" w:cs="Arial"/>
          <w:bCs/>
          <w:color w:val="000000" w:themeColor="text1"/>
          <w:kern w:val="0"/>
          <w:lang w:val="en-US"/>
          <w14:ligatures w14:val="none"/>
        </w:rPr>
        <w:t xml:space="preserve">. </w:t>
      </w:r>
      <w:r w:rsidR="00810DD4" w:rsidRPr="00874ABF">
        <w:rPr>
          <w:rFonts w:ascii="Arial" w:eastAsia="Aptos" w:hAnsi="Arial" w:cs="Arial"/>
          <w:color w:val="000000" w:themeColor="text1"/>
        </w:rPr>
        <w:t xml:space="preserve"> This is consistent with evidence that missed assessments can help institutions identify students who may be at risk of poorer outcomes, using information they already hold (Ortiz-Lozano et al., 2024).</w:t>
      </w:r>
    </w:p>
    <w:p w14:paraId="03D9CD3B" w14:textId="144C0476" w:rsidR="00810DD4" w:rsidRPr="00874ABF" w:rsidRDefault="00810DD4" w:rsidP="00810DD4">
      <w:pPr>
        <w:spacing w:after="120" w:line="360" w:lineRule="auto"/>
        <w:rPr>
          <w:rFonts w:ascii="Arial" w:eastAsia="Aptos" w:hAnsi="Arial" w:cs="Arial"/>
          <w:color w:val="000000" w:themeColor="text1"/>
        </w:rPr>
      </w:pPr>
      <w:r w:rsidRPr="00874ABF">
        <w:rPr>
          <w:rFonts w:ascii="Arial" w:eastAsia="Aptos" w:hAnsi="Arial" w:cs="Arial"/>
          <w:color w:val="000000" w:themeColor="text1"/>
        </w:rPr>
        <w:t>This finding is related to, but different from, the Module 1 result. Not submitting the first assessment gives an early warning at one point in time. In this study, it clearly separated records that later completed from those that did not.</w:t>
      </w:r>
    </w:p>
    <w:p w14:paraId="55A315D1" w14:textId="77777777" w:rsidR="00810DD4" w:rsidRPr="00874ABF" w:rsidRDefault="00810DD4" w:rsidP="00810DD4">
      <w:pPr>
        <w:spacing w:after="120" w:line="360" w:lineRule="auto"/>
        <w:rPr>
          <w:rFonts w:ascii="Arial" w:eastAsia="Aptos" w:hAnsi="Arial" w:cs="Arial"/>
          <w:color w:val="000000" w:themeColor="text1"/>
        </w:rPr>
      </w:pPr>
      <w:r w:rsidRPr="00874ABF">
        <w:rPr>
          <w:rFonts w:ascii="Arial" w:eastAsia="Aptos" w:hAnsi="Arial" w:cs="Arial"/>
          <w:color w:val="000000" w:themeColor="text1"/>
        </w:rPr>
        <w:t xml:space="preserve">A higher number of non-submissions across the programme suggests that difficulties may have continued. The first missed assessment can trigger early supportive contact, while the total number shows whether missed submissions continued. Neither finding proves that non-submission caused non-completion or lower marks (King &amp; </w:t>
      </w:r>
      <w:proofErr w:type="spellStart"/>
      <w:r w:rsidRPr="00874ABF">
        <w:rPr>
          <w:rFonts w:ascii="Arial" w:eastAsia="Aptos" w:hAnsi="Arial" w:cs="Arial"/>
          <w:color w:val="000000" w:themeColor="text1"/>
        </w:rPr>
        <w:t>Loddick</w:t>
      </w:r>
      <w:proofErr w:type="spellEnd"/>
      <w:r w:rsidRPr="00874ABF">
        <w:rPr>
          <w:rFonts w:ascii="Arial" w:eastAsia="Aptos" w:hAnsi="Arial" w:cs="Arial"/>
          <w:color w:val="000000" w:themeColor="text1"/>
        </w:rPr>
        <w:t>, 2026).</w:t>
      </w:r>
    </w:p>
    <w:p w14:paraId="2626E565" w14:textId="77777777" w:rsidR="00142758" w:rsidRPr="00874ABF" w:rsidRDefault="00142758" w:rsidP="00142758">
      <w:pPr>
        <w:spacing w:after="120" w:line="360" w:lineRule="auto"/>
        <w:rPr>
          <w:rFonts w:ascii="Arial" w:eastAsia="Aptos" w:hAnsi="Arial" w:cs="Arial"/>
          <w:color w:val="000000" w:themeColor="text1"/>
        </w:rPr>
      </w:pPr>
    </w:p>
    <w:p w14:paraId="3D3B0DE9" w14:textId="4BB4CF5C" w:rsidR="00142758" w:rsidRPr="00874ABF" w:rsidRDefault="00142758" w:rsidP="00142758">
      <w:pPr>
        <w:spacing w:after="120" w:line="360" w:lineRule="auto"/>
        <w:rPr>
          <w:rFonts w:ascii="Arial" w:eastAsia="Aptos" w:hAnsi="Arial" w:cs="Arial"/>
          <w:color w:val="000000" w:themeColor="text1"/>
        </w:rPr>
      </w:pPr>
      <w:r w:rsidRPr="00874ABF">
        <w:rPr>
          <w:rFonts w:ascii="Arial" w:eastAsia="source serif 4" w:hAnsi="Arial" w:cs="Arial"/>
          <w:b/>
          <w:color w:val="000000" w:themeColor="text1"/>
          <w:kern w:val="0"/>
          <w:lang w:val="en-US"/>
          <w14:ligatures w14:val="none"/>
        </w:rPr>
        <w:t>5.5 Formal confirmation of reasonable adjustments</w:t>
      </w:r>
    </w:p>
    <w:p w14:paraId="6C2EA274" w14:textId="77777777" w:rsidR="00BD04F8" w:rsidRDefault="00142758" w:rsidP="00142758">
      <w:pPr>
        <w:spacing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low recorded </w:t>
      </w:r>
      <w:r w:rsidR="00810DD4" w:rsidRPr="00874ABF">
        <w:rPr>
          <w:rFonts w:ascii="Arial" w:eastAsia="source serif 4" w:hAnsi="Arial" w:cs="Arial"/>
          <w:bCs/>
          <w:color w:val="000000" w:themeColor="text1"/>
          <w:kern w:val="0"/>
          <w:lang w:val="en-US"/>
          <w14:ligatures w14:val="none"/>
        </w:rPr>
        <w:t xml:space="preserve">SCM </w:t>
      </w:r>
      <w:r w:rsidRPr="00874ABF">
        <w:rPr>
          <w:rFonts w:ascii="Arial" w:eastAsia="source serif 4" w:hAnsi="Arial" w:cs="Arial"/>
          <w:bCs/>
          <w:color w:val="000000" w:themeColor="text1"/>
          <w:kern w:val="0"/>
          <w:lang w:val="en-US"/>
          <w14:ligatures w14:val="none"/>
        </w:rPr>
        <w:t xml:space="preserve">percentage should not be treated as a measure of how many students needed support. In 2022/23, 16.5% of UK higher education students had </w:t>
      </w:r>
      <w:proofErr w:type="gramStart"/>
      <w:r w:rsidRPr="00874ABF">
        <w:rPr>
          <w:rFonts w:ascii="Arial" w:eastAsia="source serif 4" w:hAnsi="Arial" w:cs="Arial"/>
          <w:bCs/>
          <w:color w:val="000000" w:themeColor="text1"/>
          <w:kern w:val="0"/>
          <w:lang w:val="en-US"/>
          <w14:ligatures w14:val="none"/>
        </w:rPr>
        <w:t>a declared</w:t>
      </w:r>
      <w:proofErr w:type="gramEnd"/>
      <w:r w:rsidRPr="00874ABF">
        <w:rPr>
          <w:rFonts w:ascii="Arial" w:eastAsia="source serif 4" w:hAnsi="Arial" w:cs="Arial"/>
          <w:bCs/>
          <w:color w:val="000000" w:themeColor="text1"/>
          <w:kern w:val="0"/>
          <w:lang w:val="en-US"/>
          <w14:ligatures w14:val="none"/>
        </w:rPr>
        <w:t xml:space="preserve"> disability, impairment, health condition or learning difference, compared with 6.3% of students in this study who had a formally recorded SCM (Higher Education Statistics Agency [</w:t>
      </w:r>
      <w:proofErr w:type="spellStart"/>
      <w:r w:rsidRPr="00874ABF">
        <w:rPr>
          <w:rFonts w:ascii="Arial" w:eastAsia="source serif 4" w:hAnsi="Arial" w:cs="Arial"/>
          <w:bCs/>
          <w:color w:val="000000" w:themeColor="text1"/>
          <w:kern w:val="0"/>
          <w:lang w:val="en-US"/>
          <w14:ligatures w14:val="none"/>
        </w:rPr>
        <w:t>HESA</w:t>
      </w:r>
      <w:proofErr w:type="spellEnd"/>
      <w:r w:rsidRPr="00874ABF">
        <w:rPr>
          <w:rFonts w:ascii="Arial" w:eastAsia="source serif 4" w:hAnsi="Arial" w:cs="Arial"/>
          <w:bCs/>
          <w:color w:val="000000" w:themeColor="text1"/>
          <w:kern w:val="0"/>
          <w:lang w:val="en-US"/>
          <w14:ligatures w14:val="none"/>
        </w:rPr>
        <w:t xml:space="preserve">], 2024). These are not equivalent measures: a student’s disability declaration and formal confirmation of an adjustment involve </w:t>
      </w:r>
      <w:r w:rsidRPr="00874ABF">
        <w:rPr>
          <w:rFonts w:ascii="Arial" w:eastAsia="source serif 4" w:hAnsi="Arial" w:cs="Arial"/>
          <w:bCs/>
          <w:color w:val="000000" w:themeColor="text1"/>
          <w:kern w:val="0"/>
          <w:lang w:val="en-US"/>
          <w14:ligatures w14:val="none"/>
        </w:rPr>
        <w:lastRenderedPageBreak/>
        <w:t xml:space="preserve">different processes and thresholds. The comparison is therefore indicative rather than like-for-like. </w:t>
      </w:r>
    </w:p>
    <w:p w14:paraId="724E26CB" w14:textId="6ABBAFEE" w:rsidR="00142758" w:rsidRPr="00874ABF" w:rsidRDefault="00BD04F8" w:rsidP="00142758">
      <w:pPr>
        <w:spacing w:line="360" w:lineRule="auto"/>
        <w:rPr>
          <w:rFonts w:ascii="Arial" w:eastAsia="source serif 4" w:hAnsi="Arial" w:cs="Arial"/>
          <w:bCs/>
          <w:color w:val="000000" w:themeColor="text1"/>
          <w:kern w:val="0"/>
          <w:lang w:val="en-US"/>
          <w14:ligatures w14:val="none"/>
        </w:rPr>
      </w:pPr>
      <w:r w:rsidRPr="00BD04F8">
        <w:rPr>
          <w:rFonts w:ascii="Arial" w:eastAsia="source serif 4" w:hAnsi="Arial" w:cs="Arial"/>
          <w:bCs/>
          <w:color w:val="000000" w:themeColor="text1"/>
          <w:kern w:val="0"/>
          <w:lang w:val="en-US"/>
          <w14:ligatures w14:val="none"/>
        </w:rPr>
        <w:t>Because General Study Skills support is available to every student (Section 3.8), the issue may be less about</w:t>
      </w:r>
      <w:r>
        <w:rPr>
          <w:rFonts w:ascii="Arial" w:eastAsia="source serif 4" w:hAnsi="Arial" w:cs="Arial"/>
          <w:bCs/>
          <w:color w:val="000000" w:themeColor="text1"/>
          <w:kern w:val="0"/>
          <w:lang w:val="en-US"/>
          <w14:ligatures w14:val="none"/>
        </w:rPr>
        <w:t xml:space="preserve"> </w:t>
      </w:r>
      <w:r w:rsidR="00142758" w:rsidRPr="00874ABF">
        <w:rPr>
          <w:rFonts w:ascii="Arial" w:eastAsia="source serif 4" w:hAnsi="Arial" w:cs="Arial"/>
          <w:bCs/>
          <w:color w:val="000000" w:themeColor="text1"/>
          <w:kern w:val="0"/>
          <w:lang w:val="en-US"/>
          <w14:ligatures w14:val="none"/>
        </w:rPr>
        <w:t>whether support is available than whether students recognise that they need it, feel able to ask for it, and can access it early enough for it to make a difference. Stigma, attitudes towards help-seeking, previous experience, and perceived control can all shape whether students seek academic support (</w:t>
      </w:r>
      <w:proofErr w:type="spellStart"/>
      <w:r w:rsidR="00142758" w:rsidRPr="00874ABF">
        <w:rPr>
          <w:rFonts w:ascii="Arial" w:eastAsia="source serif 4" w:hAnsi="Arial" w:cs="Arial"/>
          <w:bCs/>
          <w:color w:val="000000" w:themeColor="text1"/>
          <w:kern w:val="0"/>
          <w:lang w:val="en-US"/>
          <w14:ligatures w14:val="none"/>
        </w:rPr>
        <w:t>Bornschlegl</w:t>
      </w:r>
      <w:proofErr w:type="spellEnd"/>
      <w:r w:rsidR="00142758" w:rsidRPr="00874ABF">
        <w:rPr>
          <w:rFonts w:ascii="Arial" w:eastAsia="source serif 4" w:hAnsi="Arial" w:cs="Arial"/>
          <w:bCs/>
          <w:color w:val="000000" w:themeColor="text1"/>
          <w:kern w:val="0"/>
          <w:lang w:val="en-US"/>
          <w14:ligatures w14:val="none"/>
        </w:rPr>
        <w:t xml:space="preserve"> et al., 2020). Students who do not submit an early assessment may therefore not be identified through ordinary support processes unless non-submission prompts proactive contact (Linden, 2022).</w:t>
      </w:r>
    </w:p>
    <w:p w14:paraId="1FDDA4EF" w14:textId="77777777" w:rsidR="008F296B" w:rsidRDefault="008F296B" w:rsidP="00142758">
      <w:pPr>
        <w:spacing w:after="120" w:line="360" w:lineRule="auto"/>
        <w:rPr>
          <w:rFonts w:ascii="Arial" w:eastAsia="source serif 4" w:hAnsi="Arial" w:cs="Arial"/>
          <w:bCs/>
          <w:color w:val="000000" w:themeColor="text1"/>
          <w:kern w:val="0"/>
          <w:lang w:val="en-US"/>
          <w14:ligatures w14:val="none"/>
        </w:rPr>
      </w:pPr>
    </w:p>
    <w:p w14:paraId="0E5DC55A" w14:textId="365266A4"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5.</w:t>
      </w:r>
      <w:r w:rsidR="008F296B">
        <w:rPr>
          <w:rFonts w:ascii="Arial" w:eastAsia="source serif 4" w:hAnsi="Arial" w:cs="Arial"/>
          <w:b/>
          <w:color w:val="000000" w:themeColor="text1"/>
          <w:kern w:val="0"/>
          <w:lang w:val="en-US"/>
          <w14:ligatures w14:val="none"/>
        </w:rPr>
        <w:t>6</w:t>
      </w:r>
      <w:r w:rsidRPr="00874ABF">
        <w:rPr>
          <w:rFonts w:ascii="Arial" w:eastAsia="source serif 4" w:hAnsi="Arial" w:cs="Arial"/>
          <w:b/>
          <w:color w:val="000000" w:themeColor="text1"/>
          <w:kern w:val="0"/>
          <w:lang w:val="en-US"/>
          <w14:ligatures w14:val="none"/>
        </w:rPr>
        <w:t xml:space="preserve"> Limitations</w:t>
      </w:r>
    </w:p>
    <w:p w14:paraId="3E68B735"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Five limitations should be considered when interpreting these findings.</w:t>
      </w:r>
    </w:p>
    <w:p w14:paraId="0A0F3DE9" w14:textId="77777777" w:rsidR="008C166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First, the dataset is based on enrolment records rather than fully independent individual students. Nine students appear in two enrolment episodes.</w:t>
      </w:r>
    </w:p>
    <w:p w14:paraId="5DF0B0F6" w14:textId="7D498F66"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Second, the dataset does not record use of the General Study Skills provision, which is available to all students. Students without a formally recorded reasonable adjustment should therefore not be assumed to have received no academic support.</w:t>
      </w:r>
    </w:p>
    <w:p w14:paraId="75C1B67D"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Third, the available measures of student success were completion of all six Level 4 modules and mean academic mark. The dataset does not measure confidence, belonging, academic self-efficacy, professional capability, or the personal circumstances that may affect a mature learner’s engagement and progress (Jones et al., 2025; Jones &amp; McConnell, 2023).</w:t>
      </w:r>
    </w:p>
    <w:p w14:paraId="2382D38C"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Fourth, the programme is treated as widening-participation provision because it has an open-entry route and a predominantly mature learner profile. However, the dataset contains no individual-level information on socio-economic background, participation quintile, care experience, first-in-family status, ethnicity, or prior qualifications. It cannot therefore show which individual students meet </w:t>
      </w:r>
      <w:proofErr w:type="gramStart"/>
      <w:r w:rsidRPr="00874ABF">
        <w:rPr>
          <w:rFonts w:ascii="Arial" w:eastAsia="source serif 4" w:hAnsi="Arial" w:cs="Arial"/>
          <w:bCs/>
          <w:color w:val="000000" w:themeColor="text1"/>
          <w:kern w:val="0"/>
          <w14:ligatures w14:val="none"/>
        </w:rPr>
        <w:t>particular widening-participation</w:t>
      </w:r>
      <w:proofErr w:type="gramEnd"/>
      <w:r w:rsidRPr="00874ABF">
        <w:rPr>
          <w:rFonts w:ascii="Arial" w:eastAsia="source serif 4" w:hAnsi="Arial" w:cs="Arial"/>
          <w:bCs/>
          <w:color w:val="000000" w:themeColor="text1"/>
          <w:kern w:val="0"/>
          <w14:ligatures w14:val="none"/>
        </w:rPr>
        <w:t xml:space="preserve"> criteria (Moore et al., 2013;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2021).</w:t>
      </w:r>
    </w:p>
    <w:p w14:paraId="6CFA5854" w14:textId="0AF711AA"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lastRenderedPageBreak/>
        <w:t>Fifth, this is a study of one Level 4 programme at one institution. The findings may be useful for this programme and similar mature-learner provision, but they cannot be assumed to apply to other programmes, institutions, or student populations.</w:t>
      </w:r>
    </w:p>
    <w:p w14:paraId="5B1B90BD" w14:textId="436D6878" w:rsidR="00142758" w:rsidRPr="00874ABF" w:rsidRDefault="00142758"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 further point relates to the small number of younger entrants. Eight enrolment records (4.8%) refer to students aged under 21 at the start of the academic year. This is below the usual threshold used to define mature students at entry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2021). Outcomes for this group are not reported because it contains fewer than 10 records and further breakdowns could risk indirect identification. In line with the study’s disclosure-control protocol, results for groups smaller than 10 records were suppressed (Department for Education, 2026). The group is included because the programme draws on workplace and supervisory experience; however, age is not a direct measure of that experience.</w:t>
      </w:r>
    </w:p>
    <w:p w14:paraId="4B8C972C" w14:textId="77777777" w:rsidR="00142758" w:rsidRPr="00874ABF" w:rsidRDefault="00142758" w:rsidP="00142758">
      <w:pPr>
        <w:spacing w:after="120" w:line="360" w:lineRule="auto"/>
        <w:rPr>
          <w:rFonts w:ascii="Arial" w:eastAsia="source serif 4" w:hAnsi="Arial" w:cs="Arial"/>
          <w:bCs/>
          <w:color w:val="000000" w:themeColor="text1"/>
          <w:kern w:val="0"/>
          <w14:ligatures w14:val="none"/>
        </w:rPr>
      </w:pPr>
    </w:p>
    <w:p w14:paraId="6B905E21" w14:textId="7F5A84B2"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5.</w:t>
      </w:r>
      <w:r w:rsidR="008F296B">
        <w:rPr>
          <w:rFonts w:ascii="Arial" w:eastAsia="source serif 4" w:hAnsi="Arial" w:cs="Arial"/>
          <w:b/>
          <w:color w:val="000000" w:themeColor="text1"/>
          <w:kern w:val="0"/>
          <w:lang w:val="en-US"/>
          <w14:ligatures w14:val="none"/>
        </w:rPr>
        <w:t>7</w:t>
      </w:r>
      <w:r w:rsidRPr="00874ABF">
        <w:rPr>
          <w:rFonts w:ascii="Arial" w:eastAsia="source serif 4" w:hAnsi="Arial" w:cs="Arial"/>
          <w:b/>
          <w:color w:val="000000" w:themeColor="text1"/>
          <w:kern w:val="0"/>
          <w:lang w:val="en-US"/>
          <w14:ligatures w14:val="none"/>
        </w:rPr>
        <w:t xml:space="preserve"> </w:t>
      </w:r>
      <w:r w:rsidR="00BD04F8" w:rsidRPr="00BD04F8">
        <w:rPr>
          <w:rFonts w:ascii="Arial" w:eastAsia="source serif 4" w:hAnsi="Arial" w:cs="Arial"/>
          <w:b/>
          <w:color w:val="000000" w:themeColor="text1"/>
          <w:kern w:val="0"/>
          <w:lang w:val="en-US"/>
          <w14:ligatures w14:val="none"/>
        </w:rPr>
        <w:t>Implications and future research</w:t>
      </w:r>
    </w:p>
    <w:p w14:paraId="54186678" w14:textId="77777777" w:rsidR="00184120" w:rsidRPr="00874ABF" w:rsidRDefault="00184120" w:rsidP="00142758">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Future research could examine whether attending General Study Skills sessions is associated with student outcomes. Linking attendance records with completion data could show whether students who use this support are more likely to complete, </w:t>
      </w:r>
      <w:proofErr w:type="gramStart"/>
      <w:r w:rsidRPr="00874ABF">
        <w:rPr>
          <w:rFonts w:ascii="Arial" w:eastAsia="source serif 4" w:hAnsi="Arial" w:cs="Arial"/>
          <w:bCs/>
          <w:color w:val="000000" w:themeColor="text1"/>
          <w:kern w:val="0"/>
          <w14:ligatures w14:val="none"/>
        </w:rPr>
        <w:t>whether or not</w:t>
      </w:r>
      <w:proofErr w:type="gramEnd"/>
      <w:r w:rsidRPr="00874ABF">
        <w:rPr>
          <w:rFonts w:ascii="Arial" w:eastAsia="source serif 4" w:hAnsi="Arial" w:cs="Arial"/>
          <w:bCs/>
          <w:color w:val="000000" w:themeColor="text1"/>
          <w:kern w:val="0"/>
          <w14:ligatures w14:val="none"/>
        </w:rPr>
        <w:t xml:space="preserve"> they have a formally confirmed support need.</w:t>
      </w:r>
    </w:p>
    <w:p w14:paraId="4EDDDB40" w14:textId="367D571E" w:rsidR="00184120" w:rsidRPr="00874ABF" w:rsidRDefault="00184120" w:rsidP="00184120">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A model to predict completion would need a larger dataset and measures collected before completion is known. Possible predictors include early assessment submission, attendance, prior education and online engagement, which are commonly used in retention research (</w:t>
      </w:r>
      <w:proofErr w:type="spellStart"/>
      <w:r w:rsidR="00BD04F8">
        <w:rPr>
          <w:rFonts w:ascii="Arial" w:eastAsia="source serif 4" w:hAnsi="Arial" w:cs="Arial"/>
          <w:bCs/>
          <w:color w:val="000000" w:themeColor="text1"/>
          <w:kern w:val="0"/>
          <w14:ligatures w14:val="none"/>
        </w:rPr>
        <w:t>I</w:t>
      </w:r>
      <w:r w:rsidR="00BD04F8" w:rsidRPr="00BD04F8">
        <w:rPr>
          <w:rFonts w:ascii="Arial" w:eastAsia="source serif 4" w:hAnsi="Arial" w:cs="Arial"/>
          <w:bCs/>
          <w:color w:val="000000" w:themeColor="text1"/>
          <w:kern w:val="0"/>
          <w14:ligatures w14:val="none"/>
        </w:rPr>
        <w:t>fenthaler</w:t>
      </w:r>
      <w:proofErr w:type="spellEnd"/>
      <w:r w:rsidR="00BD04F8" w:rsidRPr="00BD04F8">
        <w:rPr>
          <w:rFonts w:ascii="Arial" w:eastAsia="source serif 4" w:hAnsi="Arial" w:cs="Arial"/>
          <w:bCs/>
          <w:color w:val="000000" w:themeColor="text1"/>
          <w:kern w:val="0"/>
          <w14:ligatures w14:val="none"/>
        </w:rPr>
        <w:t xml:space="preserve"> &amp; Yau, 2020; Tete et al., 2022</w:t>
      </w:r>
      <w:r w:rsidRPr="00874ABF">
        <w:rPr>
          <w:rFonts w:ascii="Arial" w:eastAsia="source serif 4" w:hAnsi="Arial" w:cs="Arial"/>
          <w:bCs/>
          <w:color w:val="000000" w:themeColor="text1"/>
          <w:kern w:val="0"/>
          <w14:ligatures w14:val="none"/>
        </w:rPr>
        <w:t>). Current employment and professional responsibilities could also be examined, as they may affect the time available for study (Gongadze et al., 2021; Moore et al., 2013).</w:t>
      </w:r>
    </w:p>
    <w:p w14:paraId="0C5AB7F0"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0F4F33E7"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6. Conclusion and recommendations</w:t>
      </w:r>
    </w:p>
    <w:p w14:paraId="6C86E3DB"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study examined three cohorts of Level 4 Applied Leadership and Management students to identify early indicators of module completion and attainment. Students who submitted the first assessment completed the remaining modules at approximately ten times the rate of those who did not submit, while first-assessment </w:t>
      </w:r>
      <w:r w:rsidRPr="00874ABF">
        <w:rPr>
          <w:rFonts w:ascii="Arial" w:eastAsia="source serif 4" w:hAnsi="Arial" w:cs="Arial"/>
          <w:bCs/>
          <w:color w:val="000000" w:themeColor="text1"/>
          <w:kern w:val="0"/>
          <w:lang w:val="en-US"/>
          <w14:ligatures w14:val="none"/>
        </w:rPr>
        <w:lastRenderedPageBreak/>
        <w:t>submission status differentiated completers from non-completers more strongly than the mark achieved. Re-enrolment was associated with substantially lower attainment, while attainment remained broadly stable across cohorts and across the module sequence. Formally confirmed reasonable adjustments applied to a small minority of records and were often confirmed late in the academic year. As too few records had confirmed adjustments for reliable inferential analysis, these findings are reported descriptively.</w:t>
      </w:r>
    </w:p>
    <w:p w14:paraId="6DE74E85" w14:textId="4EC99176"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most consistent finding was that whether students submitted the first assessment provided a stronger early indication of subsequent completion than the mark they achieved.</w:t>
      </w:r>
      <w:r w:rsidR="00074D77">
        <w:rPr>
          <w:rFonts w:ascii="Arial" w:eastAsia="source serif 4" w:hAnsi="Arial" w:cs="Arial"/>
          <w:bCs/>
          <w:color w:val="000000" w:themeColor="text1"/>
          <w:kern w:val="0"/>
          <w:lang w:val="en-US"/>
          <w14:ligatures w14:val="none"/>
        </w:rPr>
        <w:t xml:space="preserve"> </w:t>
      </w:r>
      <w:r w:rsidR="00BD04F8">
        <w:rPr>
          <w:rFonts w:ascii="Arial" w:eastAsia="source serif 4" w:hAnsi="Arial" w:cs="Arial"/>
          <w:bCs/>
          <w:color w:val="000000" w:themeColor="text1"/>
          <w:kern w:val="0"/>
          <w:lang w:val="en-US"/>
          <w14:ligatures w14:val="none"/>
        </w:rPr>
        <w:t xml:space="preserve">First, </w:t>
      </w:r>
      <w:r w:rsidRPr="00874ABF">
        <w:rPr>
          <w:rFonts w:ascii="Arial" w:eastAsia="source serif 4" w:hAnsi="Arial" w:cs="Arial"/>
          <w:bCs/>
          <w:color w:val="000000" w:themeColor="text1"/>
          <w:kern w:val="0"/>
          <w14:ligatures w14:val="none"/>
        </w:rPr>
        <w:t xml:space="preserve">Module 1 non-submission should be piloted as a trigger for </w:t>
      </w:r>
      <w:r w:rsidR="00EE12E7" w:rsidRPr="00874ABF">
        <w:rPr>
          <w:rFonts w:ascii="Arial" w:eastAsia="source serif 4" w:hAnsi="Arial" w:cs="Arial"/>
          <w:bCs/>
          <w:color w:val="000000" w:themeColor="text1"/>
          <w:kern w:val="0"/>
          <w14:ligatures w14:val="none"/>
        </w:rPr>
        <w:t xml:space="preserve">targeted </w:t>
      </w:r>
      <w:r w:rsidRPr="00874ABF">
        <w:rPr>
          <w:rFonts w:ascii="Arial" w:eastAsia="source serif 4" w:hAnsi="Arial" w:cs="Arial"/>
          <w:bCs/>
          <w:color w:val="000000" w:themeColor="text1"/>
          <w:kern w:val="0"/>
          <w14:ligatures w14:val="none"/>
        </w:rPr>
        <w:t>individual support, subject to checking the reason that no mark has been recorded. The indicator is normally available within 8 days of a module deadline (submission date plus 7 days capped), and 35 of the 38 records without a Module 1 mark (92.1%) did not complete Modules 2–6. As this evidence comes from a single observational study, the approach should be tested and evaluated rather than adopted as established policy</w:t>
      </w:r>
      <w:r w:rsidRPr="00874ABF">
        <w:rPr>
          <w:rFonts w:ascii="Arial" w:eastAsia="source serif 4" w:hAnsi="Arial" w:cs="Arial"/>
          <w:bCs/>
          <w:color w:val="000000" w:themeColor="text1"/>
          <w:kern w:val="0"/>
          <w:lang w:val="en-US"/>
          <w14:ligatures w14:val="none"/>
        </w:rPr>
        <w:t>.</w:t>
      </w:r>
    </w:p>
    <w:p w14:paraId="5DBC2C77" w14:textId="73F31DE1" w:rsidR="00142758" w:rsidRPr="00874ABF" w:rsidRDefault="0049284B" w:rsidP="00142758">
      <w:pPr>
        <w:spacing w:after="120" w:line="360" w:lineRule="auto"/>
        <w:rPr>
          <w:rFonts w:ascii="Arial" w:eastAsia="source serif 4" w:hAnsi="Arial" w:cs="Arial"/>
          <w:bCs/>
          <w:color w:val="000000" w:themeColor="text1"/>
          <w:kern w:val="0"/>
          <w:lang w:val="en-US"/>
          <w14:ligatures w14:val="none"/>
        </w:rPr>
      </w:pPr>
      <w:r>
        <w:rPr>
          <w:rFonts w:ascii="Arial" w:eastAsia="source serif 4" w:hAnsi="Arial" w:cs="Arial"/>
          <w:bCs/>
          <w:color w:val="000000" w:themeColor="text1"/>
          <w:kern w:val="0"/>
          <w:lang w:val="en-US"/>
          <w14:ligatures w14:val="none"/>
        </w:rPr>
        <w:t>Second, a</w:t>
      </w:r>
      <w:r w:rsidR="00142758" w:rsidRPr="00874ABF">
        <w:rPr>
          <w:rFonts w:ascii="Arial" w:eastAsia="source serif 4" w:hAnsi="Arial" w:cs="Arial"/>
          <w:bCs/>
          <w:color w:val="000000" w:themeColor="text1"/>
          <w:kern w:val="0"/>
          <w:lang w:val="en-US"/>
          <w14:ligatures w14:val="none"/>
        </w:rPr>
        <w:t xml:space="preserve"> targeted support approach for students returning through re-enrolment should be piloted and evaluated, given their lower observed completion rate and attainment in this dataset.</w:t>
      </w:r>
    </w:p>
    <w:p w14:paraId="1702BDA8"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Third, the General Study Skills provision should be promoted routinely rather than awaiting student disclosure.</w:t>
      </w:r>
    </w:p>
    <w:p w14:paraId="14DA5C2E" w14:textId="77777777" w:rsidR="00EE12E7"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central claim of this study is deliberately modest: administrative data already held by the programme contains an early, actionable signal, and acting on it requires no new data collection or academic judgement.</w:t>
      </w:r>
    </w:p>
    <w:p w14:paraId="2FDDBCE4" w14:textId="5E203692" w:rsidR="00142758" w:rsidRPr="00874ABF" w:rsidRDefault="00EE12E7"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 xml:space="preserve">Widening-participation guidance emphasises timely, joined-up support (Advance HE, 2024; </w:t>
      </w:r>
      <w:proofErr w:type="spellStart"/>
      <w:r w:rsidRPr="00874ABF">
        <w:rPr>
          <w:rFonts w:ascii="Arial" w:eastAsia="source serif 4" w:hAnsi="Arial" w:cs="Arial"/>
          <w:bCs/>
          <w:color w:val="000000" w:themeColor="text1"/>
          <w:kern w:val="0"/>
          <w14:ligatures w14:val="none"/>
        </w:rPr>
        <w:t>OfS</w:t>
      </w:r>
      <w:proofErr w:type="spellEnd"/>
      <w:r w:rsidRPr="00874ABF">
        <w:rPr>
          <w:rFonts w:ascii="Arial" w:eastAsia="source serif 4" w:hAnsi="Arial" w:cs="Arial"/>
          <w:bCs/>
          <w:color w:val="000000" w:themeColor="text1"/>
          <w:kern w:val="0"/>
          <w14:ligatures w14:val="none"/>
        </w:rPr>
        <w:t>, 2021). This study suggests that early assessment submission status can provide a simple, practical way to identify potential disengagement and offer support before students fall further behind.</w:t>
      </w:r>
    </w:p>
    <w:p w14:paraId="68A4553C"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0366D9E8"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20D44A28" w14:textId="77777777" w:rsidR="006360F5" w:rsidRDefault="006360F5" w:rsidP="00142758">
      <w:pPr>
        <w:spacing w:after="120" w:line="360" w:lineRule="auto"/>
        <w:rPr>
          <w:rFonts w:ascii="Arial" w:eastAsia="source serif 4" w:hAnsi="Arial" w:cs="Arial"/>
          <w:b/>
          <w:color w:val="000000" w:themeColor="text1"/>
          <w:kern w:val="0"/>
          <w:lang w:val="en-US"/>
          <w14:ligatures w14:val="none"/>
        </w:rPr>
      </w:pPr>
    </w:p>
    <w:p w14:paraId="1E62B671" w14:textId="512F5B74"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7. References</w:t>
      </w:r>
    </w:p>
    <w:p w14:paraId="4BFDC5EC" w14:textId="77777777" w:rsidR="00142758" w:rsidRPr="009A66D5" w:rsidRDefault="00142758" w:rsidP="00142758">
      <w:pPr>
        <w:spacing w:after="120" w:line="360" w:lineRule="auto"/>
        <w:ind w:left="720" w:hanging="720"/>
        <w:rPr>
          <w:rFonts w:ascii="Arial" w:eastAsia="Aptos" w:hAnsi="Arial" w:cs="Arial"/>
          <w:color w:val="000000" w:themeColor="text1"/>
        </w:rPr>
      </w:pPr>
      <w:r w:rsidRPr="009A66D5">
        <w:rPr>
          <w:rFonts w:ascii="Arial" w:eastAsia="source serif 4" w:hAnsi="Arial" w:cs="Arial"/>
          <w:bCs/>
          <w:color w:val="000000" w:themeColor="text1"/>
          <w:kern w:val="0"/>
          <w:lang w:val="en-US"/>
          <w14:ligatures w14:val="none"/>
        </w:rPr>
        <w:t xml:space="preserve">Advance HE. (2023). </w:t>
      </w:r>
      <w:r w:rsidRPr="009A66D5">
        <w:rPr>
          <w:rFonts w:ascii="Arial" w:eastAsia="source serif 4" w:hAnsi="Arial" w:cs="Arial"/>
          <w:bCs/>
          <w:i/>
          <w:iCs/>
          <w:color w:val="000000" w:themeColor="text1"/>
          <w:kern w:val="0"/>
          <w:lang w:val="en-US"/>
          <w14:ligatures w14:val="none"/>
        </w:rPr>
        <w:t>The disabled student commitment</w:t>
      </w:r>
      <w:r w:rsidRPr="009A66D5">
        <w:rPr>
          <w:rFonts w:ascii="Arial" w:eastAsia="source serif 4" w:hAnsi="Arial" w:cs="Arial"/>
          <w:bCs/>
          <w:color w:val="000000" w:themeColor="text1"/>
          <w:kern w:val="0"/>
          <w:lang w:val="en-US"/>
          <w14:ligatures w14:val="none"/>
        </w:rPr>
        <w:t xml:space="preserve">. </w:t>
      </w:r>
      <w:hyperlink r:id="rId28" w:history="1">
        <w:r w:rsidRPr="009A66D5">
          <w:rPr>
            <w:rStyle w:val="Hyperlink"/>
            <w:rFonts w:ascii="Arial" w:eastAsia="Aptos" w:hAnsi="Arial" w:cs="Arial"/>
            <w:color w:val="000000" w:themeColor="text1"/>
            <w:u w:val="none"/>
          </w:rPr>
          <w:t>https://www.advance-he.ac.uk/knowledge-hub/disabled-student-commitment</w:t>
        </w:r>
      </w:hyperlink>
    </w:p>
    <w:p w14:paraId="619EC367" w14:textId="77777777" w:rsidR="00142758" w:rsidRPr="009A66D5" w:rsidRDefault="00142758" w:rsidP="00142758">
      <w:pPr>
        <w:spacing w:after="120" w:line="360" w:lineRule="auto"/>
        <w:ind w:left="720" w:hanging="720"/>
        <w:rPr>
          <w:rFonts w:ascii="Arial" w:eastAsia="Aptos" w:hAnsi="Arial" w:cs="Arial"/>
          <w:color w:val="000000" w:themeColor="text1"/>
        </w:rPr>
      </w:pPr>
      <w:r w:rsidRPr="009A66D5">
        <w:rPr>
          <w:rFonts w:ascii="Arial" w:eastAsia="source serif 4" w:hAnsi="Arial" w:cs="Arial"/>
          <w:bCs/>
          <w:color w:val="000000" w:themeColor="text1"/>
          <w:kern w:val="0"/>
          <w:lang w:val="en-US"/>
          <w14:ligatures w14:val="none"/>
        </w:rPr>
        <w:t xml:space="preserve">Advance HE. (2024). </w:t>
      </w:r>
      <w:r w:rsidRPr="009A66D5">
        <w:rPr>
          <w:rFonts w:ascii="Arial" w:eastAsia="source serif 4" w:hAnsi="Arial" w:cs="Arial"/>
          <w:bCs/>
          <w:i/>
          <w:iCs/>
          <w:color w:val="000000" w:themeColor="text1"/>
          <w:kern w:val="0"/>
          <w:lang w:val="en-US"/>
          <w14:ligatures w14:val="none"/>
        </w:rPr>
        <w:t>Framework for student access, retention, attainment and progression.</w:t>
      </w:r>
      <w:r w:rsidRPr="009A66D5">
        <w:rPr>
          <w:rFonts w:ascii="Arial" w:eastAsia="source serif 4" w:hAnsi="Arial" w:cs="Arial"/>
          <w:bCs/>
          <w:color w:val="000000" w:themeColor="text1"/>
          <w:kern w:val="0"/>
          <w:lang w:val="en-US"/>
          <w14:ligatures w14:val="none"/>
        </w:rPr>
        <w:t xml:space="preserve"> </w:t>
      </w:r>
      <w:hyperlink r:id="rId29" w:history="1">
        <w:r w:rsidRPr="009A66D5">
          <w:rPr>
            <w:rStyle w:val="Hyperlink"/>
            <w:rFonts w:ascii="Arial" w:eastAsia="Aptos" w:hAnsi="Arial" w:cs="Arial"/>
            <w:color w:val="000000" w:themeColor="text1"/>
            <w:u w:val="none"/>
          </w:rPr>
          <w:t>https://www.advance-he.ac.uk/knowledge-hub/framework-student-access-retention-attainment-and-progression</w:t>
        </w:r>
      </w:hyperlink>
    </w:p>
    <w:p w14:paraId="22BB2A00" w14:textId="2351A065" w:rsidR="00142758" w:rsidRPr="009A66D5" w:rsidRDefault="00142758" w:rsidP="00142758">
      <w:pPr>
        <w:spacing w:after="120" w:line="360" w:lineRule="auto"/>
        <w:ind w:left="720" w:hanging="720"/>
        <w:rPr>
          <w:rFonts w:ascii="Arial" w:eastAsia="Aptos" w:hAnsi="Arial" w:cs="Arial"/>
          <w:color w:val="000000" w:themeColor="text1"/>
        </w:rPr>
      </w:pPr>
      <w:r w:rsidRPr="009A66D5">
        <w:rPr>
          <w:rFonts w:ascii="Arial" w:eastAsia="source serif 4" w:hAnsi="Arial" w:cs="Arial"/>
          <w:bCs/>
          <w:color w:val="000000" w:themeColor="text1"/>
          <w:kern w:val="0"/>
          <w:lang w:val="en-US"/>
          <w14:ligatures w14:val="none"/>
        </w:rPr>
        <w:t xml:space="preserve">Ahn, M. Y., &amp; Davis, H. H. (2023). Students’ sense of belonging and their socio-economic status in higher education: A quantitative approach. </w:t>
      </w:r>
      <w:r w:rsidRPr="009A66D5">
        <w:rPr>
          <w:rFonts w:ascii="Arial" w:eastAsia="source serif 4" w:hAnsi="Arial" w:cs="Arial"/>
          <w:bCs/>
          <w:i/>
          <w:iCs/>
          <w:color w:val="000000" w:themeColor="text1"/>
          <w:kern w:val="0"/>
          <w:lang w:val="en-US"/>
          <w14:ligatures w14:val="none"/>
        </w:rPr>
        <w:t>Teaching in Higher Education, 28</w:t>
      </w:r>
      <w:r w:rsidRPr="009A66D5">
        <w:rPr>
          <w:rFonts w:ascii="Arial" w:eastAsia="source serif 4" w:hAnsi="Arial" w:cs="Arial"/>
          <w:bCs/>
          <w:color w:val="000000" w:themeColor="text1"/>
          <w:kern w:val="0"/>
          <w:lang w:val="en-US"/>
          <w14:ligatures w14:val="none"/>
        </w:rPr>
        <w:t>(1), 136</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149. </w:t>
      </w:r>
      <w:hyperlink r:id="rId30" w:history="1">
        <w:r w:rsidRPr="009A66D5">
          <w:rPr>
            <w:rStyle w:val="Hyperlink"/>
            <w:rFonts w:ascii="Arial" w:eastAsia="source serif 4" w:hAnsi="Arial" w:cs="Arial"/>
            <w:bCs/>
            <w:color w:val="000000" w:themeColor="text1"/>
            <w:kern w:val="0"/>
            <w:u w:val="none"/>
            <w:lang w:val="en-US"/>
            <w14:ligatures w14:val="none"/>
          </w:rPr>
          <w:t>https://doi.org/10.1080/13562517.2020.1778664</w:t>
        </w:r>
      </w:hyperlink>
    </w:p>
    <w:p w14:paraId="3F575FA6" w14:textId="290ECE87" w:rsidR="00625260" w:rsidRPr="009A66D5" w:rsidRDefault="00625260" w:rsidP="00625260">
      <w:pPr>
        <w:spacing w:after="120" w:line="360" w:lineRule="auto"/>
        <w:ind w:left="720" w:hanging="720"/>
        <w:rPr>
          <w:color w:val="000000" w:themeColor="text1"/>
        </w:rPr>
      </w:pPr>
      <w:r w:rsidRPr="009A66D5">
        <w:rPr>
          <w:rFonts w:ascii="Arial" w:hAnsi="Arial" w:cs="Arial"/>
          <w:color w:val="000000" w:themeColor="text1"/>
        </w:rPr>
        <w:t xml:space="preserve">Balzer Carr, B., &amp; London, R. A. (2019). The Role of Learning Support Services in University Students’ Educational Outcomes. </w:t>
      </w:r>
      <w:r w:rsidRPr="009A66D5">
        <w:rPr>
          <w:rFonts w:ascii="Arial" w:hAnsi="Arial" w:cs="Arial"/>
          <w:i/>
          <w:iCs/>
          <w:color w:val="000000" w:themeColor="text1"/>
        </w:rPr>
        <w:t>Journal of College Student Retention: Research, Theory &amp; Practice</w:t>
      </w:r>
      <w:r w:rsidRPr="009A66D5">
        <w:rPr>
          <w:rFonts w:ascii="Arial" w:hAnsi="Arial" w:cs="Arial"/>
          <w:color w:val="000000" w:themeColor="text1"/>
        </w:rPr>
        <w:t xml:space="preserve">, </w:t>
      </w:r>
      <w:r w:rsidRPr="009A66D5">
        <w:rPr>
          <w:rFonts w:ascii="Arial" w:hAnsi="Arial" w:cs="Arial"/>
          <w:i/>
          <w:iCs/>
          <w:color w:val="000000" w:themeColor="text1"/>
        </w:rPr>
        <w:t>21</w:t>
      </w:r>
      <w:r w:rsidRPr="009A66D5">
        <w:rPr>
          <w:rFonts w:ascii="Arial" w:hAnsi="Arial" w:cs="Arial"/>
          <w:color w:val="000000" w:themeColor="text1"/>
        </w:rPr>
        <w:t xml:space="preserve">(1), 78-104. </w:t>
      </w:r>
      <w:hyperlink r:id="rId31" w:history="1">
        <w:r w:rsidRPr="009A66D5">
          <w:rPr>
            <w:rStyle w:val="Hyperlink"/>
            <w:rFonts w:ascii="Arial" w:hAnsi="Arial" w:cs="Arial"/>
            <w:color w:val="000000" w:themeColor="text1"/>
            <w:u w:val="none"/>
          </w:rPr>
          <w:t>https://doi.org/10.1177/1521025117690159</w:t>
        </w:r>
      </w:hyperlink>
    </w:p>
    <w:p w14:paraId="5A9698F7" w14:textId="77777777" w:rsidR="00593FB8" w:rsidRPr="009A66D5" w:rsidRDefault="00593FB8" w:rsidP="00593FB8">
      <w:pPr>
        <w:spacing w:after="120" w:line="360" w:lineRule="auto"/>
        <w:ind w:left="720" w:hanging="720"/>
        <w:rPr>
          <w:rFonts w:ascii="Arial" w:hAnsi="Arial" w:cs="Arial"/>
          <w:color w:val="000000" w:themeColor="text1"/>
        </w:rPr>
      </w:pPr>
      <w:r w:rsidRPr="009A66D5">
        <w:rPr>
          <w:rFonts w:ascii="Arial" w:hAnsi="Arial" w:cs="Arial"/>
          <w:color w:val="000000" w:themeColor="text1"/>
        </w:rPr>
        <w:t xml:space="preserve">Berkovic, D., Ayton, D., Briggs, A. M., &amp; Ackerman, I. N. (2020). The View </w:t>
      </w:r>
      <w:proofErr w:type="gramStart"/>
      <w:r w:rsidRPr="009A66D5">
        <w:rPr>
          <w:rFonts w:ascii="Arial" w:hAnsi="Arial" w:cs="Arial"/>
          <w:color w:val="000000" w:themeColor="text1"/>
        </w:rPr>
        <w:t>From</w:t>
      </w:r>
      <w:proofErr w:type="gramEnd"/>
      <w:r w:rsidRPr="009A66D5">
        <w:rPr>
          <w:rFonts w:ascii="Arial" w:hAnsi="Arial" w:cs="Arial"/>
          <w:color w:val="000000" w:themeColor="text1"/>
        </w:rPr>
        <w:t xml:space="preserve"> the Inside: Positionality and Insider Research. </w:t>
      </w:r>
      <w:r w:rsidRPr="009A66D5">
        <w:rPr>
          <w:rFonts w:ascii="Arial" w:hAnsi="Arial" w:cs="Arial"/>
          <w:i/>
          <w:iCs/>
          <w:color w:val="000000" w:themeColor="text1"/>
        </w:rPr>
        <w:t>International Journal of Qualitative Methods</w:t>
      </w:r>
      <w:r w:rsidRPr="009A66D5">
        <w:rPr>
          <w:rFonts w:ascii="Arial" w:hAnsi="Arial" w:cs="Arial"/>
          <w:color w:val="000000" w:themeColor="text1"/>
        </w:rPr>
        <w:t xml:space="preserve">, </w:t>
      </w:r>
      <w:r w:rsidRPr="009A66D5">
        <w:rPr>
          <w:rFonts w:ascii="Arial" w:hAnsi="Arial" w:cs="Arial"/>
          <w:i/>
          <w:iCs/>
          <w:color w:val="000000" w:themeColor="text1"/>
        </w:rPr>
        <w:t>19</w:t>
      </w:r>
      <w:r w:rsidRPr="009A66D5">
        <w:rPr>
          <w:rFonts w:ascii="Arial" w:hAnsi="Arial" w:cs="Arial"/>
          <w:color w:val="000000" w:themeColor="text1"/>
        </w:rPr>
        <w:t xml:space="preserve">. </w:t>
      </w:r>
      <w:hyperlink r:id="rId32" w:history="1">
        <w:r w:rsidRPr="009A66D5">
          <w:rPr>
            <w:rStyle w:val="Hyperlink"/>
            <w:rFonts w:ascii="Arial" w:hAnsi="Arial" w:cs="Arial"/>
            <w:color w:val="000000" w:themeColor="text1"/>
            <w:u w:val="none"/>
          </w:rPr>
          <w:t>https://doi.org/10.1177/1609406919900828</w:t>
        </w:r>
      </w:hyperlink>
    </w:p>
    <w:p w14:paraId="1C91607C" w14:textId="5B72B500" w:rsidR="00142758" w:rsidRPr="009A66D5" w:rsidRDefault="00142758" w:rsidP="00593FB8">
      <w:pPr>
        <w:spacing w:after="120" w:line="360" w:lineRule="auto"/>
        <w:ind w:left="720" w:hanging="720"/>
        <w:rPr>
          <w:rFonts w:ascii="Arial" w:hAnsi="Arial" w:cs="Arial"/>
          <w:color w:val="000000" w:themeColor="text1"/>
        </w:rPr>
      </w:pPr>
      <w:r w:rsidRPr="009A66D5">
        <w:rPr>
          <w:rFonts w:ascii="Arial" w:eastAsia="source serif 4" w:hAnsi="Arial" w:cs="Arial"/>
          <w:bCs/>
          <w:color w:val="000000" w:themeColor="text1"/>
          <w:kern w:val="0"/>
          <w:lang w:val="en-US"/>
          <w14:ligatures w14:val="none"/>
        </w:rPr>
        <w:t xml:space="preserve">Blasey, J., Wang, C., &amp; Blasey, R. (2023). Accommodation use and academic outcomes for college students with disabilities. </w:t>
      </w:r>
      <w:r w:rsidRPr="009A66D5">
        <w:rPr>
          <w:rFonts w:ascii="Arial" w:eastAsia="source serif 4" w:hAnsi="Arial" w:cs="Arial"/>
          <w:bCs/>
          <w:i/>
          <w:iCs/>
          <w:color w:val="000000" w:themeColor="text1"/>
          <w:kern w:val="0"/>
          <w:lang w:val="en-US"/>
          <w14:ligatures w14:val="none"/>
        </w:rPr>
        <w:t>Psychological Reports, 126</w:t>
      </w:r>
      <w:r w:rsidRPr="009A66D5">
        <w:rPr>
          <w:rFonts w:ascii="Arial" w:eastAsia="source serif 4" w:hAnsi="Arial" w:cs="Arial"/>
          <w:bCs/>
          <w:color w:val="000000" w:themeColor="text1"/>
          <w:kern w:val="0"/>
          <w:lang w:val="en-US"/>
          <w14:ligatures w14:val="none"/>
        </w:rPr>
        <w:t>(4), 1891</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1909. </w:t>
      </w:r>
      <w:hyperlink r:id="rId33" w:history="1">
        <w:r w:rsidRPr="009A66D5">
          <w:rPr>
            <w:rStyle w:val="Hyperlink"/>
            <w:rFonts w:ascii="Arial" w:eastAsia="source serif 4" w:hAnsi="Arial" w:cs="Arial"/>
            <w:bCs/>
            <w:color w:val="000000" w:themeColor="text1"/>
            <w:kern w:val="0"/>
            <w:u w:val="none"/>
            <w:lang w:val="en-US"/>
            <w14:ligatures w14:val="none"/>
          </w:rPr>
          <w:t>https://doi.org/10.1177/00332941221078011</w:t>
        </w:r>
      </w:hyperlink>
    </w:p>
    <w:p w14:paraId="102F2741" w14:textId="4B9A9E7F" w:rsidR="00142758" w:rsidRPr="009A66D5" w:rsidRDefault="00142758" w:rsidP="00142758">
      <w:pPr>
        <w:spacing w:after="120" w:line="360" w:lineRule="auto"/>
        <w:ind w:left="720" w:hanging="720"/>
        <w:rPr>
          <w:rFonts w:ascii="Arial" w:eastAsia="source serif 4" w:hAnsi="Arial" w:cs="Arial"/>
          <w:bCs/>
          <w:color w:val="000000" w:themeColor="text1"/>
          <w:kern w:val="0"/>
          <w14:ligatures w14:val="none"/>
        </w:rPr>
      </w:pPr>
      <w:proofErr w:type="spellStart"/>
      <w:r w:rsidRPr="009A66D5">
        <w:rPr>
          <w:rFonts w:ascii="Arial" w:eastAsia="source serif 4" w:hAnsi="Arial" w:cs="Arial"/>
          <w:bCs/>
          <w:color w:val="000000" w:themeColor="text1"/>
          <w:kern w:val="0"/>
          <w14:ligatures w14:val="none"/>
        </w:rPr>
        <w:t>Bornschlegl</w:t>
      </w:r>
      <w:proofErr w:type="spellEnd"/>
      <w:r w:rsidRPr="009A66D5">
        <w:rPr>
          <w:rFonts w:ascii="Arial" w:eastAsia="source serif 4" w:hAnsi="Arial" w:cs="Arial"/>
          <w:bCs/>
          <w:color w:val="000000" w:themeColor="text1"/>
          <w:kern w:val="0"/>
          <w14:ligatures w14:val="none"/>
        </w:rPr>
        <w:t xml:space="preserve">, M., Meldrum, K., &amp; Caltabiano, N. J. (2020). Variables Related to Academic Help-Seeking Behaviour in Higher Education – Findings from a Multidisciplinary Perspective. </w:t>
      </w:r>
      <w:r w:rsidRPr="009A66D5">
        <w:rPr>
          <w:rFonts w:ascii="Arial" w:eastAsia="source serif 4" w:hAnsi="Arial" w:cs="Arial"/>
          <w:bCs/>
          <w:i/>
          <w:iCs/>
          <w:color w:val="000000" w:themeColor="text1"/>
          <w:kern w:val="0"/>
          <w14:ligatures w14:val="none"/>
        </w:rPr>
        <w:t>Review of Education, 8</w:t>
      </w:r>
      <w:r w:rsidRPr="009A66D5">
        <w:rPr>
          <w:rFonts w:ascii="Arial" w:eastAsia="source serif 4" w:hAnsi="Arial" w:cs="Arial"/>
          <w:bCs/>
          <w:color w:val="000000" w:themeColor="text1"/>
          <w:kern w:val="0"/>
          <w14:ligatures w14:val="none"/>
        </w:rPr>
        <w:t>(2), 486</w:t>
      </w:r>
      <w:r w:rsidR="00350CC8" w:rsidRPr="009A66D5">
        <w:rPr>
          <w:rFonts w:ascii="Arial" w:eastAsia="source serif 4" w:hAnsi="Arial" w:cs="Arial"/>
          <w:bCs/>
          <w:color w:val="000000" w:themeColor="text1"/>
          <w:kern w:val="0"/>
          <w14:ligatures w14:val="none"/>
        </w:rPr>
        <w:t>-</w:t>
      </w:r>
      <w:r w:rsidRPr="009A66D5">
        <w:rPr>
          <w:rFonts w:ascii="Arial" w:eastAsia="source serif 4" w:hAnsi="Arial" w:cs="Arial"/>
          <w:bCs/>
          <w:color w:val="000000" w:themeColor="text1"/>
          <w:kern w:val="0"/>
          <w14:ligatures w14:val="none"/>
        </w:rPr>
        <w:t xml:space="preserve">522. </w:t>
      </w:r>
      <w:hyperlink r:id="rId34" w:history="1">
        <w:r w:rsidRPr="009A66D5">
          <w:rPr>
            <w:rStyle w:val="Hyperlink"/>
            <w:rFonts w:ascii="Arial" w:eastAsia="source serif 4" w:hAnsi="Arial" w:cs="Arial"/>
            <w:bCs/>
            <w:color w:val="000000" w:themeColor="text1"/>
            <w:kern w:val="0"/>
            <w:u w:val="none"/>
            <w14:ligatures w14:val="none"/>
          </w:rPr>
          <w:t>https://doi.org/10.1002/rev3.3196</w:t>
        </w:r>
      </w:hyperlink>
    </w:p>
    <w:p w14:paraId="2369966E" w14:textId="77777777" w:rsidR="00A2669D" w:rsidRPr="009A66D5" w:rsidRDefault="00A2669D" w:rsidP="00A2669D">
      <w:pPr>
        <w:spacing w:after="120" w:line="360" w:lineRule="auto"/>
        <w:ind w:left="720" w:hanging="720"/>
        <w:rPr>
          <w:rFonts w:ascii="Arial" w:hAnsi="Arial" w:cs="Arial"/>
          <w:color w:val="000000" w:themeColor="text1"/>
        </w:rPr>
      </w:pPr>
      <w:proofErr w:type="spellStart"/>
      <w:r w:rsidRPr="009A66D5">
        <w:rPr>
          <w:rFonts w:ascii="Arial" w:hAnsi="Arial" w:cs="Arial"/>
          <w:color w:val="000000" w:themeColor="text1"/>
        </w:rPr>
        <w:t>Boroowa</w:t>
      </w:r>
      <w:proofErr w:type="spellEnd"/>
      <w:r w:rsidRPr="009A66D5">
        <w:rPr>
          <w:rFonts w:ascii="Arial" w:hAnsi="Arial" w:cs="Arial"/>
          <w:color w:val="000000" w:themeColor="text1"/>
        </w:rPr>
        <w:t xml:space="preserve">, A., &amp; </w:t>
      </w:r>
      <w:proofErr w:type="spellStart"/>
      <w:r w:rsidRPr="009A66D5">
        <w:rPr>
          <w:rFonts w:ascii="Arial" w:hAnsi="Arial" w:cs="Arial"/>
          <w:color w:val="000000" w:themeColor="text1"/>
        </w:rPr>
        <w:t>Herodotou</w:t>
      </w:r>
      <w:proofErr w:type="spellEnd"/>
      <w:r w:rsidRPr="009A66D5">
        <w:rPr>
          <w:rFonts w:ascii="Arial" w:hAnsi="Arial" w:cs="Arial"/>
          <w:color w:val="000000" w:themeColor="text1"/>
        </w:rPr>
        <w:t xml:space="preserve">, C. (2022). Learning Analytics in Open and Distance Higher Education: The Case of the Open University UK. </w:t>
      </w:r>
      <w:proofErr w:type="spellStart"/>
      <w:r w:rsidRPr="009A66D5">
        <w:rPr>
          <w:rFonts w:ascii="Arial" w:hAnsi="Arial" w:cs="Arial"/>
          <w:i/>
          <w:iCs/>
          <w:color w:val="000000" w:themeColor="text1"/>
        </w:rPr>
        <w:t>SpringerBriefs</w:t>
      </w:r>
      <w:proofErr w:type="spellEnd"/>
      <w:r w:rsidRPr="009A66D5">
        <w:rPr>
          <w:rFonts w:ascii="Arial" w:hAnsi="Arial" w:cs="Arial"/>
          <w:i/>
          <w:iCs/>
          <w:color w:val="000000" w:themeColor="text1"/>
        </w:rPr>
        <w:t xml:space="preserve"> in Education</w:t>
      </w:r>
      <w:r w:rsidRPr="009A66D5">
        <w:rPr>
          <w:rFonts w:ascii="Arial" w:hAnsi="Arial" w:cs="Arial"/>
          <w:color w:val="000000" w:themeColor="text1"/>
        </w:rPr>
        <w:t>, 47–62. https://doi.org/10.1007/978-981-19-0786-9_4</w:t>
      </w:r>
    </w:p>
    <w:p w14:paraId="5310EF2D" w14:textId="4E041EBC" w:rsidR="003E0FDB" w:rsidRPr="009A66D5" w:rsidRDefault="00142758" w:rsidP="00874ABF">
      <w:pPr>
        <w:spacing w:after="120" w:line="360" w:lineRule="auto"/>
        <w:ind w:left="720" w:hanging="720"/>
        <w:rPr>
          <w:rFonts w:ascii="Arial" w:hAnsi="Arial" w:cs="Arial"/>
          <w:color w:val="000000" w:themeColor="text1"/>
        </w:rPr>
      </w:pPr>
      <w:r w:rsidRPr="009A66D5">
        <w:rPr>
          <w:rFonts w:ascii="Arial" w:eastAsia="source serif 4" w:hAnsi="Arial" w:cs="Arial"/>
          <w:bCs/>
          <w:color w:val="000000" w:themeColor="text1"/>
          <w:kern w:val="0"/>
          <w:lang w:val="en-US"/>
          <w14:ligatures w14:val="none"/>
        </w:rPr>
        <w:t xml:space="preserve">Chen, C., Bian, F., &amp; Zhu, Y. (2023). The relationship between social support and academic engagement among university students: The chain mediating effects of life satisfaction and academic motivation. </w:t>
      </w:r>
      <w:r w:rsidRPr="009A66D5">
        <w:rPr>
          <w:rFonts w:ascii="Arial" w:eastAsia="source serif 4" w:hAnsi="Arial" w:cs="Arial"/>
          <w:bCs/>
          <w:i/>
          <w:iCs/>
          <w:color w:val="000000" w:themeColor="text1"/>
          <w:kern w:val="0"/>
          <w:lang w:val="en-US"/>
          <w14:ligatures w14:val="none"/>
        </w:rPr>
        <w:t>BMC Public Health, 23</w:t>
      </w:r>
      <w:r w:rsidRPr="009A66D5">
        <w:rPr>
          <w:rFonts w:ascii="Arial" w:eastAsia="source serif 4" w:hAnsi="Arial" w:cs="Arial"/>
          <w:bCs/>
          <w:color w:val="000000" w:themeColor="text1"/>
          <w:kern w:val="0"/>
          <w:lang w:val="en-US"/>
          <w14:ligatures w14:val="none"/>
        </w:rPr>
        <w:t xml:space="preserve">(1), 2368. </w:t>
      </w:r>
      <w:hyperlink r:id="rId35" w:history="1">
        <w:r w:rsidRPr="009A66D5">
          <w:rPr>
            <w:rStyle w:val="Hyperlink"/>
            <w:rFonts w:ascii="Arial" w:eastAsia="source serif 4" w:hAnsi="Arial" w:cs="Arial"/>
            <w:bCs/>
            <w:color w:val="000000" w:themeColor="text1"/>
            <w:kern w:val="0"/>
            <w:u w:val="none"/>
            <w:lang w:val="en-US"/>
            <w14:ligatures w14:val="none"/>
          </w:rPr>
          <w:t>https://doi.org/10.1186/s12889-023-17301-3</w:t>
        </w:r>
      </w:hyperlink>
    </w:p>
    <w:p w14:paraId="39B2F8A3" w14:textId="5BD76C3D" w:rsidR="003E0FDB" w:rsidRPr="009A66D5" w:rsidRDefault="003E0FDB" w:rsidP="003E0FDB">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lastRenderedPageBreak/>
        <w:t xml:space="preserve">Cochrane, D., Erueti, B., &amp; Jin, Y. (2026). Impact of a grace period on student submission behaviour and academic performance. </w:t>
      </w:r>
      <w:r w:rsidRPr="009A66D5">
        <w:rPr>
          <w:rFonts w:ascii="Arial" w:eastAsia="source serif 4" w:hAnsi="Arial" w:cs="Arial"/>
          <w:bCs/>
          <w:i/>
          <w:iCs/>
          <w:color w:val="000000" w:themeColor="text1"/>
          <w:kern w:val="0"/>
          <w14:ligatures w14:val="none"/>
        </w:rPr>
        <w:t>Journal of Further and Higher Education</w:t>
      </w:r>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50</w:t>
      </w:r>
      <w:r w:rsidRPr="009A66D5">
        <w:rPr>
          <w:rFonts w:ascii="Arial" w:eastAsia="source serif 4" w:hAnsi="Arial" w:cs="Arial"/>
          <w:bCs/>
          <w:color w:val="000000" w:themeColor="text1"/>
          <w:kern w:val="0"/>
          <w14:ligatures w14:val="none"/>
        </w:rPr>
        <w:t xml:space="preserve">(5), 842-856. </w:t>
      </w:r>
      <w:hyperlink r:id="rId36" w:history="1">
        <w:r w:rsidRPr="009A66D5">
          <w:rPr>
            <w:rStyle w:val="Hyperlink"/>
            <w:rFonts w:ascii="Arial" w:eastAsia="source serif 4" w:hAnsi="Arial" w:cs="Arial"/>
            <w:bCs/>
            <w:color w:val="000000" w:themeColor="text1"/>
            <w:kern w:val="0"/>
            <w:u w:val="none"/>
            <w14:ligatures w14:val="none"/>
          </w:rPr>
          <w:t>https://doi.org/10.1080/0309877X.2026.2634042</w:t>
        </w:r>
      </w:hyperlink>
    </w:p>
    <w:p w14:paraId="7D7787E1"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Cohen, J. (1988). </w:t>
      </w:r>
      <w:r w:rsidRPr="009A66D5">
        <w:rPr>
          <w:rFonts w:ascii="Arial" w:eastAsia="source serif 4" w:hAnsi="Arial" w:cs="Arial"/>
          <w:bCs/>
          <w:i/>
          <w:iCs/>
          <w:color w:val="000000" w:themeColor="text1"/>
          <w:kern w:val="0"/>
          <w:lang w:val="en-US"/>
          <w14:ligatures w14:val="none"/>
        </w:rPr>
        <w:t>Statistical power analysis for the behavioral sciences</w:t>
      </w:r>
      <w:r w:rsidRPr="009A66D5">
        <w:rPr>
          <w:rFonts w:ascii="Arial" w:eastAsia="source serif 4" w:hAnsi="Arial" w:cs="Arial"/>
          <w:bCs/>
          <w:color w:val="000000" w:themeColor="text1"/>
          <w:kern w:val="0"/>
          <w:lang w:val="en-US"/>
          <w14:ligatures w14:val="none"/>
        </w:rPr>
        <w:t xml:space="preserve"> (2nd ed.). Lawrence Erlbaum Associates.</w:t>
      </w:r>
    </w:p>
    <w:p w14:paraId="59B20957" w14:textId="77777777" w:rsidR="005172A3" w:rsidRPr="009A66D5" w:rsidRDefault="00142758" w:rsidP="005172A3">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Cohen, L., Manion, L., &amp; Morrison, K. (2018). </w:t>
      </w:r>
      <w:r w:rsidRPr="009A66D5">
        <w:rPr>
          <w:rFonts w:ascii="Arial" w:eastAsia="source serif 4" w:hAnsi="Arial" w:cs="Arial"/>
          <w:bCs/>
          <w:i/>
          <w:iCs/>
          <w:color w:val="000000" w:themeColor="text1"/>
          <w:kern w:val="0"/>
          <w:lang w:val="en-US"/>
          <w14:ligatures w14:val="none"/>
        </w:rPr>
        <w:t>Research methods in education</w:t>
      </w:r>
      <w:r w:rsidRPr="009A66D5">
        <w:rPr>
          <w:rFonts w:ascii="Arial" w:eastAsia="source serif 4" w:hAnsi="Arial" w:cs="Arial"/>
          <w:bCs/>
          <w:color w:val="000000" w:themeColor="text1"/>
          <w:kern w:val="0"/>
          <w:lang w:val="en-US"/>
          <w14:ligatures w14:val="none"/>
        </w:rPr>
        <w:t xml:space="preserve"> (8th ed.). Routledge.</w:t>
      </w:r>
    </w:p>
    <w:p w14:paraId="6DA4C7BC" w14:textId="2D947C85" w:rsidR="00142758" w:rsidRPr="009A66D5" w:rsidRDefault="005172A3" w:rsidP="005172A3">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Creswell, J. W. (2009). </w:t>
      </w:r>
      <w:r w:rsidRPr="009A66D5">
        <w:rPr>
          <w:rFonts w:ascii="Arial" w:eastAsia="source serif 4" w:hAnsi="Arial" w:cs="Arial"/>
          <w:bCs/>
          <w:i/>
          <w:iCs/>
          <w:color w:val="000000" w:themeColor="text1"/>
          <w:kern w:val="0"/>
          <w:lang w:val="en-US"/>
          <w14:ligatures w14:val="none"/>
        </w:rPr>
        <w:t>Research design: Qualitative, Quantitative, and Mixed Methods Approaches</w:t>
      </w:r>
      <w:r w:rsidRPr="009A66D5">
        <w:rPr>
          <w:rFonts w:ascii="Arial" w:eastAsia="source serif 4" w:hAnsi="Arial" w:cs="Arial"/>
          <w:bCs/>
          <w:color w:val="000000" w:themeColor="text1"/>
          <w:kern w:val="0"/>
          <w:lang w:val="en-US"/>
          <w14:ligatures w14:val="none"/>
        </w:rPr>
        <w:t xml:space="preserve"> (3rd ed.). </w:t>
      </w:r>
      <w:r w:rsidR="006D2888" w:rsidRPr="009A66D5">
        <w:rPr>
          <w:rFonts w:ascii="Arial" w:eastAsia="source serif 4" w:hAnsi="Arial" w:cs="Arial"/>
          <w:bCs/>
          <w:color w:val="000000" w:themeColor="text1"/>
          <w:kern w:val="0"/>
          <w:lang w:val="en-US"/>
          <w14:ligatures w14:val="none"/>
        </w:rPr>
        <w:t>SAGE Publications</w:t>
      </w:r>
      <w:r w:rsidRPr="009A66D5">
        <w:rPr>
          <w:rFonts w:ascii="Arial" w:eastAsia="source serif 4" w:hAnsi="Arial" w:cs="Arial"/>
          <w:bCs/>
          <w:color w:val="000000" w:themeColor="text1"/>
          <w:kern w:val="0"/>
          <w:lang w:val="en-US"/>
          <w14:ligatures w14:val="none"/>
        </w:rPr>
        <w:t>.</w:t>
      </w:r>
    </w:p>
    <w:p w14:paraId="43672324" w14:textId="3FDFA02B" w:rsidR="00DA2A56" w:rsidRPr="009A66D5" w:rsidRDefault="00DA2A56" w:rsidP="00DA2A56">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14:ligatures w14:val="none"/>
        </w:rPr>
        <w:t xml:space="preserve">Creswell, J. W., &amp; Creswell, J. D. (2018). </w:t>
      </w:r>
      <w:r w:rsidRPr="009A66D5">
        <w:rPr>
          <w:rFonts w:ascii="Arial" w:eastAsia="source serif 4" w:hAnsi="Arial" w:cs="Arial"/>
          <w:bCs/>
          <w:i/>
          <w:iCs/>
          <w:color w:val="000000" w:themeColor="text1"/>
          <w:kern w:val="0"/>
          <w14:ligatures w14:val="none"/>
        </w:rPr>
        <w:t>Research design: Qualitative, Quantitative, and Mixed Methods Approaches</w:t>
      </w:r>
      <w:r w:rsidRPr="009A66D5">
        <w:rPr>
          <w:rFonts w:ascii="Arial" w:eastAsia="source serif 4" w:hAnsi="Arial" w:cs="Arial"/>
          <w:bCs/>
          <w:color w:val="000000" w:themeColor="text1"/>
          <w:kern w:val="0"/>
          <w14:ligatures w14:val="none"/>
        </w:rPr>
        <w:t xml:space="preserve"> (5th ed.). SAGE Publications.</w:t>
      </w:r>
    </w:p>
    <w:p w14:paraId="4889E20B"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Department for Education. (2026). </w:t>
      </w:r>
      <w:r w:rsidRPr="009A66D5">
        <w:rPr>
          <w:rFonts w:ascii="Arial" w:eastAsia="source serif 4" w:hAnsi="Arial" w:cs="Arial"/>
          <w:bCs/>
          <w:i/>
          <w:iCs/>
          <w:color w:val="000000" w:themeColor="text1"/>
          <w:kern w:val="0"/>
          <w:lang w:val="en-US"/>
          <w14:ligatures w14:val="none"/>
        </w:rPr>
        <w:t>Statistical disclosure control policy for DfE data.</w:t>
      </w:r>
      <w:r w:rsidRPr="009A66D5">
        <w:rPr>
          <w:rFonts w:ascii="Arial" w:eastAsia="source serif 4" w:hAnsi="Arial" w:cs="Arial"/>
          <w:bCs/>
          <w:color w:val="000000" w:themeColor="text1"/>
          <w:kern w:val="0"/>
          <w:lang w:val="en-US"/>
          <w14:ligatures w14:val="none"/>
        </w:rPr>
        <w:t xml:space="preserve"> </w:t>
      </w:r>
      <w:hyperlink r:id="rId37" w:history="1">
        <w:r w:rsidRPr="009A66D5">
          <w:rPr>
            <w:rStyle w:val="Hyperlink"/>
            <w:rFonts w:ascii="Arial" w:eastAsia="source serif 4" w:hAnsi="Arial" w:cs="Arial"/>
            <w:bCs/>
            <w:color w:val="000000" w:themeColor="text1"/>
            <w:kern w:val="0"/>
            <w:u w:val="none"/>
            <w:lang w:val="en-US"/>
            <w14:ligatures w14:val="none"/>
          </w:rPr>
          <w:t>https://assets.publishing.service.gov.uk/media/69dcee3aeb7e7bc5651702be/Statistical_disclosure_control_policy_for_DfE_data_-_Office_for_National_Statistics_Secure_Research_Service.pdf</w:t>
        </w:r>
      </w:hyperlink>
    </w:p>
    <w:p w14:paraId="6CB1A90B" w14:textId="78D844FC"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proofErr w:type="spellStart"/>
      <w:r w:rsidRPr="009A66D5">
        <w:rPr>
          <w:rFonts w:ascii="Arial" w:eastAsia="source serif 4" w:hAnsi="Arial" w:cs="Arial"/>
          <w:bCs/>
          <w:color w:val="000000" w:themeColor="text1"/>
          <w:kern w:val="0"/>
          <w:lang w:val="en-US"/>
          <w14:ligatures w14:val="none"/>
        </w:rPr>
        <w:t>DesJardins</w:t>
      </w:r>
      <w:proofErr w:type="spellEnd"/>
      <w:r w:rsidRPr="009A66D5">
        <w:rPr>
          <w:rFonts w:ascii="Arial" w:eastAsia="source serif 4" w:hAnsi="Arial" w:cs="Arial"/>
          <w:bCs/>
          <w:color w:val="000000" w:themeColor="text1"/>
          <w:kern w:val="0"/>
          <w:lang w:val="en-US"/>
          <w14:ligatures w14:val="none"/>
        </w:rPr>
        <w:t xml:space="preserve">, S. L., Ahlburg, D. A., &amp; McCall, B. P. (2006). The effects of interrupted enrollment on graduation from college: Racial, income, and ability differences. </w:t>
      </w:r>
      <w:r w:rsidRPr="009A66D5">
        <w:rPr>
          <w:rFonts w:ascii="Arial" w:eastAsia="source serif 4" w:hAnsi="Arial" w:cs="Arial"/>
          <w:bCs/>
          <w:i/>
          <w:iCs/>
          <w:color w:val="000000" w:themeColor="text1"/>
          <w:kern w:val="0"/>
          <w:lang w:val="en-US"/>
          <w14:ligatures w14:val="none"/>
        </w:rPr>
        <w:t>Economics of Education Review, 25</w:t>
      </w:r>
      <w:r w:rsidRPr="009A66D5">
        <w:rPr>
          <w:rFonts w:ascii="Arial" w:eastAsia="source serif 4" w:hAnsi="Arial" w:cs="Arial"/>
          <w:bCs/>
          <w:color w:val="000000" w:themeColor="text1"/>
          <w:kern w:val="0"/>
          <w:lang w:val="en-US"/>
          <w14:ligatures w14:val="none"/>
        </w:rPr>
        <w:t>(6), 575</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590. https://doi.org/10.1016/j.econedurev.2005.06.002</w:t>
      </w:r>
    </w:p>
    <w:p w14:paraId="76AEFE28"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Dixon, N., Howe, R., &amp; Richter, U. M. (2025). Exploring learning analytics practices and their benefits through the lens of three case studies in UK higher education. </w:t>
      </w:r>
      <w:r w:rsidRPr="009A66D5">
        <w:rPr>
          <w:rFonts w:ascii="Arial" w:eastAsia="source serif 4" w:hAnsi="Arial" w:cs="Arial"/>
          <w:bCs/>
          <w:i/>
          <w:iCs/>
          <w:color w:val="000000" w:themeColor="text1"/>
          <w:kern w:val="0"/>
          <w:lang w:val="en-US"/>
          <w14:ligatures w14:val="none"/>
        </w:rPr>
        <w:t>Research in Learning Technology, 33</w:t>
      </w:r>
      <w:r w:rsidRPr="009A66D5">
        <w:rPr>
          <w:rFonts w:ascii="Arial" w:eastAsia="source serif 4" w:hAnsi="Arial" w:cs="Arial"/>
          <w:bCs/>
          <w:color w:val="000000" w:themeColor="text1"/>
          <w:kern w:val="0"/>
          <w:lang w:val="en-US"/>
          <w14:ligatures w14:val="none"/>
        </w:rPr>
        <w:t xml:space="preserve">, 3127. </w:t>
      </w:r>
      <w:hyperlink r:id="rId38" w:history="1">
        <w:r w:rsidRPr="009A66D5">
          <w:rPr>
            <w:rStyle w:val="Hyperlink"/>
            <w:rFonts w:ascii="Arial" w:eastAsia="source serif 4" w:hAnsi="Arial" w:cs="Arial"/>
            <w:bCs/>
            <w:color w:val="000000" w:themeColor="text1"/>
            <w:kern w:val="0"/>
            <w:u w:val="none"/>
            <w:lang w:val="en-US"/>
            <w14:ligatures w14:val="none"/>
          </w:rPr>
          <w:t>https://doi.org/10.25304/rlt.v33.3127</w:t>
        </w:r>
      </w:hyperlink>
    </w:p>
    <w:p w14:paraId="32594BC7" w14:textId="2D51E885"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14:ligatures w14:val="none"/>
        </w:rPr>
        <w:t xml:space="preserve">Erb, S., &amp; Drysdale, M. T. B. (2017). </w:t>
      </w:r>
      <w:r w:rsidRPr="009A66D5">
        <w:rPr>
          <w:rFonts w:ascii="Arial" w:eastAsia="source serif 4" w:hAnsi="Arial" w:cs="Arial"/>
          <w:bCs/>
          <w:color w:val="000000" w:themeColor="text1"/>
          <w:kern w:val="0"/>
          <w:lang w:val="en-US"/>
          <w14:ligatures w14:val="none"/>
        </w:rPr>
        <w:t xml:space="preserve">Learning attributes, academic self-efficacy and sense of belonging amongst mature students at a Canadian university. </w:t>
      </w:r>
      <w:r w:rsidRPr="009A66D5">
        <w:rPr>
          <w:rFonts w:ascii="Arial" w:eastAsia="source serif 4" w:hAnsi="Arial" w:cs="Arial"/>
          <w:bCs/>
          <w:i/>
          <w:iCs/>
          <w:color w:val="000000" w:themeColor="text1"/>
          <w:kern w:val="0"/>
          <w:lang w:val="en-US"/>
          <w14:ligatures w14:val="none"/>
        </w:rPr>
        <w:t>Studies in the Education of Adults, 49</w:t>
      </w:r>
      <w:r w:rsidRPr="009A66D5">
        <w:rPr>
          <w:rFonts w:ascii="Arial" w:eastAsia="source serif 4" w:hAnsi="Arial" w:cs="Arial"/>
          <w:bCs/>
          <w:color w:val="000000" w:themeColor="text1"/>
          <w:kern w:val="0"/>
          <w:lang w:val="en-US"/>
          <w14:ligatures w14:val="none"/>
        </w:rPr>
        <w:t>(1), 62</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74. https://doi.org/10.1080/02660830.2017.1283754</w:t>
      </w:r>
    </w:p>
    <w:p w14:paraId="26BCE5E4" w14:textId="740DBF9E"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Farini, F., &amp; Scollan, A. M. (2021). A hope to trust: Educational leadership to support mature students’ inclusion in higher education: An experience from Surrey, </w:t>
      </w:r>
      <w:r w:rsidRPr="009A66D5">
        <w:rPr>
          <w:rFonts w:ascii="Arial" w:eastAsia="source serif 4" w:hAnsi="Arial" w:cs="Arial"/>
          <w:bCs/>
          <w:color w:val="000000" w:themeColor="text1"/>
          <w:kern w:val="0"/>
          <w:lang w:val="en-US"/>
          <w14:ligatures w14:val="none"/>
        </w:rPr>
        <w:lastRenderedPageBreak/>
        <w:t xml:space="preserve">England. </w:t>
      </w:r>
      <w:r w:rsidRPr="009A66D5">
        <w:rPr>
          <w:rFonts w:ascii="Arial" w:eastAsia="source serif 4" w:hAnsi="Arial" w:cs="Arial"/>
          <w:bCs/>
          <w:i/>
          <w:iCs/>
          <w:color w:val="000000" w:themeColor="text1"/>
          <w:kern w:val="0"/>
          <w:lang w:val="en-US"/>
          <w14:ligatures w14:val="none"/>
        </w:rPr>
        <w:t>International Journal of Leadership in Education, 24</w:t>
      </w:r>
      <w:r w:rsidRPr="009A66D5">
        <w:rPr>
          <w:rFonts w:ascii="Arial" w:eastAsia="source serif 4" w:hAnsi="Arial" w:cs="Arial"/>
          <w:bCs/>
          <w:color w:val="000000" w:themeColor="text1"/>
          <w:kern w:val="0"/>
          <w:lang w:val="en-US"/>
          <w14:ligatures w14:val="none"/>
        </w:rPr>
        <w:t>(5), 717</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742. </w:t>
      </w:r>
      <w:hyperlink r:id="rId39" w:history="1">
        <w:r w:rsidRPr="009A66D5">
          <w:rPr>
            <w:rStyle w:val="Hyperlink"/>
            <w:rFonts w:ascii="Arial" w:eastAsia="source serif 4" w:hAnsi="Arial" w:cs="Arial"/>
            <w:bCs/>
            <w:color w:val="000000" w:themeColor="text1"/>
            <w:kern w:val="0"/>
            <w:u w:val="none"/>
            <w:lang w:val="en-US"/>
            <w14:ligatures w14:val="none"/>
          </w:rPr>
          <w:t>https://doi.org/10.1080/13603124.2019.1657592</w:t>
        </w:r>
      </w:hyperlink>
    </w:p>
    <w:p w14:paraId="27AF81D8" w14:textId="77777777" w:rsidR="005172A3" w:rsidRPr="009A66D5" w:rsidRDefault="00142758" w:rsidP="005172A3">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Field, A. (2024). </w:t>
      </w:r>
      <w:r w:rsidRPr="009A66D5">
        <w:rPr>
          <w:rFonts w:ascii="Arial" w:eastAsia="source serif 4" w:hAnsi="Arial" w:cs="Arial"/>
          <w:bCs/>
          <w:i/>
          <w:iCs/>
          <w:color w:val="000000" w:themeColor="text1"/>
          <w:kern w:val="0"/>
          <w:lang w:val="en-US"/>
          <w14:ligatures w14:val="none"/>
        </w:rPr>
        <w:t>Discovering statistics using IBM SPSS Statistics</w:t>
      </w:r>
      <w:r w:rsidRPr="009A66D5">
        <w:rPr>
          <w:rFonts w:ascii="Arial" w:eastAsia="source serif 4" w:hAnsi="Arial" w:cs="Arial"/>
          <w:bCs/>
          <w:color w:val="000000" w:themeColor="text1"/>
          <w:kern w:val="0"/>
          <w:lang w:val="en-US"/>
          <w14:ligatures w14:val="none"/>
        </w:rPr>
        <w:t xml:space="preserve"> (6th ed.). Sage.</w:t>
      </w:r>
    </w:p>
    <w:p w14:paraId="11ECEC92" w14:textId="2929124B" w:rsidR="005172A3" w:rsidRPr="009A66D5" w:rsidRDefault="005172A3" w:rsidP="005172A3">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t xml:space="preserve">Fowle, W. (2022). </w:t>
      </w:r>
      <w:r w:rsidRPr="009A66D5">
        <w:rPr>
          <w:rFonts w:ascii="Arial" w:eastAsia="source serif 4" w:hAnsi="Arial" w:cs="Arial"/>
          <w:bCs/>
          <w:i/>
          <w:iCs/>
          <w:color w:val="000000" w:themeColor="text1"/>
          <w:kern w:val="0"/>
          <w14:ligatures w14:val="none"/>
        </w:rPr>
        <w:t>Widening participation to higher education for adult learners</w:t>
      </w:r>
      <w:r w:rsidRPr="009A66D5">
        <w:rPr>
          <w:rFonts w:ascii="Arial" w:eastAsia="source serif 4" w:hAnsi="Arial" w:cs="Arial"/>
          <w:bCs/>
          <w:color w:val="000000" w:themeColor="text1"/>
          <w:kern w:val="0"/>
          <w14:ligatures w14:val="none"/>
        </w:rPr>
        <w:t xml:space="preserve"> [Doctoral dissertation, The Open University]. Open Research Online. https://doi.org/10.21954/ou.ro.000140aa</w:t>
      </w:r>
    </w:p>
    <w:p w14:paraId="2ADE5039" w14:textId="74F0A5F5"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Freeman, J. A. (2025). Accommodating success: Examining the effects of accessing accommodations on degree completion among community college students with non-apparent disabilities. </w:t>
      </w:r>
      <w:r w:rsidRPr="009A66D5">
        <w:rPr>
          <w:rFonts w:ascii="Arial" w:eastAsia="source serif 4" w:hAnsi="Arial" w:cs="Arial"/>
          <w:bCs/>
          <w:i/>
          <w:iCs/>
          <w:color w:val="000000" w:themeColor="text1"/>
          <w:kern w:val="0"/>
          <w:lang w:val="en-US"/>
          <w14:ligatures w14:val="none"/>
        </w:rPr>
        <w:t>Exceptional Children, 91</w:t>
      </w:r>
      <w:r w:rsidRPr="009A66D5">
        <w:rPr>
          <w:rFonts w:ascii="Arial" w:eastAsia="source serif 4" w:hAnsi="Arial" w:cs="Arial"/>
          <w:bCs/>
          <w:color w:val="000000" w:themeColor="text1"/>
          <w:kern w:val="0"/>
          <w:lang w:val="en-US"/>
          <w14:ligatures w14:val="none"/>
        </w:rPr>
        <w:t>(4), 336</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358. </w:t>
      </w:r>
      <w:hyperlink r:id="rId40" w:history="1">
        <w:r w:rsidRPr="009A66D5">
          <w:rPr>
            <w:rStyle w:val="Hyperlink"/>
            <w:rFonts w:ascii="Arial" w:eastAsia="source serif 4" w:hAnsi="Arial" w:cs="Arial"/>
            <w:bCs/>
            <w:color w:val="000000" w:themeColor="text1"/>
            <w:kern w:val="0"/>
            <w:u w:val="none"/>
            <w:lang w:val="en-US"/>
            <w14:ligatures w14:val="none"/>
          </w:rPr>
          <w:t>https://doi.org/10.1177/00144029251318568</w:t>
        </w:r>
      </w:hyperlink>
    </w:p>
    <w:p w14:paraId="0AC72BA9" w14:textId="4C78A902" w:rsidR="00383BFD" w:rsidRPr="009A66D5" w:rsidRDefault="00383BFD" w:rsidP="00383BFD">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14:ligatures w14:val="none"/>
        </w:rPr>
        <w:t xml:space="preserve">Garvey, M. (2024). </w:t>
      </w:r>
      <w:r w:rsidRPr="009A66D5">
        <w:rPr>
          <w:rFonts w:ascii="Arial" w:eastAsia="source serif 4" w:hAnsi="Arial" w:cs="Arial"/>
          <w:bCs/>
          <w:i/>
          <w:iCs/>
          <w:color w:val="000000" w:themeColor="text1"/>
          <w:kern w:val="0"/>
          <w14:ligatures w14:val="none"/>
        </w:rPr>
        <w:t>Investigation into the motivation of mature learners to engage and sustain engagement with part-time higher education degree programmes</w:t>
      </w:r>
      <w:r w:rsidRPr="009A66D5">
        <w:rPr>
          <w:rFonts w:ascii="Arial" w:eastAsia="source serif 4" w:hAnsi="Arial" w:cs="Arial"/>
          <w:bCs/>
          <w:color w:val="000000" w:themeColor="text1"/>
          <w:kern w:val="0"/>
          <w14:ligatures w14:val="none"/>
        </w:rPr>
        <w:t xml:space="preserve"> [Doctoral dissertation, Griffith College Cork]. Griffith College Research Repository. </w:t>
      </w:r>
      <w:hyperlink r:id="rId41" w:tgtFrame="_blank" w:history="1">
        <w:r w:rsidRPr="009A66D5">
          <w:rPr>
            <w:rStyle w:val="Hyperlink"/>
            <w:rFonts w:ascii="Arial" w:eastAsia="source serif 4" w:hAnsi="Arial" w:cs="Arial"/>
            <w:bCs/>
            <w:color w:val="000000" w:themeColor="text1"/>
            <w:kern w:val="0"/>
            <w:u w:val="none"/>
            <w14:ligatures w14:val="none"/>
          </w:rPr>
          <w:t>https://go.griffith.ie/items/e878bbf8-135e-4e61-875b-abdeccab0ac1</w:t>
        </w:r>
      </w:hyperlink>
    </w:p>
    <w:p w14:paraId="2DB87512" w14:textId="63889BA0"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Gilani, D., &amp; Thomas, L. (2025). Understanding the factors and consequences of student belonging in higher education: A critical literature review. </w:t>
      </w:r>
      <w:r w:rsidRPr="009A66D5">
        <w:rPr>
          <w:rFonts w:ascii="Arial" w:eastAsia="source serif 4" w:hAnsi="Arial" w:cs="Arial"/>
          <w:bCs/>
          <w:i/>
          <w:iCs/>
          <w:color w:val="000000" w:themeColor="text1"/>
          <w:kern w:val="0"/>
          <w:lang w:val="en-US"/>
          <w14:ligatures w14:val="none"/>
        </w:rPr>
        <w:t xml:space="preserve">Journal of Learning Development in Higher Education, 34. </w:t>
      </w:r>
      <w:hyperlink r:id="rId42" w:history="1">
        <w:r w:rsidRPr="009A66D5">
          <w:rPr>
            <w:rStyle w:val="Hyperlink"/>
            <w:rFonts w:ascii="Arial" w:eastAsia="source serif 4" w:hAnsi="Arial" w:cs="Arial"/>
            <w:bCs/>
            <w:color w:val="000000" w:themeColor="text1"/>
            <w:kern w:val="0"/>
            <w:u w:val="none"/>
            <w:lang w:val="en-US"/>
            <w14:ligatures w14:val="none"/>
          </w:rPr>
          <w:t>https://doi.org/10.47408/jldhe.vi34.1385</w:t>
        </w:r>
      </w:hyperlink>
    </w:p>
    <w:p w14:paraId="18700FA1"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14:ligatures w14:val="none"/>
        </w:rPr>
        <w:t xml:space="preserve">Gongadze, S., Hume, S., &amp; </w:t>
      </w:r>
      <w:proofErr w:type="spellStart"/>
      <w:r w:rsidRPr="009A66D5">
        <w:rPr>
          <w:rFonts w:ascii="Arial" w:eastAsia="source serif 4" w:hAnsi="Arial" w:cs="Arial"/>
          <w:bCs/>
          <w:color w:val="000000" w:themeColor="text1"/>
          <w:kern w:val="0"/>
          <w14:ligatures w14:val="none"/>
        </w:rPr>
        <w:t>Styrnol</w:t>
      </w:r>
      <w:proofErr w:type="spellEnd"/>
      <w:r w:rsidRPr="009A66D5">
        <w:rPr>
          <w:rFonts w:ascii="Arial" w:eastAsia="source serif 4" w:hAnsi="Arial" w:cs="Arial"/>
          <w:bCs/>
          <w:color w:val="000000" w:themeColor="text1"/>
          <w:kern w:val="0"/>
          <w14:ligatures w14:val="none"/>
        </w:rPr>
        <w:t xml:space="preserve">, M. (2021). </w:t>
      </w:r>
      <w:r w:rsidRPr="009A66D5">
        <w:rPr>
          <w:rFonts w:ascii="Arial" w:eastAsia="source serif 4" w:hAnsi="Arial" w:cs="Arial"/>
          <w:bCs/>
          <w:color w:val="000000" w:themeColor="text1"/>
          <w:kern w:val="0"/>
          <w:lang w:val="en-US"/>
          <w14:ligatures w14:val="none"/>
        </w:rPr>
        <w:t>Supporting access and student success for mature learners: Evidence review. Transforming Access and Student Outcomes in Higher Education. https://cdn.taso.org.uk/wp-content/uploads/TASO-mature-students-literature-review-2021.pdf</w:t>
      </w:r>
    </w:p>
    <w:p w14:paraId="1E145008" w14:textId="77777777" w:rsidR="00142758" w:rsidRPr="009A66D5" w:rsidRDefault="00142758" w:rsidP="00142758">
      <w:pPr>
        <w:spacing w:after="120" w:line="360" w:lineRule="auto"/>
        <w:ind w:left="720" w:hanging="720"/>
        <w:rPr>
          <w:rFonts w:ascii="Arial" w:eastAsia="Aptos" w:hAnsi="Arial" w:cs="Arial"/>
          <w:color w:val="000000" w:themeColor="text1"/>
        </w:rPr>
      </w:pPr>
      <w:r w:rsidRPr="009A66D5">
        <w:rPr>
          <w:rFonts w:ascii="Arial" w:eastAsia="source serif 4" w:hAnsi="Arial" w:cs="Arial"/>
          <w:bCs/>
          <w:color w:val="000000" w:themeColor="text1"/>
          <w:kern w:val="0"/>
          <w:lang w:val="en-US"/>
          <w14:ligatures w14:val="none"/>
        </w:rPr>
        <w:t xml:space="preserve">Higher Education Statistics Agency. (2024). </w:t>
      </w:r>
      <w:r w:rsidRPr="009A66D5">
        <w:rPr>
          <w:rFonts w:ascii="Arial" w:eastAsia="source serif 4" w:hAnsi="Arial" w:cs="Arial"/>
          <w:bCs/>
          <w:i/>
          <w:iCs/>
          <w:color w:val="000000" w:themeColor="text1"/>
          <w:kern w:val="0"/>
          <w:lang w:val="en-US"/>
          <w14:ligatures w14:val="none"/>
        </w:rPr>
        <w:t>Higher education student statistics: UK, 2022/23 – Student numbers and characteristics (SB269).</w:t>
      </w:r>
      <w:r w:rsidRPr="009A66D5">
        <w:rPr>
          <w:rFonts w:ascii="Arial" w:eastAsia="source serif 4" w:hAnsi="Arial" w:cs="Arial"/>
          <w:bCs/>
          <w:color w:val="000000" w:themeColor="text1"/>
          <w:kern w:val="0"/>
          <w:lang w:val="en-US"/>
          <w14:ligatures w14:val="none"/>
        </w:rPr>
        <w:t xml:space="preserve"> https://www.hesa.ac.uk/news/08-08-2024/sb269-higher-education-student-statistics/numbers</w:t>
      </w:r>
    </w:p>
    <w:p w14:paraId="0C4F13C2" w14:textId="6FA3B8F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Holmes, A. G. D. (2020). Researcher positionality — A consideration of its influence and place in qualitative research — A new researcher guide. </w:t>
      </w:r>
      <w:proofErr w:type="spellStart"/>
      <w:r w:rsidRPr="009A66D5">
        <w:rPr>
          <w:rFonts w:ascii="Arial" w:eastAsia="source serif 4" w:hAnsi="Arial" w:cs="Arial"/>
          <w:bCs/>
          <w:color w:val="000000" w:themeColor="text1"/>
          <w:kern w:val="0"/>
          <w:lang w:val="en-US"/>
          <w14:ligatures w14:val="none"/>
        </w:rPr>
        <w:t>Shanlax</w:t>
      </w:r>
      <w:proofErr w:type="spellEnd"/>
      <w:r w:rsidRPr="009A66D5">
        <w:rPr>
          <w:rFonts w:ascii="Arial" w:eastAsia="source serif 4" w:hAnsi="Arial" w:cs="Arial"/>
          <w:bCs/>
          <w:color w:val="000000" w:themeColor="text1"/>
          <w:kern w:val="0"/>
          <w:lang w:val="en-US"/>
          <w14:ligatures w14:val="none"/>
        </w:rPr>
        <w:t xml:space="preserve"> </w:t>
      </w:r>
      <w:r w:rsidRPr="009A66D5">
        <w:rPr>
          <w:rFonts w:ascii="Arial" w:eastAsia="source serif 4" w:hAnsi="Arial" w:cs="Arial"/>
          <w:bCs/>
          <w:i/>
          <w:iCs/>
          <w:color w:val="000000" w:themeColor="text1"/>
          <w:kern w:val="0"/>
          <w:lang w:val="en-US"/>
          <w14:ligatures w14:val="none"/>
        </w:rPr>
        <w:t>International Journal of Education, 8</w:t>
      </w:r>
      <w:r w:rsidRPr="009A66D5">
        <w:rPr>
          <w:rFonts w:ascii="Arial" w:eastAsia="source serif 4" w:hAnsi="Arial" w:cs="Arial"/>
          <w:bCs/>
          <w:color w:val="000000" w:themeColor="text1"/>
          <w:kern w:val="0"/>
          <w:lang w:val="en-US"/>
          <w14:ligatures w14:val="none"/>
        </w:rPr>
        <w:t>(4), 1</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10. https://shanlaxjournals.in/journals/index.php/education/article/view/3232</w:t>
      </w:r>
    </w:p>
    <w:p w14:paraId="50B5AC94" w14:textId="77777777" w:rsidR="00142758" w:rsidRPr="009A66D5" w:rsidRDefault="00142758" w:rsidP="00142758">
      <w:pPr>
        <w:spacing w:after="120" w:line="360" w:lineRule="auto"/>
        <w:ind w:left="720" w:hanging="720"/>
        <w:rPr>
          <w:rFonts w:ascii="Arial" w:eastAsia="Aptos" w:hAnsi="Arial" w:cs="Arial"/>
          <w:color w:val="000000" w:themeColor="text1"/>
        </w:rPr>
      </w:pPr>
      <w:r w:rsidRPr="009A66D5">
        <w:rPr>
          <w:rFonts w:ascii="Arial" w:eastAsia="source serif 4" w:hAnsi="Arial" w:cs="Arial"/>
          <w:bCs/>
          <w:color w:val="000000" w:themeColor="text1"/>
          <w:kern w:val="0"/>
          <w:lang w:val="en-US"/>
          <w14:ligatures w14:val="none"/>
        </w:rPr>
        <w:lastRenderedPageBreak/>
        <w:t xml:space="preserve">Hyseni Duraku, Z., Davis, H., &amp; Hamiti, E. (2023). Mental health, study skills, social support, and barriers to seeking psychological help among university students: A call for mental health support in higher education. </w:t>
      </w:r>
      <w:r w:rsidRPr="009A66D5">
        <w:rPr>
          <w:rFonts w:ascii="Arial" w:eastAsia="source serif 4" w:hAnsi="Arial" w:cs="Arial"/>
          <w:bCs/>
          <w:i/>
          <w:iCs/>
          <w:color w:val="000000" w:themeColor="text1"/>
          <w:kern w:val="0"/>
          <w:lang w:val="en-US"/>
          <w14:ligatures w14:val="none"/>
        </w:rPr>
        <w:t>Frontiers in Public Health, 11</w:t>
      </w:r>
      <w:r w:rsidRPr="009A66D5">
        <w:rPr>
          <w:rFonts w:ascii="Arial" w:eastAsia="source serif 4" w:hAnsi="Arial" w:cs="Arial"/>
          <w:bCs/>
          <w:color w:val="000000" w:themeColor="text1"/>
          <w:kern w:val="0"/>
          <w:lang w:val="en-US"/>
          <w14:ligatures w14:val="none"/>
        </w:rPr>
        <w:t xml:space="preserve">, 1220614. </w:t>
      </w:r>
      <w:hyperlink r:id="rId43" w:history="1">
        <w:r w:rsidRPr="009A66D5">
          <w:rPr>
            <w:rStyle w:val="Hyperlink"/>
            <w:rFonts w:ascii="Arial" w:eastAsia="source serif 4" w:hAnsi="Arial" w:cs="Arial"/>
            <w:bCs/>
            <w:color w:val="000000" w:themeColor="text1"/>
            <w:kern w:val="0"/>
            <w:u w:val="none"/>
            <w:lang w:val="en-US"/>
            <w14:ligatures w14:val="none"/>
          </w:rPr>
          <w:t>https://doi.org/10.3389/fpubh.2023.1220614</w:t>
        </w:r>
      </w:hyperlink>
    </w:p>
    <w:p w14:paraId="7EE559B7" w14:textId="55EAC143" w:rsidR="005172A3" w:rsidRPr="009A66D5" w:rsidRDefault="00142758" w:rsidP="005172A3">
      <w:pPr>
        <w:spacing w:after="120" w:line="360" w:lineRule="auto"/>
        <w:ind w:left="720" w:hanging="720"/>
        <w:rPr>
          <w:rFonts w:ascii="Arial" w:eastAsia="Aptos" w:hAnsi="Arial" w:cs="Arial"/>
          <w:bCs/>
          <w:color w:val="000000" w:themeColor="text1"/>
        </w:rPr>
      </w:pPr>
      <w:proofErr w:type="spellStart"/>
      <w:r w:rsidRPr="009A66D5">
        <w:rPr>
          <w:rFonts w:ascii="Arial" w:eastAsia="Aptos" w:hAnsi="Arial" w:cs="Arial"/>
          <w:bCs/>
          <w:color w:val="000000" w:themeColor="text1"/>
        </w:rPr>
        <w:t>Ifenthaler</w:t>
      </w:r>
      <w:proofErr w:type="spellEnd"/>
      <w:r w:rsidRPr="009A66D5">
        <w:rPr>
          <w:rFonts w:ascii="Arial" w:eastAsia="Aptos" w:hAnsi="Arial" w:cs="Arial"/>
          <w:bCs/>
          <w:color w:val="000000" w:themeColor="text1"/>
        </w:rPr>
        <w:t xml:space="preserve">, D., &amp; Yau, J. Y.-K. (2020). Utilising learning analytics to support study success in higher education: a systematic review. </w:t>
      </w:r>
      <w:r w:rsidRPr="009A66D5">
        <w:rPr>
          <w:rFonts w:ascii="Arial" w:eastAsia="Aptos" w:hAnsi="Arial" w:cs="Arial"/>
          <w:bCs/>
          <w:i/>
          <w:iCs/>
          <w:color w:val="000000" w:themeColor="text1"/>
        </w:rPr>
        <w:t>Educational Technology Research and Development</w:t>
      </w:r>
      <w:r w:rsidRPr="009A66D5">
        <w:rPr>
          <w:rFonts w:ascii="Arial" w:eastAsia="Aptos" w:hAnsi="Arial" w:cs="Arial"/>
          <w:bCs/>
          <w:color w:val="000000" w:themeColor="text1"/>
        </w:rPr>
        <w:t xml:space="preserve">, </w:t>
      </w:r>
      <w:r w:rsidRPr="009A66D5">
        <w:rPr>
          <w:rFonts w:ascii="Arial" w:eastAsia="Aptos" w:hAnsi="Arial" w:cs="Arial"/>
          <w:bCs/>
          <w:i/>
          <w:iCs/>
          <w:color w:val="000000" w:themeColor="text1"/>
        </w:rPr>
        <w:t>68</w:t>
      </w:r>
      <w:r w:rsidRPr="009A66D5">
        <w:rPr>
          <w:rFonts w:ascii="Arial" w:eastAsia="Aptos" w:hAnsi="Arial" w:cs="Arial"/>
          <w:bCs/>
          <w:color w:val="000000" w:themeColor="text1"/>
        </w:rPr>
        <w:t>(4), 1961</w:t>
      </w:r>
      <w:r w:rsidR="00350CC8" w:rsidRPr="009A66D5">
        <w:rPr>
          <w:rFonts w:ascii="Arial" w:eastAsia="Aptos" w:hAnsi="Arial" w:cs="Arial"/>
          <w:bCs/>
          <w:color w:val="000000" w:themeColor="text1"/>
        </w:rPr>
        <w:t>-</w:t>
      </w:r>
      <w:r w:rsidRPr="009A66D5">
        <w:rPr>
          <w:rFonts w:ascii="Arial" w:eastAsia="Aptos" w:hAnsi="Arial" w:cs="Arial"/>
          <w:bCs/>
          <w:color w:val="000000" w:themeColor="text1"/>
        </w:rPr>
        <w:t xml:space="preserve">1990. </w:t>
      </w:r>
      <w:hyperlink r:id="rId44" w:history="1">
        <w:r w:rsidR="005172A3" w:rsidRPr="009A66D5">
          <w:rPr>
            <w:rStyle w:val="Hyperlink"/>
            <w:rFonts w:ascii="Arial" w:eastAsia="Aptos" w:hAnsi="Arial" w:cs="Arial"/>
            <w:bCs/>
            <w:color w:val="000000" w:themeColor="text1"/>
            <w:u w:val="none"/>
          </w:rPr>
          <w:t>https://doi.org/10.1007/s11423-020-09788-z</w:t>
        </w:r>
      </w:hyperlink>
    </w:p>
    <w:p w14:paraId="64AA7EF5" w14:textId="56B27EFB" w:rsidR="00142758" w:rsidRPr="009A66D5" w:rsidRDefault="005172A3" w:rsidP="005172A3">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Jones, J., MacDonnell, J., &amp; Aamir, A. (2025). Mature undergraduates’ experiences of a UK university induction programme: Accruing social capital, evolving habitus and developing a sense of belonging. </w:t>
      </w:r>
      <w:r w:rsidRPr="009A66D5">
        <w:rPr>
          <w:rFonts w:ascii="Arial" w:eastAsia="source serif 4" w:hAnsi="Arial" w:cs="Arial"/>
          <w:bCs/>
          <w:i/>
          <w:iCs/>
          <w:color w:val="000000" w:themeColor="text1"/>
          <w:kern w:val="0"/>
          <w:lang w:val="en-US"/>
          <w14:ligatures w14:val="none"/>
        </w:rPr>
        <w:t>Innovations in Education and Teaching International, 63</w:t>
      </w:r>
      <w:r w:rsidRPr="009A66D5">
        <w:rPr>
          <w:rFonts w:ascii="Arial" w:eastAsia="source serif 4" w:hAnsi="Arial" w:cs="Arial"/>
          <w:bCs/>
          <w:color w:val="000000" w:themeColor="text1"/>
          <w:kern w:val="0"/>
          <w:lang w:val="en-US"/>
          <w14:ligatures w14:val="none"/>
        </w:rPr>
        <w:t xml:space="preserve">(5), 1314-1328. </w:t>
      </w:r>
      <w:hyperlink r:id="rId45" w:history="1">
        <w:r w:rsidRPr="009A66D5">
          <w:rPr>
            <w:rStyle w:val="Hyperlink"/>
            <w:rFonts w:ascii="Arial" w:eastAsia="source serif 4" w:hAnsi="Arial" w:cs="Arial"/>
            <w:bCs/>
            <w:color w:val="000000" w:themeColor="text1"/>
            <w:kern w:val="0"/>
            <w:u w:val="none"/>
            <w:lang w:val="en-US"/>
            <w14:ligatures w14:val="none"/>
          </w:rPr>
          <w:t>https://doi.org/10.1080/14703297.2025.2555959</w:t>
        </w:r>
      </w:hyperlink>
    </w:p>
    <w:p w14:paraId="7BD56AFF" w14:textId="170777ED"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Jones, J., &amp; McConnell, C. (2023). Changing mindsets and becoming gritty: Mature students’ learning experiences in a UK university and beyond. </w:t>
      </w:r>
      <w:r w:rsidRPr="009A66D5">
        <w:rPr>
          <w:rFonts w:ascii="Arial" w:eastAsia="source serif 4" w:hAnsi="Arial" w:cs="Arial"/>
          <w:bCs/>
          <w:i/>
          <w:iCs/>
          <w:color w:val="000000" w:themeColor="text1"/>
          <w:kern w:val="0"/>
          <w:lang w:val="en-US"/>
          <w14:ligatures w14:val="none"/>
        </w:rPr>
        <w:t>Innovations in Education and Teaching International, 60</w:t>
      </w:r>
      <w:r w:rsidRPr="009A66D5">
        <w:rPr>
          <w:rFonts w:ascii="Arial" w:eastAsia="source serif 4" w:hAnsi="Arial" w:cs="Arial"/>
          <w:bCs/>
          <w:color w:val="000000" w:themeColor="text1"/>
          <w:kern w:val="0"/>
          <w:lang w:val="en-US"/>
          <w14:ligatures w14:val="none"/>
        </w:rPr>
        <w:t>(6), 883</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893. </w:t>
      </w:r>
      <w:hyperlink r:id="rId46" w:history="1">
        <w:r w:rsidRPr="009A66D5">
          <w:rPr>
            <w:rStyle w:val="Hyperlink"/>
            <w:rFonts w:ascii="Arial" w:eastAsia="source serif 4" w:hAnsi="Arial" w:cs="Arial"/>
            <w:bCs/>
            <w:color w:val="000000" w:themeColor="text1"/>
            <w:kern w:val="0"/>
            <w:u w:val="none"/>
            <w:lang w:val="en-US"/>
            <w14:ligatures w14:val="none"/>
          </w:rPr>
          <w:t>https://doi.org/10.1080/14703297.2022.2117726</w:t>
        </w:r>
      </w:hyperlink>
    </w:p>
    <w:p w14:paraId="7731954E" w14:textId="36FA3E5F" w:rsidR="00593FB8" w:rsidRPr="009A66D5" w:rsidRDefault="00593FB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King, S., </w:t>
      </w:r>
      <w:proofErr w:type="spellStart"/>
      <w:r w:rsidRPr="009A66D5">
        <w:rPr>
          <w:rFonts w:ascii="Arial" w:eastAsia="source serif 4" w:hAnsi="Arial" w:cs="Arial"/>
          <w:bCs/>
          <w:color w:val="000000" w:themeColor="text1"/>
          <w:kern w:val="0"/>
          <w:lang w:val="en-US"/>
          <w14:ligatures w14:val="none"/>
        </w:rPr>
        <w:t>Loddick</w:t>
      </w:r>
      <w:proofErr w:type="spellEnd"/>
      <w:r w:rsidRPr="009A66D5">
        <w:rPr>
          <w:rFonts w:ascii="Arial" w:eastAsia="source serif 4" w:hAnsi="Arial" w:cs="Arial"/>
          <w:bCs/>
          <w:color w:val="000000" w:themeColor="text1"/>
          <w:kern w:val="0"/>
          <w:lang w:val="en-US"/>
          <w14:ligatures w14:val="none"/>
        </w:rPr>
        <w:t xml:space="preserve">, A. Understanding the reasons why students fail to submit assignments. </w:t>
      </w:r>
      <w:proofErr w:type="spellStart"/>
      <w:r w:rsidRPr="009A66D5">
        <w:rPr>
          <w:rFonts w:ascii="Arial" w:eastAsia="source serif 4" w:hAnsi="Arial" w:cs="Arial"/>
          <w:bCs/>
          <w:i/>
          <w:iCs/>
          <w:color w:val="000000" w:themeColor="text1"/>
          <w:kern w:val="0"/>
          <w:lang w:val="en-US"/>
          <w14:ligatures w14:val="none"/>
        </w:rPr>
        <w:t>Discov</w:t>
      </w:r>
      <w:proofErr w:type="spellEnd"/>
      <w:r w:rsidRPr="009A66D5">
        <w:rPr>
          <w:rFonts w:ascii="Arial" w:eastAsia="source serif 4" w:hAnsi="Arial" w:cs="Arial"/>
          <w:bCs/>
          <w:i/>
          <w:iCs/>
          <w:color w:val="000000" w:themeColor="text1"/>
          <w:kern w:val="0"/>
          <w:lang w:val="en-US"/>
          <w14:ligatures w14:val="none"/>
        </w:rPr>
        <w:t xml:space="preserve"> Educ 5</w:t>
      </w:r>
      <w:r w:rsidRPr="009A66D5">
        <w:rPr>
          <w:rFonts w:ascii="Arial" w:eastAsia="source serif 4" w:hAnsi="Arial" w:cs="Arial"/>
          <w:bCs/>
          <w:color w:val="000000" w:themeColor="text1"/>
          <w:kern w:val="0"/>
          <w:lang w:val="en-US"/>
          <w14:ligatures w14:val="none"/>
        </w:rPr>
        <w:t xml:space="preserve">, 122. </w:t>
      </w:r>
      <w:hyperlink r:id="rId47" w:history="1">
        <w:r w:rsidRPr="009A66D5">
          <w:rPr>
            <w:rStyle w:val="Hyperlink"/>
            <w:rFonts w:ascii="Arial" w:eastAsia="source serif 4" w:hAnsi="Arial" w:cs="Arial"/>
            <w:bCs/>
            <w:color w:val="000000" w:themeColor="text1"/>
            <w:kern w:val="0"/>
            <w:u w:val="none"/>
            <w:lang w:val="en-US"/>
            <w14:ligatures w14:val="none"/>
          </w:rPr>
          <w:t>https://doi-org.uwtsd.idm.oclc.org/10.1007/s44217-026-01186-6</w:t>
        </w:r>
      </w:hyperlink>
    </w:p>
    <w:p w14:paraId="186BD43D" w14:textId="35E39756"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Kutscher, E. L., &amp; Tuckwiller, E. D. (2019). Persistence in higher education for students with disabilities: A mixed systematic review. </w:t>
      </w:r>
      <w:r w:rsidRPr="009A66D5">
        <w:rPr>
          <w:rFonts w:ascii="Arial" w:eastAsia="source serif 4" w:hAnsi="Arial" w:cs="Arial"/>
          <w:bCs/>
          <w:i/>
          <w:iCs/>
          <w:color w:val="000000" w:themeColor="text1"/>
          <w:kern w:val="0"/>
          <w:lang w:val="en-US"/>
          <w14:ligatures w14:val="none"/>
        </w:rPr>
        <w:t>Journal of Diversity in Higher Education, 12</w:t>
      </w:r>
      <w:r w:rsidRPr="009A66D5">
        <w:rPr>
          <w:rFonts w:ascii="Arial" w:eastAsia="source serif 4" w:hAnsi="Arial" w:cs="Arial"/>
          <w:bCs/>
          <w:color w:val="000000" w:themeColor="text1"/>
          <w:kern w:val="0"/>
          <w:lang w:val="en-US"/>
          <w14:ligatures w14:val="none"/>
        </w:rPr>
        <w:t>(2), 136</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155. https://doi.org/10.1037/dhe0000088</w:t>
      </w:r>
    </w:p>
    <w:p w14:paraId="0A41B97E" w14:textId="770C0FEF" w:rsidR="00E73068" w:rsidRPr="009A66D5" w:rsidRDefault="00142758" w:rsidP="00E7306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Larrabee Sønderlund, A., Hughes, E., &amp; Smith, J. (2019). The efficacy of learning analytics interventions in higher education: A systematic review. </w:t>
      </w:r>
      <w:r w:rsidRPr="009A66D5">
        <w:rPr>
          <w:rFonts w:ascii="Arial" w:eastAsia="source serif 4" w:hAnsi="Arial" w:cs="Arial"/>
          <w:bCs/>
          <w:i/>
          <w:iCs/>
          <w:color w:val="000000" w:themeColor="text1"/>
          <w:kern w:val="0"/>
          <w:lang w:val="en-US"/>
          <w14:ligatures w14:val="none"/>
        </w:rPr>
        <w:t>British Journal of Educational Technology, 50</w:t>
      </w:r>
      <w:r w:rsidRPr="009A66D5">
        <w:rPr>
          <w:rFonts w:ascii="Arial" w:eastAsia="source serif 4" w:hAnsi="Arial" w:cs="Arial"/>
          <w:bCs/>
          <w:color w:val="000000" w:themeColor="text1"/>
          <w:kern w:val="0"/>
          <w:lang w:val="en-US"/>
          <w14:ligatures w14:val="none"/>
        </w:rPr>
        <w:t xml:space="preserve">(5), 2594–2618. </w:t>
      </w:r>
      <w:hyperlink r:id="rId48" w:history="1">
        <w:r w:rsidRPr="009A66D5">
          <w:rPr>
            <w:rStyle w:val="Hyperlink"/>
            <w:rFonts w:ascii="Arial" w:eastAsia="source serif 4" w:hAnsi="Arial" w:cs="Arial"/>
            <w:bCs/>
            <w:color w:val="000000" w:themeColor="text1"/>
            <w:kern w:val="0"/>
            <w:u w:val="none"/>
            <w:lang w:val="en-US"/>
            <w14:ligatures w14:val="none"/>
          </w:rPr>
          <w:t>https://doi.org/10.1111/bjet.12720</w:t>
        </w:r>
      </w:hyperlink>
    </w:p>
    <w:p w14:paraId="522DE8FC" w14:textId="7F556647" w:rsidR="005C3B07" w:rsidRPr="009A66D5" w:rsidRDefault="005C3B07" w:rsidP="005C3B07">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t xml:space="preserve">Lea, M. R., &amp; Street, B. V. (1998). Student writing in higher education: An academic literacies approach. </w:t>
      </w:r>
      <w:r w:rsidRPr="009A66D5">
        <w:rPr>
          <w:rFonts w:ascii="Arial" w:eastAsia="source serif 4" w:hAnsi="Arial" w:cs="Arial"/>
          <w:bCs/>
          <w:i/>
          <w:iCs/>
          <w:color w:val="000000" w:themeColor="text1"/>
          <w:kern w:val="0"/>
          <w14:ligatures w14:val="none"/>
        </w:rPr>
        <w:t>Studies in Higher Education</w:t>
      </w:r>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23</w:t>
      </w:r>
      <w:r w:rsidRPr="009A66D5">
        <w:rPr>
          <w:rFonts w:ascii="Arial" w:eastAsia="source serif 4" w:hAnsi="Arial" w:cs="Arial"/>
          <w:bCs/>
          <w:color w:val="000000" w:themeColor="text1"/>
          <w:kern w:val="0"/>
          <w14:ligatures w14:val="none"/>
        </w:rPr>
        <w:t xml:space="preserve">(2), 157–172. </w:t>
      </w:r>
      <w:hyperlink r:id="rId49" w:history="1">
        <w:r w:rsidRPr="009A66D5">
          <w:rPr>
            <w:rStyle w:val="Hyperlink"/>
            <w:rFonts w:ascii="Arial" w:eastAsia="source serif 4" w:hAnsi="Arial" w:cs="Arial"/>
            <w:bCs/>
            <w:color w:val="000000" w:themeColor="text1"/>
            <w:kern w:val="0"/>
            <w:u w:val="none"/>
            <w14:ligatures w14:val="none"/>
          </w:rPr>
          <w:t>https://doi.org/10.1080/03075079812331380364</w:t>
        </w:r>
      </w:hyperlink>
    </w:p>
    <w:p w14:paraId="0E513E37" w14:textId="102AABC3" w:rsidR="00867B9F" w:rsidRPr="009A66D5" w:rsidRDefault="00142758" w:rsidP="00867B9F">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lastRenderedPageBreak/>
        <w:t xml:space="preserve">Linden, K. (2022). Improving Student Retention by Providing Targeted Support to University Students who do not Submit an Early Assessment Item. </w:t>
      </w:r>
      <w:r w:rsidRPr="009A66D5">
        <w:rPr>
          <w:rFonts w:ascii="Arial" w:eastAsia="source serif 4" w:hAnsi="Arial" w:cs="Arial"/>
          <w:bCs/>
          <w:i/>
          <w:iCs/>
          <w:color w:val="000000" w:themeColor="text1"/>
          <w:kern w:val="0"/>
          <w:lang w:val="en-US"/>
          <w14:ligatures w14:val="none"/>
        </w:rPr>
        <w:t>Student Success, 13</w:t>
      </w:r>
      <w:r w:rsidRPr="009A66D5">
        <w:rPr>
          <w:rFonts w:ascii="Arial" w:eastAsia="source serif 4" w:hAnsi="Arial" w:cs="Arial"/>
          <w:bCs/>
          <w:color w:val="000000" w:themeColor="text1"/>
          <w:kern w:val="0"/>
          <w:lang w:val="en-US"/>
          <w14:ligatures w14:val="none"/>
        </w:rPr>
        <w:t>(1), 67</w:t>
      </w:r>
      <w:r w:rsidR="00350CC8"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73. </w:t>
      </w:r>
      <w:hyperlink r:id="rId50" w:history="1">
        <w:r w:rsidRPr="009A66D5">
          <w:rPr>
            <w:rStyle w:val="Hyperlink"/>
            <w:rFonts w:ascii="Arial" w:eastAsia="source serif 4" w:hAnsi="Arial" w:cs="Arial"/>
            <w:bCs/>
            <w:color w:val="000000" w:themeColor="text1"/>
            <w:kern w:val="0"/>
            <w:u w:val="none"/>
            <w:lang w:val="en-US"/>
            <w14:ligatures w14:val="none"/>
          </w:rPr>
          <w:t>https://doi.org/10.5204/ssj.2152</w:t>
        </w:r>
      </w:hyperlink>
    </w:p>
    <w:p w14:paraId="46909911" w14:textId="07AB611D" w:rsidR="00867B9F" w:rsidRPr="009A66D5" w:rsidRDefault="00867B9F"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14:ligatures w14:val="none"/>
        </w:rPr>
        <w:t xml:space="preserve">Linden, K., van der Ploeg, N., &amp; Roman, N. (2023). Explainable learning analytics to identify disengaged students early in semester: An intervention supporting widening participation. </w:t>
      </w:r>
      <w:r w:rsidRPr="009A66D5">
        <w:rPr>
          <w:rFonts w:ascii="Arial" w:eastAsia="source serif 4" w:hAnsi="Arial" w:cs="Arial"/>
          <w:bCs/>
          <w:i/>
          <w:iCs/>
          <w:color w:val="000000" w:themeColor="text1"/>
          <w:kern w:val="0"/>
          <w14:ligatures w14:val="none"/>
        </w:rPr>
        <w:t>Journal of Higher Education Policy and Management, 45</w:t>
      </w:r>
      <w:r w:rsidRPr="009A66D5">
        <w:rPr>
          <w:rFonts w:ascii="Arial" w:eastAsia="source serif 4" w:hAnsi="Arial" w:cs="Arial"/>
          <w:bCs/>
          <w:color w:val="000000" w:themeColor="text1"/>
          <w:kern w:val="0"/>
          <w14:ligatures w14:val="none"/>
        </w:rPr>
        <w:t xml:space="preserve">(6), 626-640. </w:t>
      </w:r>
      <w:hyperlink r:id="rId51" w:tgtFrame="_blank" w:history="1">
        <w:r w:rsidRPr="009A66D5">
          <w:rPr>
            <w:rStyle w:val="Hyperlink"/>
            <w:rFonts w:ascii="Arial" w:eastAsia="source serif 4" w:hAnsi="Arial" w:cs="Arial"/>
            <w:bCs/>
            <w:color w:val="000000" w:themeColor="text1"/>
            <w:kern w:val="0"/>
            <w:u w:val="none"/>
            <w14:ligatures w14:val="none"/>
          </w:rPr>
          <w:t>https://doi.org/10.1080/1360080X.2023.2212418</w:t>
        </w:r>
      </w:hyperlink>
    </w:p>
    <w:p w14:paraId="106B9831" w14:textId="4F27D7DA"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Lyu, H., Nguyen, A., &amp; Dang, C. T. (2025). Aligning support with the needs of mature students in Russell Group universities: A systematic literature review. </w:t>
      </w:r>
      <w:r w:rsidRPr="009A66D5">
        <w:rPr>
          <w:rFonts w:ascii="Arial" w:eastAsia="source serif 4" w:hAnsi="Arial" w:cs="Arial"/>
          <w:bCs/>
          <w:i/>
          <w:iCs/>
          <w:color w:val="000000" w:themeColor="text1"/>
          <w:kern w:val="0"/>
          <w:lang w:val="en-US"/>
          <w14:ligatures w14:val="none"/>
        </w:rPr>
        <w:t>The Journal of Continuing Higher Education, 73</w:t>
      </w:r>
      <w:r w:rsidRPr="009A66D5">
        <w:rPr>
          <w:rFonts w:ascii="Arial" w:eastAsia="source serif 4" w:hAnsi="Arial" w:cs="Arial"/>
          <w:bCs/>
          <w:color w:val="000000" w:themeColor="text1"/>
          <w:kern w:val="0"/>
          <w:lang w:val="en-US"/>
          <w14:ligatures w14:val="none"/>
        </w:rPr>
        <w:t>(2), 194</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207. </w:t>
      </w:r>
      <w:hyperlink r:id="rId52" w:history="1">
        <w:r w:rsidRPr="009A66D5">
          <w:rPr>
            <w:rStyle w:val="Hyperlink"/>
            <w:rFonts w:ascii="Arial" w:eastAsia="source serif 4" w:hAnsi="Arial" w:cs="Arial"/>
            <w:bCs/>
            <w:color w:val="000000" w:themeColor="text1"/>
            <w:kern w:val="0"/>
            <w:u w:val="none"/>
            <w:lang w:val="en-US"/>
            <w14:ligatures w14:val="none"/>
          </w:rPr>
          <w:t>https://doi.org/10.1080/07377363.2025.2460248</w:t>
        </w:r>
      </w:hyperlink>
    </w:p>
    <w:p w14:paraId="0ABA4C7F"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Martín-</w:t>
      </w:r>
      <w:proofErr w:type="spellStart"/>
      <w:r w:rsidRPr="009A66D5">
        <w:rPr>
          <w:rFonts w:ascii="Arial" w:eastAsia="source serif 4" w:hAnsi="Arial" w:cs="Arial"/>
          <w:bCs/>
          <w:color w:val="000000" w:themeColor="text1"/>
          <w:kern w:val="0"/>
          <w:lang w:val="en-US"/>
          <w14:ligatures w14:val="none"/>
        </w:rPr>
        <w:t>Arbós</w:t>
      </w:r>
      <w:proofErr w:type="spellEnd"/>
      <w:r w:rsidRPr="009A66D5">
        <w:rPr>
          <w:rFonts w:ascii="Arial" w:eastAsia="source serif 4" w:hAnsi="Arial" w:cs="Arial"/>
          <w:bCs/>
          <w:color w:val="000000" w:themeColor="text1"/>
          <w:kern w:val="0"/>
          <w:lang w:val="en-US"/>
          <w14:ligatures w14:val="none"/>
        </w:rPr>
        <w:t xml:space="preserve">, S., </w:t>
      </w:r>
      <w:proofErr w:type="spellStart"/>
      <w:r w:rsidRPr="009A66D5">
        <w:rPr>
          <w:rFonts w:ascii="Arial" w:eastAsia="source serif 4" w:hAnsi="Arial" w:cs="Arial"/>
          <w:bCs/>
          <w:color w:val="000000" w:themeColor="text1"/>
          <w:kern w:val="0"/>
          <w:lang w:val="en-US"/>
          <w14:ligatures w14:val="none"/>
        </w:rPr>
        <w:t>Castarlenas</w:t>
      </w:r>
      <w:proofErr w:type="spellEnd"/>
      <w:r w:rsidRPr="009A66D5">
        <w:rPr>
          <w:rFonts w:ascii="Arial" w:eastAsia="source serif 4" w:hAnsi="Arial" w:cs="Arial"/>
          <w:bCs/>
          <w:color w:val="000000" w:themeColor="text1"/>
          <w:kern w:val="0"/>
          <w:lang w:val="en-US"/>
          <w14:ligatures w14:val="none"/>
        </w:rPr>
        <w:t xml:space="preserve">, E., &amp; Dueñas, J.-M. (2021). Help-seeking in an academic context: A systematic review. </w:t>
      </w:r>
      <w:r w:rsidRPr="009A66D5">
        <w:rPr>
          <w:rFonts w:ascii="Arial" w:eastAsia="source serif 4" w:hAnsi="Arial" w:cs="Arial"/>
          <w:bCs/>
          <w:i/>
          <w:iCs/>
          <w:color w:val="000000" w:themeColor="text1"/>
          <w:kern w:val="0"/>
          <w:lang w:val="en-US"/>
          <w14:ligatures w14:val="none"/>
        </w:rPr>
        <w:t>Sustainability, 13</w:t>
      </w:r>
      <w:r w:rsidRPr="009A66D5">
        <w:rPr>
          <w:rFonts w:ascii="Arial" w:eastAsia="source serif 4" w:hAnsi="Arial" w:cs="Arial"/>
          <w:bCs/>
          <w:color w:val="000000" w:themeColor="text1"/>
          <w:kern w:val="0"/>
          <w:lang w:val="en-US"/>
          <w14:ligatures w14:val="none"/>
        </w:rPr>
        <w:t xml:space="preserve">(8), 4460. </w:t>
      </w:r>
      <w:hyperlink r:id="rId53" w:history="1">
        <w:r w:rsidRPr="009A66D5">
          <w:rPr>
            <w:rStyle w:val="Hyperlink"/>
            <w:rFonts w:ascii="Arial" w:eastAsia="source serif 4" w:hAnsi="Arial" w:cs="Arial"/>
            <w:bCs/>
            <w:color w:val="000000" w:themeColor="text1"/>
            <w:kern w:val="0"/>
            <w:u w:val="none"/>
            <w:lang w:val="en-US"/>
            <w14:ligatures w14:val="none"/>
          </w:rPr>
          <w:t>https://doi.org/10.3390/su13084460</w:t>
        </w:r>
      </w:hyperlink>
    </w:p>
    <w:p w14:paraId="28155C8F" w14:textId="78F9D39B"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McKenzie, S., Castle-Herbert, A., </w:t>
      </w:r>
      <w:proofErr w:type="spellStart"/>
      <w:r w:rsidRPr="009A66D5">
        <w:rPr>
          <w:rFonts w:ascii="Arial" w:eastAsia="source serif 4" w:hAnsi="Arial" w:cs="Arial"/>
          <w:bCs/>
          <w:color w:val="000000" w:themeColor="text1"/>
          <w:kern w:val="0"/>
          <w:lang w:val="en-US"/>
          <w14:ligatures w14:val="none"/>
        </w:rPr>
        <w:t>Verriès</w:t>
      </w:r>
      <w:proofErr w:type="spellEnd"/>
      <w:r w:rsidRPr="009A66D5">
        <w:rPr>
          <w:rFonts w:ascii="Arial" w:eastAsia="source serif 4" w:hAnsi="Arial" w:cs="Arial"/>
          <w:bCs/>
          <w:color w:val="000000" w:themeColor="text1"/>
          <w:kern w:val="0"/>
          <w:lang w:val="en-US"/>
          <w14:ligatures w14:val="none"/>
        </w:rPr>
        <w:t xml:space="preserve">-Wade, A., &amp; Silk, H. (2024). Building communities for student success: Facilitating student belonging through online inductions. </w:t>
      </w:r>
      <w:r w:rsidRPr="009A66D5">
        <w:rPr>
          <w:rFonts w:ascii="Arial" w:eastAsia="source serif 4" w:hAnsi="Arial" w:cs="Arial"/>
          <w:bCs/>
          <w:i/>
          <w:iCs/>
          <w:color w:val="000000" w:themeColor="text1"/>
          <w:kern w:val="0"/>
          <w:lang w:val="en-US"/>
          <w14:ligatures w14:val="none"/>
        </w:rPr>
        <w:t>Widening Participation and Lifelong Learning, 26</w:t>
      </w:r>
      <w:r w:rsidRPr="009A66D5">
        <w:rPr>
          <w:rFonts w:ascii="Arial" w:eastAsia="source serif 4" w:hAnsi="Arial" w:cs="Arial"/>
          <w:bCs/>
          <w:color w:val="000000" w:themeColor="text1"/>
          <w:kern w:val="0"/>
          <w:lang w:val="en-US"/>
          <w14:ligatures w14:val="none"/>
        </w:rPr>
        <w:t>(1), 145</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165. https://oro.open.ac.uk/97391/1/97391.pdf</w:t>
      </w:r>
    </w:p>
    <w:p w14:paraId="568CAB2C"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Moore, J., Sanders, J., &amp; Higham, L. (2013). Literature review of research into widening participation </w:t>
      </w:r>
      <w:proofErr w:type="gramStart"/>
      <w:r w:rsidRPr="009A66D5">
        <w:rPr>
          <w:rFonts w:ascii="Arial" w:eastAsia="source serif 4" w:hAnsi="Arial" w:cs="Arial"/>
          <w:bCs/>
          <w:color w:val="000000" w:themeColor="text1"/>
          <w:kern w:val="0"/>
          <w:lang w:val="en-US"/>
          <w14:ligatures w14:val="none"/>
        </w:rPr>
        <w:t>to</w:t>
      </w:r>
      <w:proofErr w:type="gramEnd"/>
      <w:r w:rsidRPr="009A66D5">
        <w:rPr>
          <w:rFonts w:ascii="Arial" w:eastAsia="source serif 4" w:hAnsi="Arial" w:cs="Arial"/>
          <w:bCs/>
          <w:color w:val="000000" w:themeColor="text1"/>
          <w:kern w:val="0"/>
          <w:lang w:val="en-US"/>
          <w14:ligatures w14:val="none"/>
        </w:rPr>
        <w:t xml:space="preserve"> higher education: Report to HEFCE and OFFA. </w:t>
      </w:r>
      <w:proofErr w:type="spellStart"/>
      <w:r w:rsidRPr="009A66D5">
        <w:rPr>
          <w:rFonts w:ascii="Arial" w:eastAsia="source serif 4" w:hAnsi="Arial" w:cs="Arial"/>
          <w:bCs/>
          <w:color w:val="000000" w:themeColor="text1"/>
          <w:kern w:val="0"/>
          <w:lang w:val="en-US"/>
          <w14:ligatures w14:val="none"/>
        </w:rPr>
        <w:t>AimHigher</w:t>
      </w:r>
      <w:proofErr w:type="spellEnd"/>
      <w:r w:rsidRPr="009A66D5">
        <w:rPr>
          <w:rFonts w:ascii="Arial" w:eastAsia="source serif 4" w:hAnsi="Arial" w:cs="Arial"/>
          <w:bCs/>
          <w:color w:val="000000" w:themeColor="text1"/>
          <w:kern w:val="0"/>
          <w:lang w:val="en-US"/>
          <w14:ligatures w14:val="none"/>
        </w:rPr>
        <w:t xml:space="preserve"> Research &amp; Consultancy Network. https://www.raggeduniversity.co.uk/wp-content/uploads/2015/09/Literature-review-of-research-into-WP-to-HE.pdf</w:t>
      </w:r>
    </w:p>
    <w:p w14:paraId="1273A46F" w14:textId="606436AE" w:rsidR="00593FB8" w:rsidRPr="009A66D5" w:rsidRDefault="00593FB8" w:rsidP="00142758">
      <w:pPr>
        <w:spacing w:after="120" w:line="360" w:lineRule="auto"/>
        <w:ind w:left="720" w:hanging="720"/>
        <w:rPr>
          <w:rFonts w:ascii="Arial" w:eastAsia="source serif 4" w:hAnsi="Arial" w:cs="Arial"/>
          <w:bCs/>
          <w:color w:val="000000" w:themeColor="text1"/>
          <w:kern w:val="0"/>
          <w:lang w:val="en-US"/>
          <w14:ligatures w14:val="none"/>
        </w:rPr>
      </w:pPr>
      <w:proofErr w:type="spellStart"/>
      <w:r w:rsidRPr="009A66D5">
        <w:rPr>
          <w:rFonts w:ascii="Arial" w:eastAsia="source serif 4" w:hAnsi="Arial" w:cs="Arial"/>
          <w:bCs/>
          <w:color w:val="000000" w:themeColor="text1"/>
          <w:kern w:val="0"/>
          <w:lang w:val="en-US"/>
          <w14:ligatures w14:val="none"/>
        </w:rPr>
        <w:t>Moriña</w:t>
      </w:r>
      <w:proofErr w:type="spellEnd"/>
      <w:r w:rsidRPr="009A66D5">
        <w:rPr>
          <w:rFonts w:ascii="Arial" w:eastAsia="source serif 4" w:hAnsi="Arial" w:cs="Arial"/>
          <w:bCs/>
          <w:color w:val="000000" w:themeColor="text1"/>
          <w:kern w:val="0"/>
          <w:lang w:val="en-US"/>
          <w14:ligatures w14:val="none"/>
        </w:rPr>
        <w:t xml:space="preserve">, A., &amp; Biagiotti, G. (2022). Academic success factors in university students with disabilities: A systematic review. </w:t>
      </w:r>
      <w:r w:rsidRPr="009A66D5">
        <w:rPr>
          <w:rFonts w:ascii="Arial" w:eastAsia="source serif 4" w:hAnsi="Arial" w:cs="Arial"/>
          <w:bCs/>
          <w:i/>
          <w:iCs/>
          <w:color w:val="000000" w:themeColor="text1"/>
          <w:kern w:val="0"/>
          <w:lang w:val="en-US"/>
          <w14:ligatures w14:val="none"/>
        </w:rPr>
        <w:t>European Journal of Special Needs Education, 37</w:t>
      </w:r>
      <w:r w:rsidRPr="009A66D5">
        <w:rPr>
          <w:rFonts w:ascii="Arial" w:eastAsia="source serif 4" w:hAnsi="Arial" w:cs="Arial"/>
          <w:bCs/>
          <w:color w:val="000000" w:themeColor="text1"/>
          <w:kern w:val="0"/>
          <w:lang w:val="en-US"/>
          <w14:ligatures w14:val="none"/>
        </w:rPr>
        <w:t xml:space="preserve">(5), 729–746. </w:t>
      </w:r>
      <w:hyperlink r:id="rId54" w:history="1">
        <w:r w:rsidRPr="009A66D5">
          <w:rPr>
            <w:rStyle w:val="Hyperlink"/>
            <w:rFonts w:ascii="Arial" w:eastAsia="source serif 4" w:hAnsi="Arial" w:cs="Arial"/>
            <w:bCs/>
            <w:color w:val="000000" w:themeColor="text1"/>
            <w:kern w:val="0"/>
            <w:u w:val="none"/>
            <w:lang w:val="en-US"/>
            <w14:ligatures w14:val="none"/>
          </w:rPr>
          <w:t>https://doi.org/10.1080/08856257.2021.1940007</w:t>
        </w:r>
      </w:hyperlink>
    </w:p>
    <w:p w14:paraId="371E470D" w14:textId="1F4AC4FB"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Newman, L. A., Madaus, J. W., Lalor, A. R., &amp; Javitz, H. S. (2021). Effect of accessing supports on higher education persistence of students with disabilities. </w:t>
      </w:r>
      <w:r w:rsidRPr="009A66D5">
        <w:rPr>
          <w:rFonts w:ascii="Arial" w:eastAsia="source serif 4" w:hAnsi="Arial" w:cs="Arial"/>
          <w:bCs/>
          <w:i/>
          <w:iCs/>
          <w:color w:val="000000" w:themeColor="text1"/>
          <w:kern w:val="0"/>
          <w:lang w:val="en-US"/>
          <w14:ligatures w14:val="none"/>
        </w:rPr>
        <w:t>Journal of Diversity in Higher Education, 14</w:t>
      </w:r>
      <w:r w:rsidRPr="009A66D5">
        <w:rPr>
          <w:rFonts w:ascii="Arial" w:eastAsia="source serif 4" w:hAnsi="Arial" w:cs="Arial"/>
          <w:bCs/>
          <w:color w:val="000000" w:themeColor="text1"/>
          <w:kern w:val="0"/>
          <w:lang w:val="en-US"/>
          <w14:ligatures w14:val="none"/>
        </w:rPr>
        <w:t>(3), 353</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363. https://doi.org/10.1037/dhe0000170</w:t>
      </w:r>
    </w:p>
    <w:p w14:paraId="1F988761" w14:textId="73D689D9"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lastRenderedPageBreak/>
        <w:t xml:space="preserve">O’Leary, Z., &amp; Hunt, J. (2017). Secondary data: Existing data, online generated data and previous studies. In Z. O’Leary, </w:t>
      </w:r>
      <w:proofErr w:type="gramStart"/>
      <w:r w:rsidRPr="009A66D5">
        <w:rPr>
          <w:rFonts w:ascii="Arial" w:eastAsia="source serif 4" w:hAnsi="Arial" w:cs="Arial"/>
          <w:bCs/>
          <w:i/>
          <w:iCs/>
          <w:color w:val="000000" w:themeColor="text1"/>
          <w:kern w:val="0"/>
          <w:lang w:val="en-US"/>
          <w14:ligatures w14:val="none"/>
        </w:rPr>
        <w:t>The</w:t>
      </w:r>
      <w:proofErr w:type="gramEnd"/>
      <w:r w:rsidRPr="009A66D5">
        <w:rPr>
          <w:rFonts w:ascii="Arial" w:eastAsia="source serif 4" w:hAnsi="Arial" w:cs="Arial"/>
          <w:bCs/>
          <w:i/>
          <w:iCs/>
          <w:color w:val="000000" w:themeColor="text1"/>
          <w:kern w:val="0"/>
          <w:lang w:val="en-US"/>
          <w14:ligatures w14:val="none"/>
        </w:rPr>
        <w:t xml:space="preserve"> essential guide to doing your research project</w:t>
      </w:r>
      <w:r w:rsidRPr="009A66D5">
        <w:rPr>
          <w:rFonts w:ascii="Arial" w:eastAsia="source serif 4" w:hAnsi="Arial" w:cs="Arial"/>
          <w:bCs/>
          <w:color w:val="000000" w:themeColor="text1"/>
          <w:kern w:val="0"/>
          <w:lang w:val="en-US"/>
          <w14:ligatures w14:val="none"/>
        </w:rPr>
        <w:t xml:space="preserve"> (3rd ed., pp. 264</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294). Sage.</w:t>
      </w:r>
    </w:p>
    <w:p w14:paraId="398E5CEB"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Office for Students. (2019). </w:t>
      </w:r>
      <w:r w:rsidRPr="009A66D5">
        <w:rPr>
          <w:rFonts w:ascii="Arial" w:eastAsia="source serif 4" w:hAnsi="Arial" w:cs="Arial"/>
          <w:bCs/>
          <w:i/>
          <w:iCs/>
          <w:color w:val="000000" w:themeColor="text1"/>
          <w:kern w:val="0"/>
          <w:lang w:val="en-US"/>
          <w14:ligatures w14:val="none"/>
        </w:rPr>
        <w:t>Review of support for disabled students in higher education in England</w:t>
      </w:r>
      <w:r w:rsidRPr="009A66D5">
        <w:rPr>
          <w:rFonts w:ascii="Arial" w:eastAsia="source serif 4" w:hAnsi="Arial" w:cs="Arial"/>
          <w:bCs/>
          <w:color w:val="000000" w:themeColor="text1"/>
          <w:kern w:val="0"/>
          <w:lang w:val="en-US"/>
          <w14:ligatures w14:val="none"/>
        </w:rPr>
        <w:t xml:space="preserve"> (</w:t>
      </w:r>
      <w:proofErr w:type="spellStart"/>
      <w:r w:rsidRPr="009A66D5">
        <w:rPr>
          <w:rFonts w:ascii="Arial" w:eastAsia="source serif 4" w:hAnsi="Arial" w:cs="Arial"/>
          <w:bCs/>
          <w:color w:val="000000" w:themeColor="text1"/>
          <w:kern w:val="0"/>
          <w:lang w:val="en-US"/>
          <w14:ligatures w14:val="none"/>
        </w:rPr>
        <w:t>OfS</w:t>
      </w:r>
      <w:proofErr w:type="spellEnd"/>
      <w:r w:rsidRPr="009A66D5">
        <w:rPr>
          <w:rFonts w:ascii="Arial" w:eastAsia="source serif 4" w:hAnsi="Arial" w:cs="Arial"/>
          <w:bCs/>
          <w:color w:val="000000" w:themeColor="text1"/>
          <w:kern w:val="0"/>
          <w:lang w:val="en-US"/>
          <w14:ligatures w14:val="none"/>
        </w:rPr>
        <w:t xml:space="preserve"> 2019.05). https://www.officeforstudents.org.uk/media/a8152716-870b-47f2-8045-fc30e8e599e5/review-of-support-for-disabled-students-in-higher-education-in-england.pdf</w:t>
      </w:r>
    </w:p>
    <w:p w14:paraId="258F848E"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Office for Students. (2021). </w:t>
      </w:r>
      <w:r w:rsidRPr="009A66D5">
        <w:rPr>
          <w:rFonts w:ascii="Arial" w:eastAsia="source serif 4" w:hAnsi="Arial" w:cs="Arial"/>
          <w:bCs/>
          <w:i/>
          <w:iCs/>
          <w:color w:val="000000" w:themeColor="text1"/>
          <w:kern w:val="0"/>
          <w:lang w:val="en-US"/>
          <w14:ligatures w14:val="none"/>
        </w:rPr>
        <w:t>Improving opportunity and choice for mature students</w:t>
      </w:r>
      <w:r w:rsidRPr="009A66D5">
        <w:rPr>
          <w:rFonts w:ascii="Arial" w:eastAsia="source serif 4" w:hAnsi="Arial" w:cs="Arial"/>
          <w:bCs/>
          <w:color w:val="000000" w:themeColor="text1"/>
          <w:kern w:val="0"/>
          <w:lang w:val="en-US"/>
          <w14:ligatures w14:val="none"/>
        </w:rPr>
        <w:t xml:space="preserve"> (</w:t>
      </w:r>
      <w:proofErr w:type="spellStart"/>
      <w:r w:rsidRPr="009A66D5">
        <w:rPr>
          <w:rFonts w:ascii="Arial" w:eastAsia="source serif 4" w:hAnsi="Arial" w:cs="Arial"/>
          <w:bCs/>
          <w:color w:val="000000" w:themeColor="text1"/>
          <w:kern w:val="0"/>
          <w:lang w:val="en-US"/>
          <w14:ligatures w14:val="none"/>
        </w:rPr>
        <w:t>OfS</w:t>
      </w:r>
      <w:proofErr w:type="spellEnd"/>
      <w:r w:rsidRPr="009A66D5">
        <w:rPr>
          <w:rFonts w:ascii="Arial" w:eastAsia="source serif 4" w:hAnsi="Arial" w:cs="Arial"/>
          <w:bCs/>
          <w:color w:val="000000" w:themeColor="text1"/>
          <w:kern w:val="0"/>
          <w:lang w:val="en-US"/>
          <w14:ligatures w14:val="none"/>
        </w:rPr>
        <w:t xml:space="preserve"> Insight brief 9). </w:t>
      </w:r>
      <w:hyperlink r:id="rId55" w:history="1">
        <w:r w:rsidRPr="009A66D5">
          <w:rPr>
            <w:rStyle w:val="Hyperlink"/>
            <w:rFonts w:ascii="Arial" w:eastAsia="source serif 4" w:hAnsi="Arial" w:cs="Arial"/>
            <w:bCs/>
            <w:color w:val="000000" w:themeColor="text1"/>
            <w:kern w:val="0"/>
            <w:u w:val="none"/>
            <w:lang w:val="en-US"/>
            <w14:ligatures w14:val="none"/>
          </w:rPr>
          <w:t>https://www.officeforstudents.org.uk/media/7042/ofs-insight-brief-9-updated-10-may-2022.pdf</w:t>
        </w:r>
      </w:hyperlink>
    </w:p>
    <w:p w14:paraId="0DDD059E"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Office for Students. (2024). </w:t>
      </w:r>
      <w:r w:rsidRPr="009A66D5">
        <w:rPr>
          <w:rFonts w:ascii="Arial" w:eastAsia="source serif 4" w:hAnsi="Arial" w:cs="Arial"/>
          <w:bCs/>
          <w:i/>
          <w:iCs/>
          <w:color w:val="000000" w:themeColor="text1"/>
          <w:kern w:val="0"/>
          <w:lang w:val="en-US"/>
          <w14:ligatures w14:val="none"/>
        </w:rPr>
        <w:t>Student characteristics data: Student outcomes—how student outcomes have changed since 2010-11</w:t>
      </w:r>
      <w:r w:rsidRPr="009A66D5">
        <w:rPr>
          <w:rFonts w:ascii="Arial" w:eastAsia="source serif 4" w:hAnsi="Arial" w:cs="Arial"/>
          <w:bCs/>
          <w:color w:val="000000" w:themeColor="text1"/>
          <w:kern w:val="0"/>
          <w:lang w:val="en-US"/>
          <w14:ligatures w14:val="none"/>
        </w:rPr>
        <w:t xml:space="preserve"> (</w:t>
      </w:r>
      <w:proofErr w:type="spellStart"/>
      <w:r w:rsidRPr="009A66D5">
        <w:rPr>
          <w:rFonts w:ascii="Arial" w:eastAsia="source serif 4" w:hAnsi="Arial" w:cs="Arial"/>
          <w:bCs/>
          <w:color w:val="000000" w:themeColor="text1"/>
          <w:kern w:val="0"/>
          <w:lang w:val="en-US"/>
          <w14:ligatures w14:val="none"/>
        </w:rPr>
        <w:t>OfS</w:t>
      </w:r>
      <w:proofErr w:type="spellEnd"/>
      <w:r w:rsidRPr="009A66D5">
        <w:rPr>
          <w:rFonts w:ascii="Arial" w:eastAsia="source serif 4" w:hAnsi="Arial" w:cs="Arial"/>
          <w:bCs/>
          <w:color w:val="000000" w:themeColor="text1"/>
          <w:kern w:val="0"/>
          <w:lang w:val="en-US"/>
          <w14:ligatures w14:val="none"/>
        </w:rPr>
        <w:t xml:space="preserve"> 2024.46). </w:t>
      </w:r>
      <w:hyperlink r:id="rId56" w:history="1">
        <w:r w:rsidRPr="009A66D5">
          <w:rPr>
            <w:rStyle w:val="Hyperlink"/>
            <w:rFonts w:ascii="Arial" w:eastAsia="source serif 4" w:hAnsi="Arial" w:cs="Arial"/>
            <w:bCs/>
            <w:color w:val="000000" w:themeColor="text1"/>
            <w:kern w:val="0"/>
            <w:u w:val="none"/>
            <w:lang w:val="en-US"/>
            <w14:ligatures w14:val="none"/>
          </w:rPr>
          <w:t>https://www.officeforstudents.org.uk/media/poxj1jvx/student-characteristics-data-outcomes-report-2024.pdf</w:t>
        </w:r>
      </w:hyperlink>
    </w:p>
    <w:p w14:paraId="57EF5D80" w14:textId="3F524C6A" w:rsidR="00867B9F" w:rsidRPr="009A66D5" w:rsidRDefault="00867B9F" w:rsidP="00867B9F">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t>Ortiz-Lozano, J. M., Aparicio-</w:t>
      </w:r>
      <w:proofErr w:type="spellStart"/>
      <w:r w:rsidRPr="009A66D5">
        <w:rPr>
          <w:rFonts w:ascii="Arial" w:eastAsia="source serif 4" w:hAnsi="Arial" w:cs="Arial"/>
          <w:bCs/>
          <w:color w:val="000000" w:themeColor="text1"/>
          <w:kern w:val="0"/>
          <w14:ligatures w14:val="none"/>
        </w:rPr>
        <w:t>Chueca</w:t>
      </w:r>
      <w:proofErr w:type="spellEnd"/>
      <w:r w:rsidRPr="009A66D5">
        <w:rPr>
          <w:rFonts w:ascii="Arial" w:eastAsia="source serif 4" w:hAnsi="Arial" w:cs="Arial"/>
          <w:bCs/>
          <w:color w:val="000000" w:themeColor="text1"/>
          <w:kern w:val="0"/>
          <w14:ligatures w14:val="none"/>
        </w:rPr>
        <w:t xml:space="preserve">, P., </w:t>
      </w:r>
      <w:proofErr w:type="spellStart"/>
      <w:r w:rsidRPr="009A66D5">
        <w:rPr>
          <w:rFonts w:ascii="Arial" w:eastAsia="source serif 4" w:hAnsi="Arial" w:cs="Arial"/>
          <w:bCs/>
          <w:color w:val="000000" w:themeColor="text1"/>
          <w:kern w:val="0"/>
          <w14:ligatures w14:val="none"/>
        </w:rPr>
        <w:t>Triadó-Ivern</w:t>
      </w:r>
      <w:proofErr w:type="spellEnd"/>
      <w:r w:rsidRPr="009A66D5">
        <w:rPr>
          <w:rFonts w:ascii="Arial" w:eastAsia="source serif 4" w:hAnsi="Arial" w:cs="Arial"/>
          <w:bCs/>
          <w:color w:val="000000" w:themeColor="text1"/>
          <w:kern w:val="0"/>
          <w14:ligatures w14:val="none"/>
        </w:rPr>
        <w:t>, X. M., &amp; Arroyo-</w:t>
      </w:r>
      <w:proofErr w:type="spellStart"/>
      <w:r w:rsidRPr="009A66D5">
        <w:rPr>
          <w:rFonts w:ascii="Arial" w:eastAsia="source serif 4" w:hAnsi="Arial" w:cs="Arial"/>
          <w:bCs/>
          <w:color w:val="000000" w:themeColor="text1"/>
          <w:kern w:val="0"/>
          <w14:ligatures w14:val="none"/>
        </w:rPr>
        <w:t>Barrigüete</w:t>
      </w:r>
      <w:proofErr w:type="spellEnd"/>
      <w:r w:rsidRPr="009A66D5">
        <w:rPr>
          <w:rFonts w:ascii="Arial" w:eastAsia="source serif 4" w:hAnsi="Arial" w:cs="Arial"/>
          <w:bCs/>
          <w:color w:val="000000" w:themeColor="text1"/>
          <w:kern w:val="0"/>
          <w14:ligatures w14:val="none"/>
        </w:rPr>
        <w:t xml:space="preserve">, J. L. (2024). Early dropout predictors in social sciences and management degree students. </w:t>
      </w:r>
      <w:r w:rsidRPr="009A66D5">
        <w:rPr>
          <w:rFonts w:ascii="Arial" w:eastAsia="source serif 4" w:hAnsi="Arial" w:cs="Arial"/>
          <w:bCs/>
          <w:i/>
          <w:iCs/>
          <w:color w:val="000000" w:themeColor="text1"/>
          <w:kern w:val="0"/>
          <w14:ligatures w14:val="none"/>
        </w:rPr>
        <w:t>Studies in Higher Education</w:t>
      </w:r>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49</w:t>
      </w:r>
      <w:r w:rsidRPr="009A66D5">
        <w:rPr>
          <w:rFonts w:ascii="Arial" w:eastAsia="source serif 4" w:hAnsi="Arial" w:cs="Arial"/>
          <w:bCs/>
          <w:color w:val="000000" w:themeColor="text1"/>
          <w:kern w:val="0"/>
          <w14:ligatures w14:val="none"/>
        </w:rPr>
        <w:t xml:space="preserve">(8), 1303–1316. </w:t>
      </w:r>
      <w:hyperlink r:id="rId57" w:history="1">
        <w:r w:rsidRPr="009A66D5">
          <w:rPr>
            <w:rStyle w:val="Hyperlink"/>
            <w:rFonts w:ascii="Arial" w:eastAsia="source serif 4" w:hAnsi="Arial" w:cs="Arial"/>
            <w:bCs/>
            <w:color w:val="000000" w:themeColor="text1"/>
            <w:kern w:val="0"/>
            <w:u w:val="none"/>
            <w14:ligatures w14:val="none"/>
          </w:rPr>
          <w:t>https://doi.org/10.1080/03075079.2023.2264343</w:t>
        </w:r>
      </w:hyperlink>
    </w:p>
    <w:p w14:paraId="2A859187" w14:textId="636C9725" w:rsidR="00142758" w:rsidRPr="009A66D5" w:rsidRDefault="00142758" w:rsidP="00867B9F">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lang w:val="en-US"/>
          <w14:ligatures w14:val="none"/>
        </w:rPr>
        <w:t xml:space="preserve">Panchenko, L., &amp; </w:t>
      </w:r>
      <w:proofErr w:type="spellStart"/>
      <w:r w:rsidRPr="009A66D5">
        <w:rPr>
          <w:rFonts w:ascii="Arial" w:eastAsia="source serif 4" w:hAnsi="Arial" w:cs="Arial"/>
          <w:bCs/>
          <w:color w:val="000000" w:themeColor="text1"/>
          <w:kern w:val="0"/>
          <w:lang w:val="en-US"/>
          <w14:ligatures w14:val="none"/>
        </w:rPr>
        <w:t>Samovilova</w:t>
      </w:r>
      <w:proofErr w:type="spellEnd"/>
      <w:r w:rsidRPr="009A66D5">
        <w:rPr>
          <w:rFonts w:ascii="Arial" w:eastAsia="source serif 4" w:hAnsi="Arial" w:cs="Arial"/>
          <w:bCs/>
          <w:color w:val="000000" w:themeColor="text1"/>
          <w:kern w:val="0"/>
          <w:lang w:val="en-US"/>
          <w14:ligatures w14:val="none"/>
        </w:rPr>
        <w:t xml:space="preserve">, N. (2020). Secondary data analysis in educational research: Opportunities for PhD students. </w:t>
      </w:r>
      <w:proofErr w:type="spellStart"/>
      <w:r w:rsidRPr="009A66D5">
        <w:rPr>
          <w:rFonts w:ascii="Arial" w:eastAsia="source serif 4" w:hAnsi="Arial" w:cs="Arial"/>
          <w:bCs/>
          <w:i/>
          <w:iCs/>
          <w:color w:val="000000" w:themeColor="text1"/>
          <w:kern w:val="0"/>
          <w:lang w:val="en-US"/>
          <w14:ligatures w14:val="none"/>
        </w:rPr>
        <w:t>SHS</w:t>
      </w:r>
      <w:proofErr w:type="spellEnd"/>
      <w:r w:rsidRPr="009A66D5">
        <w:rPr>
          <w:rFonts w:ascii="Arial" w:eastAsia="source serif 4" w:hAnsi="Arial" w:cs="Arial"/>
          <w:bCs/>
          <w:i/>
          <w:iCs/>
          <w:color w:val="000000" w:themeColor="text1"/>
          <w:kern w:val="0"/>
          <w:lang w:val="en-US"/>
          <w14:ligatures w14:val="none"/>
        </w:rPr>
        <w:t xml:space="preserve"> Web of Conferences, 75</w:t>
      </w:r>
      <w:r w:rsidRPr="009A66D5">
        <w:rPr>
          <w:rFonts w:ascii="Arial" w:eastAsia="source serif 4" w:hAnsi="Arial" w:cs="Arial"/>
          <w:bCs/>
          <w:color w:val="000000" w:themeColor="text1"/>
          <w:kern w:val="0"/>
          <w:lang w:val="en-US"/>
          <w14:ligatures w14:val="none"/>
        </w:rPr>
        <w:t xml:space="preserve">, 04005. </w:t>
      </w:r>
      <w:hyperlink r:id="rId58" w:history="1">
        <w:r w:rsidRPr="009A66D5">
          <w:rPr>
            <w:rStyle w:val="Hyperlink"/>
            <w:rFonts w:ascii="Arial" w:eastAsia="source serif 4" w:hAnsi="Arial" w:cs="Arial"/>
            <w:bCs/>
            <w:color w:val="000000" w:themeColor="text1"/>
            <w:kern w:val="0"/>
            <w:u w:val="none"/>
            <w:lang w:val="en-US"/>
            <w14:ligatures w14:val="none"/>
          </w:rPr>
          <w:t>https://doi.org/10.1051/shsconf/20207504005</w:t>
        </w:r>
      </w:hyperlink>
    </w:p>
    <w:p w14:paraId="23DDCCBC" w14:textId="51D42B9C" w:rsidR="00593FB8" w:rsidRPr="009A66D5" w:rsidRDefault="00593FB8" w:rsidP="00593FB8">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t xml:space="preserve">Pervez, A., </w:t>
      </w:r>
      <w:proofErr w:type="spellStart"/>
      <w:r w:rsidRPr="009A66D5">
        <w:rPr>
          <w:rFonts w:ascii="Arial" w:eastAsia="source serif 4" w:hAnsi="Arial" w:cs="Arial"/>
          <w:bCs/>
          <w:color w:val="000000" w:themeColor="text1"/>
          <w:kern w:val="0"/>
          <w14:ligatures w14:val="none"/>
        </w:rPr>
        <w:t>Dangeni</w:t>
      </w:r>
      <w:proofErr w:type="spellEnd"/>
      <w:r w:rsidRPr="009A66D5">
        <w:rPr>
          <w:rFonts w:ascii="Arial" w:eastAsia="source serif 4" w:hAnsi="Arial" w:cs="Arial"/>
          <w:bCs/>
          <w:color w:val="000000" w:themeColor="text1"/>
          <w:kern w:val="0"/>
          <w14:ligatures w14:val="none"/>
        </w:rPr>
        <w:t xml:space="preserve">, </w:t>
      </w:r>
      <w:proofErr w:type="spellStart"/>
      <w:r w:rsidRPr="009A66D5">
        <w:rPr>
          <w:rFonts w:ascii="Arial" w:eastAsia="source serif 4" w:hAnsi="Arial" w:cs="Arial"/>
          <w:bCs/>
          <w:color w:val="000000" w:themeColor="text1"/>
          <w:kern w:val="0"/>
          <w14:ligatures w14:val="none"/>
        </w:rPr>
        <w:t>Koutrou</w:t>
      </w:r>
      <w:proofErr w:type="spellEnd"/>
      <w:r w:rsidRPr="009A66D5">
        <w:rPr>
          <w:rFonts w:ascii="Arial" w:eastAsia="source serif 4" w:hAnsi="Arial" w:cs="Arial"/>
          <w:bCs/>
          <w:color w:val="000000" w:themeColor="text1"/>
          <w:kern w:val="0"/>
          <w14:ligatures w14:val="none"/>
        </w:rPr>
        <w:t xml:space="preserve">, N. ., Miller, C. ., &amp; </w:t>
      </w:r>
      <w:proofErr w:type="spellStart"/>
      <w:r w:rsidRPr="009A66D5">
        <w:rPr>
          <w:rFonts w:ascii="Arial" w:eastAsia="source serif 4" w:hAnsi="Arial" w:cs="Arial"/>
          <w:bCs/>
          <w:color w:val="000000" w:themeColor="text1"/>
          <w:kern w:val="0"/>
          <w14:ligatures w14:val="none"/>
        </w:rPr>
        <w:t>Wisson</w:t>
      </w:r>
      <w:proofErr w:type="spellEnd"/>
      <w:r w:rsidRPr="009A66D5">
        <w:rPr>
          <w:rFonts w:ascii="Arial" w:eastAsia="source serif 4" w:hAnsi="Arial" w:cs="Arial"/>
          <w:bCs/>
          <w:color w:val="000000" w:themeColor="text1"/>
          <w:kern w:val="0"/>
          <w14:ligatures w14:val="none"/>
        </w:rPr>
        <w:t xml:space="preserve">, C. . (2024). An investigation into the provision of support for mature international students at UK HEIs to foster belonging. </w:t>
      </w:r>
      <w:r w:rsidRPr="009A66D5">
        <w:rPr>
          <w:rFonts w:ascii="Arial" w:eastAsia="source serif 4" w:hAnsi="Arial" w:cs="Arial"/>
          <w:bCs/>
          <w:i/>
          <w:iCs/>
          <w:color w:val="000000" w:themeColor="text1"/>
          <w:kern w:val="0"/>
          <w14:ligatures w14:val="none"/>
        </w:rPr>
        <w:t>Student Engagement in Higher Education Journal</w:t>
      </w:r>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5</w:t>
      </w:r>
      <w:r w:rsidRPr="009A66D5">
        <w:rPr>
          <w:rFonts w:ascii="Arial" w:eastAsia="source serif 4" w:hAnsi="Arial" w:cs="Arial"/>
          <w:bCs/>
          <w:color w:val="000000" w:themeColor="text1"/>
          <w:kern w:val="0"/>
          <w14:ligatures w14:val="none"/>
        </w:rPr>
        <w:t>(2), 148–168. https://doi.org/10.66561/sehej.v5i2.1206</w:t>
      </w:r>
    </w:p>
    <w:p w14:paraId="7873685F" w14:textId="10764708" w:rsidR="00DA2A56" w:rsidRPr="009A66D5" w:rsidRDefault="00DA2A56" w:rsidP="00DA2A56">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t>Phillips, D. C., </w:t>
      </w:r>
      <w:r w:rsidR="005172A3" w:rsidRPr="009A66D5">
        <w:rPr>
          <w:rFonts w:ascii="Arial" w:eastAsia="source serif 4" w:hAnsi="Arial" w:cs="Arial"/>
          <w:bCs/>
          <w:color w:val="000000" w:themeColor="text1"/>
          <w:kern w:val="0"/>
          <w14:ligatures w14:val="none"/>
        </w:rPr>
        <w:t xml:space="preserve">&amp; </w:t>
      </w:r>
      <w:proofErr w:type="spellStart"/>
      <w:r w:rsidRPr="009A66D5">
        <w:rPr>
          <w:rFonts w:ascii="Arial" w:eastAsia="source serif 4" w:hAnsi="Arial" w:cs="Arial"/>
          <w:bCs/>
          <w:color w:val="000000" w:themeColor="text1"/>
          <w:kern w:val="0"/>
          <w14:ligatures w14:val="none"/>
        </w:rPr>
        <w:t>Burbules</w:t>
      </w:r>
      <w:proofErr w:type="spellEnd"/>
      <w:r w:rsidRPr="009A66D5">
        <w:rPr>
          <w:rFonts w:ascii="Arial" w:eastAsia="source serif 4" w:hAnsi="Arial" w:cs="Arial"/>
          <w:bCs/>
          <w:color w:val="000000" w:themeColor="text1"/>
          <w:kern w:val="0"/>
          <w14:ligatures w14:val="none"/>
        </w:rPr>
        <w:t>, N. C. (2000). </w:t>
      </w:r>
      <w:proofErr w:type="spellStart"/>
      <w:r w:rsidRPr="009A66D5">
        <w:rPr>
          <w:rFonts w:ascii="Arial" w:eastAsia="source serif 4" w:hAnsi="Arial" w:cs="Arial"/>
          <w:bCs/>
          <w:i/>
          <w:iCs/>
          <w:color w:val="000000" w:themeColor="text1"/>
          <w:kern w:val="0"/>
          <w14:ligatures w14:val="none"/>
        </w:rPr>
        <w:t>Postpositivism</w:t>
      </w:r>
      <w:proofErr w:type="spellEnd"/>
      <w:r w:rsidRPr="009A66D5">
        <w:rPr>
          <w:rFonts w:ascii="Arial" w:eastAsia="source serif 4" w:hAnsi="Arial" w:cs="Arial"/>
          <w:bCs/>
          <w:i/>
          <w:iCs/>
          <w:color w:val="000000" w:themeColor="text1"/>
          <w:kern w:val="0"/>
          <w14:ligatures w14:val="none"/>
        </w:rPr>
        <w:t xml:space="preserve"> and Educational Research.</w:t>
      </w:r>
      <w:r w:rsidR="005172A3"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color w:val="000000" w:themeColor="text1"/>
          <w:kern w:val="0"/>
          <w14:ligatures w14:val="none"/>
        </w:rPr>
        <w:t>Bloomsbury Academic.</w:t>
      </w:r>
    </w:p>
    <w:p w14:paraId="0B05E493" w14:textId="25EB8078"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Pollard, E., </w:t>
      </w:r>
      <w:proofErr w:type="spellStart"/>
      <w:r w:rsidRPr="009A66D5">
        <w:rPr>
          <w:rFonts w:ascii="Arial" w:eastAsia="source serif 4" w:hAnsi="Arial" w:cs="Arial"/>
          <w:bCs/>
          <w:color w:val="000000" w:themeColor="text1"/>
          <w:kern w:val="0"/>
          <w:lang w:val="en-US"/>
          <w14:ligatures w14:val="none"/>
        </w:rPr>
        <w:t>Vanderlayden</w:t>
      </w:r>
      <w:proofErr w:type="spellEnd"/>
      <w:r w:rsidRPr="009A66D5">
        <w:rPr>
          <w:rFonts w:ascii="Arial" w:eastAsia="source serif 4" w:hAnsi="Arial" w:cs="Arial"/>
          <w:bCs/>
          <w:color w:val="000000" w:themeColor="text1"/>
          <w:kern w:val="0"/>
          <w:lang w:val="en-US"/>
          <w14:ligatures w14:val="none"/>
        </w:rPr>
        <w:t xml:space="preserve">, J., Alexander, K., Borkin, H., &amp; O’Mahony, J. (2021). Student mental health and wellbeing: Insights from higher education providers and sector experts (DfE-RR1141). Department for Education. </w:t>
      </w:r>
      <w:r w:rsidRPr="009A66D5">
        <w:rPr>
          <w:rFonts w:ascii="Arial" w:eastAsia="source serif 4" w:hAnsi="Arial" w:cs="Arial"/>
          <w:bCs/>
          <w:color w:val="000000" w:themeColor="text1"/>
          <w:kern w:val="0"/>
          <w:lang w:val="en-US"/>
          <w14:ligatures w14:val="none"/>
        </w:rPr>
        <w:lastRenderedPageBreak/>
        <w:t>https://assets.publishing.service.gov.uk/media/60d47d55e90e0743a210e05e/Survey_of_HE_Providers_Student_Mental_Health.pdf</w:t>
      </w:r>
    </w:p>
    <w:p w14:paraId="7C1E856F"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Reardon, K., Bromley, K., &amp; Unruh, D. (2021). The promise of universal design in postsecondary education: A literature review. Journal of Postsecondary </w:t>
      </w:r>
      <w:r w:rsidRPr="009A66D5">
        <w:rPr>
          <w:rFonts w:ascii="Arial" w:eastAsia="source serif 4" w:hAnsi="Arial" w:cs="Arial"/>
          <w:bCs/>
          <w:i/>
          <w:iCs/>
          <w:color w:val="000000" w:themeColor="text1"/>
          <w:kern w:val="0"/>
          <w:lang w:val="en-US"/>
          <w14:ligatures w14:val="none"/>
        </w:rPr>
        <w:t>Education and Disability, 34</w:t>
      </w:r>
      <w:r w:rsidRPr="009A66D5">
        <w:rPr>
          <w:rFonts w:ascii="Arial" w:eastAsia="source serif 4" w:hAnsi="Arial" w:cs="Arial"/>
          <w:bCs/>
          <w:color w:val="000000" w:themeColor="text1"/>
          <w:kern w:val="0"/>
          <w:lang w:val="en-US"/>
          <w14:ligatures w14:val="none"/>
        </w:rPr>
        <w:t xml:space="preserve">(3), 209–221. </w:t>
      </w:r>
      <w:hyperlink r:id="rId59" w:history="1">
        <w:r w:rsidRPr="009A66D5">
          <w:rPr>
            <w:rStyle w:val="Hyperlink"/>
            <w:rFonts w:ascii="Arial" w:eastAsia="source serif 4" w:hAnsi="Arial" w:cs="Arial"/>
            <w:bCs/>
            <w:color w:val="000000" w:themeColor="text1"/>
            <w:kern w:val="0"/>
            <w:u w:val="none"/>
            <w:lang w:val="en-US"/>
            <w14:ligatures w14:val="none"/>
          </w:rPr>
          <w:t>https://files.eric.ed.gov/fulltext/EJ1325431.pdf</w:t>
        </w:r>
      </w:hyperlink>
    </w:p>
    <w:p w14:paraId="39F1EFB5" w14:textId="1DC2E4E0"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Reilly, D., Warren, L., </w:t>
      </w:r>
      <w:proofErr w:type="spellStart"/>
      <w:r w:rsidRPr="009A66D5">
        <w:rPr>
          <w:rFonts w:ascii="Arial" w:eastAsia="source serif 4" w:hAnsi="Arial" w:cs="Arial"/>
          <w:bCs/>
          <w:color w:val="000000" w:themeColor="text1"/>
          <w:kern w:val="0"/>
          <w:lang w:val="en-US"/>
          <w14:ligatures w14:val="none"/>
        </w:rPr>
        <w:t>Kristandl</w:t>
      </w:r>
      <w:proofErr w:type="spellEnd"/>
      <w:r w:rsidRPr="009A66D5">
        <w:rPr>
          <w:rFonts w:ascii="Arial" w:eastAsia="source serif 4" w:hAnsi="Arial" w:cs="Arial"/>
          <w:bCs/>
          <w:color w:val="000000" w:themeColor="text1"/>
          <w:kern w:val="0"/>
          <w:lang w:val="en-US"/>
          <w14:ligatures w14:val="none"/>
        </w:rPr>
        <w:t xml:space="preserve">, G., &amp; Lin, Y. (2024). An investigation into the self-efficacy of year one undergraduate students at a widening participation university. </w:t>
      </w:r>
      <w:r w:rsidRPr="009A66D5">
        <w:rPr>
          <w:rFonts w:ascii="Arial" w:eastAsia="source serif 4" w:hAnsi="Arial" w:cs="Arial"/>
          <w:bCs/>
          <w:i/>
          <w:iCs/>
          <w:color w:val="000000" w:themeColor="text1"/>
          <w:kern w:val="0"/>
          <w:lang w:val="en-US"/>
          <w14:ligatures w14:val="none"/>
        </w:rPr>
        <w:t>Teaching in Higher Education, 29</w:t>
      </w:r>
      <w:r w:rsidRPr="009A66D5">
        <w:rPr>
          <w:rFonts w:ascii="Arial" w:eastAsia="source serif 4" w:hAnsi="Arial" w:cs="Arial"/>
          <w:bCs/>
          <w:color w:val="000000" w:themeColor="text1"/>
          <w:kern w:val="0"/>
          <w:lang w:val="en-US"/>
          <w14:ligatures w14:val="none"/>
        </w:rPr>
        <w:t>(2), 639</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656. https://doi.org/10.1080/13562517.2021.2015756</w:t>
      </w:r>
    </w:p>
    <w:p w14:paraId="1185BA50"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Robinson, D., &amp; </w:t>
      </w:r>
      <w:proofErr w:type="spellStart"/>
      <w:r w:rsidRPr="009A66D5">
        <w:rPr>
          <w:rFonts w:ascii="Arial" w:eastAsia="source serif 4" w:hAnsi="Arial" w:cs="Arial"/>
          <w:bCs/>
          <w:color w:val="000000" w:themeColor="text1"/>
          <w:kern w:val="0"/>
          <w:lang w:val="en-US"/>
          <w14:ligatures w14:val="none"/>
        </w:rPr>
        <w:t>Salvestrini</w:t>
      </w:r>
      <w:proofErr w:type="spellEnd"/>
      <w:r w:rsidRPr="009A66D5">
        <w:rPr>
          <w:rFonts w:ascii="Arial" w:eastAsia="source serif 4" w:hAnsi="Arial" w:cs="Arial"/>
          <w:bCs/>
          <w:color w:val="000000" w:themeColor="text1"/>
          <w:kern w:val="0"/>
          <w:lang w:val="en-US"/>
          <w14:ligatures w14:val="none"/>
        </w:rPr>
        <w:t xml:space="preserve">, V. (2020). </w:t>
      </w:r>
      <w:r w:rsidRPr="009A66D5">
        <w:rPr>
          <w:rFonts w:ascii="Arial" w:eastAsia="source serif 4" w:hAnsi="Arial" w:cs="Arial"/>
          <w:bCs/>
          <w:i/>
          <w:iCs/>
          <w:color w:val="000000" w:themeColor="text1"/>
          <w:kern w:val="0"/>
          <w:lang w:val="en-US"/>
          <w14:ligatures w14:val="none"/>
        </w:rPr>
        <w:t>The impact of interventions for widening access to higher education: A review of the evidence</w:t>
      </w:r>
      <w:r w:rsidRPr="009A66D5">
        <w:rPr>
          <w:rFonts w:ascii="Arial" w:eastAsia="source serif 4" w:hAnsi="Arial" w:cs="Arial"/>
          <w:bCs/>
          <w:color w:val="000000" w:themeColor="text1"/>
          <w:kern w:val="0"/>
          <w:lang w:val="en-US"/>
          <w14:ligatures w14:val="none"/>
        </w:rPr>
        <w:t>. Education Policy Institute and Transforming Access and Student Outcomes in Higher Education. https://cdn.taso.org.uk/wp-content/uploads/Widening_participation-review_EPI-TASO_2020.pdf</w:t>
      </w:r>
    </w:p>
    <w:p w14:paraId="52495472" w14:textId="39A3245F"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proofErr w:type="spellStart"/>
      <w:r w:rsidRPr="009A66D5">
        <w:rPr>
          <w:rFonts w:ascii="Arial" w:eastAsia="source serif 4" w:hAnsi="Arial" w:cs="Arial"/>
          <w:bCs/>
          <w:color w:val="000000" w:themeColor="text1"/>
          <w:kern w:val="0"/>
          <w:lang w:val="en-US"/>
          <w14:ligatures w14:val="none"/>
        </w:rPr>
        <w:t>Römhild</w:t>
      </w:r>
      <w:proofErr w:type="spellEnd"/>
      <w:r w:rsidRPr="009A66D5">
        <w:rPr>
          <w:rFonts w:ascii="Arial" w:eastAsia="source serif 4" w:hAnsi="Arial" w:cs="Arial"/>
          <w:bCs/>
          <w:color w:val="000000" w:themeColor="text1"/>
          <w:kern w:val="0"/>
          <w:lang w:val="en-US"/>
          <w14:ligatures w14:val="none"/>
        </w:rPr>
        <w:t xml:space="preserve">, A., &amp; Hollederer, A. (2024). Effects of disability-related services, accommodations, and integration on academic success of students with disabilities in higher education. A scoping review. </w:t>
      </w:r>
      <w:r w:rsidRPr="009A66D5">
        <w:rPr>
          <w:rFonts w:ascii="Arial" w:eastAsia="source serif 4" w:hAnsi="Arial" w:cs="Arial"/>
          <w:bCs/>
          <w:i/>
          <w:iCs/>
          <w:color w:val="000000" w:themeColor="text1"/>
          <w:kern w:val="0"/>
          <w:lang w:val="en-US"/>
          <w14:ligatures w14:val="none"/>
        </w:rPr>
        <w:t>European Journal of Special Needs Education, 39</w:t>
      </w:r>
      <w:r w:rsidRPr="009A66D5">
        <w:rPr>
          <w:rFonts w:ascii="Arial" w:eastAsia="source serif 4" w:hAnsi="Arial" w:cs="Arial"/>
          <w:bCs/>
          <w:color w:val="000000" w:themeColor="text1"/>
          <w:kern w:val="0"/>
          <w:lang w:val="en-US"/>
          <w14:ligatures w14:val="none"/>
        </w:rPr>
        <w:t>(1), 143</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166. https://doi.org/10.1080/08856257.2023.2195074</w:t>
      </w:r>
    </w:p>
    <w:p w14:paraId="2520269D" w14:textId="5D761E63" w:rsidR="00671A30" w:rsidRPr="009A66D5" w:rsidRDefault="00671A30" w:rsidP="00671A30">
      <w:pPr>
        <w:spacing w:after="120" w:line="360" w:lineRule="auto"/>
        <w:ind w:left="720" w:hanging="720"/>
        <w:rPr>
          <w:rFonts w:ascii="Arial" w:eastAsia="source serif 4" w:hAnsi="Arial" w:cs="Arial"/>
          <w:bCs/>
          <w:color w:val="000000" w:themeColor="text1"/>
          <w:kern w:val="0"/>
          <w14:ligatures w14:val="none"/>
        </w:rPr>
      </w:pPr>
      <w:proofErr w:type="spellStart"/>
      <w:r w:rsidRPr="009A66D5">
        <w:rPr>
          <w:rFonts w:ascii="Arial" w:eastAsia="source serif 4" w:hAnsi="Arial" w:cs="Arial"/>
          <w:bCs/>
          <w:color w:val="000000" w:themeColor="text1"/>
          <w:kern w:val="0"/>
          <w14:ligatures w14:val="none"/>
        </w:rPr>
        <w:t>Runacres</w:t>
      </w:r>
      <w:proofErr w:type="spellEnd"/>
      <w:r w:rsidRPr="009A66D5">
        <w:rPr>
          <w:rFonts w:ascii="Arial" w:eastAsia="source serif 4" w:hAnsi="Arial" w:cs="Arial"/>
          <w:bCs/>
          <w:color w:val="000000" w:themeColor="text1"/>
          <w:kern w:val="0"/>
          <w14:ligatures w14:val="none"/>
        </w:rPr>
        <w:t xml:space="preserve">, J., Herron, D., Buckless, K., &amp; Worrall, S. (2024). Student carer experiences of higher education and support: A scoping review. </w:t>
      </w:r>
      <w:r w:rsidRPr="009A66D5">
        <w:rPr>
          <w:rFonts w:ascii="Arial" w:eastAsia="source serif 4" w:hAnsi="Arial" w:cs="Arial"/>
          <w:bCs/>
          <w:i/>
          <w:iCs/>
          <w:color w:val="000000" w:themeColor="text1"/>
          <w:kern w:val="0"/>
          <w14:ligatures w14:val="none"/>
        </w:rPr>
        <w:t>International Journal of Inclusive Education, 28</w:t>
      </w:r>
      <w:r w:rsidRPr="009A66D5">
        <w:rPr>
          <w:rFonts w:ascii="Arial" w:eastAsia="source serif 4" w:hAnsi="Arial" w:cs="Arial"/>
          <w:bCs/>
          <w:color w:val="000000" w:themeColor="text1"/>
          <w:kern w:val="0"/>
          <w14:ligatures w14:val="none"/>
        </w:rPr>
        <w:t xml:space="preserve">(7), 1275–1292. </w:t>
      </w:r>
      <w:hyperlink r:id="rId60" w:history="1">
        <w:r w:rsidRPr="009A66D5">
          <w:rPr>
            <w:rStyle w:val="Hyperlink"/>
            <w:rFonts w:ascii="Arial" w:eastAsia="source serif 4" w:hAnsi="Arial" w:cs="Arial"/>
            <w:bCs/>
            <w:color w:val="000000" w:themeColor="text1"/>
            <w:kern w:val="0"/>
            <w:u w:val="none"/>
            <w14:ligatures w14:val="none"/>
          </w:rPr>
          <w:t>https://doi.org/10.1080/13603116.2021.1983880</w:t>
        </w:r>
      </w:hyperlink>
    </w:p>
    <w:p w14:paraId="62397AE5" w14:textId="26C2F33E"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Saunders, M., Lewis, P., &amp; Thornhill, A. (2019). </w:t>
      </w:r>
      <w:r w:rsidRPr="009A66D5">
        <w:rPr>
          <w:rFonts w:ascii="Arial" w:eastAsia="source serif 4" w:hAnsi="Arial" w:cs="Arial"/>
          <w:bCs/>
          <w:i/>
          <w:iCs/>
          <w:color w:val="000000" w:themeColor="text1"/>
          <w:kern w:val="0"/>
          <w:lang w:val="en-US"/>
          <w14:ligatures w14:val="none"/>
        </w:rPr>
        <w:t xml:space="preserve">Research methods for business students </w:t>
      </w:r>
      <w:r w:rsidRPr="009A66D5">
        <w:rPr>
          <w:rFonts w:ascii="Arial" w:eastAsia="source serif 4" w:hAnsi="Arial" w:cs="Arial"/>
          <w:bCs/>
          <w:color w:val="000000" w:themeColor="text1"/>
          <w:kern w:val="0"/>
          <w:lang w:val="en-US"/>
          <w14:ligatures w14:val="none"/>
        </w:rPr>
        <w:t>(8th ed.). Pearson.</w:t>
      </w:r>
    </w:p>
    <w:p w14:paraId="522C8918" w14:textId="062E83E6"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proofErr w:type="spellStart"/>
      <w:r w:rsidRPr="009A66D5">
        <w:rPr>
          <w:rFonts w:ascii="Arial" w:eastAsia="source serif 4" w:hAnsi="Arial" w:cs="Arial"/>
          <w:bCs/>
          <w:color w:val="000000" w:themeColor="text1"/>
          <w:kern w:val="0"/>
          <w:lang w:val="en-US"/>
          <w14:ligatures w14:val="none"/>
        </w:rPr>
        <w:t>Tafreschi</w:t>
      </w:r>
      <w:proofErr w:type="spellEnd"/>
      <w:r w:rsidRPr="009A66D5">
        <w:rPr>
          <w:rFonts w:ascii="Arial" w:eastAsia="source serif 4" w:hAnsi="Arial" w:cs="Arial"/>
          <w:bCs/>
          <w:color w:val="000000" w:themeColor="text1"/>
          <w:kern w:val="0"/>
          <w:lang w:val="en-US"/>
          <w14:ligatures w14:val="none"/>
        </w:rPr>
        <w:t xml:space="preserve">, D., &amp; Thiemann, P. (2016). Doing it twice, getting it right? The effects of grade retention and course repetition in higher education. </w:t>
      </w:r>
      <w:r w:rsidRPr="009A66D5">
        <w:rPr>
          <w:rFonts w:ascii="Arial" w:eastAsia="source serif 4" w:hAnsi="Arial" w:cs="Arial"/>
          <w:bCs/>
          <w:i/>
          <w:iCs/>
          <w:color w:val="000000" w:themeColor="text1"/>
          <w:kern w:val="0"/>
          <w:lang w:val="en-US"/>
          <w14:ligatures w14:val="none"/>
        </w:rPr>
        <w:t>Economics of Education Review, 55,</w:t>
      </w:r>
      <w:r w:rsidRPr="009A66D5">
        <w:rPr>
          <w:rFonts w:ascii="Arial" w:eastAsia="source serif 4" w:hAnsi="Arial" w:cs="Arial"/>
          <w:bCs/>
          <w:color w:val="000000" w:themeColor="text1"/>
          <w:kern w:val="0"/>
          <w:lang w:val="en-US"/>
          <w14:ligatures w14:val="none"/>
        </w:rPr>
        <w:t xml:space="preserve"> 198</w:t>
      </w:r>
      <w:r w:rsidR="0062694C" w:rsidRPr="009A66D5">
        <w:rPr>
          <w:rFonts w:ascii="Arial" w:eastAsia="source serif 4" w:hAnsi="Arial" w:cs="Arial"/>
          <w:bCs/>
          <w:color w:val="000000" w:themeColor="text1"/>
          <w:kern w:val="0"/>
          <w:lang w:val="en-US"/>
          <w14:ligatures w14:val="none"/>
        </w:rPr>
        <w:t>-</w:t>
      </w:r>
      <w:r w:rsidRPr="009A66D5">
        <w:rPr>
          <w:rFonts w:ascii="Arial" w:eastAsia="source serif 4" w:hAnsi="Arial" w:cs="Arial"/>
          <w:bCs/>
          <w:color w:val="000000" w:themeColor="text1"/>
          <w:kern w:val="0"/>
          <w:lang w:val="en-US"/>
          <w14:ligatures w14:val="none"/>
        </w:rPr>
        <w:t xml:space="preserve">219. </w:t>
      </w:r>
      <w:hyperlink r:id="rId61" w:history="1">
        <w:r w:rsidRPr="009A66D5">
          <w:rPr>
            <w:rStyle w:val="Hyperlink"/>
            <w:rFonts w:ascii="Arial" w:eastAsia="source serif 4" w:hAnsi="Arial" w:cs="Arial"/>
            <w:bCs/>
            <w:color w:val="000000" w:themeColor="text1"/>
            <w:kern w:val="0"/>
            <w:u w:val="none"/>
            <w:lang w:val="en-US"/>
            <w14:ligatures w14:val="none"/>
          </w:rPr>
          <w:t>https://doi.org/10.1016/j.econedurev.2016.10.003</w:t>
        </w:r>
      </w:hyperlink>
    </w:p>
    <w:p w14:paraId="119438C3" w14:textId="5869852F" w:rsidR="00142758" w:rsidRPr="009A66D5" w:rsidRDefault="00142758" w:rsidP="00142758">
      <w:pPr>
        <w:spacing w:after="120" w:line="360" w:lineRule="auto"/>
        <w:ind w:left="720" w:hanging="720"/>
        <w:rPr>
          <w:rFonts w:ascii="Arial" w:eastAsia="source serif 4" w:hAnsi="Arial" w:cs="Arial"/>
          <w:bCs/>
          <w:color w:val="000000" w:themeColor="text1"/>
          <w:kern w:val="0"/>
          <w14:ligatures w14:val="none"/>
        </w:rPr>
      </w:pPr>
      <w:r w:rsidRPr="009A66D5">
        <w:rPr>
          <w:rFonts w:ascii="Arial" w:eastAsia="source serif 4" w:hAnsi="Arial" w:cs="Arial"/>
          <w:bCs/>
          <w:color w:val="000000" w:themeColor="text1"/>
          <w:kern w:val="0"/>
          <w14:ligatures w14:val="none"/>
        </w:rPr>
        <w:lastRenderedPageBreak/>
        <w:t xml:space="preserve">Tete, M. F., Sousa, M. de M., de Santana, T. S., &amp; Silva, S. F. (2022). Predictive models for higher education dropout: A systematic literature review. </w:t>
      </w:r>
      <w:r w:rsidRPr="009A66D5">
        <w:rPr>
          <w:rFonts w:ascii="Arial" w:eastAsia="source serif 4" w:hAnsi="Arial" w:cs="Arial"/>
          <w:bCs/>
          <w:i/>
          <w:iCs/>
          <w:color w:val="000000" w:themeColor="text1"/>
          <w:kern w:val="0"/>
          <w14:ligatures w14:val="none"/>
        </w:rPr>
        <w:t>Education Policy Analysis Archives</w:t>
      </w:r>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30</w:t>
      </w:r>
      <w:r w:rsidRPr="009A66D5">
        <w:rPr>
          <w:rFonts w:ascii="Arial" w:eastAsia="source serif 4" w:hAnsi="Arial" w:cs="Arial"/>
          <w:bCs/>
          <w:color w:val="000000" w:themeColor="text1"/>
          <w:kern w:val="0"/>
          <w14:ligatures w14:val="none"/>
        </w:rPr>
        <w:t xml:space="preserve">,(149). </w:t>
      </w:r>
      <w:hyperlink r:id="rId62" w:history="1">
        <w:r w:rsidRPr="009A66D5">
          <w:rPr>
            <w:rStyle w:val="Hyperlink"/>
            <w:rFonts w:ascii="Arial" w:eastAsia="source serif 4" w:hAnsi="Arial" w:cs="Arial"/>
            <w:bCs/>
            <w:color w:val="000000" w:themeColor="text1"/>
            <w:kern w:val="0"/>
            <w:u w:val="none"/>
            <w14:ligatures w14:val="none"/>
          </w:rPr>
          <w:t>https://epaa.asu.edu/index.php/epaa/article/view/6845/2930</w:t>
        </w:r>
      </w:hyperlink>
    </w:p>
    <w:p w14:paraId="7E52388C" w14:textId="77777777" w:rsidR="00142758" w:rsidRPr="009A66D5" w:rsidRDefault="00142758" w:rsidP="00142758">
      <w:pPr>
        <w:spacing w:after="120" w:line="360" w:lineRule="auto"/>
        <w:ind w:left="720" w:hanging="720"/>
        <w:rPr>
          <w:rFonts w:ascii="Arial" w:eastAsia="source serif 4" w:hAnsi="Arial" w:cs="Arial"/>
          <w:bCs/>
          <w:color w:val="000000" w:themeColor="text1"/>
          <w:kern w:val="0"/>
          <w:lang w:val="en-US"/>
          <w14:ligatures w14:val="none"/>
        </w:rPr>
      </w:pPr>
      <w:r w:rsidRPr="009A66D5">
        <w:rPr>
          <w:rFonts w:ascii="Arial" w:eastAsia="source serif 4" w:hAnsi="Arial" w:cs="Arial"/>
          <w:bCs/>
          <w:color w:val="000000" w:themeColor="text1"/>
          <w:kern w:val="0"/>
          <w:lang w:val="en-US"/>
          <w14:ligatures w14:val="none"/>
        </w:rPr>
        <w:t xml:space="preserve">Thomson, H., Bellaera, L., Ilie, S., &amp; Maragkou, K. (2022). </w:t>
      </w:r>
      <w:r w:rsidRPr="009A66D5">
        <w:rPr>
          <w:rFonts w:ascii="Arial" w:eastAsia="source serif 4" w:hAnsi="Arial" w:cs="Arial"/>
          <w:bCs/>
          <w:i/>
          <w:iCs/>
          <w:color w:val="000000" w:themeColor="text1"/>
          <w:kern w:val="0"/>
          <w:lang w:val="en-US"/>
          <w14:ligatures w14:val="none"/>
        </w:rPr>
        <w:t>Intermediate outcomes for higher education access and success.</w:t>
      </w:r>
      <w:r w:rsidRPr="009A66D5">
        <w:rPr>
          <w:rFonts w:ascii="Arial" w:eastAsia="source serif 4" w:hAnsi="Arial" w:cs="Arial"/>
          <w:bCs/>
          <w:color w:val="000000" w:themeColor="text1"/>
          <w:kern w:val="0"/>
          <w:lang w:val="en-US"/>
          <w14:ligatures w14:val="none"/>
        </w:rPr>
        <w:t xml:space="preserve"> Transforming Access and Student Outcomes in Higher Education. https://cdn.taso.org.uk/wp-content/uploads/2022-11_-Report_Intermediate-outcomes-for-higher-education-access-and-success_TASO.pdf</w:t>
      </w:r>
    </w:p>
    <w:p w14:paraId="5B8CB0C0" w14:textId="3F65A385" w:rsidR="00C57E77" w:rsidRPr="009A66D5" w:rsidRDefault="003D5409" w:rsidP="00C57E77">
      <w:pPr>
        <w:spacing w:after="120" w:line="360" w:lineRule="auto"/>
        <w:ind w:left="720" w:hanging="720"/>
        <w:rPr>
          <w:color w:val="000000" w:themeColor="text1"/>
        </w:rPr>
      </w:pPr>
      <w:r w:rsidRPr="009A66D5">
        <w:rPr>
          <w:rFonts w:ascii="Arial" w:eastAsia="source serif 4" w:hAnsi="Arial" w:cs="Arial"/>
          <w:bCs/>
          <w:color w:val="000000" w:themeColor="text1"/>
          <w:kern w:val="0"/>
          <w14:ligatures w14:val="none"/>
        </w:rPr>
        <w:t xml:space="preserve">Viberg, O., </w:t>
      </w:r>
      <w:proofErr w:type="spellStart"/>
      <w:r w:rsidRPr="009A66D5">
        <w:rPr>
          <w:rFonts w:ascii="Arial" w:eastAsia="source serif 4" w:hAnsi="Arial" w:cs="Arial"/>
          <w:bCs/>
          <w:color w:val="000000" w:themeColor="text1"/>
          <w:kern w:val="0"/>
          <w14:ligatures w14:val="none"/>
        </w:rPr>
        <w:t>Hatakka</w:t>
      </w:r>
      <w:proofErr w:type="spellEnd"/>
      <w:r w:rsidRPr="009A66D5">
        <w:rPr>
          <w:rFonts w:ascii="Arial" w:eastAsia="source serif 4" w:hAnsi="Arial" w:cs="Arial"/>
          <w:bCs/>
          <w:color w:val="000000" w:themeColor="text1"/>
          <w:kern w:val="0"/>
          <w14:ligatures w14:val="none"/>
        </w:rPr>
        <w:t xml:space="preserve">, M., </w:t>
      </w:r>
      <w:proofErr w:type="spellStart"/>
      <w:r w:rsidRPr="009A66D5">
        <w:rPr>
          <w:rFonts w:ascii="Arial" w:eastAsia="source serif 4" w:hAnsi="Arial" w:cs="Arial"/>
          <w:bCs/>
          <w:color w:val="000000" w:themeColor="text1"/>
          <w:kern w:val="0"/>
          <w14:ligatures w14:val="none"/>
        </w:rPr>
        <w:t>Bälter</w:t>
      </w:r>
      <w:proofErr w:type="spellEnd"/>
      <w:r w:rsidRPr="009A66D5">
        <w:rPr>
          <w:rFonts w:ascii="Arial" w:eastAsia="source serif 4" w:hAnsi="Arial" w:cs="Arial"/>
          <w:bCs/>
          <w:color w:val="000000" w:themeColor="text1"/>
          <w:kern w:val="0"/>
          <w14:ligatures w14:val="none"/>
        </w:rPr>
        <w:t xml:space="preserve">, O., &amp; Mavroudi, A. (2018). The current landscape of learning analytics in higher education. </w:t>
      </w:r>
      <w:r w:rsidRPr="009A66D5">
        <w:rPr>
          <w:rFonts w:ascii="Arial" w:eastAsia="source serif 4" w:hAnsi="Arial" w:cs="Arial"/>
          <w:bCs/>
          <w:i/>
          <w:iCs/>
          <w:color w:val="000000" w:themeColor="text1"/>
          <w:kern w:val="0"/>
          <w14:ligatures w14:val="none"/>
        </w:rPr>
        <w:t xml:space="preserve">Computers in Human </w:t>
      </w:r>
      <w:proofErr w:type="spellStart"/>
      <w:r w:rsidRPr="009A66D5">
        <w:rPr>
          <w:rFonts w:ascii="Arial" w:eastAsia="source serif 4" w:hAnsi="Arial" w:cs="Arial"/>
          <w:bCs/>
          <w:i/>
          <w:iCs/>
          <w:color w:val="000000" w:themeColor="text1"/>
          <w:kern w:val="0"/>
          <w14:ligatures w14:val="none"/>
        </w:rPr>
        <w:t>Behavior</w:t>
      </w:r>
      <w:proofErr w:type="spellEnd"/>
      <w:r w:rsidRPr="009A66D5">
        <w:rPr>
          <w:rFonts w:ascii="Arial" w:eastAsia="source serif 4" w:hAnsi="Arial" w:cs="Arial"/>
          <w:bCs/>
          <w:color w:val="000000" w:themeColor="text1"/>
          <w:kern w:val="0"/>
          <w14:ligatures w14:val="none"/>
        </w:rPr>
        <w:t xml:space="preserve">, </w:t>
      </w:r>
      <w:r w:rsidRPr="009A66D5">
        <w:rPr>
          <w:rFonts w:ascii="Arial" w:eastAsia="source serif 4" w:hAnsi="Arial" w:cs="Arial"/>
          <w:bCs/>
          <w:i/>
          <w:iCs/>
          <w:color w:val="000000" w:themeColor="text1"/>
          <w:kern w:val="0"/>
          <w14:ligatures w14:val="none"/>
        </w:rPr>
        <w:t>89</w:t>
      </w:r>
      <w:r w:rsidRPr="009A66D5">
        <w:rPr>
          <w:rFonts w:ascii="Arial" w:eastAsia="source serif 4" w:hAnsi="Arial" w:cs="Arial"/>
          <w:bCs/>
          <w:color w:val="000000" w:themeColor="text1"/>
          <w:kern w:val="0"/>
          <w14:ligatures w14:val="none"/>
        </w:rPr>
        <w:t xml:space="preserve">, 98-110. </w:t>
      </w:r>
      <w:hyperlink r:id="rId63" w:history="1">
        <w:r w:rsidRPr="009A66D5">
          <w:rPr>
            <w:rStyle w:val="Hyperlink"/>
            <w:rFonts w:ascii="Arial" w:eastAsia="source serif 4" w:hAnsi="Arial" w:cs="Arial"/>
            <w:bCs/>
            <w:color w:val="000000" w:themeColor="text1"/>
            <w:kern w:val="0"/>
            <w:u w:val="none"/>
            <w14:ligatures w14:val="none"/>
          </w:rPr>
          <w:t>https://doi.org/10.1016/j.chb.2018</w:t>
        </w:r>
        <w:r w:rsidRPr="009A66D5">
          <w:rPr>
            <w:rStyle w:val="Hyperlink"/>
            <w:rFonts w:ascii="Arial" w:eastAsia="source serif 4" w:hAnsi="Arial" w:cs="Arial"/>
            <w:bCs/>
            <w:color w:val="000000" w:themeColor="text1"/>
            <w:kern w:val="0"/>
            <w:u w:val="none"/>
            <w14:ligatures w14:val="none"/>
          </w:rPr>
          <w:t>.</w:t>
        </w:r>
        <w:r w:rsidRPr="009A66D5">
          <w:rPr>
            <w:rStyle w:val="Hyperlink"/>
            <w:rFonts w:ascii="Arial" w:eastAsia="source serif 4" w:hAnsi="Arial" w:cs="Arial"/>
            <w:bCs/>
            <w:color w:val="000000" w:themeColor="text1"/>
            <w:kern w:val="0"/>
            <w:u w:val="none"/>
            <w14:ligatures w14:val="none"/>
          </w:rPr>
          <w:t>07.027</w:t>
        </w:r>
      </w:hyperlink>
    </w:p>
    <w:p w14:paraId="6BF6A203" w14:textId="019AC934" w:rsidR="00593FB8" w:rsidRPr="009A66D5" w:rsidRDefault="005172A3" w:rsidP="00C57E77">
      <w:pPr>
        <w:spacing w:after="120" w:line="360" w:lineRule="auto"/>
        <w:ind w:left="720" w:hanging="720"/>
        <w:rPr>
          <w:rFonts w:ascii="Arial" w:hAnsi="Arial" w:cs="Arial"/>
          <w:color w:val="000000" w:themeColor="text1"/>
        </w:rPr>
      </w:pPr>
      <w:r w:rsidRPr="009A66D5">
        <w:rPr>
          <w:rFonts w:ascii="Arial" w:hAnsi="Arial" w:cs="Arial"/>
          <w:color w:val="000000" w:themeColor="text1"/>
        </w:rPr>
        <w:t xml:space="preserve">Villano, R. A., Harrison, S., Lynch, G., &amp; Chen, G. (2018). Linking early alert systems and student retention: A survival analysis approach. </w:t>
      </w:r>
      <w:r w:rsidRPr="009A66D5">
        <w:rPr>
          <w:rFonts w:ascii="Arial" w:hAnsi="Arial" w:cs="Arial"/>
          <w:i/>
          <w:iCs/>
          <w:color w:val="000000" w:themeColor="text1"/>
        </w:rPr>
        <w:t>Higher Education, 76</w:t>
      </w:r>
      <w:r w:rsidRPr="009A66D5">
        <w:rPr>
          <w:rFonts w:ascii="Arial" w:hAnsi="Arial" w:cs="Arial"/>
          <w:color w:val="000000" w:themeColor="text1"/>
        </w:rPr>
        <w:t xml:space="preserve">(5), 903-920. </w:t>
      </w:r>
      <w:hyperlink r:id="rId64" w:history="1">
        <w:r w:rsidR="00593FB8" w:rsidRPr="009A66D5">
          <w:rPr>
            <w:rStyle w:val="Hyperlink"/>
            <w:rFonts w:ascii="Arial" w:hAnsi="Arial" w:cs="Arial"/>
            <w:color w:val="000000" w:themeColor="text1"/>
            <w:u w:val="none"/>
          </w:rPr>
          <w:t>https://doi-org.uwtsd.idm.oclc.org/10.1007/s10734-018-0249-y</w:t>
        </w:r>
      </w:hyperlink>
    </w:p>
    <w:p w14:paraId="701DD357" w14:textId="77777777" w:rsidR="00593FB8" w:rsidRDefault="00593FB8" w:rsidP="00C57E77">
      <w:pPr>
        <w:spacing w:after="120" w:line="360" w:lineRule="auto"/>
        <w:ind w:left="720" w:hanging="720"/>
        <w:rPr>
          <w:rFonts w:ascii="Arial" w:hAnsi="Arial" w:cs="Arial"/>
        </w:rPr>
      </w:pPr>
    </w:p>
    <w:p w14:paraId="7062B94C" w14:textId="77777777" w:rsidR="00593FB8" w:rsidRDefault="00593FB8" w:rsidP="00C57E77">
      <w:pPr>
        <w:spacing w:after="120" w:line="360" w:lineRule="auto"/>
        <w:ind w:left="720" w:hanging="720"/>
        <w:rPr>
          <w:rFonts w:ascii="Arial" w:hAnsi="Arial" w:cs="Arial"/>
        </w:rPr>
      </w:pPr>
    </w:p>
    <w:p w14:paraId="05F2B990" w14:textId="77777777" w:rsidR="00593FB8" w:rsidRPr="005172A3" w:rsidRDefault="00593FB8" w:rsidP="00C57E77">
      <w:pPr>
        <w:spacing w:after="120" w:line="360" w:lineRule="auto"/>
        <w:ind w:left="720" w:hanging="720"/>
        <w:rPr>
          <w:rFonts w:ascii="Arial" w:hAnsi="Arial" w:cs="Arial"/>
        </w:rPr>
      </w:pPr>
    </w:p>
    <w:p w14:paraId="05EE0417" w14:textId="77777777" w:rsidR="00142758" w:rsidRPr="00874ABF" w:rsidRDefault="00142758" w:rsidP="00142758">
      <w:pPr>
        <w:spacing w:after="0" w:line="480" w:lineRule="auto"/>
        <w:rPr>
          <w:rFonts w:ascii="Arial" w:eastAsia="source serif 4" w:hAnsi="Arial" w:cs="Arial"/>
          <w:bCs/>
          <w:color w:val="000000" w:themeColor="text1"/>
          <w:kern w:val="0"/>
          <w:lang w:val="en-US"/>
          <w14:ligatures w14:val="none"/>
        </w:rPr>
      </w:pPr>
    </w:p>
    <w:p w14:paraId="28208938" w14:textId="77777777" w:rsidR="005E1CDF" w:rsidRPr="00874ABF" w:rsidRDefault="005E1CDF" w:rsidP="00142758">
      <w:pPr>
        <w:spacing w:after="0" w:line="480" w:lineRule="auto"/>
        <w:rPr>
          <w:rFonts w:ascii="Arial" w:eastAsia="source serif 4" w:hAnsi="Arial" w:cs="Arial"/>
          <w:bCs/>
          <w:color w:val="000000" w:themeColor="text1"/>
          <w:kern w:val="0"/>
          <w:lang w:val="en-US"/>
          <w14:ligatures w14:val="none"/>
        </w:rPr>
        <w:sectPr w:rsidR="005E1CDF" w:rsidRPr="00874ABF" w:rsidSect="00142758">
          <w:footerReference w:type="default" r:id="rId65"/>
          <w:pgSz w:w="11906" w:h="16838"/>
          <w:pgMar w:top="1440" w:right="1440" w:bottom="1440" w:left="1440" w:header="709" w:footer="709" w:gutter="0"/>
          <w:cols w:space="720"/>
        </w:sectPr>
      </w:pPr>
    </w:p>
    <w:p w14:paraId="033D00CA"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8. Appendices</w:t>
      </w:r>
    </w:p>
    <w:p w14:paraId="5653F7E2"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Appendix A. Initial spreadsheet / variable list</w:t>
      </w:r>
    </w:p>
    <w:p w14:paraId="6E598346"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A1. Data - Excel </w:t>
      </w:r>
    </w:p>
    <w:p w14:paraId="4B78FCF7" w14:textId="77777777" w:rsidR="00DE53C7" w:rsidRPr="00874ABF" w:rsidRDefault="00142758" w:rsidP="00DE53C7">
      <w:pPr>
        <w:spacing w:after="120" w:line="240" w:lineRule="atLeast"/>
        <w:rPr>
          <w:rFonts w:ascii="Arial" w:eastAsia="source serif 4" w:hAnsi="Arial" w:cs="Arial"/>
          <w:bCs/>
          <w:color w:val="000000" w:themeColor="text1"/>
          <w:kern w:val="0"/>
          <w:sz w:val="14"/>
          <w:szCs w:val="14"/>
          <w:lang w:val="en-US"/>
          <w14:ligatures w14:val="none"/>
        </w:rPr>
      </w:pPr>
      <w:r w:rsidRPr="00874ABF">
        <w:rPr>
          <w:rFonts w:ascii="Arial" w:hAnsi="Arial" w:cs="Arial"/>
          <w:noProof/>
          <w:color w:val="000000" w:themeColor="text1"/>
        </w:rPr>
        <w:drawing>
          <wp:anchor distT="0" distB="0" distL="114300" distR="114300" simplePos="0" relativeHeight="251662336" behindDoc="0" locked="0" layoutInCell="1" allowOverlap="1" wp14:anchorId="6969E2DB" wp14:editId="012278B4">
            <wp:simplePos x="0" y="0"/>
            <wp:positionH relativeFrom="margin">
              <wp:posOffset>-15456</wp:posOffset>
            </wp:positionH>
            <wp:positionV relativeFrom="paragraph">
              <wp:posOffset>687981</wp:posOffset>
            </wp:positionV>
            <wp:extent cx="8938649" cy="4276904"/>
            <wp:effectExtent l="19050" t="19050" r="15240" b="9525"/>
            <wp:wrapTopAndBottom/>
            <wp:docPr id="112006894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6" cstate="print">
                      <a:extLst>
                        <a:ext uri="{28A0092B-C50C-407E-A947-70E740481C1C}">
                          <a14:useLocalDpi xmlns:a14="http://schemas.microsoft.com/office/drawing/2010/main" val="0"/>
                        </a:ext>
                      </a:extLst>
                    </a:blip>
                    <a:srcRect r="1509"/>
                    <a:stretch>
                      <a:fillRect/>
                    </a:stretch>
                  </pic:blipFill>
                  <pic:spPr bwMode="auto">
                    <a:xfrm>
                      <a:off x="0" y="0"/>
                      <a:ext cx="8964274" cy="4289165"/>
                    </a:xfrm>
                    <a:prstGeom prst="rect">
                      <a:avLst/>
                    </a:prstGeom>
                    <a:noFill/>
                    <a:ln w="9525">
                      <a:solidFill>
                        <a:srgbClr val="156082">
                          <a:lumMod val="100000"/>
                          <a:lumOff val="0"/>
                        </a:srgbClr>
                      </a:solidFill>
                      <a:miter lim="800000"/>
                      <a:headEnd/>
                      <a:tailEnd/>
                    </a:ln>
                  </pic:spPr>
                </pic:pic>
              </a:graphicData>
            </a:graphic>
            <wp14:sizeRelH relativeFrom="margin">
              <wp14:pctWidth>0</wp14:pctWidth>
            </wp14:sizeRelH>
            <wp14:sizeRelV relativeFrom="margin">
              <wp14:pctHeight>0</wp14:pctHeight>
            </wp14:sizeRelV>
          </wp:anchor>
        </w:drawing>
      </w:r>
      <w:r w:rsidRPr="00874ABF">
        <w:rPr>
          <w:rFonts w:ascii="Arial" w:eastAsia="source serif 4" w:hAnsi="Arial" w:cs="Arial"/>
          <w:bCs/>
          <w:color w:val="000000" w:themeColor="text1"/>
          <w:kern w:val="0"/>
          <w:sz w:val="14"/>
          <w:szCs w:val="14"/>
          <w:lang w:val="en-US"/>
          <w14:ligatures w14:val="none"/>
        </w:rPr>
        <w:t>The working analysis dataset BMDP7009_SPSS_Base_Dataset.xlsx contains all 216 Exam Board source rows with an inclusion flag identifying the 168 analysed records derived from 216 initial records and a recorded reason for each of the 48 exclusions, together with a codebook giving the label, measurement level, value labels, missing-data rule and source of every variable. Student numbers and names are not carried into the workbook: each student is identified by a stable pseudonymous code. The workbook also holds the module-level evidence behind each mark, the record of corrections applied during preparation, and the decisions taken on each query raised at the cleaning stage. Example (first 44 rows) of the data set is included below.</w:t>
      </w:r>
    </w:p>
    <w:p w14:paraId="66235DA2" w14:textId="37AB8E25" w:rsidR="00142758" w:rsidRPr="00874ABF" w:rsidRDefault="00142758" w:rsidP="00DE53C7">
      <w:pPr>
        <w:spacing w:after="120" w:line="240" w:lineRule="atLeast"/>
        <w:rPr>
          <w:rFonts w:ascii="Arial" w:eastAsia="source serif 4" w:hAnsi="Arial" w:cs="Arial"/>
          <w:bCs/>
          <w:color w:val="000000" w:themeColor="text1"/>
          <w:kern w:val="0"/>
          <w:sz w:val="14"/>
          <w:szCs w:val="14"/>
          <w:lang w:val="en-US"/>
          <w14:ligatures w14:val="none"/>
        </w:rPr>
      </w:pPr>
      <w:r w:rsidRPr="00874ABF">
        <w:rPr>
          <w:rFonts w:ascii="Arial" w:eastAsia="source serif 4" w:hAnsi="Arial" w:cs="Arial"/>
          <w:b/>
          <w:color w:val="000000" w:themeColor="text1"/>
          <w:kern w:val="0"/>
          <w:lang w:val="en-US"/>
          <w14:ligatures w14:val="none"/>
        </w:rPr>
        <w:lastRenderedPageBreak/>
        <w:t>A2. Data - SPSS</w:t>
      </w:r>
    </w:p>
    <w:p w14:paraId="75CBEAE3"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br/>
      </w:r>
      <w:r w:rsidRPr="00874ABF">
        <w:rPr>
          <w:rFonts w:ascii="Arial" w:eastAsia="Aptos" w:hAnsi="Arial" w:cs="Arial"/>
          <w:noProof/>
          <w:color w:val="000000" w:themeColor="text1"/>
        </w:rPr>
        <w:drawing>
          <wp:inline distT="0" distB="0" distL="0" distR="0" wp14:anchorId="50902609" wp14:editId="640E568E">
            <wp:extent cx="9315787" cy="4910759"/>
            <wp:effectExtent l="19050" t="19050" r="19050" b="23495"/>
            <wp:docPr id="14636329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7">
                      <a:extLst>
                        <a:ext uri="{28A0092B-C50C-407E-A947-70E740481C1C}">
                          <a14:useLocalDpi xmlns:a14="http://schemas.microsoft.com/office/drawing/2010/main" val="0"/>
                        </a:ext>
                      </a:extLst>
                    </a:blip>
                    <a:srcRect r="49852" b="6223"/>
                    <a:stretch>
                      <a:fillRect/>
                    </a:stretch>
                  </pic:blipFill>
                  <pic:spPr bwMode="auto">
                    <a:xfrm>
                      <a:off x="0" y="0"/>
                      <a:ext cx="9348533" cy="4928021"/>
                    </a:xfrm>
                    <a:prstGeom prst="rect">
                      <a:avLst/>
                    </a:prstGeom>
                    <a:noFill/>
                    <a:ln w="9525" cmpd="sng">
                      <a:solidFill>
                        <a:srgbClr val="000000"/>
                      </a:solidFill>
                      <a:miter lim="800000"/>
                      <a:headEnd/>
                      <a:tailEnd/>
                    </a:ln>
                    <a:effectLst/>
                  </pic:spPr>
                </pic:pic>
              </a:graphicData>
            </a:graphic>
          </wp:inline>
        </w:drawing>
      </w:r>
    </w:p>
    <w:p w14:paraId="2AFEFAE8"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12EC5440"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0F68D70C" w14:textId="3B37217E"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A3. Data - Variables</w:t>
      </w:r>
    </w:p>
    <w:p w14:paraId="7F0C18C6" w14:textId="1BF93F52"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0E1F5BBE" w14:textId="2BB238C9"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640F4C95"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39F9D1B0" w14:textId="28AF7109"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3FEE1372" w14:textId="43FEDDCB" w:rsidR="00142758" w:rsidRPr="00874ABF" w:rsidRDefault="00DE53C7" w:rsidP="00142758">
      <w:pPr>
        <w:spacing w:after="0" w:line="240" w:lineRule="auto"/>
        <w:rPr>
          <w:rFonts w:ascii="Arial" w:eastAsia="source serif 4" w:hAnsi="Arial" w:cs="Arial"/>
          <w:b/>
          <w:color w:val="000000" w:themeColor="text1"/>
          <w:kern w:val="0"/>
          <w:lang w:val="en-US"/>
          <w14:ligatures w14:val="none"/>
        </w:rPr>
      </w:pPr>
      <w:r w:rsidRPr="00874ABF">
        <w:rPr>
          <w:rFonts w:ascii="Arial" w:hAnsi="Arial" w:cs="Arial"/>
          <w:noProof/>
          <w:color w:val="000000" w:themeColor="text1"/>
        </w:rPr>
        <w:drawing>
          <wp:anchor distT="0" distB="0" distL="114300" distR="114300" simplePos="0" relativeHeight="251663360" behindDoc="0" locked="0" layoutInCell="1" allowOverlap="1" wp14:anchorId="13888F84" wp14:editId="7DD90AC7">
            <wp:simplePos x="0" y="0"/>
            <wp:positionH relativeFrom="column">
              <wp:posOffset>-939</wp:posOffset>
            </wp:positionH>
            <wp:positionV relativeFrom="paragraph">
              <wp:posOffset>-561782</wp:posOffset>
            </wp:positionV>
            <wp:extent cx="5434330" cy="5324475"/>
            <wp:effectExtent l="19050" t="19050" r="13970" b="28575"/>
            <wp:wrapNone/>
            <wp:docPr id="114197218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8">
                      <a:extLst>
                        <a:ext uri="{28A0092B-C50C-407E-A947-70E740481C1C}">
                          <a14:useLocalDpi xmlns:a14="http://schemas.microsoft.com/office/drawing/2010/main" val="0"/>
                        </a:ext>
                      </a:extLst>
                    </a:blip>
                    <a:srcRect r="5360" b="1067"/>
                    <a:stretch>
                      <a:fillRect/>
                    </a:stretch>
                  </pic:blipFill>
                  <pic:spPr bwMode="auto">
                    <a:xfrm>
                      <a:off x="0" y="0"/>
                      <a:ext cx="5434330" cy="5324475"/>
                    </a:xfrm>
                    <a:prstGeom prst="rect">
                      <a:avLst/>
                    </a:prstGeom>
                    <a:noFill/>
                    <a:ln w="9525">
                      <a:solidFill>
                        <a:srgbClr val="156082">
                          <a:lumMod val="100000"/>
                          <a:lumOff val="0"/>
                        </a:srgbClr>
                      </a:solidFill>
                      <a:miter lim="800000"/>
                      <a:headEnd/>
                      <a:tailEnd/>
                    </a:ln>
                  </pic:spPr>
                </pic:pic>
              </a:graphicData>
            </a:graphic>
            <wp14:sizeRelH relativeFrom="margin">
              <wp14:pctWidth>0</wp14:pctWidth>
            </wp14:sizeRelH>
            <wp14:sizeRelV relativeFrom="margin">
              <wp14:pctHeight>0</wp14:pctHeight>
            </wp14:sizeRelV>
          </wp:anchor>
        </w:drawing>
      </w:r>
    </w:p>
    <w:p w14:paraId="2B6CD355"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08F43255"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1B3BA12D"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59A2FAF6"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pPr>
    </w:p>
    <w:p w14:paraId="5C82915F"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sectPr w:rsidR="00142758" w:rsidRPr="00874ABF" w:rsidSect="00142758">
          <w:pgSz w:w="16838" w:h="11906" w:orient="landscape"/>
          <w:pgMar w:top="1440" w:right="1440" w:bottom="1440" w:left="1440" w:header="709" w:footer="709" w:gutter="0"/>
          <w:cols w:space="720"/>
        </w:sectPr>
      </w:pPr>
    </w:p>
    <w:p w14:paraId="33247E92" w14:textId="3835626E" w:rsidR="00142758" w:rsidRPr="00E549CE"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Appendix B. Additional statistical output</w:t>
      </w:r>
    </w:p>
    <w:p w14:paraId="1A1877BD"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B1</w:t>
      </w:r>
      <w:r w:rsidRPr="00874ABF">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
          <w:color w:val="000000" w:themeColor="text1"/>
          <w:kern w:val="0"/>
          <w:lang w:val="en-US"/>
          <w14:ligatures w14:val="none"/>
        </w:rPr>
        <w:t>Targeted non-parametric checks.</w:t>
      </w:r>
    </w:p>
    <w:p w14:paraId="698863DF" w14:textId="7B8D77E1"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Two rank-based tests were retained where they added confirmation.</w:t>
      </w:r>
      <w:r w:rsidRPr="00874ABF">
        <w:rPr>
          <w:rFonts w:ascii="Arial" w:eastAsia="source serif 4" w:hAnsi="Arial" w:cs="Arial"/>
          <w:bCs/>
          <w:color w:val="000000" w:themeColor="text1"/>
          <w:kern w:val="0"/>
          <w:lang w:val="en-US"/>
          <w14:ligatures w14:val="none"/>
        </w:rPr>
        <w:br/>
        <w:t>Both agreed with the main parametric result.</w:t>
      </w:r>
    </w:p>
    <w:p w14:paraId="46296A5F" w14:textId="67A106AA" w:rsidR="00142758" w:rsidRPr="00874ABF" w:rsidRDefault="00142758" w:rsidP="00DE53C7">
      <w:pPr>
        <w:numPr>
          <w:ilvl w:val="0"/>
          <w:numId w:val="41"/>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H3</w:t>
      </w:r>
      <w:r w:rsidRPr="00874ABF">
        <w:rPr>
          <w:rFonts w:ascii="Arial" w:eastAsia="source serif 4" w:hAnsi="Arial" w:cs="Arial"/>
          <w:bCs/>
          <w:color w:val="000000" w:themeColor="text1"/>
          <w:kern w:val="0"/>
          <w:lang w:val="en-US"/>
          <w14:ligatures w14:val="none"/>
        </w:rPr>
        <w:t>, non-submissions and mean mark: Spearman's ρ = -.29, p &lt; .001 (Pearson r = -.38, p &lt; .001).</w:t>
      </w:r>
    </w:p>
    <w:p w14:paraId="66A15E2D" w14:textId="77777777" w:rsidR="00DE53C7" w:rsidRPr="00874ABF" w:rsidRDefault="00DE53C7" w:rsidP="00DE53C7">
      <w:pPr>
        <w:numPr>
          <w:ilvl w:val="0"/>
          <w:numId w:val="41"/>
        </w:numPr>
        <w:suppressAutoHyphens/>
        <w:spacing w:after="0" w:line="360" w:lineRule="auto"/>
        <w:contextualSpacing/>
        <w:rPr>
          <w:rFonts w:ascii="Arial" w:eastAsia="source serif 4" w:hAnsi="Arial" w:cs="Arial"/>
          <w:bCs/>
          <w:color w:val="000000" w:themeColor="text1"/>
          <w:kern w:val="0"/>
          <w:lang w:val="en-US"/>
          <w14:ligatures w14:val="none"/>
        </w:rPr>
      </w:pPr>
    </w:p>
    <w:p w14:paraId="3DE29EB8" w14:textId="77777777" w:rsidR="00142758" w:rsidRPr="00874ABF" w:rsidRDefault="00142758" w:rsidP="00142758">
      <w:pPr>
        <w:numPr>
          <w:ilvl w:val="0"/>
          <w:numId w:val="41"/>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H5, </w:t>
      </w:r>
      <w:r w:rsidRPr="00874ABF">
        <w:rPr>
          <w:rFonts w:ascii="Arial" w:eastAsia="source serif 4" w:hAnsi="Arial" w:cs="Arial"/>
          <w:bCs/>
          <w:color w:val="000000" w:themeColor="text1"/>
          <w:kern w:val="0"/>
          <w:lang w:val="en-US"/>
          <w14:ligatures w14:val="none"/>
        </w:rPr>
        <w:t xml:space="preserve">first against second half of the module sequence: Wilcoxon signed-rank Z = -0.50, p = .619 (paired </w:t>
      </w:r>
      <w:proofErr w:type="gramStart"/>
      <w:r w:rsidRPr="00874ABF">
        <w:rPr>
          <w:rFonts w:ascii="Arial" w:eastAsia="source serif 4" w:hAnsi="Arial" w:cs="Arial"/>
          <w:bCs/>
          <w:color w:val="000000" w:themeColor="text1"/>
          <w:kern w:val="0"/>
          <w:lang w:val="en-US"/>
          <w14:ligatures w14:val="none"/>
        </w:rPr>
        <w:t>t(</w:t>
      </w:r>
      <w:proofErr w:type="gramEnd"/>
      <w:r w:rsidRPr="00874ABF">
        <w:rPr>
          <w:rFonts w:ascii="Arial" w:eastAsia="source serif 4" w:hAnsi="Arial" w:cs="Arial"/>
          <w:bCs/>
          <w:color w:val="000000" w:themeColor="text1"/>
          <w:kern w:val="0"/>
          <w:lang w:val="en-US"/>
          <w14:ligatures w14:val="none"/>
        </w:rPr>
        <w:t>127) = 0.32, p = .747).</w:t>
      </w:r>
    </w:p>
    <w:p w14:paraId="39EFDB60"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41BFC63F"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B2. Assumption checks.</w:t>
      </w:r>
    </w:p>
    <w:p w14:paraId="75252697"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Mean academic mark:</w:t>
      </w:r>
    </w:p>
    <w:p w14:paraId="2D46688A" w14:textId="77777777" w:rsidR="00142758" w:rsidRPr="00874ABF" w:rsidRDefault="00142758" w:rsidP="00142758">
      <w:pPr>
        <w:numPr>
          <w:ilvl w:val="0"/>
          <w:numId w:val="42"/>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Shapiro-Wilk W = .987, p = .183.</w:t>
      </w:r>
    </w:p>
    <w:p w14:paraId="01254F60" w14:textId="77777777" w:rsidR="00142758" w:rsidRPr="00874ABF" w:rsidRDefault="00142758" w:rsidP="00142758">
      <w:pPr>
        <w:numPr>
          <w:ilvl w:val="0"/>
          <w:numId w:val="42"/>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H2</w:t>
      </w:r>
      <w:r w:rsidRPr="00874ABF">
        <w:rPr>
          <w:rFonts w:ascii="Arial" w:eastAsia="source serif 4" w:hAnsi="Arial" w:cs="Arial"/>
          <w:bCs/>
          <w:color w:val="000000" w:themeColor="text1"/>
          <w:kern w:val="0"/>
          <w:lang w:val="en-US"/>
          <w14:ligatures w14:val="none"/>
        </w:rPr>
        <w:t xml:space="preserve"> equal variances: Levene's F = 3.16, p = .077.</w:t>
      </w:r>
    </w:p>
    <w:p w14:paraId="0F62D62B" w14:textId="77777777" w:rsidR="00142758" w:rsidRPr="00874ABF" w:rsidRDefault="00142758" w:rsidP="00142758">
      <w:pPr>
        <w:numPr>
          <w:ilvl w:val="0"/>
          <w:numId w:val="42"/>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H4</w:t>
      </w:r>
      <w:r w:rsidRPr="00874ABF">
        <w:rPr>
          <w:rFonts w:ascii="Arial" w:eastAsia="source serif 4" w:hAnsi="Arial" w:cs="Arial"/>
          <w:bCs/>
          <w:color w:val="000000" w:themeColor="text1"/>
          <w:kern w:val="0"/>
          <w:lang w:val="en-US"/>
          <w14:ligatures w14:val="none"/>
        </w:rPr>
        <w:t xml:space="preserve"> equal variances: Levene's </w:t>
      </w:r>
      <w:proofErr w:type="gramStart"/>
      <w:r w:rsidRPr="00874ABF">
        <w:rPr>
          <w:rFonts w:ascii="Arial" w:eastAsia="source serif 4" w:hAnsi="Arial" w:cs="Arial"/>
          <w:bCs/>
          <w:color w:val="000000" w:themeColor="text1"/>
          <w:kern w:val="0"/>
          <w:lang w:val="en-US"/>
          <w14:ligatures w14:val="none"/>
        </w:rPr>
        <w:t>F(</w:t>
      </w:r>
      <w:proofErr w:type="gramEnd"/>
      <w:r w:rsidRPr="00874ABF">
        <w:rPr>
          <w:rFonts w:ascii="Arial" w:eastAsia="source serif 4" w:hAnsi="Arial" w:cs="Arial"/>
          <w:bCs/>
          <w:color w:val="000000" w:themeColor="text1"/>
          <w:kern w:val="0"/>
          <w:lang w:val="en-US"/>
          <w14:ligatures w14:val="none"/>
        </w:rPr>
        <w:t>2, 148) = 3.57, p = .031, so Welch's robust ANOVA was used.</w:t>
      </w:r>
    </w:p>
    <w:p w14:paraId="5DBEDD41" w14:textId="77777777" w:rsidR="00142758" w:rsidRPr="00874ABF" w:rsidRDefault="00142758" w:rsidP="00142758">
      <w:pPr>
        <w:numPr>
          <w:ilvl w:val="0"/>
          <w:numId w:val="42"/>
        </w:numPr>
        <w:suppressAutoHyphens/>
        <w:spacing w:after="0" w:line="360" w:lineRule="auto"/>
        <w:contextualSpacing/>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H5</w:t>
      </w:r>
      <w:r w:rsidRPr="00874ABF">
        <w:rPr>
          <w:rFonts w:ascii="Arial" w:eastAsia="source serif 4" w:hAnsi="Arial" w:cs="Arial"/>
          <w:bCs/>
          <w:color w:val="000000" w:themeColor="text1"/>
          <w:kern w:val="0"/>
          <w:lang w:val="en-US"/>
          <w14:ligatures w14:val="none"/>
        </w:rPr>
        <w:t xml:space="preserve"> difference scores: Shapiro-Wilk W = .987, p = .239. </w:t>
      </w:r>
      <w:r w:rsidRPr="00874ABF">
        <w:rPr>
          <w:rFonts w:ascii="Arial" w:eastAsia="source serif 4" w:hAnsi="Arial" w:cs="Arial"/>
          <w:b/>
          <w:color w:val="000000" w:themeColor="text1"/>
          <w:kern w:val="0"/>
          <w:lang w:val="en-US"/>
          <w14:ligatures w14:val="none"/>
        </w:rPr>
        <w:t>H1</w:t>
      </w:r>
      <w:r w:rsidRPr="00874ABF">
        <w:rPr>
          <w:rFonts w:ascii="Arial" w:eastAsia="source serif 4" w:hAnsi="Arial" w:cs="Arial"/>
          <w:bCs/>
          <w:color w:val="000000" w:themeColor="text1"/>
          <w:kern w:val="0"/>
          <w:lang w:val="en-US"/>
          <w14:ligatures w14:val="none"/>
        </w:rPr>
        <w:t xml:space="preserve"> expected cell </w:t>
      </w:r>
      <w:proofErr w:type="gramStart"/>
      <w:r w:rsidRPr="00874ABF">
        <w:rPr>
          <w:rFonts w:ascii="Arial" w:eastAsia="source serif 4" w:hAnsi="Arial" w:cs="Arial"/>
          <w:bCs/>
          <w:color w:val="000000" w:themeColor="text1"/>
          <w:kern w:val="0"/>
          <w:lang w:val="en-US"/>
          <w14:ligatures w14:val="none"/>
        </w:rPr>
        <w:t>counts:</w:t>
      </w:r>
      <w:proofErr w:type="gramEnd"/>
      <w:r w:rsidRPr="00874ABF">
        <w:rPr>
          <w:rFonts w:ascii="Arial" w:eastAsia="source serif 4" w:hAnsi="Arial" w:cs="Arial"/>
          <w:bCs/>
          <w:color w:val="000000" w:themeColor="text1"/>
          <w:kern w:val="0"/>
          <w:lang w:val="en-US"/>
          <w14:ligatures w14:val="none"/>
        </w:rPr>
        <w:t xml:space="preserve"> minimum 13.6, all above 5.</w:t>
      </w:r>
    </w:p>
    <w:p w14:paraId="7E3ADD57"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334A4925"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B3. Person-level sensitivity analysis</w:t>
      </w:r>
      <w:r w:rsidRPr="00874ABF">
        <w:rPr>
          <w:rFonts w:ascii="Arial" w:eastAsia="source serif 4" w:hAnsi="Arial" w:cs="Arial"/>
          <w:bCs/>
          <w:color w:val="000000" w:themeColor="text1"/>
          <w:kern w:val="0"/>
          <w:lang w:val="en-US"/>
          <w14:ligatures w14:val="none"/>
        </w:rPr>
        <w:t>.</w:t>
      </w:r>
    </w:p>
    <w:p w14:paraId="7FEF7CB9" w14:textId="77777777" w:rsidR="00DE53C7"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168 enrolment episodes from an initial 216 rows represent 159 individual students, with nine students contributing two episodes (returning students to a subsequent academic year).</w:t>
      </w:r>
    </w:p>
    <w:p w14:paraId="3C4DC83F" w14:textId="32963BD3" w:rsidR="00142758"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five primary hypotheses were therefore repeated using the more recent enrolment episode for each student</w:t>
      </w:r>
      <w:r w:rsidR="0049284B">
        <w:rPr>
          <w:rFonts w:ascii="Arial" w:eastAsia="source serif 4" w:hAnsi="Arial" w:cs="Arial"/>
          <w:bCs/>
          <w:color w:val="000000" w:themeColor="text1"/>
          <w:kern w:val="0"/>
          <w:lang w:val="en-US"/>
          <w14:ligatures w14:val="none"/>
        </w:rPr>
        <w:t xml:space="preserve"> (n=159)</w:t>
      </w:r>
      <w:r w:rsidRPr="00874ABF">
        <w:rPr>
          <w:rFonts w:ascii="Arial" w:eastAsia="source serif 4" w:hAnsi="Arial" w:cs="Arial"/>
          <w:bCs/>
          <w:color w:val="000000" w:themeColor="text1"/>
          <w:kern w:val="0"/>
          <w:lang w:val="en-US"/>
          <w14:ligatures w14:val="none"/>
        </w:rPr>
        <w:t xml:space="preserve">. The three significant findings remained significant, the two non-significant findings remained non-significant, and the effect sizes remained similar. </w:t>
      </w:r>
    </w:p>
    <w:p w14:paraId="36C94A6B" w14:textId="77777777" w:rsidR="0049284B" w:rsidRDefault="0049284B" w:rsidP="00142758">
      <w:pPr>
        <w:spacing w:after="120" w:line="360" w:lineRule="auto"/>
        <w:rPr>
          <w:rFonts w:ascii="Arial" w:eastAsia="source serif 4" w:hAnsi="Arial" w:cs="Arial"/>
          <w:bCs/>
          <w:color w:val="000000" w:themeColor="text1"/>
          <w:kern w:val="0"/>
          <w:lang w:val="en-US"/>
          <w14:ligatures w14:val="none"/>
        </w:rPr>
      </w:pPr>
    </w:p>
    <w:p w14:paraId="1110AC20" w14:textId="77777777" w:rsidR="0049284B" w:rsidRPr="00874ABF" w:rsidRDefault="0049284B" w:rsidP="00142758">
      <w:pPr>
        <w:spacing w:after="120" w:line="360" w:lineRule="auto"/>
        <w:rPr>
          <w:rFonts w:ascii="Arial" w:eastAsia="source serif 4" w:hAnsi="Arial" w:cs="Arial"/>
          <w:bCs/>
          <w:color w:val="000000" w:themeColor="text1"/>
          <w:kern w:val="0"/>
          <w:lang w:val="en-US"/>
          <w14:ligatures w14:val="none"/>
        </w:rPr>
      </w:pPr>
    </w:p>
    <w:p w14:paraId="6627D921" w14:textId="77777777" w:rsidR="005172A3" w:rsidRDefault="005172A3" w:rsidP="00142758">
      <w:pPr>
        <w:spacing w:after="120" w:line="360" w:lineRule="auto"/>
        <w:rPr>
          <w:rFonts w:ascii="Arial" w:eastAsia="source serif 4" w:hAnsi="Arial" w:cs="Arial"/>
          <w:b/>
          <w:color w:val="000000" w:themeColor="text1"/>
          <w:kern w:val="0"/>
          <w:lang w:val="en-US"/>
          <w14:ligatures w14:val="none"/>
        </w:rPr>
      </w:pPr>
    </w:p>
    <w:p w14:paraId="0F07FB45" w14:textId="7223E57D"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 xml:space="preserve">B4. SCM records by academic year of enrolment (source rows). </w:t>
      </w:r>
    </w:p>
    <w:p w14:paraId="2BEE9ADB" w14:textId="77777777" w:rsidR="0049284B"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1 of 41 (2.4%). 2023/24: 3 of 60 (5.0%). 2024/25: 14 of 115 (12.2%).</w:t>
      </w:r>
    </w:p>
    <w:p w14:paraId="403F4C80" w14:textId="3796B6C6"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These are source-</w:t>
      </w:r>
      <w:proofErr w:type="gramStart"/>
      <w:r w:rsidRPr="00874ABF">
        <w:rPr>
          <w:rFonts w:ascii="Arial" w:eastAsia="source serif 4" w:hAnsi="Arial" w:cs="Arial"/>
          <w:bCs/>
          <w:color w:val="000000" w:themeColor="text1"/>
          <w:kern w:val="0"/>
          <w:lang w:val="en-US"/>
          <w14:ligatures w14:val="none"/>
        </w:rPr>
        <w:t>row counts</w:t>
      </w:r>
      <w:proofErr w:type="gramEnd"/>
      <w:r w:rsidRPr="00874ABF">
        <w:rPr>
          <w:rFonts w:ascii="Arial" w:eastAsia="source serif 4" w:hAnsi="Arial" w:cs="Arial"/>
          <w:bCs/>
          <w:color w:val="000000" w:themeColor="text1"/>
          <w:kern w:val="0"/>
          <w:lang w:val="en-US"/>
          <w14:ligatures w14:val="none"/>
        </w:rPr>
        <w:t xml:space="preserve"> across all 216 rows, before the exclusions described in Section 4.1.1.</w:t>
      </w:r>
    </w:p>
    <w:p w14:paraId="57669A73"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640005A"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305A369E"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0FEE0E8A"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3AB06E05"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D797DE6"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58DFB05A"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87D57B2"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1B9A09D4"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7F77CC66"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31E962B6"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617CAB1E"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06BD9749"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326188E3"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62CD3D3C"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76B31FA7"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50D24958"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2E54A297"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7FEE4ABA"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73B5B389"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1CB57340"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7813280D"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3F8940A8" w14:textId="2190BEBE"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 xml:space="preserve">Appendix C. Coding, </w:t>
      </w:r>
      <w:proofErr w:type="gramStart"/>
      <w:r w:rsidRPr="00874ABF">
        <w:rPr>
          <w:rFonts w:ascii="Arial" w:eastAsia="source serif 4" w:hAnsi="Arial" w:cs="Arial"/>
          <w:b/>
          <w:color w:val="000000" w:themeColor="text1"/>
          <w:kern w:val="0"/>
          <w:lang w:val="en-US"/>
          <w14:ligatures w14:val="none"/>
        </w:rPr>
        <w:t>missing-data</w:t>
      </w:r>
      <w:proofErr w:type="gramEnd"/>
      <w:r w:rsidRPr="00874ABF">
        <w:rPr>
          <w:rFonts w:ascii="Arial" w:eastAsia="source serif 4" w:hAnsi="Arial" w:cs="Arial"/>
          <w:b/>
          <w:color w:val="000000" w:themeColor="text1"/>
          <w:kern w:val="0"/>
          <w:lang w:val="en-US"/>
          <w14:ligatures w14:val="none"/>
        </w:rPr>
        <w:t xml:space="preserve"> and sensitivity-analysis notes</w:t>
      </w:r>
    </w:p>
    <w:p w14:paraId="0F825183"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C1. Assessment outcome coding</w:t>
      </w:r>
      <w:r w:rsidRPr="00874ABF">
        <w:rPr>
          <w:rFonts w:ascii="Arial" w:eastAsia="source serif 4" w:hAnsi="Arial" w:cs="Arial"/>
          <w:bCs/>
          <w:color w:val="000000" w:themeColor="text1"/>
          <w:kern w:val="0"/>
          <w:lang w:val="en-US"/>
          <w14:ligatures w14:val="none"/>
        </w:rPr>
        <w:t>.</w:t>
      </w:r>
    </w:p>
    <w:p w14:paraId="157DD852" w14:textId="3AEF0706" w:rsidR="00142758" w:rsidRPr="00874ABF" w:rsidRDefault="00770F12"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Department</w:t>
      </w:r>
      <w:r w:rsidR="00142758" w:rsidRPr="00874ABF">
        <w:rPr>
          <w:rFonts w:ascii="Arial" w:eastAsia="source serif 4" w:hAnsi="Arial" w:cs="Arial"/>
          <w:bCs/>
          <w:color w:val="000000" w:themeColor="text1"/>
          <w:kern w:val="0"/>
          <w:lang w:val="en-US"/>
          <w14:ligatures w14:val="none"/>
        </w:rPr>
        <w:t xml:space="preserve"> tracking sheets combine numeric marks with codes for non-submission (NS), extenuating circumstances (EC) and late submission (LS). Full academic marks are defined as the best available uncapped numeric mark for each module, including marks awarded after EC or late submission. Recorded or capped marks are the official marks after capping rules are applied, for example </w:t>
      </w:r>
      <w:proofErr w:type="spellStart"/>
      <w:r w:rsidR="00142758" w:rsidRPr="00874ABF">
        <w:rPr>
          <w:rFonts w:ascii="Arial" w:eastAsia="source serif 4" w:hAnsi="Arial" w:cs="Arial"/>
          <w:bCs/>
          <w:color w:val="000000" w:themeColor="text1"/>
          <w:kern w:val="0"/>
          <w:lang w:val="en-US"/>
          <w14:ligatures w14:val="none"/>
        </w:rPr>
        <w:t>resits</w:t>
      </w:r>
      <w:proofErr w:type="spellEnd"/>
      <w:r w:rsidR="00142758" w:rsidRPr="00874ABF">
        <w:rPr>
          <w:rFonts w:ascii="Arial" w:eastAsia="source serif 4" w:hAnsi="Arial" w:cs="Arial"/>
          <w:bCs/>
          <w:color w:val="000000" w:themeColor="text1"/>
          <w:kern w:val="0"/>
          <w:lang w:val="en-US"/>
          <w14:ligatures w14:val="none"/>
        </w:rPr>
        <w:t xml:space="preserve"> or late submissions capped at 40.</w:t>
      </w:r>
    </w:p>
    <w:p w14:paraId="17E09171"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1D3852C0"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C2. Non-submission.</w:t>
      </w:r>
    </w:p>
    <w:p w14:paraId="14CB5A28" w14:textId="4F94FF3B"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 true non-submission is an assessment recorded as NS with </w:t>
      </w:r>
      <w:r w:rsidRPr="00874ABF">
        <w:rPr>
          <w:rFonts w:ascii="Arial" w:eastAsia="source serif 4" w:hAnsi="Arial" w:cs="Arial"/>
          <w:b/>
          <w:color w:val="000000" w:themeColor="text1"/>
          <w:kern w:val="0"/>
          <w:lang w:val="en-US"/>
          <w14:ligatures w14:val="none"/>
        </w:rPr>
        <w:t>no subsequent numeric mark</w:t>
      </w:r>
      <w:r w:rsidRPr="00874ABF">
        <w:rPr>
          <w:rFonts w:ascii="Arial" w:eastAsia="source serif 4" w:hAnsi="Arial" w:cs="Arial"/>
          <w:bCs/>
          <w:color w:val="000000" w:themeColor="text1"/>
          <w:kern w:val="0"/>
          <w:lang w:val="en-US"/>
          <w14:ligatures w14:val="none"/>
        </w:rPr>
        <w:t xml:space="preserve">. Such cases contribute to non-submission counts but are not </w:t>
      </w:r>
      <w:proofErr w:type="gramStart"/>
      <w:r w:rsidRPr="00874ABF">
        <w:rPr>
          <w:rFonts w:ascii="Arial" w:eastAsia="source serif 4" w:hAnsi="Arial" w:cs="Arial"/>
          <w:bCs/>
          <w:color w:val="000000" w:themeColor="text1"/>
          <w:kern w:val="0"/>
          <w:lang w:val="en-US"/>
          <w14:ligatures w14:val="none"/>
        </w:rPr>
        <w:t>recoded</w:t>
      </w:r>
      <w:proofErr w:type="gramEnd"/>
      <w:r w:rsidRPr="00874ABF">
        <w:rPr>
          <w:rFonts w:ascii="Arial" w:eastAsia="source serif 4" w:hAnsi="Arial" w:cs="Arial"/>
          <w:bCs/>
          <w:color w:val="000000" w:themeColor="text1"/>
          <w:kern w:val="0"/>
          <w:lang w:val="en-US"/>
          <w14:ligatures w14:val="none"/>
        </w:rPr>
        <w:t xml:space="preserve"> as zero in full-mark averages, because a zero would misrepresent an assessment that was not completed. Where NS, EC or LS codes appear alongside a numeric mark, the </w:t>
      </w:r>
      <w:r w:rsidR="00770F12" w:rsidRPr="00874ABF">
        <w:rPr>
          <w:rFonts w:ascii="Arial" w:eastAsia="source serif 4" w:hAnsi="Arial" w:cs="Arial"/>
          <w:bCs/>
          <w:color w:val="000000" w:themeColor="text1"/>
          <w:kern w:val="0"/>
          <w:lang w:val="en-US"/>
          <w14:ligatures w14:val="none"/>
        </w:rPr>
        <w:t>full</w:t>
      </w:r>
      <w:r w:rsidRPr="00874ABF">
        <w:rPr>
          <w:rFonts w:ascii="Arial" w:eastAsia="source serif 4" w:hAnsi="Arial" w:cs="Arial"/>
          <w:bCs/>
          <w:color w:val="000000" w:themeColor="text1"/>
          <w:kern w:val="0"/>
          <w:lang w:val="en-US"/>
          <w14:ligatures w14:val="none"/>
        </w:rPr>
        <w:t xml:space="preserve"> mark </w:t>
      </w:r>
      <w:r w:rsidR="00770F12" w:rsidRPr="00874ABF">
        <w:rPr>
          <w:rFonts w:ascii="Arial" w:eastAsia="source serif 4" w:hAnsi="Arial" w:cs="Arial"/>
          <w:bCs/>
          <w:color w:val="000000" w:themeColor="text1"/>
          <w:kern w:val="0"/>
          <w:lang w:val="en-US"/>
          <w14:ligatures w14:val="none"/>
        </w:rPr>
        <w:t xml:space="preserve">(not capped) </w:t>
      </w:r>
      <w:r w:rsidRPr="00874ABF">
        <w:rPr>
          <w:rFonts w:ascii="Arial" w:eastAsia="source serif 4" w:hAnsi="Arial" w:cs="Arial"/>
          <w:bCs/>
          <w:color w:val="000000" w:themeColor="text1"/>
          <w:kern w:val="0"/>
          <w:lang w:val="en-US"/>
          <w14:ligatures w14:val="none"/>
        </w:rPr>
        <w:t xml:space="preserve">is </w:t>
      </w:r>
      <w:proofErr w:type="gramStart"/>
      <w:r w:rsidRPr="00874ABF">
        <w:rPr>
          <w:rFonts w:ascii="Arial" w:eastAsia="source serif 4" w:hAnsi="Arial" w:cs="Arial"/>
          <w:bCs/>
          <w:color w:val="000000" w:themeColor="text1"/>
          <w:kern w:val="0"/>
          <w:lang w:val="en-US"/>
          <w14:ligatures w14:val="none"/>
        </w:rPr>
        <w:t>used</w:t>
      </w:r>
      <w:proofErr w:type="gramEnd"/>
      <w:r w:rsidRPr="00874ABF">
        <w:rPr>
          <w:rFonts w:ascii="Arial" w:eastAsia="source serif 4" w:hAnsi="Arial" w:cs="Arial"/>
          <w:bCs/>
          <w:color w:val="000000" w:themeColor="text1"/>
          <w:kern w:val="0"/>
          <w:lang w:val="en-US"/>
          <w14:ligatures w14:val="none"/>
        </w:rPr>
        <w:t xml:space="preserve"> and the assessment is not treated as a current non-submission. EC and deferred assessments are counted as indicators of assessment disruption.</w:t>
      </w:r>
    </w:p>
    <w:p w14:paraId="584E722B"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547EB9F4"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C3. Missing data</w:t>
      </w:r>
      <w:r w:rsidRPr="00874ABF">
        <w:rPr>
          <w:rFonts w:ascii="Arial" w:eastAsia="source serif 4" w:hAnsi="Arial" w:cs="Arial"/>
          <w:bCs/>
          <w:color w:val="000000" w:themeColor="text1"/>
          <w:kern w:val="0"/>
          <w:lang w:val="en-US"/>
          <w14:ligatures w14:val="none"/>
        </w:rPr>
        <w:t>.</w:t>
      </w:r>
    </w:p>
    <w:p w14:paraId="7F0089BF" w14:textId="77777777" w:rsidR="00770F12" w:rsidRPr="00874ABF" w:rsidRDefault="00770F12" w:rsidP="00770F12">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Missing marks, non-submissions, extenuating circumstances (ECs) and deferred assessments were treated as separate categories.</w:t>
      </w:r>
    </w:p>
    <w:p w14:paraId="1CB0B9C8" w14:textId="46373196"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Cases with missing values are excluded on a test-by-test basis, so the valid n varies between analyses and is reported separately for each. Mean academic mark could be calculated for 151 of the 168 records; age was available for all 168; gender was available for all 168.</w:t>
      </w:r>
    </w:p>
    <w:p w14:paraId="42D3F5F6"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54316FD4"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03CE196B" w14:textId="77777777" w:rsidR="0049284B" w:rsidRDefault="0049284B" w:rsidP="00142758">
      <w:pPr>
        <w:spacing w:after="120" w:line="360" w:lineRule="auto"/>
        <w:rPr>
          <w:rFonts w:ascii="Arial" w:eastAsia="source serif 4" w:hAnsi="Arial" w:cs="Arial"/>
          <w:b/>
          <w:color w:val="000000" w:themeColor="text1"/>
          <w:kern w:val="0"/>
          <w:lang w:val="en-US"/>
          <w14:ligatures w14:val="none"/>
        </w:rPr>
      </w:pPr>
    </w:p>
    <w:p w14:paraId="1F7F9172" w14:textId="77777777" w:rsidR="005172A3" w:rsidRDefault="005172A3" w:rsidP="00142758">
      <w:pPr>
        <w:spacing w:after="120" w:line="360" w:lineRule="auto"/>
        <w:rPr>
          <w:rFonts w:ascii="Arial" w:eastAsia="source serif 4" w:hAnsi="Arial" w:cs="Arial"/>
          <w:b/>
          <w:color w:val="000000" w:themeColor="text1"/>
          <w:kern w:val="0"/>
          <w:lang w:val="en-US"/>
          <w14:ligatures w14:val="none"/>
        </w:rPr>
      </w:pPr>
    </w:p>
    <w:p w14:paraId="588FC312" w14:textId="079BEC8A"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C4. Inclusion rules.</w:t>
      </w:r>
    </w:p>
    <w:p w14:paraId="7022E25D" w14:textId="77777777" w:rsidR="007E44C6"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216 Exam Board source rows were reduced to 168 analysed records by 48 exclusions: 14 duplicate board entries, 33 records with no evidence of attendance, and one out-of-scope 2025 starter. </w:t>
      </w:r>
    </w:p>
    <w:p w14:paraId="5B48FC63" w14:textId="77777777" w:rsidR="007E44C6" w:rsidRPr="00874ABF" w:rsidRDefault="007E44C6" w:rsidP="00142758">
      <w:pPr>
        <w:spacing w:after="120" w:line="360" w:lineRule="auto"/>
        <w:rPr>
          <w:rFonts w:ascii="Arial" w:eastAsia="source serif 4" w:hAnsi="Arial" w:cs="Arial"/>
          <w:bCs/>
          <w:color w:val="000000" w:themeColor="text1"/>
          <w:kern w:val="0"/>
          <w:lang w:val="en-US"/>
          <w14:ligatures w14:val="none"/>
        </w:rPr>
      </w:pPr>
    </w:p>
    <w:p w14:paraId="06CDAA0A" w14:textId="0552F9E2"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C5. Corrections applied to the source data.</w:t>
      </w:r>
    </w:p>
    <w:p w14:paraId="1B010179" w14:textId="14231B48"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One duplicated record identifier was renumbered. Thirty-four module marks were corrected where the </w:t>
      </w:r>
      <w:proofErr w:type="gramStart"/>
      <w:r w:rsidRPr="00874ABF">
        <w:rPr>
          <w:rFonts w:ascii="Arial" w:eastAsia="source serif 4" w:hAnsi="Arial" w:cs="Arial"/>
          <w:bCs/>
          <w:color w:val="000000" w:themeColor="text1"/>
          <w:kern w:val="0"/>
          <w:lang w:val="en-US"/>
          <w14:ligatures w14:val="none"/>
        </w:rPr>
        <w:t>mean</w:t>
      </w:r>
      <w:proofErr w:type="gramEnd"/>
      <w:r w:rsidRPr="00874ABF">
        <w:rPr>
          <w:rFonts w:ascii="Arial" w:eastAsia="source serif 4" w:hAnsi="Arial" w:cs="Arial"/>
          <w:bCs/>
          <w:color w:val="000000" w:themeColor="text1"/>
          <w:kern w:val="0"/>
          <w:lang w:val="en-US"/>
          <w14:ligatures w14:val="none"/>
        </w:rPr>
        <w:t xml:space="preserve"> of two attempts had been recorded rather than the higher mark; this had wrongly classified one record as passing with condonement. Academic period was realigned between the master dataset and the module audit for 38 December-board records. Sixty-five NS text strings were cleared from the numeric mark fields, with status preserved in separate result columns. Campus was </w:t>
      </w:r>
      <w:r w:rsidR="007E44C6" w:rsidRPr="00874ABF">
        <w:rPr>
          <w:rFonts w:ascii="Arial" w:eastAsia="source serif 4" w:hAnsi="Arial" w:cs="Arial"/>
          <w:bCs/>
          <w:color w:val="000000" w:themeColor="text1"/>
          <w:kern w:val="0"/>
          <w:lang w:val="en-US"/>
          <w14:ligatures w14:val="none"/>
        </w:rPr>
        <w:t>confirmed</w:t>
      </w:r>
      <w:r w:rsidRPr="00874ABF">
        <w:rPr>
          <w:rFonts w:ascii="Arial" w:eastAsia="source serif 4" w:hAnsi="Arial" w:cs="Arial"/>
          <w:bCs/>
          <w:color w:val="000000" w:themeColor="text1"/>
          <w:kern w:val="0"/>
          <w:lang w:val="en-US"/>
          <w14:ligatures w14:val="none"/>
        </w:rPr>
        <w:t xml:space="preserve"> to five sites and is used as a descriptive field only. One blank gender cell was restored from an earlier version of the master workbook, which records the same student as male; gender is therefore complete for all 168 analysed records.</w:t>
      </w:r>
    </w:p>
    <w:p w14:paraId="10A24F82"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3DD0EBD1"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C6. Derivation of age.</w:t>
      </w:r>
    </w:p>
    <w:p w14:paraId="12F3969B" w14:textId="29578B58"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Age at start was derived from date of birth at a reference date of 1 October in the academic year of the record, then stored as a </w:t>
      </w:r>
      <w:r w:rsidR="007E44C6" w:rsidRPr="00874ABF">
        <w:rPr>
          <w:rFonts w:ascii="Arial" w:eastAsia="source serif 4" w:hAnsi="Arial" w:cs="Arial"/>
          <w:bCs/>
          <w:color w:val="000000" w:themeColor="text1"/>
          <w:kern w:val="0"/>
          <w:lang w:val="en-US"/>
          <w14:ligatures w14:val="none"/>
        </w:rPr>
        <w:t>separate</w:t>
      </w:r>
      <w:r w:rsidRPr="00874ABF">
        <w:rPr>
          <w:rFonts w:ascii="Arial" w:eastAsia="source serif 4" w:hAnsi="Arial" w:cs="Arial"/>
          <w:bCs/>
          <w:color w:val="000000" w:themeColor="text1"/>
          <w:kern w:val="0"/>
          <w:lang w:val="en-US"/>
          <w14:ligatures w14:val="none"/>
        </w:rPr>
        <w:t xml:space="preserve"> value; date of birth was removed from the </w:t>
      </w:r>
      <w:r w:rsidR="007E44C6" w:rsidRPr="00874ABF">
        <w:rPr>
          <w:rFonts w:ascii="Arial" w:eastAsia="source serif 4" w:hAnsi="Arial" w:cs="Arial"/>
          <w:bCs/>
          <w:color w:val="000000" w:themeColor="text1"/>
          <w:kern w:val="0"/>
          <w:lang w:val="en-US"/>
          <w14:ligatures w14:val="none"/>
        </w:rPr>
        <w:t>Excel sheet</w:t>
      </w:r>
      <w:r w:rsidRPr="00874ABF">
        <w:rPr>
          <w:rFonts w:ascii="Arial" w:eastAsia="source serif 4" w:hAnsi="Arial" w:cs="Arial"/>
          <w:bCs/>
          <w:color w:val="000000" w:themeColor="text1"/>
          <w:kern w:val="0"/>
          <w:lang w:val="en-US"/>
          <w14:ligatures w14:val="none"/>
        </w:rPr>
        <w:t>. The Student Finance England threshold of 25 years was used for any age grouping, in preference to a data-derived cut-point.</w:t>
      </w:r>
    </w:p>
    <w:p w14:paraId="25E57E72"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70308F7D"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C7. Sensitivity analyses conducted.</w:t>
      </w:r>
    </w:p>
    <w:p w14:paraId="1BB35769" w14:textId="51F15522" w:rsidR="007E44C6" w:rsidRPr="00874ABF" w:rsidRDefault="007E44C6" w:rsidP="007E44C6">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Two focused checks were used. For H3, Spearman’s rank correlation was used because non-submissions are whole-number counts from 0 to 6, with many records showing no non-submissions. This could have created a skewed distribution with repeated values. Unlike Pearson’s correlation, Spearman’s test uses ranked values and does not require a strictly linear relationship. It therefore checked whether the H3 finding depended on the assumptions of Pearson’s correlation.</w:t>
      </w:r>
    </w:p>
    <w:p w14:paraId="4A2D0FDD" w14:textId="77777777" w:rsidR="007E44C6" w:rsidRPr="00874ABF" w:rsidRDefault="007E44C6" w:rsidP="007E44C6">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lastRenderedPageBreak/>
        <w:t xml:space="preserve">For H5, Wilcoxon’s signed-rank test provided a non-parametric check of the paired-samples </w:t>
      </w:r>
      <w:r w:rsidRPr="00874ABF">
        <w:rPr>
          <w:rFonts w:ascii="Arial" w:eastAsia="source serif 4" w:hAnsi="Arial" w:cs="Arial"/>
          <w:bCs/>
          <w:i/>
          <w:iCs/>
          <w:color w:val="000000" w:themeColor="text1"/>
          <w:kern w:val="0"/>
          <w14:ligatures w14:val="none"/>
        </w:rPr>
        <w:t>t</w:t>
      </w:r>
      <w:r w:rsidRPr="00874ABF">
        <w:rPr>
          <w:rFonts w:ascii="Arial" w:eastAsia="source serif 4" w:hAnsi="Arial" w:cs="Arial"/>
          <w:bCs/>
          <w:color w:val="000000" w:themeColor="text1"/>
          <w:kern w:val="0"/>
          <w14:ligatures w14:val="none"/>
        </w:rPr>
        <w:t>-test. Both checks reached the same conclusion as the main tests.</w:t>
      </w:r>
    </w:p>
    <w:p w14:paraId="47C2612A" w14:textId="73A957D1" w:rsidR="00142758" w:rsidRPr="00874ABF" w:rsidRDefault="007E44C6"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14:ligatures w14:val="none"/>
        </w:rPr>
        <w:t>The five main hypothesis tests were also repeated using only the most recent record for each student (n=159), rather than total enrolments (n=168). The conclusions did not change.</w:t>
      </w:r>
    </w:p>
    <w:p w14:paraId="79313A22" w14:textId="77777777" w:rsidR="005172A3" w:rsidRDefault="005172A3" w:rsidP="00142758">
      <w:pPr>
        <w:spacing w:after="120" w:line="360" w:lineRule="auto"/>
        <w:rPr>
          <w:rFonts w:ascii="Arial" w:eastAsia="source serif 4" w:hAnsi="Arial" w:cs="Arial"/>
          <w:b/>
          <w:color w:val="000000" w:themeColor="text1"/>
          <w:kern w:val="0"/>
          <w:lang w:val="en-US"/>
          <w14:ligatures w14:val="none"/>
        </w:rPr>
      </w:pPr>
    </w:p>
    <w:p w14:paraId="0716676C" w14:textId="7BFB77D6"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C8. Analyses specified but not conducted.</w:t>
      </w:r>
    </w:p>
    <w:p w14:paraId="6705EC7C" w14:textId="27EE5A53" w:rsidR="00142758" w:rsidRPr="00874ABF" w:rsidRDefault="00142758" w:rsidP="009503FE">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 paired comparison of marks </w:t>
      </w:r>
      <w:r w:rsidR="009503FE" w:rsidRPr="00874ABF">
        <w:rPr>
          <w:rFonts w:ascii="Arial" w:eastAsia="source serif 4" w:hAnsi="Arial" w:cs="Arial"/>
          <w:bCs/>
          <w:color w:val="000000" w:themeColor="text1"/>
          <w:kern w:val="0"/>
          <w:lang w:val="en-US"/>
          <w14:ligatures w14:val="none"/>
        </w:rPr>
        <w:t xml:space="preserve">testing performance </w:t>
      </w:r>
      <w:r w:rsidRPr="00874ABF">
        <w:rPr>
          <w:rFonts w:ascii="Arial" w:eastAsia="source serif 4" w:hAnsi="Arial" w:cs="Arial"/>
          <w:bCs/>
          <w:color w:val="000000" w:themeColor="text1"/>
          <w:kern w:val="0"/>
          <w:lang w:val="en-US"/>
          <w14:ligatures w14:val="none"/>
        </w:rPr>
        <w:t>before and after creation of an SCM record was abandoned: only two records held marks on both sides of that date and one of those held only capped marks</w:t>
      </w:r>
      <w:r w:rsidR="009503FE" w:rsidRPr="00874ABF">
        <w:rPr>
          <w:rFonts w:ascii="Arial" w:eastAsia="source serif 4" w:hAnsi="Arial" w:cs="Arial"/>
          <w:bCs/>
          <w:color w:val="000000" w:themeColor="text1"/>
          <w:kern w:val="0"/>
          <w:lang w:val="en-US"/>
          <w14:ligatures w14:val="none"/>
        </w:rPr>
        <w:t>.</w:t>
      </w:r>
    </w:p>
    <w:p w14:paraId="694E3ACE"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932EC9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31AC45F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3903C84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612624B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F5AE4FC"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D0F57F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0AF407A"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E4971AC"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29A95C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F71836E"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0CC086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6E6A2D8E"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A6282E3"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30444AA8"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6F0E32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2480E8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1619746"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57F5308B"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45435B6"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5D9D729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C40EA6E"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616E8248"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C3348A7" w14:textId="14B1C29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Appendix D. Ethics and data-governance record</w:t>
      </w:r>
    </w:p>
    <w:p w14:paraId="609B75F6" w14:textId="77777777" w:rsidR="00E617C4" w:rsidRPr="00874ABF" w:rsidRDefault="00E617C4" w:rsidP="00E617C4">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study was an assessed assignment </w:t>
      </w:r>
      <w:proofErr w:type="spellStart"/>
      <w:r w:rsidRPr="00874ABF">
        <w:rPr>
          <w:rFonts w:ascii="Arial" w:eastAsia="source serif 4" w:hAnsi="Arial" w:cs="Arial"/>
          <w:bCs/>
          <w:color w:val="000000" w:themeColor="text1"/>
          <w:kern w:val="0"/>
          <w:lang w:val="en-US"/>
          <w14:ligatures w14:val="none"/>
        </w:rPr>
        <w:t>analysing</w:t>
      </w:r>
      <w:proofErr w:type="spellEnd"/>
      <w:r w:rsidRPr="00874ABF">
        <w:rPr>
          <w:rFonts w:ascii="Arial" w:eastAsia="source serif 4" w:hAnsi="Arial" w:cs="Arial"/>
          <w:bCs/>
          <w:color w:val="000000" w:themeColor="text1"/>
          <w:kern w:val="0"/>
          <w:lang w:val="en-US"/>
          <w14:ligatures w14:val="none"/>
        </w:rPr>
        <w:t xml:space="preserve"> existing institutional records for internal course improvement. No participants were recruited or contacted, and it was undertaken under </w:t>
      </w:r>
      <w:proofErr w:type="spellStart"/>
      <w:r w:rsidRPr="00874ABF">
        <w:rPr>
          <w:rFonts w:ascii="Arial" w:eastAsia="source serif 4" w:hAnsi="Arial" w:cs="Arial"/>
          <w:bCs/>
          <w:color w:val="000000" w:themeColor="text1"/>
          <w:kern w:val="0"/>
          <w:lang w:val="en-US"/>
          <w14:ligatures w14:val="none"/>
        </w:rPr>
        <w:t>UWTSD</w:t>
      </w:r>
      <w:proofErr w:type="spellEnd"/>
      <w:r w:rsidRPr="00874ABF">
        <w:rPr>
          <w:rFonts w:ascii="Arial" w:eastAsia="source serif 4" w:hAnsi="Arial" w:cs="Arial"/>
          <w:bCs/>
          <w:color w:val="000000" w:themeColor="text1"/>
          <w:kern w:val="0"/>
          <w:lang w:val="en-US"/>
          <w14:ligatures w14:val="none"/>
        </w:rPr>
        <w:t xml:space="preserve"> regulations on assessed work and the internal use of institutional data rather than through a separate ethics application.</w:t>
      </w:r>
    </w:p>
    <w:p w14:paraId="74972B61" w14:textId="77777777" w:rsidR="00E617C4" w:rsidRPr="00874ABF" w:rsidRDefault="00E617C4" w:rsidP="00E617C4">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Access to the records was formally approved, and further approval would be needed for external publication. Student names and numbers were replaced with study codes before analysis, only variables needed for the analysis were retained, and no group smaller than ten records is reported separately.</w:t>
      </w:r>
    </w:p>
    <w:p w14:paraId="33AA45A4" w14:textId="1D5F9E6A" w:rsidR="00142758" w:rsidRPr="00874ABF" w:rsidRDefault="00E617C4" w:rsidP="00E617C4">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Files were held on </w:t>
      </w:r>
      <w:r w:rsidR="005172A3">
        <w:rPr>
          <w:rFonts w:ascii="Arial" w:eastAsia="source serif 4" w:hAnsi="Arial" w:cs="Arial"/>
          <w:bCs/>
          <w:color w:val="000000" w:themeColor="text1"/>
          <w:kern w:val="0"/>
          <w:lang w:val="en-US"/>
          <w14:ligatures w14:val="none"/>
        </w:rPr>
        <w:t xml:space="preserve">the </w:t>
      </w:r>
      <w:r w:rsidR="005C15A7" w:rsidRPr="00874ABF">
        <w:rPr>
          <w:rFonts w:ascii="Arial" w:eastAsia="source serif 4" w:hAnsi="Arial" w:cs="Arial"/>
          <w:bCs/>
          <w:color w:val="000000" w:themeColor="text1"/>
          <w:kern w:val="0"/>
          <w:lang w:val="en-US"/>
          <w14:ligatures w14:val="none"/>
        </w:rPr>
        <w:t>researcher’s</w:t>
      </w:r>
      <w:r w:rsidRPr="00874ABF">
        <w:rPr>
          <w:rFonts w:ascii="Arial" w:eastAsia="source serif 4" w:hAnsi="Arial" w:cs="Arial"/>
          <w:bCs/>
          <w:color w:val="000000" w:themeColor="text1"/>
          <w:kern w:val="0"/>
          <w:lang w:val="en-US"/>
          <w14:ligatures w14:val="none"/>
        </w:rPr>
        <w:t xml:space="preserve"> </w:t>
      </w:r>
      <w:proofErr w:type="spellStart"/>
      <w:r w:rsidRPr="00874ABF">
        <w:rPr>
          <w:rFonts w:ascii="Arial" w:eastAsia="source serif 4" w:hAnsi="Arial" w:cs="Arial"/>
          <w:bCs/>
          <w:color w:val="000000" w:themeColor="text1"/>
          <w:kern w:val="0"/>
          <w:lang w:val="en-US"/>
          <w14:ligatures w14:val="none"/>
        </w:rPr>
        <w:t>UWTSD</w:t>
      </w:r>
      <w:proofErr w:type="spellEnd"/>
      <w:r w:rsidRPr="00874ABF">
        <w:rPr>
          <w:rFonts w:ascii="Arial" w:eastAsia="source serif 4" w:hAnsi="Arial" w:cs="Arial"/>
          <w:bCs/>
          <w:color w:val="000000" w:themeColor="text1"/>
          <w:kern w:val="0"/>
          <w:lang w:val="en-US"/>
          <w14:ligatures w14:val="none"/>
        </w:rPr>
        <w:t xml:space="preserve"> OneDrive</w:t>
      </w:r>
      <w:r w:rsidR="005C15A7" w:rsidRPr="00874ABF">
        <w:rPr>
          <w:rFonts w:ascii="Arial" w:eastAsia="source serif 4" w:hAnsi="Arial" w:cs="Arial"/>
          <w:bCs/>
          <w:color w:val="000000" w:themeColor="text1"/>
          <w:kern w:val="0"/>
          <w:lang w:val="en-US"/>
          <w14:ligatures w14:val="none"/>
        </w:rPr>
        <w:t xml:space="preserve"> and personal computer,</w:t>
      </w:r>
      <w:r w:rsidRPr="00874ABF">
        <w:rPr>
          <w:rFonts w:ascii="Arial" w:eastAsia="source serif 4" w:hAnsi="Arial" w:cs="Arial"/>
          <w:bCs/>
          <w:color w:val="000000" w:themeColor="text1"/>
          <w:kern w:val="0"/>
          <w:lang w:val="en-US"/>
          <w14:ligatures w14:val="none"/>
        </w:rPr>
        <w:t xml:space="preserve"> accessible only to the researcher. The key study codes </w:t>
      </w:r>
      <w:r w:rsidR="005C15A7" w:rsidRPr="00874ABF">
        <w:rPr>
          <w:rFonts w:ascii="Arial" w:eastAsia="source serif 4" w:hAnsi="Arial" w:cs="Arial"/>
          <w:bCs/>
          <w:color w:val="000000" w:themeColor="text1"/>
          <w:kern w:val="0"/>
          <w:lang w:val="en-US"/>
          <w14:ligatures w14:val="none"/>
        </w:rPr>
        <w:t>linking</w:t>
      </w:r>
      <w:r w:rsidRPr="00874ABF">
        <w:rPr>
          <w:rFonts w:ascii="Arial" w:eastAsia="source serif 4" w:hAnsi="Arial" w:cs="Arial"/>
          <w:bCs/>
          <w:color w:val="000000" w:themeColor="text1"/>
          <w:kern w:val="0"/>
          <w:lang w:val="en-US"/>
          <w14:ligatures w14:val="none"/>
        </w:rPr>
        <w:t xml:space="preserve"> student identifiers, and any files containing identifiers, will be deleted once the assignment has been marked and any resubmission period has passed.</w:t>
      </w:r>
    </w:p>
    <w:p w14:paraId="263E78C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5AD0A3E"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A6EC817"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6FECC7C"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7F77862"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BD1F815"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127051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0FBE7F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AFE3AE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6B9DFFC"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14C75BB" w14:textId="77777777" w:rsidR="00E617C4" w:rsidRPr="00874ABF" w:rsidRDefault="00E617C4" w:rsidP="00142758">
      <w:pPr>
        <w:spacing w:after="120" w:line="240" w:lineRule="atLeast"/>
        <w:rPr>
          <w:rFonts w:ascii="Arial" w:eastAsia="source serif 4" w:hAnsi="Arial" w:cs="Arial"/>
          <w:b/>
          <w:color w:val="000000" w:themeColor="text1"/>
          <w:kern w:val="0"/>
          <w:lang w:val="en-US"/>
          <w14:ligatures w14:val="none"/>
        </w:rPr>
      </w:pPr>
    </w:p>
    <w:p w14:paraId="63D293A5"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0771DA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14B84032"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B83730F"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CE20FCA"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784B6A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95F679B"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2C16575D"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70224B25"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6EA9CBC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02FB0BD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Appendix E. SPSS output</w:t>
      </w:r>
    </w:p>
    <w:p w14:paraId="78E93D79" w14:textId="750E4268" w:rsidR="00DA4D2D" w:rsidRPr="00874ABF" w:rsidRDefault="00142758" w:rsidP="00142758">
      <w:pPr>
        <w:spacing w:after="120" w:line="240" w:lineRule="atLeast"/>
        <w:rPr>
          <w:rFonts w:ascii="Arial" w:eastAsia="source serif 4" w:hAnsi="Arial" w:cs="Arial"/>
          <w:bCs/>
          <w:color w:val="000000" w:themeColor="text1"/>
          <w:kern w:val="0"/>
          <w:sz w:val="22"/>
          <w:szCs w:val="22"/>
          <w:lang w:val="en-US"/>
          <w14:ligatures w14:val="none"/>
        </w:rPr>
      </w:pPr>
      <w:r w:rsidRPr="00874ABF">
        <w:rPr>
          <w:rFonts w:ascii="Arial" w:eastAsia="source serif 4" w:hAnsi="Arial" w:cs="Arial"/>
          <w:bCs/>
          <w:color w:val="000000" w:themeColor="text1"/>
          <w:kern w:val="0"/>
          <w:sz w:val="22"/>
          <w:szCs w:val="22"/>
          <w:lang w:val="en-US"/>
          <w14:ligatures w14:val="none"/>
        </w:rPr>
        <w:t>Screenshots of the SPSS dialog settings and output tables confirming each analysis reported in Section 4, numbered E01 to E19 in the order the analyses are presented</w:t>
      </w:r>
      <w:r w:rsidR="00E617C4" w:rsidRPr="00874ABF">
        <w:rPr>
          <w:rFonts w:ascii="Arial" w:eastAsia="source serif 4" w:hAnsi="Arial" w:cs="Arial"/>
          <w:bCs/>
          <w:color w:val="000000" w:themeColor="text1"/>
          <w:kern w:val="0"/>
          <w:sz w:val="22"/>
          <w:szCs w:val="22"/>
          <w:lang w:val="en-US"/>
          <w14:ligatures w14:val="none"/>
        </w:rPr>
        <w:t xml:space="preserve"> in the main paper.</w:t>
      </w:r>
    </w:p>
    <w:p w14:paraId="74016D99" w14:textId="6F38244A" w:rsidR="00142758" w:rsidRPr="00874ABF" w:rsidRDefault="00142758" w:rsidP="00142758">
      <w:pPr>
        <w:spacing w:after="120" w:line="240" w:lineRule="atLeast"/>
        <w:rPr>
          <w:rFonts w:ascii="Arial" w:eastAsia="source serif 4" w:hAnsi="Arial" w:cs="Arial"/>
          <w:bCs/>
          <w:color w:val="000000" w:themeColor="text1"/>
          <w:kern w:val="0"/>
          <w:sz w:val="22"/>
          <w:szCs w:val="22"/>
          <w:lang w:val="en-US"/>
          <w14:ligatures w14:val="none"/>
        </w:rPr>
      </w:pPr>
      <w:r w:rsidRPr="00874ABF">
        <w:rPr>
          <w:rFonts w:ascii="Arial" w:eastAsia="source serif 4" w:hAnsi="Arial" w:cs="Arial"/>
          <w:bCs/>
          <w:color w:val="000000" w:themeColor="text1"/>
          <w:kern w:val="0"/>
          <w:sz w:val="22"/>
          <w:szCs w:val="22"/>
          <w:lang w:val="en-US"/>
          <w14:ligatures w14:val="none"/>
        </w:rPr>
        <w:t>Each figure shows the selection and the result output.</w:t>
      </w:r>
    </w:p>
    <w:p w14:paraId="75D67F84"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p>
    <w:p w14:paraId="40E6E250" w14:textId="77777777" w:rsidR="00142758" w:rsidRPr="00874ABF" w:rsidRDefault="00142758" w:rsidP="00142758">
      <w:pPr>
        <w:spacing w:after="12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E01. Filter confirmation - Frequency check for </w:t>
      </w:r>
      <w:proofErr w:type="spellStart"/>
      <w:r w:rsidRPr="00874ABF">
        <w:rPr>
          <w:rFonts w:ascii="Arial" w:eastAsia="source serif 4" w:hAnsi="Arial" w:cs="Arial"/>
          <w:b/>
          <w:color w:val="000000" w:themeColor="text1"/>
          <w:kern w:val="0"/>
          <w:lang w:val="en-US"/>
          <w14:ligatures w14:val="none"/>
        </w:rPr>
        <w:t>Completed_All_Six</w:t>
      </w:r>
      <w:proofErr w:type="spellEnd"/>
      <w:r w:rsidRPr="00874ABF">
        <w:rPr>
          <w:rFonts w:ascii="Arial" w:eastAsia="source serif 4" w:hAnsi="Arial" w:cs="Arial"/>
          <w:b/>
          <w:color w:val="000000" w:themeColor="text1"/>
          <w:kern w:val="0"/>
          <w:lang w:val="en-US"/>
          <w14:ligatures w14:val="none"/>
        </w:rPr>
        <w:t xml:space="preserve"> (N = 168)</w:t>
      </w:r>
    </w:p>
    <w:p w14:paraId="7484FE89"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24611C52" wp14:editId="0AC70BEB">
            <wp:extent cx="5840957" cy="2385392"/>
            <wp:effectExtent l="0" t="0" r="7620" b="0"/>
            <wp:docPr id="4635971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1 screenshot"/>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r="31012"/>
                    <a:stretch>
                      <a:fillRect/>
                    </a:stretch>
                  </pic:blipFill>
                  <pic:spPr bwMode="auto">
                    <a:xfrm>
                      <a:off x="0" y="0"/>
                      <a:ext cx="5881735" cy="2402045"/>
                    </a:xfrm>
                    <a:prstGeom prst="rect">
                      <a:avLst/>
                    </a:prstGeom>
                    <a:noFill/>
                    <a:ln>
                      <a:noFill/>
                    </a:ln>
                    <a:extLst>
                      <a:ext uri="{53640926-AAD7-44D8-BBD7-CCE9431645EC}">
                        <a14:shadowObscured xmlns:a14="http://schemas.microsoft.com/office/drawing/2010/main"/>
                      </a:ext>
                    </a:extLst>
                  </pic:spPr>
                </pic:pic>
              </a:graphicData>
            </a:graphic>
          </wp:inline>
        </w:drawing>
      </w:r>
    </w:p>
    <w:p w14:paraId="2D25C80E"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5664F5FF"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1D788559" w14:textId="794B3CB5"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E02. Source for Table 1 - Gender, enrolment pattern and cohort frequencies</w:t>
      </w:r>
    </w:p>
    <w:p w14:paraId="33A06D04" w14:textId="342503AD" w:rsidR="00142758" w:rsidRPr="00874ABF" w:rsidRDefault="009A0AED" w:rsidP="00142758">
      <w:pPr>
        <w:rPr>
          <w:rFonts w:ascii="Arial" w:hAnsi="Arial" w:cs="Arial"/>
          <w:color w:val="000000" w:themeColor="text1"/>
        </w:rPr>
      </w:pPr>
      <w:r>
        <w:rPr>
          <w:noProof/>
        </w:rPr>
        <w:drawing>
          <wp:inline distT="0" distB="0" distL="0" distR="0" wp14:anchorId="0B0AC8B6" wp14:editId="024AF312">
            <wp:extent cx="4460682" cy="3488675"/>
            <wp:effectExtent l="0" t="0" r="0" b="0"/>
            <wp:docPr id="197234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45621" name=""/>
                    <pic:cNvPicPr/>
                  </pic:nvPicPr>
                  <pic:blipFill rotWithShape="1">
                    <a:blip r:embed="rId70"/>
                    <a:srcRect r="66289" b="6272"/>
                    <a:stretch>
                      <a:fillRect/>
                    </a:stretch>
                  </pic:blipFill>
                  <pic:spPr bwMode="auto">
                    <a:xfrm>
                      <a:off x="0" y="0"/>
                      <a:ext cx="4477434" cy="3501776"/>
                    </a:xfrm>
                    <a:prstGeom prst="rect">
                      <a:avLst/>
                    </a:prstGeom>
                    <a:ln>
                      <a:noFill/>
                    </a:ln>
                    <a:extLst>
                      <a:ext uri="{53640926-AAD7-44D8-BBD7-CCE9431645EC}">
                        <a14:shadowObscured xmlns:a14="http://schemas.microsoft.com/office/drawing/2010/main"/>
                      </a:ext>
                    </a:extLst>
                  </pic:spPr>
                </pic:pic>
              </a:graphicData>
            </a:graphic>
          </wp:inline>
        </w:drawing>
      </w:r>
    </w:p>
    <w:p w14:paraId="2793696E" w14:textId="77777777" w:rsidR="009A0AED" w:rsidRDefault="009A0AED" w:rsidP="00142758">
      <w:pPr>
        <w:spacing w:before="200" w:after="80" w:line="240" w:lineRule="atLeast"/>
        <w:rPr>
          <w:rFonts w:ascii="Arial" w:eastAsia="source serif 4" w:hAnsi="Arial" w:cs="Arial"/>
          <w:b/>
          <w:color w:val="000000" w:themeColor="text1"/>
          <w:kern w:val="0"/>
          <w:lang w:val="en-US"/>
          <w14:ligatures w14:val="none"/>
        </w:rPr>
      </w:pPr>
    </w:p>
    <w:p w14:paraId="3A0E2FD5" w14:textId="105BA9F2"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E03. Source for Table 2 - Descriptive statistics for age, marks and modules</w:t>
      </w:r>
    </w:p>
    <w:p w14:paraId="4D4DDAEA"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4F650CCE" wp14:editId="04D8EEC1">
            <wp:extent cx="5476875" cy="3486150"/>
            <wp:effectExtent l="0" t="0" r="9525" b="0"/>
            <wp:docPr id="9149796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3 screensho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476875" cy="3486150"/>
                    </a:xfrm>
                    <a:prstGeom prst="rect">
                      <a:avLst/>
                    </a:prstGeom>
                    <a:noFill/>
                    <a:ln>
                      <a:noFill/>
                    </a:ln>
                  </pic:spPr>
                </pic:pic>
              </a:graphicData>
            </a:graphic>
          </wp:inline>
        </w:drawing>
      </w:r>
    </w:p>
    <w:p w14:paraId="7DB3E453"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3ED4295C" w14:textId="52ED892A"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E04. Source for Table 3 - Non-submission, EC and completion frequencies</w:t>
      </w:r>
    </w:p>
    <w:p w14:paraId="6C438CE7"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5AA50CDD" wp14:editId="721AAFD8">
            <wp:extent cx="3666226" cy="3486150"/>
            <wp:effectExtent l="0" t="0" r="0" b="0"/>
            <wp:docPr id="19069444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4 screenshot"/>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r="33060"/>
                    <a:stretch>
                      <a:fillRect/>
                    </a:stretch>
                  </pic:blipFill>
                  <pic:spPr bwMode="auto">
                    <a:xfrm>
                      <a:off x="0" y="0"/>
                      <a:ext cx="3666226" cy="3486150"/>
                    </a:xfrm>
                    <a:prstGeom prst="rect">
                      <a:avLst/>
                    </a:prstGeom>
                    <a:noFill/>
                    <a:ln>
                      <a:noFill/>
                    </a:ln>
                    <a:extLst>
                      <a:ext uri="{53640926-AAD7-44D8-BBD7-CCE9431645EC}">
                        <a14:shadowObscured xmlns:a14="http://schemas.microsoft.com/office/drawing/2010/main"/>
                      </a:ext>
                    </a:extLst>
                  </pic:spPr>
                </pic:pic>
              </a:graphicData>
            </a:graphic>
          </wp:inline>
        </w:drawing>
      </w:r>
    </w:p>
    <w:p w14:paraId="76817BFE"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2D309E7B"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57938F4E"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607EA5B3" w14:textId="3D3C9100"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E05. Source for Table 4 and H1 - Crosstabulation, chi-square and symmetric measures</w:t>
      </w:r>
    </w:p>
    <w:p w14:paraId="75A7A98D"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4A657A80" wp14:editId="1D376B43">
            <wp:extent cx="5476875" cy="3486150"/>
            <wp:effectExtent l="0" t="0" r="9525" b="0"/>
            <wp:docPr id="14030431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5 screensho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476875" cy="3486150"/>
                    </a:xfrm>
                    <a:prstGeom prst="rect">
                      <a:avLst/>
                    </a:prstGeom>
                    <a:noFill/>
                    <a:ln>
                      <a:noFill/>
                    </a:ln>
                  </pic:spPr>
                </pic:pic>
              </a:graphicData>
            </a:graphic>
          </wp:inline>
        </w:drawing>
      </w:r>
    </w:p>
    <w:p w14:paraId="3C208B25"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4786ED46"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E06. Source for Figure 3 - Clustered bar chart of completion by Module 1 submission</w:t>
      </w:r>
    </w:p>
    <w:p w14:paraId="1E496050"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104CDD0F" wp14:editId="2ECA2D45">
            <wp:extent cx="5476875" cy="3438525"/>
            <wp:effectExtent l="0" t="0" r="9525" b="9525"/>
            <wp:docPr id="9077931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6 screensho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476875" cy="3438525"/>
                    </a:xfrm>
                    <a:prstGeom prst="rect">
                      <a:avLst/>
                    </a:prstGeom>
                    <a:noFill/>
                    <a:ln>
                      <a:noFill/>
                    </a:ln>
                  </pic:spPr>
                </pic:pic>
              </a:graphicData>
            </a:graphic>
          </wp:inline>
        </w:drawing>
      </w:r>
    </w:p>
    <w:p w14:paraId="0000944A"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5CAD6A2D" w14:textId="77777777" w:rsidR="00E617C4" w:rsidRPr="00874ABF" w:rsidRDefault="00E617C4" w:rsidP="00142758">
      <w:pPr>
        <w:spacing w:before="200" w:after="80" w:line="240" w:lineRule="atLeast"/>
        <w:rPr>
          <w:rFonts w:ascii="Arial" w:eastAsia="source serif 4" w:hAnsi="Arial" w:cs="Arial"/>
          <w:b/>
          <w:color w:val="000000" w:themeColor="text1"/>
          <w:kern w:val="0"/>
          <w:lang w:val="en-US"/>
          <w14:ligatures w14:val="none"/>
        </w:rPr>
      </w:pPr>
    </w:p>
    <w:p w14:paraId="31458957"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E07. Source for Table 5 and H2 - Independent-samples t-test</w:t>
      </w:r>
    </w:p>
    <w:p w14:paraId="53B299C2"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1696BE91" wp14:editId="1DBE7639">
            <wp:extent cx="5476875" cy="1038225"/>
            <wp:effectExtent l="0" t="0" r="9525" b="9525"/>
            <wp:docPr id="7211073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7 screensho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476875" cy="1038225"/>
                    </a:xfrm>
                    <a:prstGeom prst="rect">
                      <a:avLst/>
                    </a:prstGeom>
                    <a:noFill/>
                    <a:ln>
                      <a:noFill/>
                    </a:ln>
                  </pic:spPr>
                </pic:pic>
              </a:graphicData>
            </a:graphic>
          </wp:inline>
        </w:drawing>
      </w:r>
    </w:p>
    <w:p w14:paraId="05C19639"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6EACCE03"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E08. Source for Figure 4 - Boxplot of mean mark by enrolment pattern</w:t>
      </w:r>
    </w:p>
    <w:p w14:paraId="766849F7"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5A9858B4" wp14:editId="73479F7D">
            <wp:extent cx="5476875" cy="2990850"/>
            <wp:effectExtent l="0" t="0" r="9525" b="0"/>
            <wp:docPr id="17385419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8 screensho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476875" cy="2990850"/>
                    </a:xfrm>
                    <a:prstGeom prst="rect">
                      <a:avLst/>
                    </a:prstGeom>
                    <a:noFill/>
                    <a:ln>
                      <a:noFill/>
                    </a:ln>
                  </pic:spPr>
                </pic:pic>
              </a:graphicData>
            </a:graphic>
          </wp:inline>
        </w:drawing>
      </w:r>
    </w:p>
    <w:p w14:paraId="19EA72C2"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524130DA"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E09. Source for Table 6 and H3 - Correlation matrix</w:t>
      </w:r>
    </w:p>
    <w:p w14:paraId="29FBF3C3"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2485A755" wp14:editId="20298107">
            <wp:extent cx="5476875" cy="1304925"/>
            <wp:effectExtent l="0" t="0" r="9525" b="9525"/>
            <wp:docPr id="16056361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09 screensho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476875" cy="1304925"/>
                    </a:xfrm>
                    <a:prstGeom prst="rect">
                      <a:avLst/>
                    </a:prstGeom>
                    <a:noFill/>
                    <a:ln>
                      <a:noFill/>
                    </a:ln>
                  </pic:spPr>
                </pic:pic>
              </a:graphicData>
            </a:graphic>
          </wp:inline>
        </w:drawing>
      </w:r>
    </w:p>
    <w:p w14:paraId="41C34E24"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7C998DCC" w14:textId="3E76ECAF"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E10. Half-marks correlation check referenced in Section 4.2.</w:t>
      </w:r>
      <w:r w:rsidR="005172A3">
        <w:rPr>
          <w:rFonts w:ascii="Arial" w:eastAsia="source serif 4" w:hAnsi="Arial" w:cs="Arial"/>
          <w:b/>
          <w:color w:val="000000" w:themeColor="text1"/>
          <w:kern w:val="0"/>
          <w:lang w:val="en-US"/>
          <w14:ligatures w14:val="none"/>
        </w:rPr>
        <w:t>3</w:t>
      </w:r>
    </w:p>
    <w:p w14:paraId="7D9300E4" w14:textId="20C1C1C1" w:rsidR="00142758" w:rsidRPr="00874ABF" w:rsidRDefault="00142758" w:rsidP="003C2ACF">
      <w:pPr>
        <w:rPr>
          <w:rFonts w:ascii="Arial" w:hAnsi="Arial" w:cs="Arial"/>
          <w:color w:val="000000" w:themeColor="text1"/>
        </w:rPr>
      </w:pPr>
      <w:r w:rsidRPr="00874ABF">
        <w:rPr>
          <w:rFonts w:ascii="Arial" w:hAnsi="Arial" w:cs="Arial"/>
          <w:noProof/>
          <w:color w:val="000000" w:themeColor="text1"/>
        </w:rPr>
        <w:drawing>
          <wp:inline distT="0" distB="0" distL="0" distR="0" wp14:anchorId="2E2D2CF8" wp14:editId="4F52378A">
            <wp:extent cx="5476875" cy="828675"/>
            <wp:effectExtent l="0" t="0" r="9525" b="9525"/>
            <wp:docPr id="6852766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0 screensho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76875" cy="828675"/>
                    </a:xfrm>
                    <a:prstGeom prst="rect">
                      <a:avLst/>
                    </a:prstGeom>
                    <a:noFill/>
                    <a:ln>
                      <a:noFill/>
                    </a:ln>
                  </pic:spPr>
                </pic:pic>
              </a:graphicData>
            </a:graphic>
          </wp:inline>
        </w:drawing>
      </w:r>
    </w:p>
    <w:p w14:paraId="0B962D95"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1B5F5F42"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E11. Source for Figure 5 - Scatterplot with fitted line</w:t>
      </w:r>
    </w:p>
    <w:p w14:paraId="34D62E4F"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583A0010" wp14:editId="442151EF">
            <wp:extent cx="5486400" cy="3238500"/>
            <wp:effectExtent l="0" t="0" r="0" b="0"/>
            <wp:docPr id="13463106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1 screensho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486400" cy="3238500"/>
                    </a:xfrm>
                    <a:prstGeom prst="rect">
                      <a:avLst/>
                    </a:prstGeom>
                    <a:noFill/>
                    <a:ln>
                      <a:noFill/>
                    </a:ln>
                  </pic:spPr>
                </pic:pic>
              </a:graphicData>
            </a:graphic>
          </wp:inline>
        </w:drawing>
      </w:r>
    </w:p>
    <w:p w14:paraId="17BB638B"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0AE692FB"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E12. Source for Table 7 and H4 - Homogeneity test and Welch’s ANOVA</w:t>
      </w:r>
    </w:p>
    <w:p w14:paraId="4AA16599"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4D511BC9" wp14:editId="323250CB">
            <wp:extent cx="3674853" cy="3467100"/>
            <wp:effectExtent l="0" t="0" r="1905" b="0"/>
            <wp:docPr id="16149289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2 screenshot"/>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r="32902"/>
                    <a:stretch>
                      <a:fillRect/>
                    </a:stretch>
                  </pic:blipFill>
                  <pic:spPr bwMode="auto">
                    <a:xfrm>
                      <a:off x="0" y="0"/>
                      <a:ext cx="3674853" cy="3467100"/>
                    </a:xfrm>
                    <a:prstGeom prst="rect">
                      <a:avLst/>
                    </a:prstGeom>
                    <a:noFill/>
                    <a:ln>
                      <a:noFill/>
                    </a:ln>
                    <a:extLst>
                      <a:ext uri="{53640926-AAD7-44D8-BBD7-CCE9431645EC}">
                        <a14:shadowObscured xmlns:a14="http://schemas.microsoft.com/office/drawing/2010/main"/>
                      </a:ext>
                    </a:extLst>
                  </pic:spPr>
                </pic:pic>
              </a:graphicData>
            </a:graphic>
          </wp:inline>
        </w:drawing>
      </w:r>
    </w:p>
    <w:p w14:paraId="42E4258B"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3AEEFE75"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3045905E"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22F6BA85" w14:textId="77777777" w:rsidR="00DA4D2D" w:rsidRPr="00874ABF" w:rsidRDefault="00DA4D2D" w:rsidP="00142758">
      <w:pPr>
        <w:spacing w:before="200" w:after="80" w:line="240" w:lineRule="atLeast"/>
        <w:rPr>
          <w:rFonts w:ascii="Arial" w:eastAsia="source serif 4" w:hAnsi="Arial" w:cs="Arial"/>
          <w:b/>
          <w:color w:val="000000" w:themeColor="text1"/>
          <w:kern w:val="0"/>
          <w:lang w:val="en-US"/>
          <w14:ligatures w14:val="none"/>
        </w:rPr>
      </w:pPr>
    </w:p>
    <w:p w14:paraId="458127CD" w14:textId="77C02FCD"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E13. Source for Table 8 and H5 - paired-samples t-test</w:t>
      </w:r>
    </w:p>
    <w:p w14:paraId="06E0C94E"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13EF6357" wp14:editId="0B28AAEF">
            <wp:extent cx="5476875" cy="3467100"/>
            <wp:effectExtent l="0" t="0" r="9525" b="0"/>
            <wp:docPr id="17686227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3 screensho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476875" cy="3467100"/>
                    </a:xfrm>
                    <a:prstGeom prst="rect">
                      <a:avLst/>
                    </a:prstGeom>
                    <a:noFill/>
                    <a:ln>
                      <a:noFill/>
                    </a:ln>
                  </pic:spPr>
                </pic:pic>
              </a:graphicData>
            </a:graphic>
          </wp:inline>
        </w:drawing>
      </w:r>
    </w:p>
    <w:p w14:paraId="7897630A"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62BF6F31"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E14. Source for H5 - Wilcoxon signed-rank test</w:t>
      </w:r>
    </w:p>
    <w:p w14:paraId="65198EAE"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06DC4BC9" wp14:editId="75CE6C96">
            <wp:extent cx="4589253" cy="3467100"/>
            <wp:effectExtent l="0" t="0" r="1905" b="0"/>
            <wp:docPr id="6816101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4 screenshot"/>
                    <pic:cNvPicPr>
                      <a:picLocks noChangeAspect="1" noChangeArrowheads="1"/>
                    </pic:cNvPicPr>
                  </pic:nvPicPr>
                  <pic:blipFill rotWithShape="1">
                    <a:blip r:embed="rId82" cstate="print">
                      <a:extLst>
                        <a:ext uri="{28A0092B-C50C-407E-A947-70E740481C1C}">
                          <a14:useLocalDpi xmlns:a14="http://schemas.microsoft.com/office/drawing/2010/main" val="0"/>
                        </a:ext>
                      </a:extLst>
                    </a:blip>
                    <a:srcRect r="16207"/>
                    <a:stretch>
                      <a:fillRect/>
                    </a:stretch>
                  </pic:blipFill>
                  <pic:spPr bwMode="auto">
                    <a:xfrm>
                      <a:off x="0" y="0"/>
                      <a:ext cx="4589253" cy="3467100"/>
                    </a:xfrm>
                    <a:prstGeom prst="rect">
                      <a:avLst/>
                    </a:prstGeom>
                    <a:noFill/>
                    <a:ln>
                      <a:noFill/>
                    </a:ln>
                    <a:extLst>
                      <a:ext uri="{53640926-AAD7-44D8-BBD7-CCE9431645EC}">
                        <a14:shadowObscured xmlns:a14="http://schemas.microsoft.com/office/drawing/2010/main"/>
                      </a:ext>
                    </a:extLst>
                  </pic:spPr>
                </pic:pic>
              </a:graphicData>
            </a:graphic>
          </wp:inline>
        </w:drawing>
      </w:r>
    </w:p>
    <w:p w14:paraId="208387EC"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710232FC"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7C6AEDF8"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2D38502F"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 xml:space="preserve">E15. Normality </w:t>
      </w:r>
      <w:proofErr w:type="gramStart"/>
      <w:r w:rsidRPr="00874ABF">
        <w:rPr>
          <w:rFonts w:ascii="Arial" w:eastAsia="source serif 4" w:hAnsi="Arial" w:cs="Arial"/>
          <w:b/>
          <w:color w:val="000000" w:themeColor="text1"/>
          <w:kern w:val="0"/>
          <w:lang w:val="en-US"/>
          <w14:ligatures w14:val="none"/>
        </w:rPr>
        <w:t>check</w:t>
      </w:r>
      <w:proofErr w:type="gramEnd"/>
      <w:r w:rsidRPr="00874ABF">
        <w:rPr>
          <w:rFonts w:ascii="Arial" w:eastAsia="source serif 4" w:hAnsi="Arial" w:cs="Arial"/>
          <w:b/>
          <w:color w:val="000000" w:themeColor="text1"/>
          <w:kern w:val="0"/>
          <w:lang w:val="en-US"/>
          <w14:ligatures w14:val="none"/>
        </w:rPr>
        <w:t xml:space="preserve"> for </w:t>
      </w:r>
      <w:proofErr w:type="spellStart"/>
      <w:r w:rsidRPr="00874ABF">
        <w:rPr>
          <w:rFonts w:ascii="Arial" w:eastAsia="source serif 4" w:hAnsi="Arial" w:cs="Arial"/>
          <w:b/>
          <w:color w:val="000000" w:themeColor="text1"/>
          <w:kern w:val="0"/>
          <w:lang w:val="en-US"/>
          <w14:ligatures w14:val="none"/>
        </w:rPr>
        <w:t>Mean_Mark</w:t>
      </w:r>
      <w:proofErr w:type="spellEnd"/>
      <w:r w:rsidRPr="00874ABF">
        <w:rPr>
          <w:rFonts w:ascii="Arial" w:eastAsia="source serif 4" w:hAnsi="Arial" w:cs="Arial"/>
          <w:b/>
          <w:color w:val="000000" w:themeColor="text1"/>
          <w:kern w:val="0"/>
          <w:lang w:val="en-US"/>
          <w14:ligatures w14:val="none"/>
        </w:rPr>
        <w:t xml:space="preserve"> (Section 4.1.2 / Appendix B2)</w:t>
      </w:r>
    </w:p>
    <w:p w14:paraId="6468F61C"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50BFC057" wp14:editId="19D404F2">
            <wp:extent cx="3769743" cy="3457575"/>
            <wp:effectExtent l="0" t="0" r="2540" b="0"/>
            <wp:docPr id="3157492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5 screenshot"/>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r="31170"/>
                    <a:stretch>
                      <a:fillRect/>
                    </a:stretch>
                  </pic:blipFill>
                  <pic:spPr bwMode="auto">
                    <a:xfrm>
                      <a:off x="0" y="0"/>
                      <a:ext cx="3769743" cy="3457575"/>
                    </a:xfrm>
                    <a:prstGeom prst="rect">
                      <a:avLst/>
                    </a:prstGeom>
                    <a:noFill/>
                    <a:ln>
                      <a:noFill/>
                    </a:ln>
                    <a:extLst>
                      <a:ext uri="{53640926-AAD7-44D8-BBD7-CCE9431645EC}">
                        <a14:shadowObscured xmlns:a14="http://schemas.microsoft.com/office/drawing/2010/main"/>
                      </a:ext>
                    </a:extLst>
                  </pic:spPr>
                </pic:pic>
              </a:graphicData>
            </a:graphic>
          </wp:inline>
        </w:drawing>
      </w:r>
    </w:p>
    <w:p w14:paraId="29B6849D"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5A0A38DA"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E16. Normality </w:t>
      </w:r>
      <w:proofErr w:type="gramStart"/>
      <w:r w:rsidRPr="00874ABF">
        <w:rPr>
          <w:rFonts w:ascii="Arial" w:eastAsia="source serif 4" w:hAnsi="Arial" w:cs="Arial"/>
          <w:b/>
          <w:color w:val="000000" w:themeColor="text1"/>
          <w:kern w:val="0"/>
          <w:lang w:val="en-US"/>
          <w14:ligatures w14:val="none"/>
        </w:rPr>
        <w:t>check</w:t>
      </w:r>
      <w:proofErr w:type="gramEnd"/>
      <w:r w:rsidRPr="00874ABF">
        <w:rPr>
          <w:rFonts w:ascii="Arial" w:eastAsia="source serif 4" w:hAnsi="Arial" w:cs="Arial"/>
          <w:b/>
          <w:color w:val="000000" w:themeColor="text1"/>
          <w:kern w:val="0"/>
          <w:lang w:val="en-US"/>
          <w14:ligatures w14:val="none"/>
        </w:rPr>
        <w:t xml:space="preserve"> for </w:t>
      </w:r>
      <w:proofErr w:type="spellStart"/>
      <w:r w:rsidRPr="00874ABF">
        <w:rPr>
          <w:rFonts w:ascii="Arial" w:eastAsia="source serif 4" w:hAnsi="Arial" w:cs="Arial"/>
          <w:b/>
          <w:color w:val="000000" w:themeColor="text1"/>
          <w:kern w:val="0"/>
          <w:lang w:val="en-US"/>
          <w14:ligatures w14:val="none"/>
        </w:rPr>
        <w:t>Diff_Halves</w:t>
      </w:r>
      <w:proofErr w:type="spellEnd"/>
      <w:r w:rsidRPr="00874ABF">
        <w:rPr>
          <w:rFonts w:ascii="Arial" w:eastAsia="source serif 4" w:hAnsi="Arial" w:cs="Arial"/>
          <w:b/>
          <w:color w:val="000000" w:themeColor="text1"/>
          <w:kern w:val="0"/>
          <w:lang w:val="en-US"/>
          <w14:ligatures w14:val="none"/>
        </w:rPr>
        <w:t xml:space="preserve"> (Section 4.2.5)</w:t>
      </w:r>
    </w:p>
    <w:p w14:paraId="5533D76A"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06117539" wp14:editId="40265692">
            <wp:extent cx="5476875" cy="1162050"/>
            <wp:effectExtent l="0" t="0" r="9525" b="0"/>
            <wp:docPr id="1539818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6 screensho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476875" cy="1162050"/>
                    </a:xfrm>
                    <a:prstGeom prst="rect">
                      <a:avLst/>
                    </a:prstGeom>
                    <a:noFill/>
                    <a:ln>
                      <a:noFill/>
                    </a:ln>
                  </pic:spPr>
                </pic:pic>
              </a:graphicData>
            </a:graphic>
          </wp:inline>
        </w:drawing>
      </w:r>
    </w:p>
    <w:p w14:paraId="40DBDDA4"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4DD2B824"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E17. Supplementary check - Module 1 mark by eventual completion (Section 4.2.7)</w:t>
      </w:r>
    </w:p>
    <w:p w14:paraId="27EF1592"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0B547CE8" wp14:editId="59A8EA03">
            <wp:extent cx="5476875" cy="1724025"/>
            <wp:effectExtent l="0" t="0" r="9525" b="9525"/>
            <wp:docPr id="9768755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7 screenshot"/>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476875" cy="1724025"/>
                    </a:xfrm>
                    <a:prstGeom prst="rect">
                      <a:avLst/>
                    </a:prstGeom>
                    <a:noFill/>
                    <a:ln>
                      <a:noFill/>
                    </a:ln>
                  </pic:spPr>
                </pic:pic>
              </a:graphicData>
            </a:graphic>
          </wp:inline>
        </w:drawing>
      </w:r>
    </w:p>
    <w:p w14:paraId="1A1B4960"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23DA985B"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E18. Supplementary check - Under-25 comparison, Module 1 submission (Section 4.2.7)</w:t>
      </w:r>
    </w:p>
    <w:p w14:paraId="1413A28B"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4DCB93FA" wp14:editId="78651A25">
            <wp:extent cx="3571336" cy="3494592"/>
            <wp:effectExtent l="0" t="0" r="0" b="0"/>
            <wp:docPr id="7148928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8 screenshot"/>
                    <pic:cNvPicPr>
                      <a:picLocks noChangeAspect="1" noChangeArrowheads="1"/>
                    </pic:cNvPicPr>
                  </pic:nvPicPr>
                  <pic:blipFill rotWithShape="1">
                    <a:blip r:embed="rId86" cstate="print">
                      <a:extLst>
                        <a:ext uri="{28A0092B-C50C-407E-A947-70E740481C1C}">
                          <a14:useLocalDpi xmlns:a14="http://schemas.microsoft.com/office/drawing/2010/main" val="0"/>
                        </a:ext>
                      </a:extLst>
                    </a:blip>
                    <a:srcRect r="34950"/>
                    <a:stretch>
                      <a:fillRect/>
                    </a:stretch>
                  </pic:blipFill>
                  <pic:spPr bwMode="auto">
                    <a:xfrm>
                      <a:off x="0" y="0"/>
                      <a:ext cx="3577227" cy="3500356"/>
                    </a:xfrm>
                    <a:prstGeom prst="rect">
                      <a:avLst/>
                    </a:prstGeom>
                    <a:noFill/>
                    <a:ln>
                      <a:noFill/>
                    </a:ln>
                    <a:extLst>
                      <a:ext uri="{53640926-AAD7-44D8-BBD7-CCE9431645EC}">
                        <a14:shadowObscured xmlns:a14="http://schemas.microsoft.com/office/drawing/2010/main"/>
                      </a:ext>
                    </a:extLst>
                  </pic:spPr>
                </pic:pic>
              </a:graphicData>
            </a:graphic>
          </wp:inline>
        </w:drawing>
      </w:r>
    </w:p>
    <w:p w14:paraId="504F6CE9"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p>
    <w:p w14:paraId="12120C40" w14:textId="77777777" w:rsidR="00142758" w:rsidRPr="00874ABF" w:rsidRDefault="00142758" w:rsidP="00142758">
      <w:pPr>
        <w:spacing w:before="200" w:after="80" w:line="240" w:lineRule="atLeast"/>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E19. Supplementary check - Under-25 comparison, six-module completion (Section 4.2.7)</w:t>
      </w:r>
    </w:p>
    <w:p w14:paraId="596CB26A" w14:textId="77777777" w:rsidR="00142758" w:rsidRPr="00874ABF" w:rsidRDefault="00142758" w:rsidP="00142758">
      <w:pPr>
        <w:rPr>
          <w:rFonts w:ascii="Arial" w:hAnsi="Arial" w:cs="Arial"/>
          <w:color w:val="000000" w:themeColor="text1"/>
        </w:rPr>
      </w:pPr>
      <w:r w:rsidRPr="00874ABF">
        <w:rPr>
          <w:rFonts w:ascii="Arial" w:hAnsi="Arial" w:cs="Arial"/>
          <w:noProof/>
          <w:color w:val="000000" w:themeColor="text1"/>
        </w:rPr>
        <w:drawing>
          <wp:inline distT="0" distB="0" distL="0" distR="0" wp14:anchorId="05313776" wp14:editId="4E403501">
            <wp:extent cx="4244196" cy="4093521"/>
            <wp:effectExtent l="0" t="0" r="4445" b="2540"/>
            <wp:docPr id="49654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9 screenshot"/>
                    <pic:cNvPicPr>
                      <a:picLocks noChangeAspect="1" noChangeArrowheads="1"/>
                    </pic:cNvPicPr>
                  </pic:nvPicPr>
                  <pic:blipFill rotWithShape="1">
                    <a:blip r:embed="rId87" cstate="print">
                      <a:extLst>
                        <a:ext uri="{28A0092B-C50C-407E-A947-70E740481C1C}">
                          <a14:useLocalDpi xmlns:a14="http://schemas.microsoft.com/office/drawing/2010/main" val="0"/>
                        </a:ext>
                      </a:extLst>
                    </a:blip>
                    <a:srcRect r="34005"/>
                    <a:stretch>
                      <a:fillRect/>
                    </a:stretch>
                  </pic:blipFill>
                  <pic:spPr bwMode="auto">
                    <a:xfrm>
                      <a:off x="0" y="0"/>
                      <a:ext cx="4259275" cy="4108064"/>
                    </a:xfrm>
                    <a:prstGeom prst="rect">
                      <a:avLst/>
                    </a:prstGeom>
                    <a:noFill/>
                    <a:ln>
                      <a:noFill/>
                    </a:ln>
                    <a:extLst>
                      <a:ext uri="{53640926-AAD7-44D8-BBD7-CCE9431645EC}">
                        <a14:shadowObscured xmlns:a14="http://schemas.microsoft.com/office/drawing/2010/main"/>
                      </a:ext>
                    </a:extLst>
                  </pic:spPr>
                </pic:pic>
              </a:graphicData>
            </a:graphic>
          </wp:inline>
        </w:drawing>
      </w:r>
    </w:p>
    <w:p w14:paraId="1D5CACDE" w14:textId="6E5E3B48"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Appendix F. Hypothesis to conclusion</w:t>
      </w:r>
    </w:p>
    <w:p w14:paraId="4D2890F9" w14:textId="76D0A78C" w:rsidR="00812053"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This appendix explains the decisions I made in the analysis</w:t>
      </w:r>
      <w:r w:rsidR="003A2661" w:rsidRPr="00874ABF">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Section F6 covers the two analyses I planned and then dropped.</w:t>
      </w:r>
    </w:p>
    <w:p w14:paraId="6EBC31A9" w14:textId="77777777" w:rsidR="003A2661" w:rsidRPr="00874ABF" w:rsidRDefault="003A2661" w:rsidP="00142758">
      <w:pPr>
        <w:spacing w:after="120" w:line="360" w:lineRule="auto"/>
        <w:rPr>
          <w:rFonts w:ascii="Arial" w:eastAsia="source serif 4" w:hAnsi="Arial" w:cs="Arial"/>
          <w:bCs/>
          <w:color w:val="000000" w:themeColor="text1"/>
          <w:kern w:val="0"/>
          <w:lang w:val="en-US"/>
          <w14:ligatures w14:val="none"/>
        </w:rPr>
      </w:pPr>
    </w:p>
    <w:p w14:paraId="062D8882"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F1. Where </w:t>
      </w:r>
      <w:proofErr w:type="gramStart"/>
      <w:r w:rsidRPr="00874ABF">
        <w:rPr>
          <w:rFonts w:ascii="Arial" w:eastAsia="source serif 4" w:hAnsi="Arial" w:cs="Arial"/>
          <w:b/>
          <w:color w:val="000000" w:themeColor="text1"/>
          <w:kern w:val="0"/>
          <w:lang w:val="en-US"/>
          <w14:ligatures w14:val="none"/>
        </w:rPr>
        <w:t>the</w:t>
      </w:r>
      <w:proofErr w:type="gramEnd"/>
      <w:r w:rsidRPr="00874ABF">
        <w:rPr>
          <w:rFonts w:ascii="Arial" w:eastAsia="source serif 4" w:hAnsi="Arial" w:cs="Arial"/>
          <w:b/>
          <w:color w:val="000000" w:themeColor="text1"/>
          <w:kern w:val="0"/>
          <w:lang w:val="en-US"/>
          <w14:ligatures w14:val="none"/>
        </w:rPr>
        <w:t xml:space="preserve"> study started, and why the question changed</w:t>
      </w:r>
    </w:p>
    <w:p w14:paraId="1BDC5D35" w14:textId="77777777" w:rsidR="00A46763" w:rsidRPr="00874ABF" w:rsidRDefault="00A46763" w:rsidP="00A46763">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I noticed that students who did not complete the programme often showed signs of reduced engagement before this was formally identified. My first question concerned Statements of Compensatory Measures (SCM), the university record of formal reasonable adjustments, and whether an SCM record was associated with marks and completion.</w:t>
      </w:r>
    </w:p>
    <w:p w14:paraId="2A08A103" w14:textId="1094E453" w:rsidR="003A2661" w:rsidRPr="00874ABF" w:rsidRDefault="00A46763" w:rsidP="00A46763">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 changed this focus after examining what the SCM field </w:t>
      </w:r>
      <w:proofErr w:type="gramStart"/>
      <w:r w:rsidRPr="00874ABF">
        <w:rPr>
          <w:rFonts w:ascii="Arial" w:eastAsia="source serif 4" w:hAnsi="Arial" w:cs="Arial"/>
          <w:bCs/>
          <w:color w:val="000000" w:themeColor="text1"/>
          <w:kern w:val="0"/>
          <w:lang w:val="en-US"/>
          <w14:ligatures w14:val="none"/>
        </w:rPr>
        <w:t>actually recorded</w:t>
      </w:r>
      <w:proofErr w:type="gramEnd"/>
      <w:r w:rsidRPr="00874ABF">
        <w:rPr>
          <w:rFonts w:ascii="Arial" w:eastAsia="source serif 4" w:hAnsi="Arial" w:cs="Arial"/>
          <w:bCs/>
          <w:color w:val="000000" w:themeColor="text1"/>
          <w:kern w:val="0"/>
          <w:lang w:val="en-US"/>
          <w14:ligatures w14:val="none"/>
        </w:rPr>
        <w:t>. As Section F6 explains, its date reflects when an administrative record was created, not necessarily when adjustments began. I therefore focused on early assessment engagement, using three indicators available in institutional records: whether the first assessment was submitted, the number of non-submissions, and whether the enrolment was a first attempt or a repeat. Specifically, I asked which early, administratively visible indicators of assessment engagement and enrolment were associated with programme completion and academic attainment among mature learners on a Level 4 WP leadership programme.</w:t>
      </w:r>
    </w:p>
    <w:p w14:paraId="3B3252FB" w14:textId="77777777" w:rsidR="00A46763" w:rsidRPr="00874ABF" w:rsidRDefault="00A46763" w:rsidP="00142758">
      <w:pPr>
        <w:spacing w:after="120" w:line="360" w:lineRule="auto"/>
        <w:rPr>
          <w:rFonts w:ascii="Arial" w:eastAsia="source serif 4" w:hAnsi="Arial" w:cs="Arial"/>
          <w:b/>
          <w:color w:val="000000" w:themeColor="text1"/>
          <w:kern w:val="0"/>
          <w:lang w:val="en-US"/>
          <w14:ligatures w14:val="none"/>
        </w:rPr>
      </w:pPr>
    </w:p>
    <w:p w14:paraId="527BA7BA" w14:textId="3B07F442"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F2. Turning the question into hypotheses</w:t>
      </w:r>
    </w:p>
    <w:p w14:paraId="14607FEF" w14:textId="064028CB" w:rsidR="00812053" w:rsidRPr="00874ABF" w:rsidRDefault="00142758" w:rsidP="00812053">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lang w:val="en-US"/>
          <w14:ligatures w14:val="none"/>
        </w:rPr>
        <w:t>I wrote five null hypotheses before running any test, each paired with an alternative saying the opposite. A null hypothesis assumes there is nothing going on; the test asks whether the data give me enough reason to reject that. I kept all five non-</w:t>
      </w:r>
      <w:proofErr w:type="gramStart"/>
      <w:r w:rsidRPr="00874ABF">
        <w:rPr>
          <w:rFonts w:ascii="Arial" w:eastAsia="source serif 4" w:hAnsi="Arial" w:cs="Arial"/>
          <w:bCs/>
          <w:color w:val="000000" w:themeColor="text1"/>
          <w:kern w:val="0"/>
          <w:lang w:val="en-US"/>
          <w14:ligatures w14:val="none"/>
        </w:rPr>
        <w:t>directional</w:t>
      </w:r>
      <w:proofErr w:type="gramEnd"/>
      <w:r w:rsidR="00812053" w:rsidRPr="00874ABF">
        <w:rPr>
          <w:rFonts w:ascii="Arial" w:eastAsia="source serif 4" w:hAnsi="Arial" w:cs="Arial"/>
          <w:bCs/>
          <w:color w:val="000000" w:themeColor="text1"/>
          <w:kern w:val="0"/>
          <w:lang w:val="en-US"/>
          <w14:ligatures w14:val="none"/>
        </w:rPr>
        <w:t xml:space="preserve">; </w:t>
      </w:r>
      <w:r w:rsidR="00812053" w:rsidRPr="00874ABF">
        <w:rPr>
          <w:rFonts w:ascii="Arial" w:eastAsia="source serif 4" w:hAnsi="Arial" w:cs="Arial"/>
          <w:bCs/>
          <w:color w:val="000000" w:themeColor="text1"/>
          <w:kern w:val="0"/>
          <w14:ligatures w14:val="none"/>
        </w:rPr>
        <w:t>I did not predict the direction of any differences because the existing literature was not strong enough to support a clear expectation for this population. Choosing a direction after seeing the results would obviously not be a genuine prediction.</w:t>
      </w:r>
    </w:p>
    <w:p w14:paraId="2BE9D45E" w14:textId="55189DB5"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p>
    <w:p w14:paraId="4484ED18"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H1</w:t>
      </w:r>
      <w:r w:rsidRPr="00874ABF">
        <w:rPr>
          <w:rFonts w:ascii="Arial" w:eastAsia="source serif 4" w:hAnsi="Arial" w:cs="Arial"/>
          <w:bCs/>
          <w:color w:val="000000" w:themeColor="text1"/>
          <w:kern w:val="0"/>
          <w:lang w:val="en-US"/>
          <w14:ligatures w14:val="none"/>
        </w:rPr>
        <w:t>. There is no association between having a recorded mark for Module 1 and completing Modules 2 to 6.</w:t>
      </w:r>
    </w:p>
    <w:p w14:paraId="3A888E7B"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H2</w:t>
      </w:r>
      <w:r w:rsidRPr="00874ABF">
        <w:rPr>
          <w:rFonts w:ascii="Arial" w:eastAsia="source serif 4" w:hAnsi="Arial" w:cs="Arial"/>
          <w:bCs/>
          <w:color w:val="000000" w:themeColor="text1"/>
          <w:kern w:val="0"/>
          <w:lang w:val="en-US"/>
          <w14:ligatures w14:val="none"/>
        </w:rPr>
        <w:t>. There is no difference in mean academic mark between single-year and repeat-enrolment records.</w:t>
      </w:r>
    </w:p>
    <w:p w14:paraId="23CED994"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H3.</w:t>
      </w:r>
      <w:r w:rsidRPr="00874ABF">
        <w:rPr>
          <w:rFonts w:ascii="Arial" w:eastAsia="source serif 4" w:hAnsi="Arial" w:cs="Arial"/>
          <w:bCs/>
          <w:color w:val="000000" w:themeColor="text1"/>
          <w:kern w:val="0"/>
          <w:lang w:val="en-US"/>
          <w14:ligatures w14:val="none"/>
        </w:rPr>
        <w:t xml:space="preserve"> There is no linear relationship between the number of non-submissions and mean academic </w:t>
      </w:r>
      <w:proofErr w:type="gramStart"/>
      <w:r w:rsidRPr="00874ABF">
        <w:rPr>
          <w:rFonts w:ascii="Arial" w:eastAsia="source serif 4" w:hAnsi="Arial" w:cs="Arial"/>
          <w:bCs/>
          <w:color w:val="000000" w:themeColor="text1"/>
          <w:kern w:val="0"/>
          <w:lang w:val="en-US"/>
          <w14:ligatures w14:val="none"/>
        </w:rPr>
        <w:t>mark</w:t>
      </w:r>
      <w:proofErr w:type="gramEnd"/>
      <w:r w:rsidRPr="00874ABF">
        <w:rPr>
          <w:rFonts w:ascii="Arial" w:eastAsia="source serif 4" w:hAnsi="Arial" w:cs="Arial"/>
          <w:bCs/>
          <w:color w:val="000000" w:themeColor="text1"/>
          <w:kern w:val="0"/>
          <w:lang w:val="en-US"/>
          <w14:ligatures w14:val="none"/>
        </w:rPr>
        <w:t>.</w:t>
      </w:r>
    </w:p>
    <w:p w14:paraId="517DD4E3"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H4</w:t>
      </w:r>
      <w:r w:rsidRPr="00874ABF">
        <w:rPr>
          <w:rFonts w:ascii="Arial" w:eastAsia="source serif 4" w:hAnsi="Arial" w:cs="Arial"/>
          <w:bCs/>
          <w:color w:val="000000" w:themeColor="text1"/>
          <w:kern w:val="0"/>
          <w:lang w:val="en-US"/>
          <w14:ligatures w14:val="none"/>
        </w:rPr>
        <w:t xml:space="preserve">. There is no difference in </w:t>
      </w:r>
      <w:proofErr w:type="gramStart"/>
      <w:r w:rsidRPr="00874ABF">
        <w:rPr>
          <w:rFonts w:ascii="Arial" w:eastAsia="source serif 4" w:hAnsi="Arial" w:cs="Arial"/>
          <w:bCs/>
          <w:color w:val="000000" w:themeColor="text1"/>
          <w:kern w:val="0"/>
          <w:lang w:val="en-US"/>
          <w14:ligatures w14:val="none"/>
        </w:rPr>
        <w:t>mean</w:t>
      </w:r>
      <w:proofErr w:type="gramEnd"/>
      <w:r w:rsidRPr="00874ABF">
        <w:rPr>
          <w:rFonts w:ascii="Arial" w:eastAsia="source serif 4" w:hAnsi="Arial" w:cs="Arial"/>
          <w:bCs/>
          <w:color w:val="000000" w:themeColor="text1"/>
          <w:kern w:val="0"/>
          <w:lang w:val="en-US"/>
          <w14:ligatures w14:val="none"/>
        </w:rPr>
        <w:t xml:space="preserve"> academic mark across the three academic cohorts.</w:t>
      </w:r>
    </w:p>
    <w:p w14:paraId="635CE54D"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H5</w:t>
      </w:r>
      <w:r w:rsidRPr="00874ABF">
        <w:rPr>
          <w:rFonts w:ascii="Arial" w:eastAsia="source serif 4" w:hAnsi="Arial" w:cs="Arial"/>
          <w:bCs/>
          <w:color w:val="000000" w:themeColor="text1"/>
          <w:kern w:val="0"/>
          <w:lang w:val="en-US"/>
          <w14:ligatures w14:val="none"/>
        </w:rPr>
        <w:t xml:space="preserve">. There is no difference in mean marks between the first and second </w:t>
      </w:r>
      <w:proofErr w:type="gramStart"/>
      <w:r w:rsidRPr="00874ABF">
        <w:rPr>
          <w:rFonts w:ascii="Arial" w:eastAsia="source serif 4" w:hAnsi="Arial" w:cs="Arial"/>
          <w:bCs/>
          <w:color w:val="000000" w:themeColor="text1"/>
          <w:kern w:val="0"/>
          <w:lang w:val="en-US"/>
          <w14:ligatures w14:val="none"/>
        </w:rPr>
        <w:t>halves</w:t>
      </w:r>
      <w:proofErr w:type="gramEnd"/>
      <w:r w:rsidRPr="00874ABF">
        <w:rPr>
          <w:rFonts w:ascii="Arial" w:eastAsia="source serif 4" w:hAnsi="Arial" w:cs="Arial"/>
          <w:bCs/>
          <w:color w:val="000000" w:themeColor="text1"/>
          <w:kern w:val="0"/>
          <w:lang w:val="en-US"/>
          <w14:ligatures w14:val="none"/>
        </w:rPr>
        <w:t xml:space="preserve"> of the module sequence.</w:t>
      </w:r>
    </w:p>
    <w:p w14:paraId="0C86EB55" w14:textId="3DBBC49F" w:rsidR="003A2661" w:rsidRPr="00874ABF" w:rsidRDefault="003A2661" w:rsidP="003A2661">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H1–H3 were the main research questions. H4 and H5 checked whether mean academic marks varied substantially by academic cohort or by position in the module sequence. If these differences were small, this would reduce any concern that cohort or module position (early or late) was a major influence on the mark-based findings.</w:t>
      </w:r>
    </w:p>
    <w:p w14:paraId="0079C6D4" w14:textId="77777777" w:rsidR="003A2661" w:rsidRPr="00874ABF" w:rsidRDefault="003A2661" w:rsidP="00142758">
      <w:pPr>
        <w:spacing w:after="120" w:line="360" w:lineRule="auto"/>
        <w:rPr>
          <w:rFonts w:ascii="Arial" w:eastAsia="source serif 4" w:hAnsi="Arial" w:cs="Arial"/>
          <w:b/>
          <w:color w:val="000000" w:themeColor="text1"/>
          <w:kern w:val="0"/>
          <w:lang w:val="en-US"/>
          <w14:ligatures w14:val="none"/>
        </w:rPr>
      </w:pPr>
    </w:p>
    <w:p w14:paraId="0A011F50" w14:textId="2EFECFE1"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F3. Building the dataset</w:t>
      </w:r>
    </w:p>
    <w:p w14:paraId="37F5586E" w14:textId="77777777" w:rsidR="00C87A20"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My data came from institutional Exam Board records and programme tracking documents for every Level 4 ALaM enrolment across 2022/23, 2023/24 and 2024/25, everyone eligible in those three years, not a sample. </w:t>
      </w:r>
    </w:p>
    <w:p w14:paraId="09E31973" w14:textId="77777777" w:rsidR="00C87A20"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 started with 216 enrolment records and wrote my inclusion and exclusion rules down before looking at any results, so the rules could not be shaped by what I found. </w:t>
      </w:r>
    </w:p>
    <w:p w14:paraId="6DCF9D5D" w14:textId="5A4E536B"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Then I applied them one at a time.</w:t>
      </w:r>
    </w:p>
    <w:p w14:paraId="50D4D83E"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Rule one</w:t>
      </w:r>
      <w:r w:rsidRPr="00874ABF">
        <w:rPr>
          <w:rFonts w:ascii="Arial" w:eastAsia="source serif 4" w:hAnsi="Arial" w:cs="Arial"/>
          <w:bCs/>
          <w:color w:val="000000" w:themeColor="text1"/>
          <w:kern w:val="0"/>
          <w:lang w:val="en-US"/>
          <w14:ligatures w14:val="none"/>
        </w:rPr>
        <w:t xml:space="preserve"> removed duplicates: a student recorded twice in the same year by the Exam Board, usually because a result was confirmed </w:t>
      </w:r>
      <w:proofErr w:type="gramStart"/>
      <w:r w:rsidRPr="00874ABF">
        <w:rPr>
          <w:rFonts w:ascii="Arial" w:eastAsia="source serif 4" w:hAnsi="Arial" w:cs="Arial"/>
          <w:bCs/>
          <w:color w:val="000000" w:themeColor="text1"/>
          <w:kern w:val="0"/>
          <w:lang w:val="en-US"/>
          <w14:ligatures w14:val="none"/>
        </w:rPr>
        <w:t>at</w:t>
      </w:r>
      <w:proofErr w:type="gramEnd"/>
      <w:r w:rsidRPr="00874ABF">
        <w:rPr>
          <w:rFonts w:ascii="Arial" w:eastAsia="source serif 4" w:hAnsi="Arial" w:cs="Arial"/>
          <w:bCs/>
          <w:color w:val="000000" w:themeColor="text1"/>
          <w:kern w:val="0"/>
          <w:lang w:val="en-US"/>
          <w14:ligatures w14:val="none"/>
        </w:rPr>
        <w:t xml:space="preserve"> more than one board. I found these by sorting on student identifier and year and checking each pair against the tracking document, 14 records. This is different from a student appearing in two different years, which is a genuine second enrolment and stays in.</w:t>
      </w:r>
    </w:p>
    <w:p w14:paraId="1078AC40"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Rule two</w:t>
      </w:r>
      <w:r w:rsidRPr="00874ABF">
        <w:rPr>
          <w:rFonts w:ascii="Arial" w:eastAsia="source serif 4" w:hAnsi="Arial" w:cs="Arial"/>
          <w:bCs/>
          <w:color w:val="000000" w:themeColor="text1"/>
          <w:kern w:val="0"/>
          <w:lang w:val="en-US"/>
          <w14:ligatures w14:val="none"/>
        </w:rPr>
        <w:t xml:space="preserve"> removed empty records: students entered onto the system with no mark, no submission, nothing recorded in any of the six modules, no evidence they ever started. That is 33 records. Including them would have made non-completion look far more common than it is.</w:t>
      </w:r>
    </w:p>
    <w:p w14:paraId="0074D20B"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Rule three</w:t>
      </w:r>
      <w:r w:rsidRPr="00874ABF">
        <w:rPr>
          <w:rFonts w:ascii="Arial" w:eastAsia="source serif 4" w:hAnsi="Arial" w:cs="Arial"/>
          <w:bCs/>
          <w:color w:val="000000" w:themeColor="text1"/>
          <w:kern w:val="0"/>
          <w:lang w:val="en-US"/>
          <w14:ligatures w14:val="none"/>
        </w:rPr>
        <w:t xml:space="preserve"> removed one 2025 starter who fell outside my three-year window.</w:t>
      </w:r>
    </w:p>
    <w:p w14:paraId="6ABB950A" w14:textId="77777777" w:rsidR="003A2661" w:rsidRPr="00874ABF" w:rsidRDefault="00142758" w:rsidP="00C87A20">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lastRenderedPageBreak/>
        <w:t xml:space="preserve">That left 168 records to </w:t>
      </w:r>
      <w:proofErr w:type="spellStart"/>
      <w:r w:rsidRPr="00874ABF">
        <w:rPr>
          <w:rFonts w:ascii="Arial" w:eastAsia="source serif 4" w:hAnsi="Arial" w:cs="Arial"/>
          <w:bCs/>
          <w:color w:val="000000" w:themeColor="text1"/>
          <w:kern w:val="0"/>
          <w:lang w:val="en-US"/>
          <w14:ligatures w14:val="none"/>
        </w:rPr>
        <w:t>analyse</w:t>
      </w:r>
      <w:proofErr w:type="spellEnd"/>
      <w:r w:rsidRPr="00874ABF">
        <w:rPr>
          <w:rFonts w:ascii="Arial" w:eastAsia="source serif 4" w:hAnsi="Arial" w:cs="Arial"/>
          <w:bCs/>
          <w:color w:val="000000" w:themeColor="text1"/>
          <w:kern w:val="0"/>
          <w:lang w:val="en-US"/>
          <w14:ligatures w14:val="none"/>
        </w:rPr>
        <w:t xml:space="preserve">, belonging to 159 individual students, </w:t>
      </w:r>
      <w:r w:rsidR="003A2661" w:rsidRPr="00874ABF">
        <w:rPr>
          <w:rFonts w:ascii="Arial" w:eastAsia="source serif 4" w:hAnsi="Arial" w:cs="Arial"/>
          <w:bCs/>
          <w:color w:val="000000" w:themeColor="text1"/>
          <w:kern w:val="0"/>
          <w:lang w:val="en-US"/>
          <w14:ligatures w14:val="none"/>
        </w:rPr>
        <w:t>nine students enrolled in more than one year and therefore appeared twice.</w:t>
      </w:r>
    </w:p>
    <w:p w14:paraId="69E49270" w14:textId="38D16489" w:rsidR="00C87A20" w:rsidRPr="00874ABF" w:rsidRDefault="00C87A20" w:rsidP="00C87A20">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That </w:t>
      </w:r>
      <w:r w:rsidR="00A46763" w:rsidRPr="00874ABF">
        <w:rPr>
          <w:rFonts w:ascii="Arial" w:eastAsia="source serif 4" w:hAnsi="Arial" w:cs="Arial"/>
          <w:bCs/>
          <w:color w:val="000000" w:themeColor="text1"/>
          <w:kern w:val="0"/>
          <w14:ligatures w14:val="none"/>
        </w:rPr>
        <w:t>difference</w:t>
      </w:r>
      <w:r w:rsidRPr="00874ABF">
        <w:rPr>
          <w:rFonts w:ascii="Arial" w:eastAsia="source serif 4" w:hAnsi="Arial" w:cs="Arial"/>
          <w:bCs/>
          <w:color w:val="000000" w:themeColor="text1"/>
          <w:kern w:val="0"/>
          <w14:ligatures w14:val="none"/>
        </w:rPr>
        <w:t xml:space="preserve"> between records and students is important throughout the analysis because the statistical tests assume that observations are independent, whereas nine students contributed more than one enrolment record. </w:t>
      </w:r>
    </w:p>
    <w:p w14:paraId="7BA5CBB7" w14:textId="1A45268C" w:rsidR="00C87A20" w:rsidRPr="00874ABF" w:rsidRDefault="00C87A20" w:rsidP="00C87A20">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Where a single value per student was required, I used the most recent enrolment record, giving a sample of 159 students. I report both the record-level and student-level sample sizes rather than selecting the figure that best supports a particular result.</w:t>
      </w:r>
    </w:p>
    <w:p w14:paraId="0A77A775" w14:textId="00D2BAC4"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Table 10 deliberately uses all 216 records, because it reports how common SCM records are across the whole population rather than within my analysed group, and using 168 there would make the figure look smaller than it is.</w:t>
      </w:r>
    </w:p>
    <w:p w14:paraId="7CA19420" w14:textId="77777777" w:rsidR="003C2ACF" w:rsidRPr="00874ABF" w:rsidRDefault="003C2ACF" w:rsidP="00142758">
      <w:pPr>
        <w:spacing w:after="120" w:line="360" w:lineRule="auto"/>
        <w:rPr>
          <w:rFonts w:ascii="Arial" w:eastAsia="source serif 4" w:hAnsi="Arial" w:cs="Arial"/>
          <w:bCs/>
          <w:color w:val="000000" w:themeColor="text1"/>
          <w:kern w:val="0"/>
          <w:lang w:val="en-US"/>
          <w14:ligatures w14:val="none"/>
        </w:rPr>
      </w:pPr>
    </w:p>
    <w:p w14:paraId="2B5FEC3A" w14:textId="6BB5A841"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F4. Cleaning </w:t>
      </w:r>
      <w:r w:rsidR="00A46763" w:rsidRPr="00874ABF">
        <w:rPr>
          <w:rFonts w:ascii="Arial" w:eastAsia="source serif 4" w:hAnsi="Arial" w:cs="Arial"/>
          <w:b/>
          <w:color w:val="000000" w:themeColor="text1"/>
          <w:kern w:val="0"/>
          <w:lang w:val="en-US"/>
          <w14:ligatures w14:val="none"/>
        </w:rPr>
        <w:t>the data</w:t>
      </w:r>
      <w:r w:rsidRPr="00874ABF">
        <w:rPr>
          <w:rFonts w:ascii="Arial" w:eastAsia="source serif 4" w:hAnsi="Arial" w:cs="Arial"/>
          <w:b/>
          <w:color w:val="000000" w:themeColor="text1"/>
          <w:kern w:val="0"/>
          <w:lang w:val="en-US"/>
          <w14:ligatures w14:val="none"/>
        </w:rPr>
        <w:t xml:space="preserve"> that </w:t>
      </w:r>
      <w:r w:rsidR="00E03B0A" w:rsidRPr="00874ABF">
        <w:rPr>
          <w:rFonts w:ascii="Arial" w:eastAsia="source serif 4" w:hAnsi="Arial" w:cs="Arial"/>
          <w:b/>
          <w:color w:val="000000" w:themeColor="text1"/>
          <w:kern w:val="0"/>
          <w:lang w:val="en-US"/>
          <w14:ligatures w14:val="none"/>
        </w:rPr>
        <w:t>could affect results</w:t>
      </w:r>
    </w:p>
    <w:p w14:paraId="19F633CE"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 few decisions about how to represent the data would have changed my results if I had made them differently.</w:t>
      </w:r>
    </w:p>
    <w:p w14:paraId="152E2B4C" w14:textId="6DB4C6BC"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 non-submission is not the same as a mark of zero, one is failing the work, the other is not doing it. Treating them the same would have </w:t>
      </w:r>
      <w:r w:rsidR="00E03B0A" w:rsidRPr="00874ABF">
        <w:rPr>
          <w:rFonts w:ascii="Arial" w:eastAsia="source serif 4" w:hAnsi="Arial" w:cs="Arial"/>
          <w:bCs/>
          <w:color w:val="000000" w:themeColor="text1"/>
          <w:kern w:val="0"/>
          <w:lang w:val="en-US"/>
          <w14:ligatures w14:val="none"/>
        </w:rPr>
        <w:t>pulled</w:t>
      </w:r>
      <w:r w:rsidRPr="00874ABF">
        <w:rPr>
          <w:rFonts w:ascii="Arial" w:eastAsia="source serif 4" w:hAnsi="Arial" w:cs="Arial"/>
          <w:bCs/>
          <w:color w:val="000000" w:themeColor="text1"/>
          <w:kern w:val="0"/>
          <w:lang w:val="en-US"/>
          <w14:ligatures w14:val="none"/>
        </w:rPr>
        <w:t xml:space="preserve"> every average down for reasons that have nothing to do with academic quality, so I counted non-submissions separately and worked out mean marks across attempted modules only.</w:t>
      </w:r>
    </w:p>
    <w:p w14:paraId="273FC4B3" w14:textId="77777777" w:rsidR="00142758"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Extenuating circumstances and deferrals record a university decision about a student, not a student failing to engage, so I counted those separately too.</w:t>
      </w:r>
    </w:p>
    <w:p w14:paraId="6760B033" w14:textId="5B0667B4" w:rsidR="003A2661" w:rsidRPr="00874ABF" w:rsidRDefault="00C87A20" w:rsidP="003A2661">
      <w:pPr>
        <w:spacing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Capped and uncapped marks were retained as separate variables. In 35 module cells across 26 records, a capped mark of 40 appeared alongside a higher uncapped mark. Combining these values would have </w:t>
      </w:r>
      <w:r w:rsidR="00E03B0A" w:rsidRPr="00874ABF">
        <w:rPr>
          <w:rFonts w:ascii="Arial" w:eastAsia="source serif 4" w:hAnsi="Arial" w:cs="Arial"/>
          <w:bCs/>
          <w:color w:val="000000" w:themeColor="text1"/>
          <w:kern w:val="0"/>
          <w14:ligatures w14:val="none"/>
        </w:rPr>
        <w:t>confused</w:t>
      </w:r>
      <w:r w:rsidRPr="00874ABF">
        <w:rPr>
          <w:rFonts w:ascii="Arial" w:eastAsia="source serif 4" w:hAnsi="Arial" w:cs="Arial"/>
          <w:bCs/>
          <w:color w:val="000000" w:themeColor="text1"/>
          <w:kern w:val="0"/>
          <w14:ligatures w14:val="none"/>
        </w:rPr>
        <w:t xml:space="preserve"> what the mark represents. I specify which measure was used in each </w:t>
      </w:r>
      <w:proofErr w:type="gramStart"/>
      <w:r w:rsidRPr="00874ABF">
        <w:rPr>
          <w:rFonts w:ascii="Arial" w:eastAsia="source serif 4" w:hAnsi="Arial" w:cs="Arial"/>
          <w:bCs/>
          <w:color w:val="000000" w:themeColor="text1"/>
          <w:kern w:val="0"/>
          <w14:ligatures w14:val="none"/>
        </w:rPr>
        <w:t xml:space="preserve">analysis, </w:t>
      </w:r>
      <w:r w:rsidR="003A2661" w:rsidRPr="00874ABF">
        <w:rPr>
          <w:rFonts w:ascii="Arial" w:eastAsia="source serif 4" w:hAnsi="Arial" w:cs="Arial"/>
          <w:bCs/>
          <w:color w:val="000000" w:themeColor="text1"/>
          <w:kern w:val="0"/>
          <w14:ligatures w14:val="none"/>
        </w:rPr>
        <w:t>but</w:t>
      </w:r>
      <w:proofErr w:type="gramEnd"/>
      <w:r w:rsidR="003A2661" w:rsidRPr="00874ABF">
        <w:rPr>
          <w:rFonts w:ascii="Arial" w:eastAsia="source serif 4" w:hAnsi="Arial" w:cs="Arial"/>
          <w:bCs/>
          <w:color w:val="000000" w:themeColor="text1"/>
          <w:kern w:val="0"/>
          <w14:ligatures w14:val="none"/>
        </w:rPr>
        <w:t xml:space="preserve"> generally use the higher uncapped mark as the better indicator of academic performance. A capped mark may reflect an assessment regulation, such as a late-submission cap, rather than the quality of the work alone.</w:t>
      </w:r>
    </w:p>
    <w:p w14:paraId="7FF01191" w14:textId="03547B2F" w:rsidR="00142758" w:rsidRPr="00874ABF" w:rsidRDefault="00142758" w:rsidP="003A2661">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lastRenderedPageBreak/>
        <w:t>Where a student had no mark for a module, I left the cell empty rather than entering anything, so SPSS would treat it as missing rather than as a score of zero.</w:t>
      </w:r>
    </w:p>
    <w:p w14:paraId="37DEDDB0"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Correcting errors in the original spreadsheet</w:t>
      </w:r>
    </w:p>
    <w:p w14:paraId="024D8D09" w14:textId="52912D4F" w:rsidR="00E03B0A" w:rsidRPr="00874ABF" w:rsidRDefault="003A2661"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original extract also contained data-formatting and coding errors. For example, one mark field contained the value 2025, one gender code was blank, and eight columns had been stored as text rather than in an appropriate numeric or date format. These issues were corrected and documented before analysis</w:t>
      </w:r>
    </w:p>
    <w:p w14:paraId="344E6AD9" w14:textId="77777777" w:rsidR="00E03B0A" w:rsidRPr="00874ABF" w:rsidRDefault="00E03B0A" w:rsidP="00E03B0A">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Building the analysis variables</w:t>
      </w:r>
    </w:p>
    <w:p w14:paraId="3F65CBFE" w14:textId="28769FA3" w:rsidR="00E03B0A" w:rsidRPr="00874ABF" w:rsidRDefault="00E03B0A" w:rsidP="00E03B0A">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 calculated the seven analysis variables in SPSS rather than Excel. These included mean </w:t>
      </w:r>
      <w:proofErr w:type="gramStart"/>
      <w:r w:rsidRPr="00874ABF">
        <w:rPr>
          <w:rFonts w:ascii="Arial" w:eastAsia="source serif 4" w:hAnsi="Arial" w:cs="Arial"/>
          <w:bCs/>
          <w:color w:val="000000" w:themeColor="text1"/>
          <w:kern w:val="0"/>
          <w:lang w:val="en-US"/>
          <w14:ligatures w14:val="none"/>
        </w:rPr>
        <w:t>mark</w:t>
      </w:r>
      <w:proofErr w:type="gramEnd"/>
      <w:r w:rsidRPr="00874ABF">
        <w:rPr>
          <w:rFonts w:ascii="Arial" w:eastAsia="source serif 4" w:hAnsi="Arial" w:cs="Arial"/>
          <w:bCs/>
          <w:color w:val="000000" w:themeColor="text1"/>
          <w:kern w:val="0"/>
          <w:lang w:val="en-US"/>
          <w14:ligatures w14:val="none"/>
        </w:rPr>
        <w:t>, number of modules attempted, and completion of all six modules. I used Transform - Compute Variable, which applies a formula to each included record.</w:t>
      </w:r>
    </w:p>
    <w:p w14:paraId="6C1AC618" w14:textId="77777777" w:rsidR="00E03B0A" w:rsidRPr="00874ABF" w:rsidRDefault="00E03B0A" w:rsidP="00E03B0A">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calculations were kept in the SPSS syntax file, making them easier to check and reproduce than values copied into a separate spreadsheet. The Compute Variable screenshot shows how the variables were set up, and the saved syntax records the exact calculations.</w:t>
      </w:r>
    </w:p>
    <w:p w14:paraId="45FDBD47" w14:textId="17715E26" w:rsidR="00E03B0A" w:rsidRPr="00874ABF" w:rsidRDefault="00E03B0A" w:rsidP="00E03B0A">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For mean mark, I used MEAN.</w:t>
      </w:r>
      <w:proofErr w:type="gramStart"/>
      <w:r w:rsidRPr="00874ABF">
        <w:rPr>
          <w:rFonts w:ascii="Arial" w:eastAsia="source serif 4" w:hAnsi="Arial" w:cs="Arial"/>
          <w:bCs/>
          <w:color w:val="000000" w:themeColor="text1"/>
          <w:kern w:val="0"/>
          <w:lang w:val="en-US"/>
          <w14:ligatures w14:val="none"/>
        </w:rPr>
        <w:t>1 ,</w:t>
      </w:r>
      <w:proofErr w:type="gramEnd"/>
      <w:r w:rsidRPr="00874ABF">
        <w:rPr>
          <w:rFonts w:ascii="Arial" w:eastAsia="source serif 4" w:hAnsi="Arial" w:cs="Arial"/>
          <w:bCs/>
          <w:color w:val="000000" w:themeColor="text1"/>
          <w:kern w:val="0"/>
          <w:lang w:val="en-US"/>
          <w14:ligatures w14:val="none"/>
        </w:rPr>
        <w:t xml:space="preserve"> which produces a result only when a student had at least one valid mark. Students with no marks therefore had no mean mark, rather than a low average. This meant that mean-mark analyses used 151 records; 17 of the 168 analysed records had no marks.</w:t>
      </w:r>
    </w:p>
    <w:p w14:paraId="6A6C00F6" w14:textId="77777777" w:rsidR="00E03B0A" w:rsidRPr="00874ABF" w:rsidRDefault="00E03B0A" w:rsidP="00142758">
      <w:pPr>
        <w:spacing w:after="120" w:line="360" w:lineRule="auto"/>
        <w:rPr>
          <w:rFonts w:ascii="Arial" w:eastAsia="source serif 4" w:hAnsi="Arial" w:cs="Arial"/>
          <w:b/>
          <w:color w:val="000000" w:themeColor="text1"/>
          <w:kern w:val="0"/>
          <w:lang w:val="en-US"/>
          <w14:ligatures w14:val="none"/>
        </w:rPr>
      </w:pPr>
    </w:p>
    <w:p w14:paraId="48A733B1" w14:textId="73359A43"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F5. Preparing Excel Data for SPSS</w:t>
      </w:r>
    </w:p>
    <w:p w14:paraId="384EE2AF" w14:textId="455B1F1A" w:rsidR="00456A07" w:rsidRPr="00874ABF" w:rsidRDefault="00142758" w:rsidP="00142758">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Before importing, I set the spreadsheet up as one row per enrolment record and one column per variable, with a single row of headings. Inside SPSS I then gave every variable a name, a plain-English label, labels for each numeric code, a measurement level and a rule for what counts as missing. </w:t>
      </w:r>
    </w:p>
    <w:p w14:paraId="0172D64E"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Selecting the cases I wanted to </w:t>
      </w:r>
      <w:proofErr w:type="spellStart"/>
      <w:r w:rsidRPr="00874ABF">
        <w:rPr>
          <w:rFonts w:ascii="Arial" w:eastAsia="source serif 4" w:hAnsi="Arial" w:cs="Arial"/>
          <w:b/>
          <w:color w:val="000000" w:themeColor="text1"/>
          <w:kern w:val="0"/>
          <w:lang w:val="en-US"/>
          <w14:ligatures w14:val="none"/>
        </w:rPr>
        <w:t>analyse</w:t>
      </w:r>
      <w:proofErr w:type="spellEnd"/>
    </w:p>
    <w:p w14:paraId="463E0D16" w14:textId="6260DC73" w:rsidR="009C4502" w:rsidRPr="00874ABF" w:rsidRDefault="009C4502" w:rsidP="009C4502">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 xml:space="preserve">I started with 216 records, but only 168 met the inclusion rules. Rather than deleting the other 48, I used </w:t>
      </w:r>
      <w:r w:rsidRPr="00874ABF">
        <w:rPr>
          <w:rFonts w:ascii="Arial" w:eastAsia="source serif 4" w:hAnsi="Arial" w:cs="Arial"/>
          <w:color w:val="000000" w:themeColor="text1"/>
          <w:kern w:val="0"/>
          <w14:ligatures w14:val="none"/>
        </w:rPr>
        <w:t>Data - Select Cases</w:t>
      </w:r>
      <w:r w:rsidRPr="00874ABF">
        <w:rPr>
          <w:rFonts w:ascii="Arial" w:eastAsia="source serif 4" w:hAnsi="Arial" w:cs="Arial"/>
          <w:bCs/>
          <w:color w:val="000000" w:themeColor="text1"/>
          <w:kern w:val="0"/>
          <w14:ligatures w14:val="none"/>
        </w:rPr>
        <w:t xml:space="preserve"> in SPSS to filter them out using </w:t>
      </w:r>
      <w:proofErr w:type="spellStart"/>
      <w:r w:rsidR="00E03B0A" w:rsidRPr="00874ABF">
        <w:rPr>
          <w:rFonts w:ascii="Arial" w:eastAsia="source serif 4" w:hAnsi="Arial" w:cs="Arial"/>
          <w:bCs/>
          <w:color w:val="000000" w:themeColor="text1"/>
          <w:kern w:val="0"/>
          <w14:ligatures w14:val="none"/>
        </w:rPr>
        <w:t>Include_in_Analysis</w:t>
      </w:r>
      <w:proofErr w:type="spellEnd"/>
      <w:r w:rsidR="00E03B0A" w:rsidRPr="00874ABF">
        <w:rPr>
          <w:rFonts w:ascii="Arial" w:eastAsia="source serif 4" w:hAnsi="Arial" w:cs="Arial"/>
          <w:bCs/>
          <w:color w:val="000000" w:themeColor="text1"/>
          <w:kern w:val="0"/>
          <w14:ligatures w14:val="none"/>
        </w:rPr>
        <w:t xml:space="preserve"> = 1.</w:t>
      </w:r>
    </w:p>
    <w:p w14:paraId="5588DFBB" w14:textId="77777777" w:rsidR="009C4502" w:rsidRPr="00874ABF" w:rsidRDefault="009C4502" w:rsidP="009C4502">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lastRenderedPageBreak/>
        <w:t>This kept all records and exclusion reasons visible in one file, while ensuring that the analyses used only the 168 included records. The excluded rows remained in the dataset but were not included in calculations</w:t>
      </w:r>
    </w:p>
    <w:p w14:paraId="60CC2901"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134DF145" w14:textId="11A5DC0C"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F6. T</w:t>
      </w:r>
      <w:r w:rsidR="00A46763" w:rsidRPr="00874ABF">
        <w:rPr>
          <w:rFonts w:ascii="Arial" w:eastAsia="source serif 4" w:hAnsi="Arial" w:cs="Arial"/>
          <w:b/>
          <w:color w:val="000000" w:themeColor="text1"/>
          <w:kern w:val="0"/>
          <w:lang w:val="en-US"/>
          <w14:ligatures w14:val="none"/>
        </w:rPr>
        <w:t>wo</w:t>
      </w:r>
      <w:r w:rsidRPr="00874ABF">
        <w:rPr>
          <w:rFonts w:ascii="Arial" w:eastAsia="source serif 4" w:hAnsi="Arial" w:cs="Arial"/>
          <w:b/>
          <w:color w:val="000000" w:themeColor="text1"/>
          <w:kern w:val="0"/>
          <w:lang w:val="en-US"/>
          <w14:ligatures w14:val="none"/>
        </w:rPr>
        <w:t xml:space="preserve"> analyses I planned and then did not use</w:t>
      </w:r>
    </w:p>
    <w:p w14:paraId="3E977E01" w14:textId="37C12D90" w:rsidR="00A46763" w:rsidRPr="00874ABF" w:rsidRDefault="00A46763" w:rsidP="00A46763">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T</w:t>
      </w:r>
      <w:r w:rsidR="005172A3">
        <w:rPr>
          <w:rFonts w:ascii="Arial" w:eastAsia="source serif 4" w:hAnsi="Arial" w:cs="Arial"/>
          <w:bCs/>
          <w:color w:val="000000" w:themeColor="text1"/>
          <w:kern w:val="0"/>
          <w14:ligatures w14:val="none"/>
        </w:rPr>
        <w:t>wo</w:t>
      </w:r>
      <w:r w:rsidRPr="00874ABF">
        <w:rPr>
          <w:rFonts w:ascii="Arial" w:eastAsia="source serif 4" w:hAnsi="Arial" w:cs="Arial"/>
          <w:bCs/>
          <w:color w:val="000000" w:themeColor="text1"/>
          <w:kern w:val="0"/>
          <w14:ligatures w14:val="none"/>
        </w:rPr>
        <w:t xml:space="preserve"> analyses were considered but not carried out because the available data could not support them. I report these decisions because they show the limits of the evidence.</w:t>
      </w:r>
    </w:p>
    <w:p w14:paraId="5864517D" w14:textId="77777777" w:rsidR="00A46763" w:rsidRPr="00874ABF" w:rsidRDefault="00A46763" w:rsidP="00A46763">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First, I considered comparing marks before and after the date of an SCM record. Learner Support confirmed that this date showed when the record was created during an administrative review, not necessarily when support or adjustments began. Only two records had marks both before and after the recorded date. One had capped marks throughout, leaving only one usable record. A before-and-after comparison was therefore not possible.</w:t>
      </w:r>
    </w:p>
    <w:p w14:paraId="54D1F84E" w14:textId="6395CF16" w:rsidR="00A46763" w:rsidRPr="00874ABF" w:rsidRDefault="00A46763" w:rsidP="00A46763">
      <w:pPr>
        <w:spacing w:after="120" w:line="360" w:lineRule="auto"/>
        <w:rPr>
          <w:rFonts w:ascii="Arial" w:eastAsia="source serif 4" w:hAnsi="Arial" w:cs="Arial"/>
          <w:bCs/>
          <w:color w:val="000000" w:themeColor="text1"/>
          <w:kern w:val="0"/>
          <w14:ligatures w14:val="none"/>
        </w:rPr>
      </w:pPr>
      <w:r w:rsidRPr="00874ABF">
        <w:rPr>
          <w:rFonts w:ascii="Arial" w:eastAsia="source serif 4" w:hAnsi="Arial" w:cs="Arial"/>
          <w:bCs/>
          <w:color w:val="000000" w:themeColor="text1"/>
          <w:kern w:val="0"/>
          <w14:ligatures w14:val="none"/>
        </w:rPr>
        <w:t>Second, I considered comparing outcomes for records with and without an SCM. Only 12 of the 168 analysed records had an SCM</w:t>
      </w:r>
      <w:r w:rsidR="00C96EEE">
        <w:rPr>
          <w:rFonts w:ascii="Arial" w:eastAsia="source serif 4" w:hAnsi="Arial" w:cs="Arial"/>
          <w:bCs/>
          <w:color w:val="000000" w:themeColor="text1"/>
          <w:kern w:val="0"/>
          <w14:ligatures w14:val="none"/>
        </w:rPr>
        <w:t xml:space="preserve">, </w:t>
      </w:r>
      <w:r w:rsidR="00C96EEE" w:rsidRPr="00C96EEE">
        <w:rPr>
          <w:rFonts w:ascii="Arial" w:eastAsia="source serif 4" w:hAnsi="Arial" w:cs="Arial"/>
          <w:bCs/>
          <w:color w:val="000000" w:themeColor="text1"/>
          <w:kern w:val="0"/>
          <w14:ligatures w14:val="none"/>
        </w:rPr>
        <w:t>so I did not compare records with and without an SCM</w:t>
      </w:r>
      <w:r w:rsidR="00C96EEE">
        <w:rPr>
          <w:rFonts w:ascii="Arial" w:eastAsia="source serif 4" w:hAnsi="Arial" w:cs="Arial"/>
          <w:bCs/>
          <w:color w:val="000000" w:themeColor="text1"/>
          <w:kern w:val="0"/>
          <w14:ligatures w14:val="none"/>
        </w:rPr>
        <w:t xml:space="preserve">. </w:t>
      </w:r>
      <w:r w:rsidRPr="00874ABF">
        <w:rPr>
          <w:rFonts w:ascii="Arial" w:eastAsia="source serif 4" w:hAnsi="Arial" w:cs="Arial"/>
          <w:bCs/>
          <w:color w:val="000000" w:themeColor="text1"/>
          <w:kern w:val="0"/>
          <w14:ligatures w14:val="none"/>
        </w:rPr>
        <w:t>SCM findings are therefore reported descriptively as counts, percentages, and dates.</w:t>
      </w:r>
    </w:p>
    <w:p w14:paraId="44B98331"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p>
    <w:p w14:paraId="1BEAC772" w14:textId="77777777" w:rsidR="00142758" w:rsidRPr="00874ABF" w:rsidRDefault="00142758" w:rsidP="00142758">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F7. Choosing a test for each hypothesis</w:t>
      </w:r>
    </w:p>
    <w:p w14:paraId="234786F6" w14:textId="47B3A683" w:rsidR="009C4502" w:rsidRPr="00874ABF" w:rsidRDefault="009C4502" w:rsidP="009C4502">
      <w:pPr>
        <w:spacing w:after="0" w:line="360" w:lineRule="auto"/>
        <w:rPr>
          <w:rFonts w:ascii="Arial" w:eastAsia="Aptos" w:hAnsi="Arial" w:cs="Arial"/>
          <w:color w:val="000000" w:themeColor="text1"/>
        </w:rPr>
      </w:pPr>
      <w:r w:rsidRPr="00874ABF">
        <w:rPr>
          <w:rFonts w:ascii="Arial" w:eastAsia="Aptos" w:hAnsi="Arial" w:cs="Arial"/>
          <w:color w:val="000000" w:themeColor="text1"/>
        </w:rPr>
        <w:t xml:space="preserve">I chose each test based on four things: the type of variables, the number of groups, whether the observations came from different people or the same people measured twice, and whether the data met the test assumptions. These decisions were made before </w:t>
      </w:r>
      <w:r w:rsidR="0094510C" w:rsidRPr="00874ABF">
        <w:rPr>
          <w:rFonts w:ascii="Arial" w:eastAsia="Aptos" w:hAnsi="Arial" w:cs="Arial"/>
          <w:color w:val="000000" w:themeColor="text1"/>
        </w:rPr>
        <w:t>seeing</w:t>
      </w:r>
      <w:r w:rsidRPr="00874ABF">
        <w:rPr>
          <w:rFonts w:ascii="Arial" w:eastAsia="Aptos" w:hAnsi="Arial" w:cs="Arial"/>
          <w:color w:val="000000" w:themeColor="text1"/>
        </w:rPr>
        <w:t xml:space="preserve"> the results.</w:t>
      </w:r>
    </w:p>
    <w:p w14:paraId="072A5D0C" w14:textId="77777777" w:rsidR="009C4502" w:rsidRPr="00874ABF" w:rsidRDefault="009C4502" w:rsidP="009C4502">
      <w:pPr>
        <w:spacing w:after="0" w:line="360" w:lineRule="auto"/>
        <w:rPr>
          <w:rFonts w:ascii="Arial" w:eastAsia="Aptos" w:hAnsi="Arial" w:cs="Arial"/>
          <w:color w:val="000000" w:themeColor="text1"/>
        </w:rPr>
      </w:pPr>
    </w:p>
    <w:p w14:paraId="3E2EA2AF" w14:textId="7FB4EB7C" w:rsidR="00142758" w:rsidRPr="00874ABF" w:rsidRDefault="009C4502" w:rsidP="00FA330E">
      <w:pPr>
        <w:spacing w:after="0" w:line="360" w:lineRule="auto"/>
        <w:rPr>
          <w:rFonts w:ascii="Arial" w:eastAsia="Aptos" w:hAnsi="Arial" w:cs="Arial"/>
          <w:color w:val="000000" w:themeColor="text1"/>
        </w:rPr>
        <w:sectPr w:rsidR="00142758" w:rsidRPr="00874ABF" w:rsidSect="00142758">
          <w:pgSz w:w="11906" w:h="16838"/>
          <w:pgMar w:top="1440" w:right="1440" w:bottom="1440" w:left="1440" w:header="709" w:footer="709" w:gutter="0"/>
          <w:cols w:space="720"/>
        </w:sectPr>
      </w:pPr>
      <w:r w:rsidRPr="00874ABF">
        <w:rPr>
          <w:rFonts w:ascii="Arial" w:eastAsia="Aptos" w:hAnsi="Arial" w:cs="Arial"/>
          <w:color w:val="000000" w:themeColor="text1"/>
        </w:rPr>
        <w:t>The final point determined whether a parametric or non-parametric test was appropriate. Parametric tests usually assume that data are reasonably normally distributed, while non-parametric tests use the ranked order of values and make fewer distributional assumptions. Parametric tests are more powerful when their assumptions are met, but non-parametric tests are safer when those assumptions are not met (Field, 2024</w:t>
      </w:r>
      <w:r w:rsidR="00D76070">
        <w:rPr>
          <w:rFonts w:ascii="Arial" w:eastAsia="Aptos" w:hAnsi="Arial" w:cs="Arial"/>
          <w:color w:val="000000" w:themeColor="text1"/>
        </w:rPr>
        <w:t>).</w:t>
      </w:r>
    </w:p>
    <w:p w14:paraId="62D34A3E" w14:textId="15E98FD3" w:rsidR="009C4502" w:rsidRPr="005172A3" w:rsidRDefault="0094510C" w:rsidP="009C4502">
      <w:pPr>
        <w:shd w:val="clear" w:color="auto" w:fill="FFFFFF"/>
        <w:spacing w:after="0" w:line="240" w:lineRule="auto"/>
        <w:rPr>
          <w:rFonts w:ascii="Arial" w:eastAsia="Times New Roman" w:hAnsi="Arial" w:cs="Arial"/>
          <w:vanish/>
          <w:color w:val="000000" w:themeColor="text1"/>
          <w:kern w:val="0"/>
          <w:sz w:val="20"/>
          <w:szCs w:val="20"/>
          <w:lang w:eastAsia="en-GB"/>
          <w14:ligatures w14:val="none"/>
        </w:rPr>
      </w:pPr>
      <w:r w:rsidRPr="005172A3">
        <w:rPr>
          <w:rFonts w:ascii="Arial" w:eastAsia="Times New Roman" w:hAnsi="Arial" w:cs="Arial"/>
          <w:vanish/>
          <w:color w:val="000000" w:themeColor="text1"/>
          <w:kern w:val="0"/>
          <w:sz w:val="20"/>
          <w:szCs w:val="20"/>
          <w:lang w:eastAsia="en-GB"/>
          <w14:ligatures w14:val="none"/>
        </w:rPr>
        <w:lastRenderedPageBreak/>
        <w:t>The table below summarises the question behind each hypothesis, the checks completed, the available test options, and the reason for the final test choice.</w:t>
      </w:r>
    </w:p>
    <w:tbl>
      <w:tblPr>
        <w:tblStyle w:val="TableGridLight1"/>
        <w:tblpPr w:leftFromText="180" w:rightFromText="180" w:vertAnchor="page" w:horzAnchor="margin" w:tblpY="1854"/>
        <w:tblW w:w="5156" w:type="pct"/>
        <w:tblInd w:w="0" w:type="dxa"/>
        <w:tblLook w:val="04A0" w:firstRow="1" w:lastRow="0" w:firstColumn="1" w:lastColumn="0" w:noHBand="0" w:noVBand="1"/>
      </w:tblPr>
      <w:tblGrid>
        <w:gridCol w:w="538"/>
        <w:gridCol w:w="2583"/>
        <w:gridCol w:w="1830"/>
        <w:gridCol w:w="3662"/>
        <w:gridCol w:w="2252"/>
        <w:gridCol w:w="3518"/>
      </w:tblGrid>
      <w:tr w:rsidR="005172A3" w:rsidRPr="00874ABF" w14:paraId="5600BDCC" w14:textId="77777777" w:rsidTr="005172A3">
        <w:trPr>
          <w:trHeight w:val="580"/>
        </w:trPr>
        <w:tc>
          <w:tcPr>
            <w:tcW w:w="187" w:type="pct"/>
            <w:shd w:val="clear" w:color="auto" w:fill="0C3512" w:themeFill="accent3" w:themeFillShade="80"/>
            <w:hideMark/>
          </w:tcPr>
          <w:p w14:paraId="49C06678"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H</w:t>
            </w:r>
          </w:p>
        </w:tc>
        <w:tc>
          <w:tcPr>
            <w:tcW w:w="898" w:type="pct"/>
            <w:shd w:val="clear" w:color="auto" w:fill="0C3512" w:themeFill="accent3" w:themeFillShade="80"/>
            <w:hideMark/>
          </w:tcPr>
          <w:p w14:paraId="7527F7CF"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What I wanted to find out</w:t>
            </w:r>
          </w:p>
        </w:tc>
        <w:tc>
          <w:tcPr>
            <w:tcW w:w="636" w:type="pct"/>
            <w:shd w:val="clear" w:color="auto" w:fill="0C3512" w:themeFill="accent3" w:themeFillShade="80"/>
            <w:hideMark/>
          </w:tcPr>
          <w:p w14:paraId="195AC7D2"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Variables and design</w:t>
            </w:r>
          </w:p>
        </w:tc>
        <w:tc>
          <w:tcPr>
            <w:tcW w:w="1273" w:type="pct"/>
            <w:shd w:val="clear" w:color="auto" w:fill="0C3512" w:themeFill="accent3" w:themeFillShade="80"/>
            <w:hideMark/>
          </w:tcPr>
          <w:p w14:paraId="4AB09470"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What I checked</w:t>
            </w:r>
          </w:p>
        </w:tc>
        <w:tc>
          <w:tcPr>
            <w:tcW w:w="783" w:type="pct"/>
            <w:shd w:val="clear" w:color="auto" w:fill="0C3512" w:themeFill="accent3" w:themeFillShade="80"/>
            <w:hideMark/>
          </w:tcPr>
          <w:p w14:paraId="733B5BA9"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Options considered</w:t>
            </w:r>
          </w:p>
        </w:tc>
        <w:tc>
          <w:tcPr>
            <w:tcW w:w="1223" w:type="pct"/>
            <w:shd w:val="clear" w:color="auto" w:fill="0C3512" w:themeFill="accent3" w:themeFillShade="80"/>
            <w:hideMark/>
          </w:tcPr>
          <w:p w14:paraId="47384D78" w14:textId="77777777" w:rsidR="005172A3" w:rsidRPr="00874ABF" w:rsidRDefault="005172A3" w:rsidP="005172A3">
            <w:pPr>
              <w:spacing w:line="240" w:lineRule="auto"/>
              <w:rPr>
                <w:rFonts w:ascii="Arial" w:eastAsia="Times New Roman" w:hAnsi="Arial" w:cs="Arial"/>
                <w:b/>
                <w:bCs/>
                <w:color w:val="FFFFFF" w:themeColor="background1"/>
                <w:kern w:val="0"/>
                <w:lang w:eastAsia="en-GB"/>
                <w14:ligatures w14:val="none"/>
              </w:rPr>
            </w:pPr>
            <w:r w:rsidRPr="00874ABF">
              <w:rPr>
                <w:rFonts w:ascii="Arial" w:eastAsia="Times New Roman" w:hAnsi="Arial" w:cs="Arial"/>
                <w:b/>
                <w:bCs/>
                <w:color w:val="FFFFFF" w:themeColor="background1"/>
                <w:kern w:val="0"/>
                <w:lang w:eastAsia="en-GB"/>
                <w14:ligatures w14:val="none"/>
              </w:rPr>
              <w:t>Test chosen and why</w:t>
            </w:r>
          </w:p>
        </w:tc>
      </w:tr>
      <w:tr w:rsidR="005172A3" w:rsidRPr="00874ABF" w14:paraId="153E3FF4" w14:textId="77777777" w:rsidTr="005172A3">
        <w:trPr>
          <w:trHeight w:val="1214"/>
        </w:trPr>
        <w:tc>
          <w:tcPr>
            <w:tcW w:w="187" w:type="pct"/>
            <w:shd w:val="clear" w:color="auto" w:fill="D9D9D9" w:themeFill="background1" w:themeFillShade="D9"/>
            <w:vAlign w:val="center"/>
            <w:hideMark/>
          </w:tcPr>
          <w:p w14:paraId="757E26B4" w14:textId="77777777" w:rsidR="005172A3" w:rsidRPr="00874ABF" w:rsidRDefault="005172A3" w:rsidP="005172A3">
            <w:pPr>
              <w:spacing w:line="240" w:lineRule="auto"/>
              <w:rPr>
                <w:rFonts w:ascii="Arial" w:eastAsia="Times New Roman" w:hAnsi="Arial" w:cs="Arial"/>
                <w:b/>
                <w:bCs/>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H1</w:t>
            </w:r>
          </w:p>
        </w:tc>
        <w:tc>
          <w:tcPr>
            <w:tcW w:w="898" w:type="pct"/>
            <w:vAlign w:val="center"/>
            <w:hideMark/>
          </w:tcPr>
          <w:p w14:paraId="039FC14E" w14:textId="77777777" w:rsidR="005172A3" w:rsidRPr="00E549CE" w:rsidRDefault="005172A3" w:rsidP="005172A3">
            <w:pPr>
              <w:spacing w:line="240" w:lineRule="auto"/>
              <w:rPr>
                <w:rFonts w:ascii="Arial" w:eastAsia="Times New Roman" w:hAnsi="Arial" w:cs="Arial"/>
                <w:b/>
                <w:bCs/>
                <w:color w:val="000000" w:themeColor="text1"/>
                <w:kern w:val="0"/>
                <w:sz w:val="20"/>
                <w:szCs w:val="20"/>
                <w:lang w:eastAsia="en-GB"/>
                <w14:ligatures w14:val="none"/>
              </w:rPr>
            </w:pPr>
            <w:r w:rsidRPr="00E549CE">
              <w:rPr>
                <w:rFonts w:ascii="Arial" w:eastAsia="Times New Roman" w:hAnsi="Arial" w:cs="Arial"/>
                <w:b/>
                <w:bCs/>
                <w:color w:val="000000" w:themeColor="text1"/>
                <w:kern w:val="0"/>
                <w:sz w:val="20"/>
                <w:szCs w:val="20"/>
                <w:lang w:eastAsia="en-GB"/>
                <w14:ligatures w14:val="none"/>
              </w:rPr>
              <w:t>Whether having a recorded Module 1 mark was associated with completing Modules 2–6</w:t>
            </w:r>
          </w:p>
        </w:tc>
        <w:tc>
          <w:tcPr>
            <w:tcW w:w="636" w:type="pct"/>
            <w:vAlign w:val="center"/>
            <w:hideMark/>
          </w:tcPr>
          <w:p w14:paraId="22C76ED5"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Two yes/no variables</w:t>
            </w:r>
          </w:p>
        </w:tc>
        <w:tc>
          <w:tcPr>
            <w:tcW w:w="1273" w:type="pct"/>
            <w:vAlign w:val="center"/>
          </w:tcPr>
          <w:p w14:paraId="57F39C45" w14:textId="77777777" w:rsidR="005172A3" w:rsidRPr="00874ABF" w:rsidRDefault="005172A3" w:rsidP="005172A3">
            <w:pPr>
              <w:spacing w:line="240" w:lineRule="auto"/>
              <w:rPr>
                <w:rFonts w:ascii="Arial" w:eastAsia="Times New Roman" w:hAnsi="Arial" w:cs="Arial"/>
                <w:color w:val="000000" w:themeColor="text1"/>
                <w:kern w:val="0"/>
                <w:sz w:val="18"/>
                <w:szCs w:val="18"/>
                <w:lang w:eastAsia="en-GB"/>
                <w14:ligatures w14:val="none"/>
              </w:rPr>
            </w:pPr>
            <w:r>
              <w:rPr>
                <w:rFonts w:ascii="Arial" w:hAnsi="Arial" w:cs="Arial"/>
                <w:color w:val="000000" w:themeColor="text1"/>
                <w:sz w:val="18"/>
                <w:szCs w:val="18"/>
              </w:rPr>
              <w:t>E</w:t>
            </w:r>
            <w:r w:rsidRPr="00874ABF">
              <w:rPr>
                <w:rFonts w:ascii="Arial" w:hAnsi="Arial" w:cs="Arial"/>
                <w:color w:val="000000" w:themeColor="text1"/>
                <w:sz w:val="18"/>
                <w:szCs w:val="18"/>
              </w:rPr>
              <w:t>xpected cell counts were sufficient; the smallest was 13.57.</w:t>
            </w:r>
          </w:p>
        </w:tc>
        <w:tc>
          <w:tcPr>
            <w:tcW w:w="783" w:type="pct"/>
            <w:vAlign w:val="center"/>
          </w:tcPr>
          <w:p w14:paraId="37BEFA6E"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hAnsi="Arial" w:cs="Arial"/>
                <w:color w:val="000000" w:themeColor="text1"/>
                <w:sz w:val="20"/>
                <w:szCs w:val="20"/>
              </w:rPr>
              <w:t>Chi-square; Fisher’s exact test if expected counts were too small</w:t>
            </w:r>
          </w:p>
        </w:tc>
        <w:tc>
          <w:tcPr>
            <w:tcW w:w="1223" w:type="pct"/>
            <w:vAlign w:val="center"/>
            <w:hideMark/>
          </w:tcPr>
          <w:p w14:paraId="349A0F00"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Chi-square test with Yates’s continuity correction: 2×2 table and expected counts were sufficient.</w:t>
            </w:r>
          </w:p>
        </w:tc>
      </w:tr>
      <w:tr w:rsidR="005172A3" w:rsidRPr="00874ABF" w14:paraId="2F4269A6" w14:textId="77777777" w:rsidTr="005172A3">
        <w:trPr>
          <w:trHeight w:val="2177"/>
        </w:trPr>
        <w:tc>
          <w:tcPr>
            <w:tcW w:w="187" w:type="pct"/>
            <w:shd w:val="clear" w:color="auto" w:fill="D9D9D9" w:themeFill="background1" w:themeFillShade="D9"/>
            <w:vAlign w:val="center"/>
            <w:hideMark/>
          </w:tcPr>
          <w:p w14:paraId="10283C06" w14:textId="77777777" w:rsidR="005172A3" w:rsidRPr="00874ABF" w:rsidRDefault="005172A3" w:rsidP="005172A3">
            <w:pPr>
              <w:spacing w:line="240" w:lineRule="auto"/>
              <w:rPr>
                <w:rFonts w:ascii="Arial" w:eastAsia="Times New Roman" w:hAnsi="Arial" w:cs="Arial"/>
                <w:b/>
                <w:bCs/>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H2</w:t>
            </w:r>
          </w:p>
        </w:tc>
        <w:tc>
          <w:tcPr>
            <w:tcW w:w="898" w:type="pct"/>
            <w:vAlign w:val="center"/>
            <w:hideMark/>
          </w:tcPr>
          <w:p w14:paraId="7293777C" w14:textId="77777777" w:rsidR="005172A3" w:rsidRPr="00E549CE" w:rsidRDefault="005172A3" w:rsidP="005172A3">
            <w:pPr>
              <w:spacing w:line="240" w:lineRule="auto"/>
              <w:rPr>
                <w:rFonts w:ascii="Arial" w:eastAsia="Times New Roman" w:hAnsi="Arial" w:cs="Arial"/>
                <w:b/>
                <w:bCs/>
                <w:color w:val="000000" w:themeColor="text1"/>
                <w:kern w:val="0"/>
                <w:sz w:val="20"/>
                <w:szCs w:val="20"/>
                <w:lang w:eastAsia="en-GB"/>
                <w14:ligatures w14:val="none"/>
              </w:rPr>
            </w:pPr>
            <w:r w:rsidRPr="00E549CE">
              <w:rPr>
                <w:rFonts w:ascii="Arial" w:eastAsia="Times New Roman" w:hAnsi="Arial" w:cs="Arial"/>
                <w:b/>
                <w:bCs/>
                <w:color w:val="000000" w:themeColor="text1"/>
                <w:kern w:val="0"/>
                <w:sz w:val="20"/>
                <w:szCs w:val="20"/>
                <w:lang w:eastAsia="en-GB"/>
                <w14:ligatures w14:val="none"/>
              </w:rPr>
              <w:t>Whether mean marks differed between single-year and repeat-enrolment records</w:t>
            </w:r>
          </w:p>
        </w:tc>
        <w:tc>
          <w:tcPr>
            <w:tcW w:w="636" w:type="pct"/>
            <w:vAlign w:val="center"/>
            <w:hideMark/>
          </w:tcPr>
          <w:p w14:paraId="1E5BD0ED"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Two independent groups and one continuous outcome</w:t>
            </w:r>
          </w:p>
        </w:tc>
        <w:tc>
          <w:tcPr>
            <w:tcW w:w="1273" w:type="pct"/>
            <w:vAlign w:val="center"/>
          </w:tcPr>
          <w:p w14:paraId="436AD7C2" w14:textId="77777777" w:rsidR="005172A3" w:rsidRPr="00874ABF" w:rsidRDefault="005172A3" w:rsidP="005172A3">
            <w:pPr>
              <w:spacing w:line="240" w:lineRule="auto"/>
              <w:rPr>
                <w:rFonts w:ascii="Arial" w:hAnsi="Arial" w:cs="Arial"/>
                <w:color w:val="000000" w:themeColor="text1"/>
                <w:sz w:val="18"/>
                <w:szCs w:val="18"/>
              </w:rPr>
            </w:pPr>
            <w:r w:rsidRPr="00874ABF">
              <w:rPr>
                <w:rFonts w:ascii="Arial" w:hAnsi="Arial" w:cs="Arial"/>
                <w:color w:val="000000" w:themeColor="text1"/>
                <w:sz w:val="18"/>
                <w:szCs w:val="18"/>
              </w:rPr>
              <w:t>Marks in both groups were checked for approximate normality. The single-year group showed some low-score scores, but its large sample (n=126) meant the t-test considered appropriate.</w:t>
            </w:r>
          </w:p>
          <w:p w14:paraId="74E40823" w14:textId="77777777" w:rsidR="005172A3" w:rsidRPr="00874ABF" w:rsidRDefault="005172A3" w:rsidP="005172A3">
            <w:pPr>
              <w:spacing w:line="240" w:lineRule="auto"/>
              <w:rPr>
                <w:rFonts w:ascii="Arial" w:hAnsi="Arial" w:cs="Arial"/>
                <w:color w:val="000000" w:themeColor="text1"/>
                <w:sz w:val="18"/>
                <w:szCs w:val="18"/>
              </w:rPr>
            </w:pPr>
          </w:p>
          <w:p w14:paraId="6B191EAC" w14:textId="77777777" w:rsidR="005172A3" w:rsidRPr="00874ABF" w:rsidRDefault="005172A3" w:rsidP="005172A3">
            <w:pPr>
              <w:spacing w:line="240" w:lineRule="auto"/>
              <w:rPr>
                <w:rFonts w:ascii="Arial" w:hAnsi="Arial" w:cs="Arial"/>
                <w:color w:val="000000" w:themeColor="text1"/>
                <w:sz w:val="18"/>
                <w:szCs w:val="18"/>
              </w:rPr>
            </w:pPr>
            <w:r w:rsidRPr="00874ABF">
              <w:rPr>
                <w:rFonts w:ascii="Arial" w:hAnsi="Arial" w:cs="Arial"/>
                <w:color w:val="000000" w:themeColor="text1"/>
                <w:sz w:val="18"/>
                <w:szCs w:val="18"/>
              </w:rPr>
              <w:t>The repeat-enrolment group was approximately normal. Levene’s test was non-significant (p=.077), so no evidence of unequal variances.</w:t>
            </w:r>
          </w:p>
        </w:tc>
        <w:tc>
          <w:tcPr>
            <w:tcW w:w="783" w:type="pct"/>
            <w:vAlign w:val="center"/>
          </w:tcPr>
          <w:p w14:paraId="3DBAA558"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hAnsi="Arial" w:cs="Arial"/>
                <w:color w:val="000000" w:themeColor="text1"/>
                <w:sz w:val="20"/>
                <w:szCs w:val="20"/>
              </w:rPr>
              <w:t>Independent-samples t-test; Welch’s t-test if variances were unequal; Mann–Whitney U if parametric assumptions were unsuitable</w:t>
            </w:r>
          </w:p>
        </w:tc>
        <w:tc>
          <w:tcPr>
            <w:tcW w:w="1223" w:type="pct"/>
            <w:vAlign w:val="center"/>
            <w:hideMark/>
          </w:tcPr>
          <w:p w14:paraId="3C65FA5C"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Independent-samples t-test: assumptions were met. Hedges’s g was reported as the effect size because the groups were unequal in size.</w:t>
            </w:r>
          </w:p>
        </w:tc>
      </w:tr>
      <w:tr w:rsidR="005172A3" w:rsidRPr="00874ABF" w14:paraId="2695D149" w14:textId="77777777" w:rsidTr="005172A3">
        <w:trPr>
          <w:trHeight w:val="1082"/>
        </w:trPr>
        <w:tc>
          <w:tcPr>
            <w:tcW w:w="187" w:type="pct"/>
            <w:shd w:val="clear" w:color="auto" w:fill="D9D9D9" w:themeFill="background1" w:themeFillShade="D9"/>
            <w:vAlign w:val="center"/>
            <w:hideMark/>
          </w:tcPr>
          <w:p w14:paraId="21DBD10F" w14:textId="77777777" w:rsidR="005172A3" w:rsidRPr="00874ABF" w:rsidRDefault="005172A3" w:rsidP="005172A3">
            <w:pPr>
              <w:spacing w:line="240" w:lineRule="auto"/>
              <w:rPr>
                <w:rFonts w:ascii="Arial" w:eastAsia="Times New Roman" w:hAnsi="Arial" w:cs="Arial"/>
                <w:b/>
                <w:bCs/>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H3</w:t>
            </w:r>
          </w:p>
        </w:tc>
        <w:tc>
          <w:tcPr>
            <w:tcW w:w="898" w:type="pct"/>
            <w:vAlign w:val="center"/>
            <w:hideMark/>
          </w:tcPr>
          <w:p w14:paraId="08EFF86E" w14:textId="77777777" w:rsidR="005172A3" w:rsidRPr="00E549CE" w:rsidRDefault="005172A3" w:rsidP="005172A3">
            <w:pPr>
              <w:spacing w:line="240" w:lineRule="auto"/>
              <w:rPr>
                <w:rFonts w:ascii="Arial" w:eastAsia="Times New Roman" w:hAnsi="Arial" w:cs="Arial"/>
                <w:b/>
                <w:bCs/>
                <w:color w:val="000000" w:themeColor="text1"/>
                <w:kern w:val="0"/>
                <w:sz w:val="20"/>
                <w:szCs w:val="20"/>
                <w:lang w:eastAsia="en-GB"/>
                <w14:ligatures w14:val="none"/>
              </w:rPr>
            </w:pPr>
            <w:r w:rsidRPr="00E549CE">
              <w:rPr>
                <w:rFonts w:ascii="Arial" w:eastAsia="Times New Roman" w:hAnsi="Arial" w:cs="Arial"/>
                <w:b/>
                <w:bCs/>
                <w:color w:val="000000" w:themeColor="text1"/>
                <w:kern w:val="0"/>
                <w:sz w:val="20"/>
                <w:szCs w:val="20"/>
                <w:lang w:eastAsia="en-GB"/>
                <w14:ligatures w14:val="none"/>
              </w:rPr>
              <w:t>Whether more non-submissions were associated with lower mean marks</w:t>
            </w:r>
          </w:p>
        </w:tc>
        <w:tc>
          <w:tcPr>
            <w:tcW w:w="636" w:type="pct"/>
            <w:vAlign w:val="center"/>
            <w:hideMark/>
          </w:tcPr>
          <w:p w14:paraId="791A4E7A"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Two numeric variables measured for the same records</w:t>
            </w:r>
          </w:p>
        </w:tc>
        <w:tc>
          <w:tcPr>
            <w:tcW w:w="1273" w:type="pct"/>
            <w:vAlign w:val="center"/>
          </w:tcPr>
          <w:p w14:paraId="01419935" w14:textId="77777777" w:rsidR="005172A3" w:rsidRPr="00874ABF" w:rsidRDefault="005172A3" w:rsidP="005172A3">
            <w:pPr>
              <w:spacing w:line="240" w:lineRule="auto"/>
              <w:rPr>
                <w:rFonts w:ascii="Arial" w:eastAsia="Times New Roman" w:hAnsi="Arial" w:cs="Arial"/>
                <w:color w:val="000000" w:themeColor="text1"/>
                <w:kern w:val="0"/>
                <w:sz w:val="18"/>
                <w:szCs w:val="18"/>
                <w:lang w:eastAsia="en-GB"/>
                <w14:ligatures w14:val="none"/>
              </w:rPr>
            </w:pPr>
            <w:r w:rsidRPr="00874ABF">
              <w:rPr>
                <w:rFonts w:ascii="Arial" w:hAnsi="Arial" w:cs="Arial"/>
                <w:color w:val="000000" w:themeColor="text1"/>
                <w:sz w:val="18"/>
                <w:szCs w:val="18"/>
              </w:rPr>
              <w:t>The scatterplot showed a broadly linear downward relationship. As non-submissions were count data, Spearman’s rho was used as an additional check.</w:t>
            </w:r>
          </w:p>
        </w:tc>
        <w:tc>
          <w:tcPr>
            <w:tcW w:w="783" w:type="pct"/>
            <w:vAlign w:val="center"/>
          </w:tcPr>
          <w:p w14:paraId="4C9F3589"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hAnsi="Arial" w:cs="Arial"/>
                <w:color w:val="000000" w:themeColor="text1"/>
                <w:sz w:val="20"/>
                <w:szCs w:val="20"/>
              </w:rPr>
              <w:t>Pearson correlation; Spearman correlation</w:t>
            </w:r>
          </w:p>
        </w:tc>
        <w:tc>
          <w:tcPr>
            <w:tcW w:w="1223" w:type="pct"/>
            <w:vAlign w:val="center"/>
            <w:hideMark/>
          </w:tcPr>
          <w:p w14:paraId="12D593DA"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Pearson’s correlation: relationship was broadly linear. Spearman’s rho (check). Both gave the same overall conclusion.</w:t>
            </w:r>
          </w:p>
        </w:tc>
      </w:tr>
      <w:tr w:rsidR="005172A3" w:rsidRPr="00874ABF" w14:paraId="5E105842" w14:textId="77777777" w:rsidTr="005172A3">
        <w:trPr>
          <w:trHeight w:val="1214"/>
        </w:trPr>
        <w:tc>
          <w:tcPr>
            <w:tcW w:w="187" w:type="pct"/>
            <w:shd w:val="clear" w:color="auto" w:fill="D9D9D9" w:themeFill="background1" w:themeFillShade="D9"/>
            <w:vAlign w:val="center"/>
            <w:hideMark/>
          </w:tcPr>
          <w:p w14:paraId="5C8AB51C" w14:textId="77777777" w:rsidR="005172A3" w:rsidRPr="00874ABF" w:rsidRDefault="005172A3" w:rsidP="005172A3">
            <w:pPr>
              <w:spacing w:line="240" w:lineRule="auto"/>
              <w:rPr>
                <w:rFonts w:ascii="Arial" w:eastAsia="Times New Roman" w:hAnsi="Arial" w:cs="Arial"/>
                <w:b/>
                <w:bCs/>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H4</w:t>
            </w:r>
          </w:p>
        </w:tc>
        <w:tc>
          <w:tcPr>
            <w:tcW w:w="898" w:type="pct"/>
            <w:vAlign w:val="center"/>
            <w:hideMark/>
          </w:tcPr>
          <w:p w14:paraId="5052D9F9" w14:textId="77777777" w:rsidR="005172A3" w:rsidRPr="00E549CE" w:rsidRDefault="005172A3" w:rsidP="005172A3">
            <w:pPr>
              <w:spacing w:line="240" w:lineRule="auto"/>
              <w:rPr>
                <w:rFonts w:ascii="Arial" w:eastAsia="Times New Roman" w:hAnsi="Arial" w:cs="Arial"/>
                <w:b/>
                <w:bCs/>
                <w:color w:val="000000" w:themeColor="text1"/>
                <w:kern w:val="0"/>
                <w:sz w:val="20"/>
                <w:szCs w:val="20"/>
                <w:lang w:eastAsia="en-GB"/>
                <w14:ligatures w14:val="none"/>
              </w:rPr>
            </w:pPr>
            <w:r w:rsidRPr="00E549CE">
              <w:rPr>
                <w:rFonts w:ascii="Arial" w:eastAsia="Times New Roman" w:hAnsi="Arial" w:cs="Arial"/>
                <w:b/>
                <w:bCs/>
                <w:color w:val="000000" w:themeColor="text1"/>
                <w:kern w:val="0"/>
                <w:sz w:val="20"/>
                <w:szCs w:val="20"/>
                <w:lang w:eastAsia="en-GB"/>
                <w14:ligatures w14:val="none"/>
              </w:rPr>
              <w:t>Whether mean marks differed across the three academic-year cohorts</w:t>
            </w:r>
          </w:p>
        </w:tc>
        <w:tc>
          <w:tcPr>
            <w:tcW w:w="636" w:type="pct"/>
            <w:vAlign w:val="center"/>
            <w:hideMark/>
          </w:tcPr>
          <w:p w14:paraId="15810764"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Three independent groups and one continuous outcome</w:t>
            </w:r>
          </w:p>
        </w:tc>
        <w:tc>
          <w:tcPr>
            <w:tcW w:w="1273" w:type="pct"/>
            <w:vAlign w:val="center"/>
          </w:tcPr>
          <w:p w14:paraId="12054A51" w14:textId="77777777" w:rsidR="005172A3" w:rsidRPr="00874ABF" w:rsidRDefault="005172A3" w:rsidP="005172A3">
            <w:pPr>
              <w:rPr>
                <w:rFonts w:ascii="Arial" w:hAnsi="Arial" w:cs="Arial"/>
                <w:color w:val="000000" w:themeColor="text1"/>
                <w:sz w:val="18"/>
                <w:szCs w:val="18"/>
              </w:rPr>
            </w:pPr>
            <w:r w:rsidRPr="00874ABF">
              <w:rPr>
                <w:rFonts w:ascii="Arial" w:hAnsi="Arial" w:cs="Arial"/>
                <w:color w:val="000000" w:themeColor="text1"/>
                <w:sz w:val="18"/>
                <w:szCs w:val="18"/>
              </w:rPr>
              <w:t>The marks were spread out differently across the three cohorts, so I used Welch’s ANOVA rather than ordinary ANOVA.</w:t>
            </w:r>
          </w:p>
          <w:p w14:paraId="7000C7BC" w14:textId="77777777" w:rsidR="005172A3" w:rsidRPr="00874ABF" w:rsidRDefault="005172A3" w:rsidP="005172A3">
            <w:pPr>
              <w:spacing w:line="240" w:lineRule="auto"/>
              <w:rPr>
                <w:rFonts w:ascii="Arial" w:eastAsia="Times New Roman" w:hAnsi="Arial" w:cs="Arial"/>
                <w:color w:val="000000" w:themeColor="text1"/>
                <w:kern w:val="0"/>
                <w:sz w:val="18"/>
                <w:szCs w:val="18"/>
                <w:lang w:eastAsia="en-GB"/>
                <w14:ligatures w14:val="none"/>
              </w:rPr>
            </w:pPr>
          </w:p>
        </w:tc>
        <w:tc>
          <w:tcPr>
            <w:tcW w:w="783" w:type="pct"/>
            <w:vAlign w:val="center"/>
          </w:tcPr>
          <w:p w14:paraId="68FB6DFB"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hAnsi="Arial" w:cs="Arial"/>
                <w:color w:val="000000" w:themeColor="text1"/>
                <w:sz w:val="20"/>
                <w:szCs w:val="20"/>
              </w:rPr>
              <w:t>One-way ANOVA; Welch’s ANOVA</w:t>
            </w:r>
          </w:p>
        </w:tc>
        <w:tc>
          <w:tcPr>
            <w:tcW w:w="1223" w:type="pct"/>
            <w:vAlign w:val="center"/>
            <w:hideMark/>
          </w:tcPr>
          <w:p w14:paraId="10B72B99"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Welch’s ANOVA: comparing average marks across three or more groups when the marks vary by different amounts within the groups.</w:t>
            </w:r>
          </w:p>
        </w:tc>
      </w:tr>
      <w:tr w:rsidR="005172A3" w:rsidRPr="00874ABF" w14:paraId="38513DCD" w14:textId="77777777" w:rsidTr="005172A3">
        <w:trPr>
          <w:trHeight w:val="1451"/>
        </w:trPr>
        <w:tc>
          <w:tcPr>
            <w:tcW w:w="187" w:type="pct"/>
            <w:shd w:val="clear" w:color="auto" w:fill="D9D9D9" w:themeFill="background1" w:themeFillShade="D9"/>
            <w:vAlign w:val="center"/>
            <w:hideMark/>
          </w:tcPr>
          <w:p w14:paraId="3416C75A" w14:textId="77777777" w:rsidR="005172A3" w:rsidRPr="00874ABF" w:rsidRDefault="005172A3" w:rsidP="005172A3">
            <w:pPr>
              <w:spacing w:line="240" w:lineRule="auto"/>
              <w:rPr>
                <w:rFonts w:ascii="Arial" w:eastAsia="Times New Roman" w:hAnsi="Arial" w:cs="Arial"/>
                <w:b/>
                <w:bCs/>
                <w:color w:val="000000" w:themeColor="text1"/>
                <w:kern w:val="0"/>
                <w:lang w:eastAsia="en-GB"/>
                <w14:ligatures w14:val="none"/>
              </w:rPr>
            </w:pPr>
            <w:r w:rsidRPr="00874ABF">
              <w:rPr>
                <w:rFonts w:ascii="Arial" w:eastAsia="Times New Roman" w:hAnsi="Arial" w:cs="Arial"/>
                <w:b/>
                <w:bCs/>
                <w:color w:val="000000" w:themeColor="text1"/>
                <w:kern w:val="0"/>
                <w:lang w:eastAsia="en-GB"/>
                <w14:ligatures w14:val="none"/>
              </w:rPr>
              <w:t>H5</w:t>
            </w:r>
          </w:p>
        </w:tc>
        <w:tc>
          <w:tcPr>
            <w:tcW w:w="898" w:type="pct"/>
            <w:vAlign w:val="center"/>
            <w:hideMark/>
          </w:tcPr>
          <w:p w14:paraId="68EA8655" w14:textId="77777777" w:rsidR="005172A3" w:rsidRPr="00E549CE" w:rsidRDefault="005172A3" w:rsidP="005172A3">
            <w:pPr>
              <w:spacing w:line="240" w:lineRule="auto"/>
              <w:rPr>
                <w:rFonts w:ascii="Arial" w:eastAsia="Times New Roman" w:hAnsi="Arial" w:cs="Arial"/>
                <w:b/>
                <w:bCs/>
                <w:color w:val="000000" w:themeColor="text1"/>
                <w:kern w:val="0"/>
                <w:sz w:val="20"/>
                <w:szCs w:val="20"/>
                <w:lang w:eastAsia="en-GB"/>
                <w14:ligatures w14:val="none"/>
              </w:rPr>
            </w:pPr>
            <w:r w:rsidRPr="00E549CE">
              <w:rPr>
                <w:rFonts w:ascii="Arial" w:eastAsia="Times New Roman" w:hAnsi="Arial" w:cs="Arial"/>
                <w:b/>
                <w:bCs/>
                <w:color w:val="000000" w:themeColor="text1"/>
                <w:kern w:val="0"/>
                <w:sz w:val="20"/>
                <w:szCs w:val="20"/>
                <w:lang w:eastAsia="en-GB"/>
                <w14:ligatures w14:val="none"/>
              </w:rPr>
              <w:t>Whether mean marks differed between the first and second halves of the module sequence</w:t>
            </w:r>
          </w:p>
        </w:tc>
        <w:tc>
          <w:tcPr>
            <w:tcW w:w="636" w:type="pct"/>
            <w:vAlign w:val="center"/>
            <w:hideMark/>
          </w:tcPr>
          <w:p w14:paraId="08306564"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The same records measured twice</w:t>
            </w:r>
          </w:p>
        </w:tc>
        <w:tc>
          <w:tcPr>
            <w:tcW w:w="1273" w:type="pct"/>
            <w:vAlign w:val="center"/>
          </w:tcPr>
          <w:p w14:paraId="43AE6021" w14:textId="77777777" w:rsidR="005172A3" w:rsidRPr="00874ABF" w:rsidRDefault="005172A3" w:rsidP="005172A3">
            <w:pPr>
              <w:spacing w:line="240" w:lineRule="auto"/>
              <w:rPr>
                <w:rFonts w:ascii="Arial" w:eastAsia="Times New Roman" w:hAnsi="Arial" w:cs="Arial"/>
                <w:color w:val="000000" w:themeColor="text1"/>
                <w:kern w:val="0"/>
                <w:sz w:val="18"/>
                <w:szCs w:val="18"/>
                <w:lang w:eastAsia="en-GB"/>
                <w14:ligatures w14:val="none"/>
              </w:rPr>
            </w:pPr>
            <w:r w:rsidRPr="00874ABF">
              <w:rPr>
                <w:rFonts w:ascii="Arial" w:hAnsi="Arial" w:cs="Arial"/>
                <w:color w:val="000000" w:themeColor="text1"/>
                <w:sz w:val="18"/>
                <w:szCs w:val="18"/>
              </w:rPr>
              <w:t>For each student: the difference between their average mark in Modules 1–3 and Modules 4–6. Close to a normal bell shape to use a paired t-test.</w:t>
            </w:r>
          </w:p>
        </w:tc>
        <w:tc>
          <w:tcPr>
            <w:tcW w:w="783" w:type="pct"/>
            <w:vAlign w:val="center"/>
          </w:tcPr>
          <w:p w14:paraId="13AAB1AD"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hAnsi="Arial" w:cs="Arial"/>
                <w:color w:val="000000" w:themeColor="text1"/>
                <w:sz w:val="20"/>
                <w:szCs w:val="20"/>
              </w:rPr>
              <w:t>Paired-samples t-test; Wilcoxon signed-rank test</w:t>
            </w:r>
          </w:p>
        </w:tc>
        <w:tc>
          <w:tcPr>
            <w:tcW w:w="1223" w:type="pct"/>
            <w:vAlign w:val="center"/>
            <w:hideMark/>
          </w:tcPr>
          <w:p w14:paraId="166EEB9A" w14:textId="77777777" w:rsidR="005172A3" w:rsidRPr="00874ABF" w:rsidRDefault="005172A3" w:rsidP="005172A3">
            <w:pPr>
              <w:spacing w:line="240" w:lineRule="auto"/>
              <w:rPr>
                <w:rFonts w:ascii="Arial" w:eastAsia="Times New Roman" w:hAnsi="Arial" w:cs="Arial"/>
                <w:color w:val="000000" w:themeColor="text1"/>
                <w:kern w:val="0"/>
                <w:sz w:val="20"/>
                <w:szCs w:val="20"/>
                <w:lang w:eastAsia="en-GB"/>
                <w14:ligatures w14:val="none"/>
              </w:rPr>
            </w:pPr>
            <w:r w:rsidRPr="00874ABF">
              <w:rPr>
                <w:rFonts w:ascii="Arial" w:eastAsia="Times New Roman" w:hAnsi="Arial" w:cs="Arial"/>
                <w:color w:val="000000" w:themeColor="text1"/>
                <w:kern w:val="0"/>
                <w:sz w:val="20"/>
                <w:szCs w:val="20"/>
                <w:lang w:eastAsia="en-GB"/>
                <w14:ligatures w14:val="none"/>
              </w:rPr>
              <w:t>Paired-samples t-test: difference scores were suitable for a parametric analysis. Wilcoxon’s signed-rank test was also used as a check and gave the same overall conclusion.</w:t>
            </w:r>
          </w:p>
        </w:tc>
      </w:tr>
    </w:tbl>
    <w:p w14:paraId="4661F899" w14:textId="77777777" w:rsidR="009C4502" w:rsidRPr="00874ABF" w:rsidRDefault="009C4502" w:rsidP="00142758">
      <w:pPr>
        <w:rPr>
          <w:rFonts w:ascii="Arial" w:eastAsia="Aptos" w:hAnsi="Arial" w:cs="Arial"/>
          <w:color w:val="000000" w:themeColor="text1"/>
        </w:rPr>
      </w:pPr>
    </w:p>
    <w:p w14:paraId="65650702" w14:textId="77777777" w:rsidR="009C4502" w:rsidRPr="00874ABF" w:rsidRDefault="009C4502" w:rsidP="00142758">
      <w:pPr>
        <w:rPr>
          <w:rFonts w:ascii="Arial" w:eastAsia="Aptos" w:hAnsi="Arial" w:cs="Arial"/>
          <w:color w:val="000000" w:themeColor="text1"/>
        </w:rPr>
      </w:pPr>
    </w:p>
    <w:p w14:paraId="6B9772DC" w14:textId="77777777" w:rsidR="00142758" w:rsidRPr="00874ABF" w:rsidRDefault="00142758" w:rsidP="00142758">
      <w:pPr>
        <w:spacing w:after="0" w:line="240" w:lineRule="auto"/>
        <w:rPr>
          <w:rFonts w:ascii="Arial" w:eastAsia="source serif 4" w:hAnsi="Arial" w:cs="Arial"/>
          <w:b/>
          <w:color w:val="000000" w:themeColor="text1"/>
          <w:kern w:val="0"/>
          <w:lang w:val="en-US"/>
          <w14:ligatures w14:val="none"/>
        </w:rPr>
        <w:sectPr w:rsidR="00142758" w:rsidRPr="00874ABF" w:rsidSect="00142758">
          <w:pgSz w:w="16838" w:h="11906" w:orient="landscape"/>
          <w:pgMar w:top="1440" w:right="1440" w:bottom="1440" w:left="1440" w:header="709" w:footer="709" w:gutter="0"/>
          <w:cols w:space="720"/>
        </w:sectPr>
      </w:pPr>
    </w:p>
    <w:p w14:paraId="784E56D7" w14:textId="77777777" w:rsidR="0094510C" w:rsidRPr="00874ABF" w:rsidRDefault="0094510C" w:rsidP="0094510C">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lastRenderedPageBreak/>
        <w:t>Significance level and test direction</w:t>
      </w:r>
    </w:p>
    <w:p w14:paraId="0BBBA120" w14:textId="10B042E5" w:rsidR="0094510C" w:rsidRPr="00874ABF" w:rsidRDefault="0094510C" w:rsidP="0094510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I used a significance level of p&lt;.05. This means I treated a result as statistically significant when it would be unlikely to occur by chance if there were really no difference or relationship. It does not show that a result is important or large; it only shows that it is unlikely to be due to chance alone.</w:t>
      </w:r>
    </w:p>
    <w:p w14:paraId="64E45E12" w14:textId="77777777" w:rsidR="0094510C" w:rsidRPr="00874ABF" w:rsidRDefault="0094510C" w:rsidP="0094510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 used two-tailed tests throughout because I did not predict the direction of any difference or relationship in advance. </w:t>
      </w:r>
      <w:proofErr w:type="gramStart"/>
      <w:r w:rsidRPr="00874ABF">
        <w:rPr>
          <w:rFonts w:ascii="Arial" w:eastAsia="source serif 4" w:hAnsi="Arial" w:cs="Arial"/>
          <w:bCs/>
          <w:color w:val="000000" w:themeColor="text1"/>
          <w:kern w:val="0"/>
          <w:lang w:val="en-US"/>
          <w14:ligatures w14:val="none"/>
        </w:rPr>
        <w:t>Two-tailed</w:t>
      </w:r>
      <w:proofErr w:type="gramEnd"/>
      <w:r w:rsidRPr="00874ABF">
        <w:rPr>
          <w:rFonts w:ascii="Arial" w:eastAsia="source serif 4" w:hAnsi="Arial" w:cs="Arial"/>
          <w:bCs/>
          <w:color w:val="000000" w:themeColor="text1"/>
          <w:kern w:val="0"/>
          <w:lang w:val="en-US"/>
          <w14:ligatures w14:val="none"/>
        </w:rPr>
        <w:t xml:space="preserve"> tests allow for results in either direction and are therefore the more appropriate and stricter choice.</w:t>
      </w:r>
    </w:p>
    <w:p w14:paraId="2F8BBB5E" w14:textId="019E02A9" w:rsidR="00142758" w:rsidRPr="00874ABF" w:rsidRDefault="0094510C" w:rsidP="0094510C">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SPSS calculates and reports the exact p value, so I did not need to use statistical tables. For each test, I report the test </w:t>
      </w:r>
      <w:proofErr w:type="gramStart"/>
      <w:r w:rsidRPr="00874ABF">
        <w:rPr>
          <w:rFonts w:ascii="Arial" w:eastAsia="source serif 4" w:hAnsi="Arial" w:cs="Arial"/>
          <w:bCs/>
          <w:color w:val="000000" w:themeColor="text1"/>
          <w:kern w:val="0"/>
          <w:lang w:val="en-US"/>
          <w14:ligatures w14:val="none"/>
        </w:rPr>
        <w:t>statistic</w:t>
      </w:r>
      <w:proofErr w:type="gramEnd"/>
      <w:r w:rsidRPr="00874ABF">
        <w:rPr>
          <w:rFonts w:ascii="Arial" w:eastAsia="source serif 4" w:hAnsi="Arial" w:cs="Arial"/>
          <w:bCs/>
          <w:color w:val="000000" w:themeColor="text1"/>
          <w:kern w:val="0"/>
          <w:lang w:val="en-US"/>
          <w14:ligatures w14:val="none"/>
        </w:rPr>
        <w:t>, degrees of freedom, p value, descriptive results, confidence interval where available, and effect size. This shows not only whether a result was statistically significant, but also how large and precise the observed effect was.</w:t>
      </w:r>
    </w:p>
    <w:p w14:paraId="052FF66D" w14:textId="77777777" w:rsidR="0094510C" w:rsidRPr="00874ABF" w:rsidRDefault="0094510C" w:rsidP="00142758">
      <w:pPr>
        <w:spacing w:after="120" w:line="360" w:lineRule="auto"/>
        <w:rPr>
          <w:rFonts w:ascii="Arial" w:eastAsia="source serif 4" w:hAnsi="Arial" w:cs="Arial"/>
          <w:b/>
          <w:color w:val="000000" w:themeColor="text1"/>
          <w:kern w:val="0"/>
          <w:lang w:val="en-US"/>
          <w14:ligatures w14:val="none"/>
        </w:rPr>
      </w:pPr>
    </w:p>
    <w:p w14:paraId="640C6230" w14:textId="30906AC0" w:rsidR="002619FF" w:rsidRPr="00874ABF" w:rsidRDefault="00AD5865" w:rsidP="002619FF">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F8. </w:t>
      </w:r>
      <w:r w:rsidR="002619FF" w:rsidRPr="00874ABF">
        <w:rPr>
          <w:rFonts w:ascii="Arial" w:eastAsia="source serif 4" w:hAnsi="Arial" w:cs="Arial"/>
          <w:b/>
          <w:color w:val="000000" w:themeColor="text1"/>
          <w:kern w:val="0"/>
          <w:lang w:val="en-US"/>
          <w14:ligatures w14:val="none"/>
        </w:rPr>
        <w:t>Reading the SPSS output</w:t>
      </w:r>
    </w:p>
    <w:p w14:paraId="0F5A8F0E" w14:textId="77D5E703" w:rsidR="002619FF" w:rsidRPr="00874ABF" w:rsidRDefault="002619FF" w:rsidP="002619F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SPSS produces several tables for each test, but only some are needed to answer the research question.</w:t>
      </w:r>
    </w:p>
    <w:p w14:paraId="54D1B916" w14:textId="09D219FC" w:rsidR="002619FF" w:rsidRPr="00874ABF" w:rsidRDefault="002619FF" w:rsidP="002619F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For H1, I used the crosstab and the continuity-corrected chi-square result because this was a 2×2 table. The smallest expected count was 13.57, so the test assumptions were met.</w:t>
      </w:r>
    </w:p>
    <w:p w14:paraId="4EC3E124" w14:textId="77777777" w:rsidR="002619FF" w:rsidRPr="00874ABF" w:rsidRDefault="002619FF" w:rsidP="002619F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For the t-tests, SPSS gives two results: one assuming equal variation in the groups and one not assuming this. Levene’s test determines which to use. For H2 and the supplementary Module 1 comparison, Levene’s test was non-significant, so I used the equal-variances row in both cases.</w:t>
      </w:r>
    </w:p>
    <w:p w14:paraId="7915A1BD" w14:textId="77777777" w:rsidR="002619FF" w:rsidRPr="00874ABF" w:rsidRDefault="002619FF" w:rsidP="002619F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For H4, Levene’s test showed unequal variation across cohorts. I therefore used the robust Welch’s ANOVA result rather than the ordinary ANOVA result.</w:t>
      </w:r>
    </w:p>
    <w:p w14:paraId="1C6F9627" w14:textId="44774022" w:rsidR="00142758" w:rsidRPr="00874ABF" w:rsidRDefault="002619FF" w:rsidP="002619FF">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number of records used differs between tests, from 128 to 168, because SPSS excludes records missing </w:t>
      </w:r>
      <w:proofErr w:type="gramStart"/>
      <w:r w:rsidRPr="00874ABF">
        <w:rPr>
          <w:rFonts w:ascii="Arial" w:eastAsia="source serif 4" w:hAnsi="Arial" w:cs="Arial"/>
          <w:bCs/>
          <w:color w:val="000000" w:themeColor="text1"/>
          <w:kern w:val="0"/>
          <w:lang w:val="en-US"/>
          <w14:ligatures w14:val="none"/>
        </w:rPr>
        <w:t>a value</w:t>
      </w:r>
      <w:proofErr w:type="gramEnd"/>
      <w:r w:rsidRPr="00874ABF">
        <w:rPr>
          <w:rFonts w:ascii="Arial" w:eastAsia="source serif 4" w:hAnsi="Arial" w:cs="Arial"/>
          <w:bCs/>
          <w:color w:val="000000" w:themeColor="text1"/>
          <w:kern w:val="0"/>
          <w:lang w:val="en-US"/>
          <w14:ligatures w14:val="none"/>
        </w:rPr>
        <w:t xml:space="preserve"> needed for a particular test. For example, the comparison between the first and second halves of the module sequence required marks in both halves, so it used 128 records. I </w:t>
      </w:r>
      <w:proofErr w:type="gramStart"/>
      <w:r w:rsidRPr="00874ABF">
        <w:rPr>
          <w:rFonts w:ascii="Arial" w:eastAsia="source serif 4" w:hAnsi="Arial" w:cs="Arial"/>
          <w:bCs/>
          <w:color w:val="000000" w:themeColor="text1"/>
          <w:kern w:val="0"/>
          <w:lang w:val="en-US"/>
          <w14:ligatures w14:val="none"/>
        </w:rPr>
        <w:t>report</w:t>
      </w:r>
      <w:proofErr w:type="gramEnd"/>
      <w:r w:rsidRPr="00874ABF">
        <w:rPr>
          <w:rFonts w:ascii="Arial" w:eastAsia="source serif 4" w:hAnsi="Arial" w:cs="Arial"/>
          <w:bCs/>
          <w:color w:val="000000" w:themeColor="text1"/>
          <w:kern w:val="0"/>
          <w:lang w:val="en-US"/>
          <w14:ligatures w14:val="none"/>
        </w:rPr>
        <w:t xml:space="preserve"> the relevant sample size for each test rather than implying that every analysis used all 168 records.</w:t>
      </w:r>
    </w:p>
    <w:p w14:paraId="25B6FB5D" w14:textId="77777777" w:rsidR="002619FF" w:rsidRPr="00874ABF" w:rsidRDefault="002619FF" w:rsidP="00142758">
      <w:pPr>
        <w:spacing w:after="120" w:line="360" w:lineRule="auto"/>
        <w:rPr>
          <w:rFonts w:ascii="Arial" w:eastAsia="source serif 4" w:hAnsi="Arial" w:cs="Arial"/>
          <w:b/>
          <w:color w:val="000000" w:themeColor="text1"/>
          <w:kern w:val="0"/>
          <w:lang w:val="en-US"/>
          <w14:ligatures w14:val="none"/>
        </w:rPr>
      </w:pPr>
    </w:p>
    <w:p w14:paraId="1E619D8D" w14:textId="1A195574" w:rsidR="00834205" w:rsidRPr="00874ABF" w:rsidRDefault="00AD5865" w:rsidP="00834205">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F9. </w:t>
      </w:r>
      <w:r w:rsidR="00834205" w:rsidRPr="00874ABF">
        <w:rPr>
          <w:rFonts w:ascii="Arial" w:eastAsia="source serif 4" w:hAnsi="Arial" w:cs="Arial"/>
          <w:b/>
          <w:color w:val="000000" w:themeColor="text1"/>
          <w:kern w:val="0"/>
          <w:lang w:val="en-US"/>
          <w14:ligatures w14:val="none"/>
        </w:rPr>
        <w:t>Interpreting the findings</w:t>
      </w:r>
    </w:p>
    <w:p w14:paraId="0CA7747C" w14:textId="4FA505C8"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Three null hypotheses were rejected and two were not. I interpreted the findings cautiously.</w:t>
      </w:r>
    </w:p>
    <w:p w14:paraId="36887FA3" w14:textId="35A680B9"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was an observational study using existing student records, not a </w:t>
      </w:r>
      <w:proofErr w:type="spellStart"/>
      <w:r w:rsidRPr="00874ABF">
        <w:rPr>
          <w:rFonts w:ascii="Arial" w:eastAsia="source serif 4" w:hAnsi="Arial" w:cs="Arial"/>
          <w:bCs/>
          <w:color w:val="000000" w:themeColor="text1"/>
          <w:kern w:val="0"/>
          <w:lang w:val="en-US"/>
          <w14:ligatures w14:val="none"/>
        </w:rPr>
        <w:t>randomised</w:t>
      </w:r>
      <w:proofErr w:type="spellEnd"/>
      <w:r w:rsidRPr="00874ABF">
        <w:rPr>
          <w:rFonts w:ascii="Arial" w:eastAsia="source serif 4" w:hAnsi="Arial" w:cs="Arial"/>
          <w:bCs/>
          <w:color w:val="000000" w:themeColor="text1"/>
          <w:kern w:val="0"/>
          <w:lang w:val="en-US"/>
          <w14:ligatures w14:val="none"/>
        </w:rPr>
        <w:t xml:space="preserve"> experiment. I can report that variables were associated with different outcomes, but I cannot say that one factor caused another.</w:t>
      </w:r>
    </w:p>
    <w:p w14:paraId="1CC69E66" w14:textId="1AF8DD6C"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A non-significant result does not prove that there is no difference. It may mean there was no meaningful difference, or that the data were too limited to detect one. For H4 and H5, however, the effects were both very small (η</w:t>
      </w:r>
      <w:r w:rsidRPr="00874ABF">
        <w:rPr>
          <w:rFonts w:ascii="Arial" w:eastAsia="source serif 4" w:hAnsi="Arial" w:cs="Arial"/>
          <w:bCs/>
          <w:color w:val="000000" w:themeColor="text1"/>
          <w:kern w:val="0"/>
          <w:vertAlign w:val="superscript"/>
          <w:lang w:val="en-US"/>
          <w14:ligatures w14:val="none"/>
        </w:rPr>
        <w:t>2</w:t>
      </w:r>
      <w:r w:rsidRPr="00874ABF">
        <w:rPr>
          <w:rFonts w:ascii="Arial" w:eastAsia="source serif 4" w:hAnsi="Arial" w:cs="Arial"/>
          <w:bCs/>
          <w:color w:val="000000" w:themeColor="text1"/>
          <w:kern w:val="0"/>
          <w:lang w:val="en-US"/>
          <w14:ligatures w14:val="none"/>
        </w:rPr>
        <w:t xml:space="preserve"> =.002 and Cohen’s </w:t>
      </w:r>
      <w:proofErr w:type="spellStart"/>
      <w:r w:rsidRPr="00874ABF">
        <w:rPr>
          <w:rFonts w:ascii="Arial" w:eastAsia="source serif 4" w:hAnsi="Arial" w:cs="Arial"/>
          <w:bCs/>
          <w:color w:val="000000" w:themeColor="text1"/>
          <w:kern w:val="0"/>
          <w:lang w:val="en-US"/>
          <w14:ligatures w14:val="none"/>
        </w:rPr>
        <w:t>dz</w:t>
      </w:r>
      <w:proofErr w:type="spellEnd"/>
      <w:r w:rsidRPr="00874ABF">
        <w:rPr>
          <w:rFonts w:ascii="Arial" w:eastAsia="source serif 4" w:hAnsi="Arial" w:cs="Arial"/>
          <w:bCs/>
          <w:color w:val="000000" w:themeColor="text1"/>
          <w:kern w:val="0"/>
          <w:lang w:val="en-US"/>
          <w14:ligatures w14:val="none"/>
        </w:rPr>
        <w:t xml:space="preserve"> = 0.03) and the confidence intervals close to zero. This suggests that differences between cohorts and between the first and second halves of the module sequence were unlikely to be practically important.</w:t>
      </w:r>
    </w:p>
    <w:p w14:paraId="386B6BA8" w14:textId="77777777"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SCM findings were reported descriptively only. The recorded SCM date showed when the administrative record was created, not when adjustments began. The data could not show whether support arrived too late, or whether the record was created after difficulties had already become apparent. I therefore did not draw a causal conclusion from the SCM data.</w:t>
      </w:r>
    </w:p>
    <w:p w14:paraId="0B44C555" w14:textId="77777777" w:rsidR="00834205" w:rsidRPr="00874ABF" w:rsidRDefault="00834205" w:rsidP="00142758">
      <w:pPr>
        <w:spacing w:after="120" w:line="360" w:lineRule="auto"/>
        <w:rPr>
          <w:rFonts w:ascii="Arial" w:eastAsia="source serif 4" w:hAnsi="Arial" w:cs="Arial"/>
          <w:bCs/>
          <w:color w:val="000000" w:themeColor="text1"/>
          <w:kern w:val="0"/>
          <w:lang w:val="en-US"/>
          <w14:ligatures w14:val="none"/>
        </w:rPr>
      </w:pPr>
    </w:p>
    <w:p w14:paraId="0B032EE1" w14:textId="675876C8" w:rsidR="00834205" w:rsidRPr="00874ABF" w:rsidRDefault="00AD5865" w:rsidP="00834205">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F10. </w:t>
      </w:r>
      <w:r w:rsidR="00834205" w:rsidRPr="00874ABF">
        <w:rPr>
          <w:rFonts w:ascii="Arial" w:eastAsia="source serif 4" w:hAnsi="Arial" w:cs="Arial"/>
          <w:b/>
          <w:color w:val="000000" w:themeColor="text1"/>
          <w:kern w:val="0"/>
          <w:lang w:val="en-US"/>
          <w14:ligatures w14:val="none"/>
        </w:rPr>
        <w:t>What I concluded</w:t>
      </w:r>
    </w:p>
    <w:p w14:paraId="0279A7E8" w14:textId="102B1E57" w:rsidR="00A46763"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study asked which early, visible signs were linked to completion. The clearest finding was that submitting Module 1 was more strongly associated with later completion than the mark received for that assessment. Among students who submitted Module 1, the mark itself did not significantly distinguish completers from non-completers. </w:t>
      </w:r>
      <w:r w:rsidR="00A46763" w:rsidRPr="00874ABF">
        <w:rPr>
          <w:rFonts w:ascii="Arial" w:eastAsia="source serif 4" w:hAnsi="Arial" w:cs="Arial"/>
          <w:bCs/>
          <w:color w:val="000000" w:themeColor="text1"/>
          <w:kern w:val="0"/>
          <w:lang w:val="en-US"/>
          <w14:ligatures w14:val="none"/>
        </w:rPr>
        <w:t>Repeat-enrolment records also had lower mean marks.</w:t>
      </w:r>
    </w:p>
    <w:p w14:paraId="5FC2043D" w14:textId="134613FE"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Four limitations affect these conclusions:</w:t>
      </w:r>
    </w:p>
    <w:p w14:paraId="31297BAB" w14:textId="77777777"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p>
    <w:p w14:paraId="1F7A0AFE" w14:textId="77777777" w:rsidR="00834205" w:rsidRPr="00874ABF" w:rsidRDefault="00834205" w:rsidP="00834205">
      <w:pPr>
        <w:pStyle w:val="ListParagraph"/>
        <w:numPr>
          <w:ilvl w:val="0"/>
          <w:numId w:val="44"/>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The dataset does not record who used the General Study Skills service, which is available to all students. Students without an SCM record cannot therefore be assumed to have received no support.</w:t>
      </w:r>
    </w:p>
    <w:p w14:paraId="4C80DFC2" w14:textId="77777777" w:rsidR="00834205" w:rsidRPr="00874ABF" w:rsidRDefault="00834205" w:rsidP="00834205">
      <w:pPr>
        <w:pStyle w:val="ListParagraph"/>
        <w:numPr>
          <w:ilvl w:val="0"/>
          <w:numId w:val="44"/>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lastRenderedPageBreak/>
        <w:t>The dataset contains enrolment records rather than entirely separate students; nine students appeared in two enrolment episodes.</w:t>
      </w:r>
    </w:p>
    <w:p w14:paraId="64F3FE2B" w14:textId="4EB8E6A1" w:rsidR="00834205" w:rsidRPr="00874ABF" w:rsidRDefault="00834205" w:rsidP="00834205">
      <w:pPr>
        <w:pStyle w:val="ListParagraph"/>
        <w:numPr>
          <w:ilvl w:val="0"/>
          <w:numId w:val="44"/>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Module titles, structures, and deadlines changed across the three cohorts.</w:t>
      </w:r>
    </w:p>
    <w:p w14:paraId="2E80A265" w14:textId="7F6AAA7C" w:rsidR="00142758" w:rsidRPr="00874ABF" w:rsidRDefault="00834205" w:rsidP="00834205">
      <w:pPr>
        <w:pStyle w:val="ListParagraph"/>
        <w:numPr>
          <w:ilvl w:val="0"/>
          <w:numId w:val="44"/>
        </w:num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This was </w:t>
      </w:r>
      <w:proofErr w:type="gramStart"/>
      <w:r w:rsidRPr="00874ABF">
        <w:rPr>
          <w:rFonts w:ascii="Arial" w:eastAsia="source serif 4" w:hAnsi="Arial" w:cs="Arial"/>
          <w:bCs/>
          <w:color w:val="000000" w:themeColor="text1"/>
          <w:kern w:val="0"/>
          <w:lang w:val="en-US"/>
          <w14:ligatures w14:val="none"/>
        </w:rPr>
        <w:t>one</w:t>
      </w:r>
      <w:proofErr w:type="gramEnd"/>
      <w:r w:rsidRPr="00874ABF">
        <w:rPr>
          <w:rFonts w:ascii="Arial" w:eastAsia="source serif 4" w:hAnsi="Arial" w:cs="Arial"/>
          <w:bCs/>
          <w:color w:val="000000" w:themeColor="text1"/>
          <w:kern w:val="0"/>
          <w:lang w:val="en-US"/>
          <w14:ligatures w14:val="none"/>
        </w:rPr>
        <w:t xml:space="preserve"> programme at one institution, so the findings apply to this group rather than to mature learners generally.</w:t>
      </w:r>
    </w:p>
    <w:p w14:paraId="42CD0801" w14:textId="77777777" w:rsidR="00834205" w:rsidRPr="00874ABF" w:rsidRDefault="00834205" w:rsidP="00834205">
      <w:pPr>
        <w:spacing w:after="120" w:line="360" w:lineRule="auto"/>
        <w:rPr>
          <w:rFonts w:ascii="Arial" w:eastAsia="source serif 4" w:hAnsi="Arial" w:cs="Arial"/>
          <w:b/>
          <w:color w:val="000000" w:themeColor="text1"/>
          <w:kern w:val="0"/>
          <w:lang w:val="en-US"/>
          <w14:ligatures w14:val="none"/>
        </w:rPr>
      </w:pPr>
    </w:p>
    <w:p w14:paraId="52016D6A" w14:textId="4CFD7BAA" w:rsidR="00834205" w:rsidRPr="00874ABF" w:rsidRDefault="00142758" w:rsidP="00834205">
      <w:pPr>
        <w:spacing w:after="120" w:line="360" w:lineRule="auto"/>
        <w:rPr>
          <w:rFonts w:ascii="Arial" w:eastAsia="source serif 4" w:hAnsi="Arial" w:cs="Arial"/>
          <w:b/>
          <w:color w:val="000000" w:themeColor="text1"/>
          <w:kern w:val="0"/>
          <w:lang w:val="en-US"/>
          <w14:ligatures w14:val="none"/>
        </w:rPr>
      </w:pPr>
      <w:r w:rsidRPr="00874ABF">
        <w:rPr>
          <w:rFonts w:ascii="Arial" w:eastAsia="source serif 4" w:hAnsi="Arial" w:cs="Arial"/>
          <w:b/>
          <w:color w:val="000000" w:themeColor="text1"/>
          <w:kern w:val="0"/>
          <w:lang w:val="en-US"/>
          <w14:ligatures w14:val="none"/>
        </w:rPr>
        <w:t xml:space="preserve">F11. </w:t>
      </w:r>
      <w:r w:rsidR="00834205" w:rsidRPr="00874ABF">
        <w:rPr>
          <w:rFonts w:ascii="Arial" w:eastAsia="source serif 4" w:hAnsi="Arial" w:cs="Arial"/>
          <w:b/>
          <w:color w:val="000000" w:themeColor="text1"/>
          <w:kern w:val="0"/>
          <w:lang w:val="en-US"/>
          <w14:ligatures w14:val="none"/>
        </w:rPr>
        <w:t>Checking my figures</w:t>
      </w:r>
    </w:p>
    <w:p w14:paraId="1BCF62D6" w14:textId="77777777"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I initially used a trial version of SPSS (version 29) because of a delay obtaining the </w:t>
      </w:r>
      <w:proofErr w:type="spellStart"/>
      <w:r w:rsidRPr="00874ABF">
        <w:rPr>
          <w:rFonts w:ascii="Arial" w:eastAsia="source serif 4" w:hAnsi="Arial" w:cs="Arial"/>
          <w:bCs/>
          <w:color w:val="000000" w:themeColor="text1"/>
          <w:kern w:val="0"/>
          <w:lang w:val="en-US"/>
          <w14:ligatures w14:val="none"/>
        </w:rPr>
        <w:t>UWTSD</w:t>
      </w:r>
      <w:proofErr w:type="spellEnd"/>
      <w:r w:rsidRPr="00874ABF">
        <w:rPr>
          <w:rFonts w:ascii="Arial" w:eastAsia="source serif 4" w:hAnsi="Arial" w:cs="Arial"/>
          <w:bCs/>
          <w:color w:val="000000" w:themeColor="text1"/>
          <w:kern w:val="0"/>
          <w:lang w:val="en-US"/>
          <w14:ligatures w14:val="none"/>
        </w:rPr>
        <w:t xml:space="preserve"> </w:t>
      </w:r>
      <w:proofErr w:type="spellStart"/>
      <w:r w:rsidRPr="00874ABF">
        <w:rPr>
          <w:rFonts w:ascii="Arial" w:eastAsia="source serif 4" w:hAnsi="Arial" w:cs="Arial"/>
          <w:bCs/>
          <w:color w:val="000000" w:themeColor="text1"/>
          <w:kern w:val="0"/>
          <w:lang w:val="en-US"/>
          <w14:ligatures w14:val="none"/>
        </w:rPr>
        <w:t>licence</w:t>
      </w:r>
      <w:proofErr w:type="spellEnd"/>
      <w:r w:rsidRPr="00874ABF">
        <w:rPr>
          <w:rFonts w:ascii="Arial" w:eastAsia="source serif 4" w:hAnsi="Arial" w:cs="Arial"/>
          <w:bCs/>
          <w:color w:val="000000" w:themeColor="text1"/>
          <w:kern w:val="0"/>
          <w:lang w:val="en-US"/>
          <w14:ligatures w14:val="none"/>
        </w:rPr>
        <w:t>. Once SPSS version 30 was available, I repeated every analysis from the beginning and checked the results against the draft. The main findings were unchanged, but four corrections were made.</w:t>
      </w:r>
    </w:p>
    <w:p w14:paraId="298B19F2" w14:textId="18E3714F"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A supplementary comparison had an expected cell count below five. I therefore used Fisher’s exact test instead of chi-square. Fisher’s exact test </w:t>
      </w:r>
      <w:proofErr w:type="gramStart"/>
      <w:r w:rsidRPr="00874ABF">
        <w:rPr>
          <w:rFonts w:ascii="Arial" w:eastAsia="source serif 4" w:hAnsi="Arial" w:cs="Arial"/>
          <w:bCs/>
          <w:color w:val="000000" w:themeColor="text1"/>
          <w:kern w:val="0"/>
          <w:lang w:val="en-US"/>
          <w14:ligatures w14:val="none"/>
        </w:rPr>
        <w:t>gave  p</w:t>
      </w:r>
      <w:proofErr w:type="gramEnd"/>
      <w:r w:rsidRPr="00874ABF">
        <w:rPr>
          <w:rFonts w:ascii="Arial" w:eastAsia="source serif 4" w:hAnsi="Arial" w:cs="Arial"/>
          <w:bCs/>
          <w:color w:val="000000" w:themeColor="text1"/>
          <w:kern w:val="0"/>
          <w:lang w:val="en-US"/>
          <w14:ligatures w14:val="none"/>
        </w:rPr>
        <w:t>=.042, so this result was statistically significant.</w:t>
      </w:r>
    </w:p>
    <w:p w14:paraId="53FA4A33" w14:textId="5CF8B9D1"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 xml:space="preserve">The Wilcoxon results in Appendix B did not match the SPSS output because an earlier calculation outside SPSS handled tied values differently. I replaced these with </w:t>
      </w:r>
      <w:proofErr w:type="gramStart"/>
      <w:r w:rsidRPr="00874ABF">
        <w:rPr>
          <w:rFonts w:ascii="Arial" w:eastAsia="source serif 4" w:hAnsi="Arial" w:cs="Arial"/>
          <w:bCs/>
          <w:color w:val="000000" w:themeColor="text1"/>
          <w:kern w:val="0"/>
          <w:lang w:val="en-US"/>
          <w14:ligatures w14:val="none"/>
        </w:rPr>
        <w:t>the SPSS</w:t>
      </w:r>
      <w:proofErr w:type="gramEnd"/>
      <w:r w:rsidRPr="00874ABF">
        <w:rPr>
          <w:rFonts w:ascii="Arial" w:eastAsia="source serif 4" w:hAnsi="Arial" w:cs="Arial"/>
          <w:bCs/>
          <w:color w:val="000000" w:themeColor="text1"/>
          <w:kern w:val="0"/>
          <w:lang w:val="en-US"/>
          <w14:ligatures w14:val="none"/>
        </w:rPr>
        <w:t xml:space="preserve"> version 30 results: Z=−0.50, p=.619. The conclusion did not change.</w:t>
      </w:r>
    </w:p>
    <w:p w14:paraId="6E4F1AD0" w14:textId="77777777"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I had used different t-test rows despite non-significant Levene’s tests in both analyses. I corrected this so both tests use the equal-variances row.</w:t>
      </w:r>
    </w:p>
    <w:p w14:paraId="7DD3EB69" w14:textId="7975769A" w:rsidR="00834205" w:rsidRPr="00874ABF" w:rsidRDefault="00834205" w:rsidP="00834205">
      <w:pPr>
        <w:spacing w:after="120" w:line="360" w:lineRule="auto"/>
        <w:rPr>
          <w:rFonts w:ascii="Arial" w:eastAsia="source serif 4" w:hAnsi="Arial" w:cs="Arial"/>
          <w:bCs/>
          <w:color w:val="000000" w:themeColor="text1"/>
          <w:kern w:val="0"/>
          <w:lang w:val="en-US"/>
          <w14:ligatures w14:val="none"/>
        </w:rPr>
      </w:pPr>
      <w:r w:rsidRPr="00874ABF">
        <w:rPr>
          <w:rFonts w:ascii="Arial" w:eastAsia="source serif 4" w:hAnsi="Arial" w:cs="Arial"/>
          <w:bCs/>
          <w:color w:val="000000" w:themeColor="text1"/>
          <w:kern w:val="0"/>
          <w:lang w:val="en-US"/>
          <w14:ligatures w14:val="none"/>
        </w:rPr>
        <w:t>I added confidence intervals for effect sizes, the sample size used in each test, and the ANOVA effect size. These show both the size of an effect and how</w:t>
      </w:r>
      <w:r w:rsidR="009E1104">
        <w:rPr>
          <w:rFonts w:ascii="Arial" w:eastAsia="source serif 4" w:hAnsi="Arial" w:cs="Arial"/>
          <w:bCs/>
          <w:color w:val="000000" w:themeColor="text1"/>
          <w:kern w:val="0"/>
          <w:lang w:val="en-US"/>
          <w14:ligatures w14:val="none"/>
        </w:rPr>
        <w:t xml:space="preserve"> </w:t>
      </w:r>
      <w:r w:rsidRPr="00874ABF">
        <w:rPr>
          <w:rFonts w:ascii="Arial" w:eastAsia="source serif 4" w:hAnsi="Arial" w:cs="Arial"/>
          <w:bCs/>
          <w:color w:val="000000" w:themeColor="text1"/>
          <w:kern w:val="0"/>
          <w:lang w:val="en-US"/>
          <w14:ligatures w14:val="none"/>
        </w:rPr>
        <w:t>it was estimated.</w:t>
      </w:r>
    </w:p>
    <w:p w14:paraId="2E56E428" w14:textId="337E0273" w:rsidR="0095762A" w:rsidRPr="00142758" w:rsidRDefault="0095762A" w:rsidP="003E032B">
      <w:pPr>
        <w:spacing w:after="120" w:line="360" w:lineRule="auto"/>
        <w:rPr>
          <w:rFonts w:ascii="Arial" w:eastAsia="source serif 4" w:hAnsi="Arial" w:cs="Arial"/>
          <w:bCs/>
          <w:color w:val="000000" w:themeColor="text1"/>
          <w:kern w:val="0"/>
          <w:lang w:val="en-US"/>
          <w14:ligatures w14:val="none"/>
        </w:rPr>
      </w:pPr>
    </w:p>
    <w:sectPr w:rsidR="0095762A" w:rsidRPr="00142758" w:rsidSect="00DB6974">
      <w:footerReference w:type="default" r:id="rId88"/>
      <w:pgSz w:w="11906" w:h="16838"/>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B2704" w14:textId="77777777" w:rsidR="00BB48CA" w:rsidRDefault="00BB48CA" w:rsidP="006021BC">
      <w:pPr>
        <w:spacing w:after="0" w:line="240" w:lineRule="auto"/>
      </w:pPr>
      <w:r>
        <w:separator/>
      </w:r>
    </w:p>
  </w:endnote>
  <w:endnote w:type="continuationSeparator" w:id="0">
    <w:p w14:paraId="08D21EF0" w14:textId="77777777" w:rsidR="00BB48CA" w:rsidRDefault="00BB48CA" w:rsidP="00602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erif 4">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0763170"/>
      <w:docPartObj>
        <w:docPartGallery w:val="Page Numbers (Bottom of Page)"/>
        <w:docPartUnique/>
      </w:docPartObj>
    </w:sdtPr>
    <w:sdtEndPr>
      <w:rPr>
        <w:noProof/>
      </w:rPr>
    </w:sdtEndPr>
    <w:sdtContent>
      <w:p w14:paraId="66CA2928" w14:textId="77777777" w:rsidR="00142758" w:rsidRDefault="001427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99D81E" w14:textId="77777777" w:rsidR="00142758" w:rsidRDefault="001427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7629167"/>
      <w:docPartObj>
        <w:docPartGallery w:val="Page Numbers (Bottom of Page)"/>
        <w:docPartUnique/>
      </w:docPartObj>
    </w:sdtPr>
    <w:sdtEndPr>
      <w:rPr>
        <w:noProof/>
      </w:rPr>
    </w:sdtEndPr>
    <w:sdtContent>
      <w:p w14:paraId="543A5246" w14:textId="77777777" w:rsidR="00D37AFF" w:rsidRDefault="00D37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7336B2" w14:textId="77777777" w:rsidR="00D37AFF" w:rsidRDefault="00D37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7D54C" w14:textId="77777777" w:rsidR="00BB48CA" w:rsidRDefault="00BB48CA" w:rsidP="006021BC">
      <w:pPr>
        <w:spacing w:after="0" w:line="240" w:lineRule="auto"/>
      </w:pPr>
      <w:r>
        <w:separator/>
      </w:r>
    </w:p>
  </w:footnote>
  <w:footnote w:type="continuationSeparator" w:id="0">
    <w:p w14:paraId="0E42A21F" w14:textId="77777777" w:rsidR="00BB48CA" w:rsidRDefault="00BB48CA" w:rsidP="00602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185D"/>
    <w:multiLevelType w:val="multilevel"/>
    <w:tmpl w:val="CE0C5EBA"/>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0800113C"/>
    <w:multiLevelType w:val="multilevel"/>
    <w:tmpl w:val="D5744EC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0A076761"/>
    <w:multiLevelType w:val="multilevel"/>
    <w:tmpl w:val="7574880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0B043A98"/>
    <w:multiLevelType w:val="multilevel"/>
    <w:tmpl w:val="1356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F0CCE"/>
    <w:multiLevelType w:val="hybridMultilevel"/>
    <w:tmpl w:val="BA722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5D49DB"/>
    <w:multiLevelType w:val="multilevel"/>
    <w:tmpl w:val="43AC877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6" w15:restartNumberingAfterBreak="0">
    <w:nsid w:val="170A7D91"/>
    <w:multiLevelType w:val="multilevel"/>
    <w:tmpl w:val="EE9C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E04DDA"/>
    <w:multiLevelType w:val="multilevel"/>
    <w:tmpl w:val="E1285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D67512"/>
    <w:multiLevelType w:val="multilevel"/>
    <w:tmpl w:val="FB86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D76EB"/>
    <w:multiLevelType w:val="hybridMultilevel"/>
    <w:tmpl w:val="B052D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285DD5"/>
    <w:multiLevelType w:val="multilevel"/>
    <w:tmpl w:val="E57C7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5C1E64"/>
    <w:multiLevelType w:val="multilevel"/>
    <w:tmpl w:val="11D2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8273BC"/>
    <w:multiLevelType w:val="hybridMultilevel"/>
    <w:tmpl w:val="894E1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8D5234"/>
    <w:multiLevelType w:val="multilevel"/>
    <w:tmpl w:val="C9E8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B780A"/>
    <w:multiLevelType w:val="hybridMultilevel"/>
    <w:tmpl w:val="CA5A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797A2A"/>
    <w:multiLevelType w:val="multilevel"/>
    <w:tmpl w:val="E640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4D3BBA"/>
    <w:multiLevelType w:val="hybridMultilevel"/>
    <w:tmpl w:val="378EB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5521C5"/>
    <w:multiLevelType w:val="multilevel"/>
    <w:tmpl w:val="5A84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50045"/>
    <w:multiLevelType w:val="hybridMultilevel"/>
    <w:tmpl w:val="2BFA9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AA428F"/>
    <w:multiLevelType w:val="hybridMultilevel"/>
    <w:tmpl w:val="4240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2A7A42"/>
    <w:multiLevelType w:val="multilevel"/>
    <w:tmpl w:val="2482F10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1" w15:restartNumberingAfterBreak="0">
    <w:nsid w:val="73CC215C"/>
    <w:multiLevelType w:val="multilevel"/>
    <w:tmpl w:val="F490F50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2" w15:restartNumberingAfterBreak="0">
    <w:nsid w:val="756148F8"/>
    <w:multiLevelType w:val="hybridMultilevel"/>
    <w:tmpl w:val="18E0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8B7AE7"/>
    <w:multiLevelType w:val="multilevel"/>
    <w:tmpl w:val="9AD8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BC0C42"/>
    <w:multiLevelType w:val="hybridMultilevel"/>
    <w:tmpl w:val="E5967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1F1143"/>
    <w:multiLevelType w:val="multilevel"/>
    <w:tmpl w:val="DB34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8219956">
    <w:abstractNumId w:val="19"/>
  </w:num>
  <w:num w:numId="2" w16cid:durableId="547498941">
    <w:abstractNumId w:val="6"/>
  </w:num>
  <w:num w:numId="3" w16cid:durableId="862479189">
    <w:abstractNumId w:val="7"/>
  </w:num>
  <w:num w:numId="4" w16cid:durableId="215972329">
    <w:abstractNumId w:val="8"/>
  </w:num>
  <w:num w:numId="5" w16cid:durableId="92752514">
    <w:abstractNumId w:val="11"/>
  </w:num>
  <w:num w:numId="6" w16cid:durableId="1336960458">
    <w:abstractNumId w:val="10"/>
  </w:num>
  <w:num w:numId="7" w16cid:durableId="282350410">
    <w:abstractNumId w:val="15"/>
  </w:num>
  <w:num w:numId="8" w16cid:durableId="576940721">
    <w:abstractNumId w:val="3"/>
  </w:num>
  <w:num w:numId="9" w16cid:durableId="621768748">
    <w:abstractNumId w:val="13"/>
  </w:num>
  <w:num w:numId="10" w16cid:durableId="2035110203">
    <w:abstractNumId w:val="23"/>
  </w:num>
  <w:num w:numId="11" w16cid:durableId="1504316192">
    <w:abstractNumId w:val="25"/>
  </w:num>
  <w:num w:numId="12" w16cid:durableId="1030498245">
    <w:abstractNumId w:val="17"/>
  </w:num>
  <w:num w:numId="13" w16cid:durableId="680160155">
    <w:abstractNumId w:val="22"/>
  </w:num>
  <w:num w:numId="14" w16cid:durableId="1497915579">
    <w:abstractNumId w:val="14"/>
  </w:num>
  <w:num w:numId="15" w16cid:durableId="1816680767">
    <w:abstractNumId w:val="24"/>
  </w:num>
  <w:num w:numId="16" w16cid:durableId="1728986957">
    <w:abstractNumId w:val="12"/>
  </w:num>
  <w:num w:numId="17" w16cid:durableId="567688790">
    <w:abstractNumId w:val="9"/>
  </w:num>
  <w:num w:numId="18" w16cid:durableId="1574117354">
    <w:abstractNumId w:val="21"/>
  </w:num>
  <w:num w:numId="19" w16cid:durableId="2044288544">
    <w:abstractNumId w:val="5"/>
  </w:num>
  <w:num w:numId="20" w16cid:durableId="492185317">
    <w:abstractNumId w:val="0"/>
  </w:num>
  <w:num w:numId="21" w16cid:durableId="1339120841">
    <w:abstractNumId w:val="2"/>
  </w:num>
  <w:num w:numId="22" w16cid:durableId="461117155">
    <w:abstractNumId w:val="20"/>
  </w:num>
  <w:num w:numId="23" w16cid:durableId="1965312401">
    <w:abstractNumId w:val="1"/>
  </w:num>
  <w:num w:numId="24" w16cid:durableId="577636576">
    <w:abstractNumId w:val="20"/>
  </w:num>
  <w:num w:numId="25" w16cid:durableId="926306511">
    <w:abstractNumId w:val="1"/>
  </w:num>
  <w:num w:numId="26" w16cid:durableId="1562406010">
    <w:abstractNumId w:val="20"/>
  </w:num>
  <w:num w:numId="27" w16cid:durableId="670379183">
    <w:abstractNumId w:val="1"/>
  </w:num>
  <w:num w:numId="28" w16cid:durableId="1925915499">
    <w:abstractNumId w:val="20"/>
  </w:num>
  <w:num w:numId="29" w16cid:durableId="1607737632">
    <w:abstractNumId w:val="1"/>
  </w:num>
  <w:num w:numId="30" w16cid:durableId="27219110">
    <w:abstractNumId w:val="20"/>
  </w:num>
  <w:num w:numId="31" w16cid:durableId="162164405">
    <w:abstractNumId w:val="1"/>
  </w:num>
  <w:num w:numId="32" w16cid:durableId="48967932">
    <w:abstractNumId w:val="20"/>
  </w:num>
  <w:num w:numId="33" w16cid:durableId="238946270">
    <w:abstractNumId w:val="1"/>
  </w:num>
  <w:num w:numId="34" w16cid:durableId="518353239">
    <w:abstractNumId w:val="4"/>
  </w:num>
  <w:num w:numId="35" w16cid:durableId="674066064">
    <w:abstractNumId w:val="20"/>
  </w:num>
  <w:num w:numId="36" w16cid:durableId="1835100044">
    <w:abstractNumId w:val="1"/>
  </w:num>
  <w:num w:numId="37" w16cid:durableId="1562670286">
    <w:abstractNumId w:val="20"/>
  </w:num>
  <w:num w:numId="38" w16cid:durableId="1443955407">
    <w:abstractNumId w:val="1"/>
  </w:num>
  <w:num w:numId="39" w16cid:durableId="476343368">
    <w:abstractNumId w:val="20"/>
  </w:num>
  <w:num w:numId="40" w16cid:durableId="903181541">
    <w:abstractNumId w:val="1"/>
  </w:num>
  <w:num w:numId="41" w16cid:durableId="1291017016">
    <w:abstractNumId w:val="20"/>
  </w:num>
  <w:num w:numId="42" w16cid:durableId="70589350">
    <w:abstractNumId w:val="1"/>
  </w:num>
  <w:num w:numId="43" w16cid:durableId="1052657157">
    <w:abstractNumId w:val="18"/>
  </w:num>
  <w:num w:numId="44" w16cid:durableId="125173898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797"/>
    <w:rsid w:val="00001AA1"/>
    <w:rsid w:val="00007CC5"/>
    <w:rsid w:val="000147AE"/>
    <w:rsid w:val="000234AD"/>
    <w:rsid w:val="00024BA2"/>
    <w:rsid w:val="00043D54"/>
    <w:rsid w:val="000459C7"/>
    <w:rsid w:val="000560B1"/>
    <w:rsid w:val="0007061D"/>
    <w:rsid w:val="00074D77"/>
    <w:rsid w:val="000760A4"/>
    <w:rsid w:val="00095517"/>
    <w:rsid w:val="000A1A08"/>
    <w:rsid w:val="000A1DD7"/>
    <w:rsid w:val="000A240E"/>
    <w:rsid w:val="000B5597"/>
    <w:rsid w:val="000C0174"/>
    <w:rsid w:val="000C55D2"/>
    <w:rsid w:val="000D0AB4"/>
    <w:rsid w:val="000E385B"/>
    <w:rsid w:val="000E6512"/>
    <w:rsid w:val="000F0BDF"/>
    <w:rsid w:val="000F55C9"/>
    <w:rsid w:val="00102121"/>
    <w:rsid w:val="001177BD"/>
    <w:rsid w:val="00123AC7"/>
    <w:rsid w:val="001263FA"/>
    <w:rsid w:val="00134D1D"/>
    <w:rsid w:val="00136E40"/>
    <w:rsid w:val="00142758"/>
    <w:rsid w:val="001470AD"/>
    <w:rsid w:val="00147FD2"/>
    <w:rsid w:val="00164406"/>
    <w:rsid w:val="0016491F"/>
    <w:rsid w:val="00174B27"/>
    <w:rsid w:val="00175158"/>
    <w:rsid w:val="001825DE"/>
    <w:rsid w:val="00184120"/>
    <w:rsid w:val="00184ECE"/>
    <w:rsid w:val="00191BF6"/>
    <w:rsid w:val="001A119D"/>
    <w:rsid w:val="001B26FB"/>
    <w:rsid w:val="001B383C"/>
    <w:rsid w:val="001C4977"/>
    <w:rsid w:val="001C5D50"/>
    <w:rsid w:val="001D0AED"/>
    <w:rsid w:val="001F3099"/>
    <w:rsid w:val="001F7782"/>
    <w:rsid w:val="00203BD1"/>
    <w:rsid w:val="00204365"/>
    <w:rsid w:val="002112D0"/>
    <w:rsid w:val="00211C47"/>
    <w:rsid w:val="00215B5B"/>
    <w:rsid w:val="002162C8"/>
    <w:rsid w:val="00225746"/>
    <w:rsid w:val="00254869"/>
    <w:rsid w:val="00256959"/>
    <w:rsid w:val="002619FF"/>
    <w:rsid w:val="0026563D"/>
    <w:rsid w:val="00281941"/>
    <w:rsid w:val="0028332D"/>
    <w:rsid w:val="002852EF"/>
    <w:rsid w:val="00286E0A"/>
    <w:rsid w:val="002874C3"/>
    <w:rsid w:val="002A2C41"/>
    <w:rsid w:val="002B0BD8"/>
    <w:rsid w:val="002B6337"/>
    <w:rsid w:val="002D40BC"/>
    <w:rsid w:val="002D430B"/>
    <w:rsid w:val="002D5D51"/>
    <w:rsid w:val="002E0575"/>
    <w:rsid w:val="002E248D"/>
    <w:rsid w:val="002E4491"/>
    <w:rsid w:val="002E7F2E"/>
    <w:rsid w:val="002F120D"/>
    <w:rsid w:val="002F1A85"/>
    <w:rsid w:val="002F6D2B"/>
    <w:rsid w:val="003025C6"/>
    <w:rsid w:val="00305A3E"/>
    <w:rsid w:val="003071A5"/>
    <w:rsid w:val="00313484"/>
    <w:rsid w:val="00320DB4"/>
    <w:rsid w:val="003266E4"/>
    <w:rsid w:val="00332F7D"/>
    <w:rsid w:val="00334659"/>
    <w:rsid w:val="003348E1"/>
    <w:rsid w:val="00344B8A"/>
    <w:rsid w:val="00350CC8"/>
    <w:rsid w:val="003515F5"/>
    <w:rsid w:val="0036525B"/>
    <w:rsid w:val="00371950"/>
    <w:rsid w:val="00371EBB"/>
    <w:rsid w:val="003811B3"/>
    <w:rsid w:val="00383BFD"/>
    <w:rsid w:val="003A1158"/>
    <w:rsid w:val="003A2661"/>
    <w:rsid w:val="003A7CA9"/>
    <w:rsid w:val="003B1826"/>
    <w:rsid w:val="003B797C"/>
    <w:rsid w:val="003C2ACF"/>
    <w:rsid w:val="003C6FD1"/>
    <w:rsid w:val="003C76DF"/>
    <w:rsid w:val="003D5409"/>
    <w:rsid w:val="003E032B"/>
    <w:rsid w:val="003E0FDB"/>
    <w:rsid w:val="003E3E4B"/>
    <w:rsid w:val="003E7D81"/>
    <w:rsid w:val="003F7A6E"/>
    <w:rsid w:val="00402598"/>
    <w:rsid w:val="00406ECD"/>
    <w:rsid w:val="00425DDA"/>
    <w:rsid w:val="00437F67"/>
    <w:rsid w:val="004403A9"/>
    <w:rsid w:val="00444022"/>
    <w:rsid w:val="004455DB"/>
    <w:rsid w:val="0044789F"/>
    <w:rsid w:val="00454301"/>
    <w:rsid w:val="00456A07"/>
    <w:rsid w:val="00470C02"/>
    <w:rsid w:val="0047239A"/>
    <w:rsid w:val="00473B60"/>
    <w:rsid w:val="004809B1"/>
    <w:rsid w:val="00481944"/>
    <w:rsid w:val="00484A2A"/>
    <w:rsid w:val="0049106D"/>
    <w:rsid w:val="004914A6"/>
    <w:rsid w:val="0049284B"/>
    <w:rsid w:val="004A0B88"/>
    <w:rsid w:val="004A1327"/>
    <w:rsid w:val="004C3D5C"/>
    <w:rsid w:val="004F3A57"/>
    <w:rsid w:val="004F78CF"/>
    <w:rsid w:val="005007AD"/>
    <w:rsid w:val="00510B84"/>
    <w:rsid w:val="00511525"/>
    <w:rsid w:val="00511A32"/>
    <w:rsid w:val="005172A3"/>
    <w:rsid w:val="005179A7"/>
    <w:rsid w:val="00520B53"/>
    <w:rsid w:val="00521AB8"/>
    <w:rsid w:val="00522073"/>
    <w:rsid w:val="00524946"/>
    <w:rsid w:val="005350EE"/>
    <w:rsid w:val="005419AF"/>
    <w:rsid w:val="00550F55"/>
    <w:rsid w:val="005563F6"/>
    <w:rsid w:val="00590000"/>
    <w:rsid w:val="00593FB8"/>
    <w:rsid w:val="005A4F31"/>
    <w:rsid w:val="005B569D"/>
    <w:rsid w:val="005C15A7"/>
    <w:rsid w:val="005C228A"/>
    <w:rsid w:val="005C2862"/>
    <w:rsid w:val="005C3B07"/>
    <w:rsid w:val="005E1CDF"/>
    <w:rsid w:val="005F310F"/>
    <w:rsid w:val="006021BC"/>
    <w:rsid w:val="00603DD9"/>
    <w:rsid w:val="00617026"/>
    <w:rsid w:val="006179A4"/>
    <w:rsid w:val="00625260"/>
    <w:rsid w:val="006261B9"/>
    <w:rsid w:val="0062694C"/>
    <w:rsid w:val="00633644"/>
    <w:rsid w:val="00633C51"/>
    <w:rsid w:val="006360F5"/>
    <w:rsid w:val="006572DB"/>
    <w:rsid w:val="006603EB"/>
    <w:rsid w:val="00662121"/>
    <w:rsid w:val="00665EE9"/>
    <w:rsid w:val="00671A30"/>
    <w:rsid w:val="00671B15"/>
    <w:rsid w:val="006760CF"/>
    <w:rsid w:val="0068365B"/>
    <w:rsid w:val="006845B6"/>
    <w:rsid w:val="00690797"/>
    <w:rsid w:val="006911D1"/>
    <w:rsid w:val="0069497A"/>
    <w:rsid w:val="00697328"/>
    <w:rsid w:val="006C6777"/>
    <w:rsid w:val="006D1F4D"/>
    <w:rsid w:val="006D2888"/>
    <w:rsid w:val="006D6EC8"/>
    <w:rsid w:val="006E43A7"/>
    <w:rsid w:val="006F388D"/>
    <w:rsid w:val="006F6A40"/>
    <w:rsid w:val="007121C8"/>
    <w:rsid w:val="00713B9C"/>
    <w:rsid w:val="00713D84"/>
    <w:rsid w:val="0071777B"/>
    <w:rsid w:val="00721A13"/>
    <w:rsid w:val="00725CA0"/>
    <w:rsid w:val="0074128E"/>
    <w:rsid w:val="00743C64"/>
    <w:rsid w:val="007657AD"/>
    <w:rsid w:val="00770F12"/>
    <w:rsid w:val="00784DC4"/>
    <w:rsid w:val="00792CD9"/>
    <w:rsid w:val="007931D2"/>
    <w:rsid w:val="007A20C1"/>
    <w:rsid w:val="007A45CE"/>
    <w:rsid w:val="007B1492"/>
    <w:rsid w:val="007B1E95"/>
    <w:rsid w:val="007B2AC3"/>
    <w:rsid w:val="007B4BD3"/>
    <w:rsid w:val="007C0E3A"/>
    <w:rsid w:val="007D1647"/>
    <w:rsid w:val="007D505A"/>
    <w:rsid w:val="007D6F9C"/>
    <w:rsid w:val="007E44C6"/>
    <w:rsid w:val="00810DD4"/>
    <w:rsid w:val="00812053"/>
    <w:rsid w:val="00815D3A"/>
    <w:rsid w:val="00822A70"/>
    <w:rsid w:val="00834205"/>
    <w:rsid w:val="008445B0"/>
    <w:rsid w:val="008566B8"/>
    <w:rsid w:val="00862CDE"/>
    <w:rsid w:val="00863D53"/>
    <w:rsid w:val="00864F56"/>
    <w:rsid w:val="00866CE6"/>
    <w:rsid w:val="00867B9F"/>
    <w:rsid w:val="00867D83"/>
    <w:rsid w:val="00874ABF"/>
    <w:rsid w:val="0087627B"/>
    <w:rsid w:val="00886646"/>
    <w:rsid w:val="00887F4C"/>
    <w:rsid w:val="008941E3"/>
    <w:rsid w:val="008A6A69"/>
    <w:rsid w:val="008C162B"/>
    <w:rsid w:val="008C166F"/>
    <w:rsid w:val="008C5924"/>
    <w:rsid w:val="008C743E"/>
    <w:rsid w:val="008D2C0D"/>
    <w:rsid w:val="008E0160"/>
    <w:rsid w:val="008E2358"/>
    <w:rsid w:val="008E2379"/>
    <w:rsid w:val="008E5062"/>
    <w:rsid w:val="008E5B9A"/>
    <w:rsid w:val="008E62E2"/>
    <w:rsid w:val="008F1407"/>
    <w:rsid w:val="008F1AAD"/>
    <w:rsid w:val="008F296B"/>
    <w:rsid w:val="008F4D31"/>
    <w:rsid w:val="00901B76"/>
    <w:rsid w:val="00902231"/>
    <w:rsid w:val="00903DE0"/>
    <w:rsid w:val="009060DD"/>
    <w:rsid w:val="009114C1"/>
    <w:rsid w:val="009155E6"/>
    <w:rsid w:val="009218A4"/>
    <w:rsid w:val="00934EEE"/>
    <w:rsid w:val="00935ECB"/>
    <w:rsid w:val="009410B0"/>
    <w:rsid w:val="0094125F"/>
    <w:rsid w:val="0094432C"/>
    <w:rsid w:val="0094510C"/>
    <w:rsid w:val="009503FE"/>
    <w:rsid w:val="0095674F"/>
    <w:rsid w:val="0095762A"/>
    <w:rsid w:val="00957C39"/>
    <w:rsid w:val="00966FBF"/>
    <w:rsid w:val="0098745B"/>
    <w:rsid w:val="009A0AED"/>
    <w:rsid w:val="009A3903"/>
    <w:rsid w:val="009A66D5"/>
    <w:rsid w:val="009C092F"/>
    <w:rsid w:val="009C1234"/>
    <w:rsid w:val="009C4502"/>
    <w:rsid w:val="009E021C"/>
    <w:rsid w:val="009E1104"/>
    <w:rsid w:val="009F20D5"/>
    <w:rsid w:val="009F4F13"/>
    <w:rsid w:val="009F649B"/>
    <w:rsid w:val="00A01C63"/>
    <w:rsid w:val="00A044A8"/>
    <w:rsid w:val="00A14134"/>
    <w:rsid w:val="00A24ED5"/>
    <w:rsid w:val="00A25CB0"/>
    <w:rsid w:val="00A2669D"/>
    <w:rsid w:val="00A43AC8"/>
    <w:rsid w:val="00A4559D"/>
    <w:rsid w:val="00A4591A"/>
    <w:rsid w:val="00A46763"/>
    <w:rsid w:val="00A6052D"/>
    <w:rsid w:val="00A745AB"/>
    <w:rsid w:val="00A82108"/>
    <w:rsid w:val="00A86FA5"/>
    <w:rsid w:val="00A93758"/>
    <w:rsid w:val="00A974EA"/>
    <w:rsid w:val="00AA10BC"/>
    <w:rsid w:val="00AD12DB"/>
    <w:rsid w:val="00AD5865"/>
    <w:rsid w:val="00AE2C54"/>
    <w:rsid w:val="00AE3D37"/>
    <w:rsid w:val="00AE444E"/>
    <w:rsid w:val="00AE7703"/>
    <w:rsid w:val="00B010D6"/>
    <w:rsid w:val="00B04422"/>
    <w:rsid w:val="00B0798D"/>
    <w:rsid w:val="00B32E0A"/>
    <w:rsid w:val="00B53911"/>
    <w:rsid w:val="00B6176C"/>
    <w:rsid w:val="00B61D60"/>
    <w:rsid w:val="00B81BFC"/>
    <w:rsid w:val="00B924EB"/>
    <w:rsid w:val="00B94C62"/>
    <w:rsid w:val="00BB002C"/>
    <w:rsid w:val="00BB47E5"/>
    <w:rsid w:val="00BB48CA"/>
    <w:rsid w:val="00BC461A"/>
    <w:rsid w:val="00BC66A7"/>
    <w:rsid w:val="00BC6986"/>
    <w:rsid w:val="00BC76D0"/>
    <w:rsid w:val="00BD04F8"/>
    <w:rsid w:val="00BD17F0"/>
    <w:rsid w:val="00BD5A0D"/>
    <w:rsid w:val="00BD67C2"/>
    <w:rsid w:val="00BE563A"/>
    <w:rsid w:val="00BE611F"/>
    <w:rsid w:val="00BF3EF4"/>
    <w:rsid w:val="00BF692B"/>
    <w:rsid w:val="00C005AD"/>
    <w:rsid w:val="00C14EFF"/>
    <w:rsid w:val="00C25633"/>
    <w:rsid w:val="00C47432"/>
    <w:rsid w:val="00C57E77"/>
    <w:rsid w:val="00C57FA1"/>
    <w:rsid w:val="00C676F6"/>
    <w:rsid w:val="00C67D3C"/>
    <w:rsid w:val="00C73BBE"/>
    <w:rsid w:val="00C81DBA"/>
    <w:rsid w:val="00C87A20"/>
    <w:rsid w:val="00C9542B"/>
    <w:rsid w:val="00C96EEE"/>
    <w:rsid w:val="00CA6814"/>
    <w:rsid w:val="00CB1549"/>
    <w:rsid w:val="00CB30E5"/>
    <w:rsid w:val="00CB5986"/>
    <w:rsid w:val="00CC061F"/>
    <w:rsid w:val="00CE36AC"/>
    <w:rsid w:val="00D01E81"/>
    <w:rsid w:val="00D038A5"/>
    <w:rsid w:val="00D10ABB"/>
    <w:rsid w:val="00D179B0"/>
    <w:rsid w:val="00D24F74"/>
    <w:rsid w:val="00D31B2B"/>
    <w:rsid w:val="00D37AFF"/>
    <w:rsid w:val="00D41A26"/>
    <w:rsid w:val="00D45253"/>
    <w:rsid w:val="00D47581"/>
    <w:rsid w:val="00D52101"/>
    <w:rsid w:val="00D52B82"/>
    <w:rsid w:val="00D5396C"/>
    <w:rsid w:val="00D56EB5"/>
    <w:rsid w:val="00D6270D"/>
    <w:rsid w:val="00D74336"/>
    <w:rsid w:val="00D75561"/>
    <w:rsid w:val="00D75A03"/>
    <w:rsid w:val="00D76070"/>
    <w:rsid w:val="00D84EF9"/>
    <w:rsid w:val="00D9037C"/>
    <w:rsid w:val="00D9049F"/>
    <w:rsid w:val="00DA2A56"/>
    <w:rsid w:val="00DA4D2D"/>
    <w:rsid w:val="00DB045E"/>
    <w:rsid w:val="00DB3316"/>
    <w:rsid w:val="00DB6974"/>
    <w:rsid w:val="00DC6E51"/>
    <w:rsid w:val="00DD0791"/>
    <w:rsid w:val="00DE53C7"/>
    <w:rsid w:val="00DF5C5C"/>
    <w:rsid w:val="00DF6199"/>
    <w:rsid w:val="00DF757F"/>
    <w:rsid w:val="00E03B0A"/>
    <w:rsid w:val="00E04690"/>
    <w:rsid w:val="00E3098A"/>
    <w:rsid w:val="00E32055"/>
    <w:rsid w:val="00E507B0"/>
    <w:rsid w:val="00E549CE"/>
    <w:rsid w:val="00E617C4"/>
    <w:rsid w:val="00E639BB"/>
    <w:rsid w:val="00E73068"/>
    <w:rsid w:val="00E8632C"/>
    <w:rsid w:val="00EA250A"/>
    <w:rsid w:val="00EC1CFC"/>
    <w:rsid w:val="00EC4A81"/>
    <w:rsid w:val="00EC51A4"/>
    <w:rsid w:val="00ED3152"/>
    <w:rsid w:val="00EE12E7"/>
    <w:rsid w:val="00F050ED"/>
    <w:rsid w:val="00F11FC0"/>
    <w:rsid w:val="00F404A5"/>
    <w:rsid w:val="00F533DD"/>
    <w:rsid w:val="00F53521"/>
    <w:rsid w:val="00F54E28"/>
    <w:rsid w:val="00F5791D"/>
    <w:rsid w:val="00F61F44"/>
    <w:rsid w:val="00F63673"/>
    <w:rsid w:val="00F767DA"/>
    <w:rsid w:val="00F873AC"/>
    <w:rsid w:val="00F91F60"/>
    <w:rsid w:val="00F95861"/>
    <w:rsid w:val="00F97371"/>
    <w:rsid w:val="00FA07A3"/>
    <w:rsid w:val="00FA330E"/>
    <w:rsid w:val="00FA568F"/>
    <w:rsid w:val="00FB491C"/>
    <w:rsid w:val="00FC0980"/>
    <w:rsid w:val="00FC77A2"/>
    <w:rsid w:val="00FE5FF1"/>
    <w:rsid w:val="00FF228D"/>
    <w:rsid w:val="00FF6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23E409"/>
  <w15:chartTrackingRefBased/>
  <w15:docId w15:val="{6E9EC943-E9CF-4AA2-A385-1CCC43824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ABF"/>
    <w:pPr>
      <w:spacing w:line="276" w:lineRule="auto"/>
    </w:pPr>
  </w:style>
  <w:style w:type="paragraph" w:styleId="Heading1">
    <w:name w:val="heading 1"/>
    <w:basedOn w:val="Normal"/>
    <w:next w:val="Normal"/>
    <w:link w:val="Heading1Char"/>
    <w:uiPriority w:val="9"/>
    <w:qFormat/>
    <w:rsid w:val="0069079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79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797"/>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797"/>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797"/>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797"/>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797"/>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797"/>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797"/>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797"/>
    <w:rPr>
      <w:rFonts w:eastAsiaTheme="majorEastAsia" w:cstheme="majorBidi"/>
      <w:color w:val="272727" w:themeColor="text1" w:themeTint="D8"/>
    </w:rPr>
  </w:style>
  <w:style w:type="paragraph" w:styleId="Title">
    <w:name w:val="Title"/>
    <w:basedOn w:val="Normal"/>
    <w:next w:val="Normal"/>
    <w:link w:val="TitleChar"/>
    <w:uiPriority w:val="10"/>
    <w:qFormat/>
    <w:rsid w:val="00690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797"/>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797"/>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690797"/>
    <w:rPr>
      <w:i/>
      <w:iCs/>
      <w:color w:val="404040" w:themeColor="text1" w:themeTint="BF"/>
    </w:rPr>
  </w:style>
  <w:style w:type="paragraph" w:styleId="ListParagraph">
    <w:name w:val="List Paragraph"/>
    <w:basedOn w:val="Normal"/>
    <w:uiPriority w:val="34"/>
    <w:qFormat/>
    <w:rsid w:val="00690797"/>
    <w:pPr>
      <w:spacing w:line="278" w:lineRule="auto"/>
      <w:ind w:left="720"/>
      <w:contextualSpacing/>
    </w:pPr>
  </w:style>
  <w:style w:type="character" w:styleId="IntenseEmphasis">
    <w:name w:val="Intense Emphasis"/>
    <w:basedOn w:val="DefaultParagraphFont"/>
    <w:uiPriority w:val="21"/>
    <w:qFormat/>
    <w:rsid w:val="00690797"/>
    <w:rPr>
      <w:i/>
      <w:iCs/>
      <w:color w:val="0F4761" w:themeColor="accent1" w:themeShade="BF"/>
    </w:rPr>
  </w:style>
  <w:style w:type="paragraph" w:styleId="IntenseQuote">
    <w:name w:val="Intense Quote"/>
    <w:basedOn w:val="Normal"/>
    <w:next w:val="Normal"/>
    <w:link w:val="IntenseQuoteChar"/>
    <w:uiPriority w:val="30"/>
    <w:qFormat/>
    <w:rsid w:val="0069079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797"/>
    <w:rPr>
      <w:i/>
      <w:iCs/>
      <w:color w:val="0F4761" w:themeColor="accent1" w:themeShade="BF"/>
    </w:rPr>
  </w:style>
  <w:style w:type="character" w:styleId="IntenseReference">
    <w:name w:val="Intense Reference"/>
    <w:basedOn w:val="DefaultParagraphFont"/>
    <w:uiPriority w:val="32"/>
    <w:qFormat/>
    <w:rsid w:val="00690797"/>
    <w:rPr>
      <w:b/>
      <w:bCs/>
      <w:smallCaps/>
      <w:color w:val="0F4761" w:themeColor="accent1" w:themeShade="BF"/>
      <w:spacing w:val="5"/>
    </w:rPr>
  </w:style>
  <w:style w:type="table" w:styleId="TableGrid">
    <w:name w:val="Table Grid"/>
    <w:basedOn w:val="TableNormal"/>
    <w:uiPriority w:val="59"/>
    <w:rsid w:val="00690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2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1BC"/>
  </w:style>
  <w:style w:type="paragraph" w:styleId="Footer">
    <w:name w:val="footer"/>
    <w:basedOn w:val="Normal"/>
    <w:link w:val="FooterChar"/>
    <w:uiPriority w:val="99"/>
    <w:unhideWhenUsed/>
    <w:rsid w:val="00602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1BC"/>
  </w:style>
  <w:style w:type="character" w:styleId="Hyperlink">
    <w:name w:val="Hyperlink"/>
    <w:basedOn w:val="DefaultParagraphFont"/>
    <w:uiPriority w:val="99"/>
    <w:unhideWhenUsed/>
    <w:rsid w:val="00C676F6"/>
    <w:rPr>
      <w:color w:val="467886" w:themeColor="hyperlink"/>
      <w:u w:val="single"/>
    </w:rPr>
  </w:style>
  <w:style w:type="character" w:styleId="UnresolvedMention">
    <w:name w:val="Unresolved Mention"/>
    <w:basedOn w:val="DefaultParagraphFont"/>
    <w:uiPriority w:val="99"/>
    <w:semiHidden/>
    <w:unhideWhenUsed/>
    <w:rsid w:val="00C676F6"/>
    <w:rPr>
      <w:color w:val="605E5C"/>
      <w:shd w:val="clear" w:color="auto" w:fill="E1DFDD"/>
    </w:rPr>
  </w:style>
  <w:style w:type="character" w:styleId="FollowedHyperlink">
    <w:name w:val="FollowedHyperlink"/>
    <w:basedOn w:val="DefaultParagraphFont"/>
    <w:uiPriority w:val="99"/>
    <w:semiHidden/>
    <w:unhideWhenUsed/>
    <w:rsid w:val="000560B1"/>
    <w:rPr>
      <w:color w:val="96607D" w:themeColor="followedHyperlink"/>
      <w:u w:val="single"/>
    </w:rPr>
  </w:style>
  <w:style w:type="paragraph" w:customStyle="1" w:styleId="msonormal0">
    <w:name w:val="msonormal"/>
    <w:basedOn w:val="Normal"/>
    <w:rsid w:val="000F55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Light">
    <w:name w:val="Grid Table Light"/>
    <w:basedOn w:val="TableNormal"/>
    <w:uiPriority w:val="40"/>
    <w:rsid w:val="00B32E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my-2">
    <w:name w:val="my-2"/>
    <w:basedOn w:val="Normal"/>
    <w:rsid w:val="00A044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725CA0"/>
    <w:rPr>
      <w:color w:val="666666"/>
    </w:rPr>
  </w:style>
  <w:style w:type="numbering" w:customStyle="1" w:styleId="NoList1">
    <w:name w:val="No List1"/>
    <w:next w:val="NoList"/>
    <w:uiPriority w:val="99"/>
    <w:semiHidden/>
    <w:unhideWhenUsed/>
    <w:rsid w:val="008445B0"/>
  </w:style>
  <w:style w:type="table" w:customStyle="1" w:styleId="TableGrid1">
    <w:name w:val="Table Grid1"/>
    <w:basedOn w:val="TableNormal"/>
    <w:next w:val="TableGrid"/>
    <w:uiPriority w:val="59"/>
    <w:rsid w:val="008445B0"/>
    <w:pPr>
      <w:spacing w:after="0" w:line="240" w:lineRule="auto"/>
    </w:pPr>
    <w:rPr>
      <w:rFonts w:ascii="Aptos" w:eastAsia="Aptos" w:hAnsi="Aptos"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next w:val="TableGridLight"/>
    <w:uiPriority w:val="40"/>
    <w:rsid w:val="008445B0"/>
    <w:pPr>
      <w:spacing w:after="0" w:line="240" w:lineRule="auto"/>
    </w:pPr>
    <w:rPr>
      <w:rFonts w:ascii="Aptos" w:eastAsia="Aptos" w:hAnsi="Aptos" w:cs="Times New Roman"/>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11">
    <w:name w:val="Table Grid11"/>
    <w:basedOn w:val="TableNormal"/>
    <w:next w:val="TableGrid"/>
    <w:uiPriority w:val="39"/>
    <w:rsid w:val="0049284B"/>
    <w:pPr>
      <w:spacing w:after="0" w:line="240" w:lineRule="auto"/>
    </w:pPr>
    <w:rPr>
      <w:rFonts w:ascii="Times New Roman" w:eastAsia="Times New Roman" w:hAnsi="Times New Roman" w:cs="Times New Roman"/>
      <w:kern w:val="0"/>
      <w:sz w:val="20"/>
      <w:szCs w:val="2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doi.org/10.47408/jldhe.vi34.1385" TargetMode="External"/><Relationship Id="rId47" Type="http://schemas.openxmlformats.org/officeDocument/2006/relationships/hyperlink" Target="https://doi-org.uwtsd.idm.oclc.org/10.1007/s44217-026-01186-6" TargetMode="External"/><Relationship Id="rId63" Type="http://schemas.openxmlformats.org/officeDocument/2006/relationships/hyperlink" Target="https://doi.org/10.1016/j.chb.2018.07.027" TargetMode="External"/><Relationship Id="rId68" Type="http://schemas.openxmlformats.org/officeDocument/2006/relationships/image" Target="media/image20.png"/><Relationship Id="rId84" Type="http://schemas.openxmlformats.org/officeDocument/2006/relationships/image" Target="media/image36.png"/><Relationship Id="rId89" Type="http://schemas.openxmlformats.org/officeDocument/2006/relationships/fontTable" Target="fontTable.xm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doi.org/10.1177/1609406919900828" TargetMode="External"/><Relationship Id="rId37" Type="http://schemas.openxmlformats.org/officeDocument/2006/relationships/hyperlink" Target="https://assets.publishing.service.gov.uk/media/69dcee3aeb7e7bc5651702be/Statistical_disclosure_control_policy_for_DfE_data_-_Office_for_National_Statistics_Secure_Research_Service.pdf" TargetMode="External"/><Relationship Id="rId53" Type="http://schemas.openxmlformats.org/officeDocument/2006/relationships/hyperlink" Target="https://doi.org/10.3390/su13084460" TargetMode="External"/><Relationship Id="rId58" Type="http://schemas.openxmlformats.org/officeDocument/2006/relationships/hyperlink" Target="https://doi.org/10.1051/shsconf/20207504005" TargetMode="External"/><Relationship Id="rId74" Type="http://schemas.openxmlformats.org/officeDocument/2006/relationships/image" Target="media/image26.png"/><Relationship Id="rId79" Type="http://schemas.openxmlformats.org/officeDocument/2006/relationships/image" Target="media/image31.png"/><Relationship Id="rId5" Type="http://schemas.openxmlformats.org/officeDocument/2006/relationships/numbering" Target="numbering.xml"/><Relationship Id="rId90" Type="http://schemas.openxmlformats.org/officeDocument/2006/relationships/theme" Target="theme/theme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doi.org/10.1080/13562517.2020.1778664" TargetMode="External"/><Relationship Id="rId35" Type="http://schemas.openxmlformats.org/officeDocument/2006/relationships/hyperlink" Target="https://doi.org/10.1186/s12889-023-17301-3" TargetMode="External"/><Relationship Id="rId43" Type="http://schemas.openxmlformats.org/officeDocument/2006/relationships/hyperlink" Target="https://doi.org/10.3389/fpubh.2023.1220614" TargetMode="External"/><Relationship Id="rId48" Type="http://schemas.openxmlformats.org/officeDocument/2006/relationships/hyperlink" Target="https://doi.org/10.1111/bjet.12720" TargetMode="External"/><Relationship Id="rId56" Type="http://schemas.openxmlformats.org/officeDocument/2006/relationships/hyperlink" Target="https://www.officeforstudents.org.uk/media/poxj1jvx/student-characteristics-data-outcomes-report-2024.pdf" TargetMode="External"/><Relationship Id="rId64" Type="http://schemas.openxmlformats.org/officeDocument/2006/relationships/hyperlink" Target="https://doi-org.uwtsd.idm.oclc.org/10.1007/s10734-018-0249-y" TargetMode="External"/><Relationship Id="rId69" Type="http://schemas.openxmlformats.org/officeDocument/2006/relationships/image" Target="media/image21.png"/><Relationship Id="rId77" Type="http://schemas.openxmlformats.org/officeDocument/2006/relationships/image" Target="media/image29.png"/><Relationship Id="rId8" Type="http://schemas.openxmlformats.org/officeDocument/2006/relationships/webSettings" Target="webSettings.xml"/><Relationship Id="rId51" Type="http://schemas.openxmlformats.org/officeDocument/2006/relationships/hyperlink" Target="https://doi.org/10.1080/1360080X.2023.2212418" TargetMode="External"/><Relationship Id="rId72" Type="http://schemas.openxmlformats.org/officeDocument/2006/relationships/image" Target="media/image24.png"/><Relationship Id="rId80" Type="http://schemas.openxmlformats.org/officeDocument/2006/relationships/image" Target="media/image32.png"/><Relationship Id="rId85" Type="http://schemas.openxmlformats.org/officeDocument/2006/relationships/image" Target="media/image37.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oi.org/10.1177/00332941221078011" TargetMode="External"/><Relationship Id="rId38" Type="http://schemas.openxmlformats.org/officeDocument/2006/relationships/hyperlink" Target="https://doi.org/10.25304/rlt.v33.3127" TargetMode="External"/><Relationship Id="rId46" Type="http://schemas.openxmlformats.org/officeDocument/2006/relationships/hyperlink" Target="https://doi.org/10.1080/14703297.2022.2117726" TargetMode="External"/><Relationship Id="rId59" Type="http://schemas.openxmlformats.org/officeDocument/2006/relationships/hyperlink" Target="https://files.eric.ed.gov/fulltext/EJ1325431.pdf" TargetMode="External"/><Relationship Id="rId67" Type="http://schemas.openxmlformats.org/officeDocument/2006/relationships/image" Target="media/image19.png"/><Relationship Id="rId20" Type="http://schemas.openxmlformats.org/officeDocument/2006/relationships/image" Target="media/image10.png"/><Relationship Id="rId41" Type="http://schemas.openxmlformats.org/officeDocument/2006/relationships/hyperlink" Target="https://go.griffith.ie/items/e878bbf8-135e-4e61-875b-abdeccab0ac1" TargetMode="External"/><Relationship Id="rId54" Type="http://schemas.openxmlformats.org/officeDocument/2006/relationships/hyperlink" Target="https://doi.org/10.1080/08856257.2021.1940007" TargetMode="External"/><Relationship Id="rId62" Type="http://schemas.openxmlformats.org/officeDocument/2006/relationships/hyperlink" Target="https://epaa.asu.edu/index.php/epaa/article/view/6845/2930" TargetMode="External"/><Relationship Id="rId70" Type="http://schemas.openxmlformats.org/officeDocument/2006/relationships/image" Target="media/image22.png"/><Relationship Id="rId75" Type="http://schemas.openxmlformats.org/officeDocument/2006/relationships/image" Target="media/image27.png"/><Relationship Id="rId83" Type="http://schemas.openxmlformats.org/officeDocument/2006/relationships/image" Target="media/image35.png"/><Relationship Id="rId88"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advance-he.ac.uk/knowledge-hub/disabled-student-commitment" TargetMode="External"/><Relationship Id="rId36" Type="http://schemas.openxmlformats.org/officeDocument/2006/relationships/hyperlink" Target="https://doi.org/10.1080/0309877X.2026.2634042" TargetMode="External"/><Relationship Id="rId49" Type="http://schemas.openxmlformats.org/officeDocument/2006/relationships/hyperlink" Target="https://doi.org/10.1080/03075079812331380364" TargetMode="External"/><Relationship Id="rId57" Type="http://schemas.openxmlformats.org/officeDocument/2006/relationships/hyperlink" Target="https://doi.org/10.1080/03075079.2023.2264343" TargetMode="External"/><Relationship Id="rId10" Type="http://schemas.openxmlformats.org/officeDocument/2006/relationships/endnotes" Target="endnotes.xml"/><Relationship Id="rId31" Type="http://schemas.openxmlformats.org/officeDocument/2006/relationships/hyperlink" Target="https://doi.org/10.1177/1521025117690159" TargetMode="External"/><Relationship Id="rId44" Type="http://schemas.openxmlformats.org/officeDocument/2006/relationships/hyperlink" Target="https://doi.org/10.1007/s11423-020-09788-z" TargetMode="External"/><Relationship Id="rId52" Type="http://schemas.openxmlformats.org/officeDocument/2006/relationships/hyperlink" Target="https://doi.org/10.1080/07377363.2025.2460248" TargetMode="External"/><Relationship Id="rId60" Type="http://schemas.openxmlformats.org/officeDocument/2006/relationships/hyperlink" Target="https://doi.org/10.1080/13603116.2021.1983880" TargetMode="External"/><Relationship Id="rId65" Type="http://schemas.openxmlformats.org/officeDocument/2006/relationships/footer" Target="footer1.xml"/><Relationship Id="rId73" Type="http://schemas.openxmlformats.org/officeDocument/2006/relationships/image" Target="media/image25.png"/><Relationship Id="rId78" Type="http://schemas.openxmlformats.org/officeDocument/2006/relationships/image" Target="media/image30.png"/><Relationship Id="rId81" Type="http://schemas.openxmlformats.org/officeDocument/2006/relationships/image" Target="media/image33.png"/><Relationship Id="rId86" Type="http://schemas.openxmlformats.org/officeDocument/2006/relationships/image" Target="media/image38.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080/13603124.2019.1657592" TargetMode="External"/><Relationship Id="rId34" Type="http://schemas.openxmlformats.org/officeDocument/2006/relationships/hyperlink" Target="https://doi.org/10.1002/rev3.3196" TargetMode="External"/><Relationship Id="rId50" Type="http://schemas.openxmlformats.org/officeDocument/2006/relationships/hyperlink" Target="https://doi.org/10.5204/ssj.2152" TargetMode="External"/><Relationship Id="rId55" Type="http://schemas.openxmlformats.org/officeDocument/2006/relationships/hyperlink" Target="https://www.officeforstudents.org.uk/media/7042/ofs-insight-brief-9-updated-10-may-2022.pdf" TargetMode="External"/><Relationship Id="rId76" Type="http://schemas.openxmlformats.org/officeDocument/2006/relationships/image" Target="media/image28.png"/><Relationship Id="rId7" Type="http://schemas.openxmlformats.org/officeDocument/2006/relationships/settings" Target="settings.xml"/><Relationship Id="rId71" Type="http://schemas.openxmlformats.org/officeDocument/2006/relationships/image" Target="media/image23.png"/><Relationship Id="rId2" Type="http://schemas.openxmlformats.org/officeDocument/2006/relationships/customXml" Target="../customXml/item2.xml"/><Relationship Id="rId29" Type="http://schemas.openxmlformats.org/officeDocument/2006/relationships/hyperlink" Target="https://www.advance-he.ac.uk/knowledge-hub/framework-student-access-retention-attainment-and-progression" TargetMode="External"/><Relationship Id="rId24" Type="http://schemas.openxmlformats.org/officeDocument/2006/relationships/image" Target="media/image14.png"/><Relationship Id="rId40" Type="http://schemas.openxmlformats.org/officeDocument/2006/relationships/hyperlink" Target="https://doi.org/10.1177/00144029251318568" TargetMode="External"/><Relationship Id="rId45" Type="http://schemas.openxmlformats.org/officeDocument/2006/relationships/hyperlink" Target="https://doi.org/10.1080/14703297.2025.2555959" TargetMode="External"/><Relationship Id="rId66" Type="http://schemas.openxmlformats.org/officeDocument/2006/relationships/image" Target="media/image18.png"/><Relationship Id="rId87" Type="http://schemas.openxmlformats.org/officeDocument/2006/relationships/image" Target="media/image39.png"/><Relationship Id="rId61" Type="http://schemas.openxmlformats.org/officeDocument/2006/relationships/hyperlink" Target="https://doi.org/10.1016/j.econedurev.2016.10.003" TargetMode="External"/><Relationship Id="rId82" Type="http://schemas.openxmlformats.org/officeDocument/2006/relationships/image" Target="media/image34.png"/><Relationship Id="rId1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7" ma:contentTypeDescription="Create a new document." ma:contentTypeScope="" ma:versionID="cd0ac59e25356f30c62f16dfdb9c8566">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75649234e1674732e458ac9d33bafd9"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Props1.xml><?xml version="1.0" encoding="utf-8"?>
<ds:datastoreItem xmlns:ds="http://schemas.openxmlformats.org/officeDocument/2006/customXml" ds:itemID="{6A2B781B-86D0-4501-B5F3-63904B5E3B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1E2220-2DC9-4CF3-8F63-700AF4A20205}">
  <ds:schemaRefs>
    <ds:schemaRef ds:uri="http://schemas.openxmlformats.org/officeDocument/2006/bibliography"/>
  </ds:schemaRefs>
</ds:datastoreItem>
</file>

<file path=customXml/itemProps3.xml><?xml version="1.0" encoding="utf-8"?>
<ds:datastoreItem xmlns:ds="http://schemas.openxmlformats.org/officeDocument/2006/customXml" ds:itemID="{B7143CD2-E87C-461C-AB7E-8A74E5C82EC0}">
  <ds:schemaRefs>
    <ds:schemaRef ds:uri="http://schemas.microsoft.com/sharepoint/v3/contenttype/forms"/>
  </ds:schemaRefs>
</ds:datastoreItem>
</file>

<file path=customXml/itemProps4.xml><?xml version="1.0" encoding="utf-8"?>
<ds:datastoreItem xmlns:ds="http://schemas.openxmlformats.org/officeDocument/2006/customXml" ds:itemID="{BB0859E2-9A48-4B75-8D06-C436B0076E84}">
  <ds:schemaRefs>
    <ds:schemaRef ds:uri="http://schemas.microsoft.com/office/2006/metadata/properties"/>
    <ds:schemaRef ds:uri="http://schemas.microsoft.com/office/infopath/2007/PartnerControls"/>
    <ds:schemaRef ds:uri="fb8d8ad0-312e-46a2-9327-b65a0e9852ce"/>
  </ds:schemaRefs>
</ds:datastoreItem>
</file>

<file path=docProps/app.xml><?xml version="1.0" encoding="utf-8"?>
<Properties xmlns="http://schemas.openxmlformats.org/officeDocument/2006/extended-properties" xmlns:vt="http://schemas.openxmlformats.org/officeDocument/2006/docPropsVTypes">
  <Template>Normal</Template>
  <TotalTime>3168</TotalTime>
  <Pages>70</Pages>
  <Words>15207</Words>
  <Characters>86680</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69</cp:revision>
  <cp:lastPrinted>2026-08-30T14:55:00Z</cp:lastPrinted>
  <dcterms:created xsi:type="dcterms:W3CDTF">2026-09-15T19:09:00Z</dcterms:created>
  <dcterms:modified xsi:type="dcterms:W3CDTF">2026-09-20T22:43:00Z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57aef38c-bd13-48ab-a4d3-a872bd1bfb58</vt:lpwstr>
  </property>
  <property fmtid="{D5CDD505-2E9C-101B-9397-08002B2CF9AE}" pid="3" name="ContentTypeId">
    <vt:lpwstr>0x01010045DE7180B2459040B8ADB0F36372BEBE</vt:lpwstr>
  </property>
</Properties>
</file>