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5E35" w:rsidRPr="000B5E35" w:rsidRDefault="000B5E35" w:rsidP="000B5E35"/>
    <w:p w:rsidR="000B5E35" w:rsidRPr="000B5E35" w:rsidRDefault="000B5E35" w:rsidP="000B5E35">
      <w:pPr>
        <w:rPr>
          <w:b/>
          <w:bCs/>
        </w:rPr>
      </w:pPr>
      <w:r w:rsidRPr="000B5E35">
        <w:rPr>
          <w:b/>
          <w:bCs/>
        </w:rPr>
        <w:t>Component 1: Plan and Justification</w:t>
      </w:r>
    </w:p>
    <w:p w:rsidR="000B5E35" w:rsidRPr="000B5E35" w:rsidRDefault="000B5E35" w:rsidP="000B5E35">
      <w:pPr>
        <w:rPr>
          <w:b/>
          <w:bCs/>
        </w:rPr>
      </w:pPr>
      <w:r w:rsidRPr="000B5E35">
        <w:rPr>
          <w:b/>
          <w:bCs/>
        </w:rPr>
        <w:t>Working Title</w:t>
      </w:r>
    </w:p>
    <w:p w:rsidR="000B5E35" w:rsidRPr="000B5E35" w:rsidRDefault="000B5E35" w:rsidP="000B5E35">
      <w:proofErr w:type="spellStart"/>
      <w:r w:rsidRPr="000B5E35">
        <w:rPr>
          <w:b/>
          <w:bCs/>
        </w:rPr>
        <w:t>Microlearning</w:t>
      </w:r>
      <w:proofErr w:type="spellEnd"/>
      <w:r w:rsidRPr="000B5E35">
        <w:rPr>
          <w:b/>
          <w:bCs/>
        </w:rPr>
        <w:t xml:space="preserve"> in High-Risk Professional Training: A Critical Literature Review with Reference to Fire and Rescue Services</w:t>
      </w:r>
    </w:p>
    <w:p w:rsidR="000B5E35" w:rsidRPr="000B5E35" w:rsidRDefault="000B5E35" w:rsidP="000B5E35">
      <w:pPr>
        <w:jc w:val="both"/>
        <w:rPr>
          <w:rFonts w:asciiTheme="majorBidi" w:hAnsiTheme="majorBidi" w:cstheme="majorBidi"/>
        </w:rPr>
      </w:pPr>
    </w:p>
    <w:p w:rsidR="000B5E35" w:rsidRPr="000B5E35" w:rsidRDefault="000B5E35" w:rsidP="000B5E35">
      <w:pPr>
        <w:jc w:val="both"/>
        <w:rPr>
          <w:rFonts w:asciiTheme="majorBidi" w:hAnsiTheme="majorBidi" w:cstheme="majorBidi"/>
          <w:b/>
          <w:bCs/>
        </w:rPr>
      </w:pPr>
      <w:r w:rsidRPr="000B5E35">
        <w:rPr>
          <w:rFonts w:asciiTheme="majorBidi" w:hAnsiTheme="majorBidi" w:cstheme="majorBidi"/>
          <w:b/>
          <w:bCs/>
        </w:rPr>
        <w:t>1. Plan for the Critical Literature Review</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High-risk professional domains such as Fire and Rescue Services (FRS) operate within environments </w:t>
      </w:r>
      <w:proofErr w:type="spellStart"/>
      <w:r w:rsidRPr="000B5E35">
        <w:rPr>
          <w:rFonts w:asciiTheme="majorBidi" w:hAnsiTheme="majorBidi" w:cstheme="majorBidi"/>
        </w:rPr>
        <w:t>characterised</w:t>
      </w:r>
      <w:proofErr w:type="spellEnd"/>
      <w:r w:rsidRPr="000B5E35">
        <w:rPr>
          <w:rFonts w:asciiTheme="majorBidi" w:hAnsiTheme="majorBidi" w:cstheme="majorBidi"/>
        </w:rPr>
        <w:t xml:space="preserve"> by time pressure, uncertainty, and severe consequences of error. In the UK and Wales, these operational demands intersect with financial constraints, workforce pressures, and inequalities in access to training between </w:t>
      </w:r>
      <w:proofErr w:type="spellStart"/>
      <w:r w:rsidRPr="000B5E35">
        <w:rPr>
          <w:rFonts w:asciiTheme="majorBidi" w:hAnsiTheme="majorBidi" w:cstheme="majorBidi"/>
        </w:rPr>
        <w:t>wholetime</w:t>
      </w:r>
      <w:proofErr w:type="spellEnd"/>
      <w:r w:rsidRPr="000B5E35">
        <w:rPr>
          <w:rFonts w:asciiTheme="majorBidi" w:hAnsiTheme="majorBidi" w:cstheme="majorBidi"/>
        </w:rPr>
        <w:t xml:space="preserve"> and Retained Duty System (RDS) personnel (Welsh Government, 2022; HMICFRS, 2023). These conditions have increased </w:t>
      </w:r>
      <w:proofErr w:type="spellStart"/>
      <w:r w:rsidRPr="000B5E35">
        <w:rPr>
          <w:rFonts w:asciiTheme="majorBidi" w:hAnsiTheme="majorBidi" w:cstheme="majorBidi"/>
        </w:rPr>
        <w:t>organisational</w:t>
      </w:r>
      <w:proofErr w:type="spellEnd"/>
      <w:r w:rsidRPr="000B5E35">
        <w:rPr>
          <w:rFonts w:asciiTheme="majorBidi" w:hAnsiTheme="majorBidi" w:cstheme="majorBidi"/>
        </w:rPr>
        <w:t xml:space="preserve"> and policy-level interest in flexible and digitally mediated training approaches that can be integrated into operational routines and reduce abstraction from duty.</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Within this broader context,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has emerged as a prominent educational concept, typically described as the use of short, focused learning units intended to support knowledge reinforcement and just-in-time learning (Cronin and Durham, 2024). However, despite its growing adoption across professional sectors, there remains limited clarity regarding how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is </w:t>
      </w:r>
      <w:proofErr w:type="spellStart"/>
      <w:r w:rsidRPr="000B5E35">
        <w:rPr>
          <w:rFonts w:asciiTheme="majorBidi" w:hAnsiTheme="majorBidi" w:cstheme="majorBidi"/>
        </w:rPr>
        <w:t>conceptualised</w:t>
      </w:r>
      <w:proofErr w:type="spellEnd"/>
      <w:r w:rsidRPr="000B5E35">
        <w:rPr>
          <w:rFonts w:asciiTheme="majorBidi" w:hAnsiTheme="majorBidi" w:cstheme="majorBidi"/>
        </w:rPr>
        <w:t xml:space="preserve">, theoretically justified, and empirically evaluated within safety-critical training contexts. This critical literature review will therefore examine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as an educational approach in high-risk professional training, using Fire and Rescue Services as a contextual reference point rather than assuming direct or unproblematic transferability from other sectors.</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The review will adopt a thematic and critically evaluative structure, consistent with doctoral-level expectations for literature synthesis (</w:t>
      </w:r>
      <w:proofErr w:type="spellStart"/>
      <w:r w:rsidRPr="000B5E35">
        <w:rPr>
          <w:rFonts w:asciiTheme="majorBidi" w:hAnsiTheme="majorBidi" w:cstheme="majorBidi"/>
        </w:rPr>
        <w:t>Boote</w:t>
      </w:r>
      <w:proofErr w:type="spellEnd"/>
      <w:r w:rsidRPr="000B5E35">
        <w:rPr>
          <w:rFonts w:asciiTheme="majorBidi" w:hAnsiTheme="majorBidi" w:cstheme="majorBidi"/>
        </w:rPr>
        <w:t xml:space="preserve"> and </w:t>
      </w:r>
      <w:proofErr w:type="spellStart"/>
      <w:r w:rsidRPr="000B5E35">
        <w:rPr>
          <w:rFonts w:asciiTheme="majorBidi" w:hAnsiTheme="majorBidi" w:cstheme="majorBidi"/>
        </w:rPr>
        <w:t>Beile</w:t>
      </w:r>
      <w:proofErr w:type="spellEnd"/>
      <w:r w:rsidRPr="000B5E35">
        <w:rPr>
          <w:rFonts w:asciiTheme="majorBidi" w:hAnsiTheme="majorBidi" w:cstheme="majorBidi"/>
        </w:rPr>
        <w:t xml:space="preserve">, 2005). Four interrelated thematic strands will guide the review. First, the review will examine how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is </w:t>
      </w:r>
      <w:proofErr w:type="spellStart"/>
      <w:r w:rsidRPr="000B5E35">
        <w:rPr>
          <w:rFonts w:asciiTheme="majorBidi" w:hAnsiTheme="majorBidi" w:cstheme="majorBidi"/>
        </w:rPr>
        <w:t>conceptualised</w:t>
      </w:r>
      <w:proofErr w:type="spellEnd"/>
      <w:r w:rsidRPr="000B5E35">
        <w:rPr>
          <w:rFonts w:asciiTheme="majorBidi" w:hAnsiTheme="majorBidi" w:cstheme="majorBidi"/>
        </w:rPr>
        <w:t xml:space="preserve"> and defined across the literature. Existing studies vary considerably in whether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is framed as a content format, a pedagogical strategy, or a broader instructional design philosophy (Cronin and Durham, 2024). This section will critically examine definitional inconsistencies and distinguish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from merely fragmented or arbitrarily shortened instructional content, as conceptual ambiguity undermines comparability across studies and weakens claims of effectiveness.</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Second, the review will </w:t>
      </w:r>
      <w:proofErr w:type="spellStart"/>
      <w:r w:rsidRPr="000B5E35">
        <w:rPr>
          <w:rFonts w:asciiTheme="majorBidi" w:hAnsiTheme="majorBidi" w:cstheme="majorBidi"/>
        </w:rPr>
        <w:t>analyse</w:t>
      </w:r>
      <w:proofErr w:type="spellEnd"/>
      <w:r w:rsidRPr="000B5E35">
        <w:rPr>
          <w:rFonts w:asciiTheme="majorBidi" w:hAnsiTheme="majorBidi" w:cstheme="majorBidi"/>
        </w:rPr>
        <w:t xml:space="preserve"> the theoretical frameworks used to justify </w:t>
      </w:r>
      <w:proofErr w:type="spellStart"/>
      <w:r w:rsidRPr="000B5E35">
        <w:rPr>
          <w:rFonts w:asciiTheme="majorBidi" w:hAnsiTheme="majorBidi" w:cstheme="majorBidi"/>
        </w:rPr>
        <w:t>microlearning</w:t>
      </w:r>
      <w:proofErr w:type="spellEnd"/>
      <w:r w:rsidRPr="000B5E35">
        <w:rPr>
          <w:rFonts w:asciiTheme="majorBidi" w:hAnsiTheme="majorBidi" w:cstheme="majorBidi"/>
        </w:rPr>
        <w:t>. Cognitive Load Theory is frequently cited to support the use of brief instructional units on the basis that they reduce extraneous cognitive load and support schema acquisition (</w:t>
      </w:r>
      <w:proofErr w:type="spellStart"/>
      <w:r w:rsidRPr="000B5E35">
        <w:rPr>
          <w:rFonts w:asciiTheme="majorBidi" w:hAnsiTheme="majorBidi" w:cstheme="majorBidi"/>
        </w:rPr>
        <w:t>Sweller</w:t>
      </w:r>
      <w:proofErr w:type="spellEnd"/>
      <w:r w:rsidRPr="000B5E35">
        <w:rPr>
          <w:rFonts w:asciiTheme="majorBidi" w:hAnsiTheme="majorBidi" w:cstheme="majorBidi"/>
        </w:rPr>
        <w:t xml:space="preserve">, 2011). Adult learning perspectives </w:t>
      </w:r>
      <w:proofErr w:type="spellStart"/>
      <w:r w:rsidRPr="000B5E35">
        <w:rPr>
          <w:rFonts w:asciiTheme="majorBidi" w:hAnsiTheme="majorBidi" w:cstheme="majorBidi"/>
        </w:rPr>
        <w:t>emphasising</w:t>
      </w:r>
      <w:proofErr w:type="spellEnd"/>
      <w:r w:rsidRPr="000B5E35">
        <w:rPr>
          <w:rFonts w:asciiTheme="majorBidi" w:hAnsiTheme="majorBidi" w:cstheme="majorBidi"/>
        </w:rPr>
        <w:t xml:space="preserve"> relevance, autonomy, and problem-</w:t>
      </w:r>
      <w:proofErr w:type="spellStart"/>
      <w:r w:rsidRPr="000B5E35">
        <w:rPr>
          <w:rFonts w:asciiTheme="majorBidi" w:hAnsiTheme="majorBidi" w:cstheme="majorBidi"/>
        </w:rPr>
        <w:t>centred</w:t>
      </w:r>
      <w:proofErr w:type="spellEnd"/>
      <w:r w:rsidRPr="000B5E35">
        <w:rPr>
          <w:rFonts w:asciiTheme="majorBidi" w:hAnsiTheme="majorBidi" w:cstheme="majorBidi"/>
        </w:rPr>
        <w:t xml:space="preserve"> learning are also commonly invoked (Martin et al., 2014). This strand will critically examine whether such theories are substantively integrated into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design or retrospectively applied to </w:t>
      </w:r>
      <w:proofErr w:type="spellStart"/>
      <w:r w:rsidRPr="000B5E35">
        <w:rPr>
          <w:rFonts w:asciiTheme="majorBidi" w:hAnsiTheme="majorBidi" w:cstheme="majorBidi"/>
        </w:rPr>
        <w:t>legitimise</w:t>
      </w:r>
      <w:proofErr w:type="spellEnd"/>
      <w:r w:rsidRPr="000B5E35">
        <w:rPr>
          <w:rFonts w:asciiTheme="majorBidi" w:hAnsiTheme="majorBidi" w:cstheme="majorBidi"/>
        </w:rPr>
        <w:t xml:space="preserve"> practice, particularly in relation to the development of complex, integrated competences required in high-risk professional work.</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Third, the review will </w:t>
      </w:r>
      <w:proofErr w:type="spellStart"/>
      <w:r w:rsidRPr="000B5E35">
        <w:rPr>
          <w:rFonts w:asciiTheme="majorBidi" w:hAnsiTheme="majorBidi" w:cstheme="majorBidi"/>
        </w:rPr>
        <w:t>synthesise</w:t>
      </w:r>
      <w:proofErr w:type="spellEnd"/>
      <w:r w:rsidRPr="000B5E35">
        <w:rPr>
          <w:rFonts w:asciiTheme="majorBidi" w:hAnsiTheme="majorBidi" w:cstheme="majorBidi"/>
        </w:rPr>
        <w:t xml:space="preserve"> empirical evidence relating to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in high-stakes professional contexts, drawing primarily on healthcare, emergency services, and related domains where comparable safety-critical demands exist. Priority will be given to studies examining outcomes such as performance, decision-making, and skill retention under pressure, rather than proxy indicators such as learner satisfaction </w:t>
      </w:r>
      <w:r w:rsidRPr="000B5E35">
        <w:rPr>
          <w:rFonts w:asciiTheme="majorBidi" w:hAnsiTheme="majorBidi" w:cstheme="majorBidi"/>
        </w:rPr>
        <w:lastRenderedPageBreak/>
        <w:t>or perceived usefulness (De Gagne et al., 2019). Methodological limitations—including short follow-up periods, narrow outcome measures, and context dependency—will be critically evaluated.</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Fourth, the review will consider issues of contextual transferability. Using Fire and Rescue Services as a reference context, this section will examine whether claims made for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align with forms of competence involving embodied judgement, psychomotor coordination, and team-based performance under uncertainty. </w:t>
      </w:r>
      <w:proofErr w:type="spellStart"/>
      <w:r w:rsidRPr="000B5E35">
        <w:rPr>
          <w:rFonts w:asciiTheme="majorBidi" w:hAnsiTheme="majorBidi" w:cstheme="majorBidi"/>
        </w:rPr>
        <w:t>Organisational</w:t>
      </w:r>
      <w:proofErr w:type="spellEnd"/>
      <w:r w:rsidRPr="000B5E35">
        <w:rPr>
          <w:rFonts w:asciiTheme="majorBidi" w:hAnsiTheme="majorBidi" w:cstheme="majorBidi"/>
        </w:rPr>
        <w:t xml:space="preserve"> and cultural factors shaping feasibility—such as training legitimacy, digital infrastructure, and disparities between </w:t>
      </w:r>
      <w:proofErr w:type="spellStart"/>
      <w:r w:rsidRPr="000B5E35">
        <w:rPr>
          <w:rFonts w:asciiTheme="majorBidi" w:hAnsiTheme="majorBidi" w:cstheme="majorBidi"/>
        </w:rPr>
        <w:t>wholetime</w:t>
      </w:r>
      <w:proofErr w:type="spellEnd"/>
      <w:r w:rsidRPr="000B5E35">
        <w:rPr>
          <w:rFonts w:asciiTheme="majorBidi" w:hAnsiTheme="majorBidi" w:cstheme="majorBidi"/>
        </w:rPr>
        <w:t xml:space="preserve"> and RDS provision—will also be considered (Welsh Government, 2022).</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The literature will primarily comprise peer-reviewed journal articles published within the last five years, alongside selected seminal theoretical works where conceptually necessary. Relevant UK and Welsh policy documents will be included to provide contextual grounding. Literature searches will be conducted using academic databases such as Scopus and Web of Science, supported by forward and backward citation searching. The review will </w:t>
      </w:r>
      <w:proofErr w:type="spellStart"/>
      <w:r w:rsidRPr="000B5E35">
        <w:rPr>
          <w:rFonts w:asciiTheme="majorBidi" w:hAnsiTheme="majorBidi" w:cstheme="majorBidi"/>
        </w:rPr>
        <w:t>prioritise</w:t>
      </w:r>
      <w:proofErr w:type="spellEnd"/>
      <w:r w:rsidRPr="000B5E35">
        <w:rPr>
          <w:rFonts w:asciiTheme="majorBidi" w:hAnsiTheme="majorBidi" w:cstheme="majorBidi"/>
        </w:rPr>
        <w:t xml:space="preserve"> critical synthesis and comparison rather than descriptive summary, in line with the requirements of Component 1.</w:t>
      </w:r>
    </w:p>
    <w:p w:rsidR="000B5E35" w:rsidRPr="000B5E35" w:rsidRDefault="000B5E35" w:rsidP="000B5E35">
      <w:pPr>
        <w:jc w:val="both"/>
        <w:rPr>
          <w:rFonts w:asciiTheme="majorBidi" w:hAnsiTheme="majorBidi" w:cstheme="majorBidi"/>
        </w:rPr>
      </w:pPr>
    </w:p>
    <w:p w:rsidR="000B5E35" w:rsidRPr="000B5E35" w:rsidRDefault="000B5E35" w:rsidP="000B5E35">
      <w:pPr>
        <w:jc w:val="both"/>
        <w:rPr>
          <w:rFonts w:asciiTheme="majorBidi" w:hAnsiTheme="majorBidi" w:cstheme="majorBidi"/>
          <w:b/>
          <w:bCs/>
        </w:rPr>
      </w:pPr>
      <w:r w:rsidRPr="000B5E35">
        <w:rPr>
          <w:rFonts w:asciiTheme="majorBidi" w:hAnsiTheme="majorBidi" w:cstheme="majorBidi"/>
          <w:b/>
          <w:bCs/>
        </w:rPr>
        <w:t>2. Justification for the Review</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This critical literature review is justified on conceptual, empirical, and contextual grounds. Conceptually, the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literature demonstrates persistent definitional ambiguity, limiting coherence across studies and weakening claims regarding effectiveness (Cronin and Durham, 2024). Without clear conceptual boundaries,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risks functioning as a loosely applied label rather than a clearly articulated educational approach.</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Empirically, although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is frequently promoted as efficient and engaging, much of the existing evidence relies on proxy indicators such as learner satisfaction or short-term knowledge gains rather than demonstrable effects on performance and decision-making in pressured environments (De Gagne et al., 2019). In safety-critical professions, this limitation is particularly significant, as training interventions must support reliable competence under operational stress rather than superficial learning outcomes.</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Contextually, there is limited critical synthesis explicitly focused on Fire and Rescue Services, despite increasing policy interest in flexible training models (Welsh Government, 2022; HMICFRS, 2023). Fire and Rescue work involves forms of competence that may resist fragmentation without loss of fidelity, raising important questions about the appropriateness of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approaches derived from other professional sectors. A review oriented to this context can therefore contribute to both scholarly debate and professional practice by clarifying the conditions under which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may—or may not—be educationally appropriate.</w:t>
      </w:r>
    </w:p>
    <w:p w:rsidR="000B5E35" w:rsidRPr="000B5E35" w:rsidRDefault="000B5E35" w:rsidP="000B5E35">
      <w:pPr>
        <w:jc w:val="both"/>
        <w:rPr>
          <w:rFonts w:asciiTheme="majorBidi" w:hAnsiTheme="majorBidi" w:cstheme="majorBidi"/>
        </w:rPr>
      </w:pPr>
      <w:r w:rsidRPr="000B5E35">
        <w:rPr>
          <w:rFonts w:asciiTheme="majorBidi" w:hAnsiTheme="majorBidi" w:cstheme="majorBidi"/>
        </w:rPr>
        <w:t xml:space="preserve">By systematically </w:t>
      </w:r>
      <w:proofErr w:type="spellStart"/>
      <w:r w:rsidRPr="000B5E35">
        <w:rPr>
          <w:rFonts w:asciiTheme="majorBidi" w:hAnsiTheme="majorBidi" w:cstheme="majorBidi"/>
        </w:rPr>
        <w:t>analysing</w:t>
      </w:r>
      <w:proofErr w:type="spellEnd"/>
      <w:r w:rsidRPr="000B5E35">
        <w:rPr>
          <w:rFonts w:asciiTheme="majorBidi" w:hAnsiTheme="majorBidi" w:cstheme="majorBidi"/>
        </w:rPr>
        <w:t xml:space="preserve"> definitions, theoretical assumptions, empirical claims, and contextual considerations, this review aims to identify gaps in the existing literature and to inform the development of context-sensitive research questions for subsequent doctoral study. In doing so, it seeks to move beyond assumption-driven advocacy and provide a rigorous foundation for evaluating </w:t>
      </w:r>
      <w:proofErr w:type="spellStart"/>
      <w:r w:rsidRPr="000B5E35">
        <w:rPr>
          <w:rFonts w:asciiTheme="majorBidi" w:hAnsiTheme="majorBidi" w:cstheme="majorBidi"/>
        </w:rPr>
        <w:t>microlearning</w:t>
      </w:r>
      <w:proofErr w:type="spellEnd"/>
      <w:r w:rsidRPr="000B5E35">
        <w:rPr>
          <w:rFonts w:asciiTheme="majorBidi" w:hAnsiTheme="majorBidi" w:cstheme="majorBidi"/>
        </w:rPr>
        <w:t xml:space="preserve"> within high-risk professional training.</w:t>
      </w:r>
    </w:p>
    <w:p w:rsidR="000B5E35" w:rsidRPr="005B563F" w:rsidRDefault="000B5E35" w:rsidP="000B5E35">
      <w:pPr>
        <w:jc w:val="both"/>
        <w:rPr>
          <w:rFonts w:asciiTheme="majorBidi" w:hAnsiTheme="majorBidi" w:cstheme="majorBidi"/>
          <w:b/>
          <w:bCs/>
        </w:rPr>
      </w:pPr>
      <w:r w:rsidRPr="005B563F">
        <w:rPr>
          <w:rFonts w:asciiTheme="majorBidi" w:hAnsiTheme="majorBidi" w:cstheme="majorBidi"/>
          <w:b/>
          <w:bCs/>
        </w:rPr>
        <w:t>References</w:t>
      </w:r>
    </w:p>
    <w:p w:rsidR="000328AC" w:rsidRPr="000328AC" w:rsidRDefault="000328AC" w:rsidP="000328AC">
      <w:r w:rsidRPr="000328AC">
        <w:rPr>
          <w:b/>
          <w:bCs/>
        </w:rPr>
        <w:t>Cronin, J. and Durham, M. L. (2024)</w:t>
      </w:r>
      <w:r w:rsidRPr="000328AC">
        <w:br/>
        <w:t>‘</w:t>
      </w:r>
      <w:proofErr w:type="spellStart"/>
      <w:r w:rsidRPr="000328AC">
        <w:t>Microlearning</w:t>
      </w:r>
      <w:proofErr w:type="spellEnd"/>
      <w:r w:rsidRPr="000328AC">
        <w:t xml:space="preserve">: a concept analysis’, </w:t>
      </w:r>
      <w:r w:rsidRPr="000328AC">
        <w:rPr>
          <w:i/>
          <w:iCs/>
        </w:rPr>
        <w:t>CIN: Computers, Informatics, Nursing</w:t>
      </w:r>
      <w:r w:rsidRPr="000328AC">
        <w:t>, 42(6), pp. 413–420.</w:t>
      </w:r>
    </w:p>
    <w:p w:rsidR="000328AC" w:rsidRPr="000328AC" w:rsidRDefault="000328AC" w:rsidP="000328AC">
      <w:r w:rsidRPr="000328AC">
        <w:rPr>
          <w:b/>
          <w:bCs/>
        </w:rPr>
        <w:lastRenderedPageBreak/>
        <w:t>De Gagne, J. C., Park, H. K., Hall, K., Woodward, A., Yamane, S. and Kim, S. S. (2019)</w:t>
      </w:r>
      <w:r w:rsidRPr="000328AC">
        <w:br/>
        <w:t>‘</w:t>
      </w:r>
      <w:proofErr w:type="spellStart"/>
      <w:r w:rsidRPr="000328AC">
        <w:t>Microlearning</w:t>
      </w:r>
      <w:proofErr w:type="spellEnd"/>
      <w:r w:rsidRPr="000328AC">
        <w:t xml:space="preserve"> in health professions education: A scoping review’, </w:t>
      </w:r>
      <w:r w:rsidRPr="000328AC">
        <w:rPr>
          <w:i/>
          <w:iCs/>
        </w:rPr>
        <w:t>JMIR Medical Education</w:t>
      </w:r>
      <w:r w:rsidRPr="000328AC">
        <w:t>, 5(2), e13997.</w:t>
      </w:r>
    </w:p>
    <w:p w:rsidR="000328AC" w:rsidRPr="000328AC" w:rsidRDefault="000328AC" w:rsidP="000328AC">
      <w:r w:rsidRPr="000328AC">
        <w:rPr>
          <w:b/>
          <w:bCs/>
        </w:rPr>
        <w:t>His Majesty’s Inspectorate of Constabulary and Fire &amp; Rescue Services (HMICFRS) (2023)</w:t>
      </w:r>
      <w:r w:rsidRPr="000328AC">
        <w:br/>
      </w:r>
      <w:r w:rsidRPr="000328AC">
        <w:rPr>
          <w:i/>
          <w:iCs/>
        </w:rPr>
        <w:t>State of Fire and Rescue: The Annual Assessment of Fire and Rescue Services in England 2022</w:t>
      </w:r>
      <w:r w:rsidRPr="000328AC">
        <w:t>.</w:t>
      </w:r>
      <w:r w:rsidRPr="000328AC">
        <w:br/>
        <w:t>London: Home Office.</w:t>
      </w:r>
    </w:p>
    <w:p w:rsidR="000328AC" w:rsidRPr="000328AC" w:rsidRDefault="000328AC" w:rsidP="000328AC">
      <w:r w:rsidRPr="000328AC">
        <w:rPr>
          <w:b/>
          <w:bCs/>
        </w:rPr>
        <w:t xml:space="preserve">Martin, B. O., </w:t>
      </w:r>
      <w:proofErr w:type="spellStart"/>
      <w:r w:rsidRPr="000328AC">
        <w:rPr>
          <w:b/>
          <w:bCs/>
        </w:rPr>
        <w:t>Kolomitro</w:t>
      </w:r>
      <w:proofErr w:type="spellEnd"/>
      <w:r w:rsidRPr="000328AC">
        <w:rPr>
          <w:b/>
          <w:bCs/>
        </w:rPr>
        <w:t>, K. and Lam, T. C. (2014)</w:t>
      </w:r>
      <w:r w:rsidRPr="000328AC">
        <w:br/>
        <w:t xml:space="preserve">‘Training methods: A review and analysis’, </w:t>
      </w:r>
      <w:r w:rsidRPr="000328AC">
        <w:rPr>
          <w:i/>
          <w:iCs/>
        </w:rPr>
        <w:t>Human Resource Development Review</w:t>
      </w:r>
      <w:r w:rsidRPr="000328AC">
        <w:t>, 13(1), pp. 11–35.</w:t>
      </w:r>
    </w:p>
    <w:p w:rsidR="000328AC" w:rsidRPr="000328AC" w:rsidRDefault="000328AC" w:rsidP="000328AC">
      <w:proofErr w:type="spellStart"/>
      <w:r w:rsidRPr="000328AC">
        <w:rPr>
          <w:b/>
          <w:bCs/>
        </w:rPr>
        <w:t>Sweller</w:t>
      </w:r>
      <w:proofErr w:type="spellEnd"/>
      <w:r w:rsidRPr="000328AC">
        <w:rPr>
          <w:b/>
          <w:bCs/>
        </w:rPr>
        <w:t>, J. (2011)</w:t>
      </w:r>
      <w:r w:rsidRPr="000328AC">
        <w:br/>
        <w:t xml:space="preserve">‘Cognitive load theory’, in </w:t>
      </w:r>
      <w:r w:rsidRPr="000328AC">
        <w:rPr>
          <w:i/>
          <w:iCs/>
        </w:rPr>
        <w:t>Psychology of Learning and Motivation</w:t>
      </w:r>
      <w:r w:rsidRPr="000328AC">
        <w:t>, Vol. 55.London: Academic Press, pp. 37–76.</w:t>
      </w:r>
    </w:p>
    <w:p w:rsidR="000328AC" w:rsidRPr="000328AC" w:rsidRDefault="000328AC" w:rsidP="000328AC">
      <w:r w:rsidRPr="000328AC">
        <w:rPr>
          <w:b/>
          <w:bCs/>
        </w:rPr>
        <w:t>Welsh Government (2022)</w:t>
      </w:r>
      <w:r w:rsidRPr="000328AC">
        <w:br/>
      </w:r>
      <w:r w:rsidRPr="000328AC">
        <w:rPr>
          <w:i/>
          <w:iCs/>
        </w:rPr>
        <w:t xml:space="preserve">Fire and rescue service operational training: Thematic </w:t>
      </w:r>
      <w:proofErr w:type="spellStart"/>
      <w:r w:rsidRPr="000328AC">
        <w:rPr>
          <w:i/>
          <w:iCs/>
        </w:rPr>
        <w:t>review</w:t>
      </w:r>
      <w:r w:rsidRPr="000328AC">
        <w:t>.Cardiff</w:t>
      </w:r>
      <w:proofErr w:type="spellEnd"/>
      <w:r w:rsidRPr="000328AC">
        <w:t>: Welsh Government.</w:t>
      </w:r>
      <w:bookmarkStart w:id="0" w:name="_GoBack"/>
      <w:bookmarkEnd w:id="0"/>
    </w:p>
    <w:sectPr w:rsidR="000328AC" w:rsidRPr="000328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E35"/>
    <w:rsid w:val="000328AC"/>
    <w:rsid w:val="000B5E35"/>
    <w:rsid w:val="00AD1493"/>
    <w:rsid w:val="00C065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E0A51"/>
  <w15:chartTrackingRefBased/>
  <w15:docId w15:val="{1FC865DD-1F8A-4470-A0AB-8CB54D9BF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E35"/>
    <w:rPr>
      <w:color w:val="0563C1" w:themeColor="hyperlink"/>
      <w:u w:val="single"/>
    </w:rPr>
  </w:style>
  <w:style w:type="character" w:styleId="Strong">
    <w:name w:val="Strong"/>
    <w:basedOn w:val="DefaultParagraphFont"/>
    <w:uiPriority w:val="22"/>
    <w:qFormat/>
    <w:rsid w:val="000B5E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461662">
      <w:bodyDiv w:val="1"/>
      <w:marLeft w:val="0"/>
      <w:marRight w:val="0"/>
      <w:marTop w:val="0"/>
      <w:marBottom w:val="0"/>
      <w:divBdr>
        <w:top w:val="none" w:sz="0" w:space="0" w:color="auto"/>
        <w:left w:val="none" w:sz="0" w:space="0" w:color="auto"/>
        <w:bottom w:val="none" w:sz="0" w:space="0" w:color="auto"/>
        <w:right w:val="none" w:sz="0" w:space="0" w:color="auto"/>
      </w:divBdr>
    </w:div>
    <w:div w:id="200188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1167</Words>
  <Characters>6655</Characters>
  <Application>Microsoft Office Word</Application>
  <DocSecurity>0</DocSecurity>
  <Lines>55</Lines>
  <Paragraphs>15</Paragraphs>
  <ScaleCrop>false</ScaleCrop>
  <Company/>
  <LinksUpToDate>false</LinksUpToDate>
  <CharactersWithSpaces>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Vista Gostar</dc:creator>
  <cp:keywords/>
  <dc:description/>
  <cp:lastModifiedBy>Vista Gostar</cp:lastModifiedBy>
  <cp:revision>3</cp:revision>
  <dcterms:created xsi:type="dcterms:W3CDTF">2026-01-26T09:24:00Z</dcterms:created>
  <dcterms:modified xsi:type="dcterms:W3CDTF">2026-01-26T09:46:00Z</dcterms:modified>
</cp:coreProperties>
</file>