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80860D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00ED9">
              <w:rPr>
                <w:rFonts w:ascii="Times New Roman" w:hAnsi="Times New Roman" w:cs="Times New Roman"/>
                <w:b/>
                <w:color w:val="auto"/>
                <w:sz w:val="48"/>
              </w:rPr>
              <w:t>Katie Andrews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AF81B28" w14:textId="77777777" w:rsidR="005E2103" w:rsidRPr="00D85103" w:rsidRDefault="009C337F" w:rsidP="005E210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E2103">
              <w:rPr>
                <w:rFonts w:ascii="Times New Roman" w:hAnsi="Times New Roman" w:cs="Times New Roman"/>
                <w:b/>
                <w:color w:val="auto"/>
                <w:sz w:val="48"/>
              </w:rPr>
              <w:t xml:space="preserve"> </w:t>
            </w:r>
            <w:hyperlink r:id="rId11" w:history="1">
              <w:r w:rsidR="005E2103" w:rsidRPr="00D85103">
                <w:rPr>
                  <w:rStyle w:val="Hyperlink"/>
                  <w:rFonts w:ascii="Times New Roman" w:hAnsi="Times New Roman" w:cs="Times New Roman"/>
                  <w:b/>
                  <w:color w:val="auto"/>
                  <w:sz w:val="48"/>
                  <w:u w:val="none"/>
                </w:rPr>
                <w:t>2219355@student.uwtsd.ac.uk</w:t>
              </w:r>
            </w:hyperlink>
            <w:r w:rsidR="005E2103" w:rsidRPr="00D85103">
              <w:rPr>
                <w:rFonts w:ascii="Times New Roman" w:hAnsi="Times New Roman" w:cs="Times New Roman"/>
                <w:b/>
                <w:color w:val="auto"/>
                <w:sz w:val="48"/>
              </w:rPr>
              <w:t xml:space="preserve"> </w:t>
            </w:r>
          </w:p>
          <w:p w14:paraId="3A6EAAC7" w14:textId="6B368846" w:rsidR="009C337F" w:rsidRDefault="00875DC3" w:rsidP="005E2103">
            <w:pPr>
              <w:overflowPunct/>
              <w:autoSpaceDE/>
              <w:autoSpaceDN/>
              <w:adjustRightInd/>
              <w:ind w:right="-957"/>
              <w:textAlignment w:val="auto"/>
              <w:rPr>
                <w:rFonts w:ascii="Times New Roman" w:hAnsi="Times New Roman" w:cs="Times New Roman"/>
                <w:b/>
                <w:color w:val="auto"/>
                <w:sz w:val="48"/>
              </w:rPr>
            </w:pPr>
            <w:hyperlink r:id="rId12" w:history="1">
              <w:r w:rsidR="005E2103" w:rsidRPr="00D85103">
                <w:rPr>
                  <w:rStyle w:val="Hyperlink"/>
                  <w:rFonts w:ascii="Times New Roman" w:hAnsi="Times New Roman" w:cs="Times New Roman"/>
                  <w:b/>
                  <w:color w:val="auto"/>
                  <w:sz w:val="48"/>
                  <w:u w:val="none"/>
                </w:rPr>
                <w:t>katie.andrews1@conwy.gov.uk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3D48FA3" w14:textId="77777777" w:rsidR="00CA464F" w:rsidRDefault="0085230E" w:rsidP="00CA464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A464F">
              <w:rPr>
                <w:rFonts w:ascii="Times New Roman" w:hAnsi="Times New Roman" w:cs="Times New Roman"/>
                <w:b/>
                <w:color w:val="auto"/>
                <w:sz w:val="48"/>
              </w:rPr>
              <w:t xml:space="preserve"> </w:t>
            </w:r>
          </w:p>
          <w:p w14:paraId="37899E3D" w14:textId="48A883C9" w:rsidR="00CA464F" w:rsidRPr="005D3F07" w:rsidRDefault="00CA464F" w:rsidP="00CA464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2219355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35F54B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600ED9">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EF984DF" w14:textId="6C66150D" w:rsidR="000D0BB6" w:rsidRPr="00CA464F" w:rsidRDefault="00337FEF" w:rsidP="00CA464F">
      <w:pPr>
        <w:jc w:val="center"/>
        <w:rPr>
          <w:b/>
          <w:sz w:val="24"/>
          <w:szCs w:val="24"/>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E1171BA" w14:textId="77777777" w:rsidR="007A628F" w:rsidRDefault="007A628F" w:rsidP="00FF7EBB">
            <w:pPr>
              <w:jc w:val="both"/>
              <w:rPr>
                <w:b/>
                <w:sz w:val="24"/>
                <w:szCs w:val="24"/>
              </w:rPr>
            </w:pPr>
          </w:p>
          <w:p w14:paraId="71A462FC" w14:textId="77777777" w:rsidR="00856833" w:rsidRDefault="00856833" w:rsidP="00FF7EBB">
            <w:pPr>
              <w:jc w:val="both"/>
              <w:rPr>
                <w:b/>
                <w:sz w:val="24"/>
                <w:szCs w:val="24"/>
              </w:rPr>
            </w:pPr>
          </w:p>
          <w:p w14:paraId="364E4AA8" w14:textId="77777777" w:rsidR="00856833" w:rsidRDefault="00856833" w:rsidP="00FF7EBB">
            <w:pPr>
              <w:jc w:val="both"/>
              <w:rPr>
                <w:b/>
                <w:sz w:val="24"/>
                <w:szCs w:val="24"/>
              </w:rPr>
            </w:pPr>
          </w:p>
          <w:p w14:paraId="270D92BC" w14:textId="63AF2A3E" w:rsidR="00111894" w:rsidRDefault="00111894" w:rsidP="00111894">
            <w:pPr>
              <w:spacing w:line="360" w:lineRule="auto"/>
              <w:jc w:val="both"/>
              <w:rPr>
                <w:sz w:val="24"/>
                <w:szCs w:val="24"/>
              </w:rPr>
            </w:pPr>
            <w:r>
              <w:rPr>
                <w:sz w:val="24"/>
                <w:szCs w:val="24"/>
              </w:rPr>
              <w:t>The Social Services and Wellbeing (Wales) Act 2014 (SSWBA) define an ‘Adult at Risk’ as an adult ‘</w:t>
            </w:r>
            <w:r w:rsidRPr="0061012C">
              <w:rPr>
                <w:i/>
                <w:iCs/>
                <w:sz w:val="24"/>
                <w:szCs w:val="24"/>
              </w:rPr>
              <w:t>who is experiencing</w:t>
            </w:r>
            <w:r>
              <w:rPr>
                <w:i/>
                <w:iCs/>
                <w:sz w:val="24"/>
                <w:szCs w:val="24"/>
              </w:rPr>
              <w:t>, or</w:t>
            </w:r>
            <w:r w:rsidRPr="0061012C">
              <w:rPr>
                <w:i/>
                <w:iCs/>
                <w:sz w:val="24"/>
                <w:szCs w:val="24"/>
              </w:rPr>
              <w:t xml:space="preserve"> is at risk of</w:t>
            </w:r>
            <w:r>
              <w:rPr>
                <w:i/>
                <w:iCs/>
                <w:sz w:val="24"/>
                <w:szCs w:val="24"/>
              </w:rPr>
              <w:t>,</w:t>
            </w:r>
            <w:r w:rsidRPr="0061012C">
              <w:rPr>
                <w:i/>
                <w:iCs/>
                <w:sz w:val="24"/>
                <w:szCs w:val="24"/>
              </w:rPr>
              <w:t xml:space="preserve"> abuse or neglect and has needs for care and support and as a result of those needs, is unable to protect himself or herself against the abuse or neglect or the risk of it</w:t>
            </w:r>
            <w:r w:rsidR="00214EB1">
              <w:rPr>
                <w:i/>
                <w:iCs/>
                <w:sz w:val="24"/>
                <w:szCs w:val="24"/>
              </w:rPr>
              <w:t xml:space="preserve">’ </w:t>
            </w:r>
            <w:r w:rsidR="00214EB1" w:rsidRPr="00214EB1">
              <w:rPr>
                <w:sz w:val="24"/>
                <w:szCs w:val="24"/>
              </w:rPr>
              <w:t>(SSWBA, 2014)</w:t>
            </w:r>
            <w:r w:rsidR="00214EB1">
              <w:rPr>
                <w:i/>
                <w:iCs/>
                <w:sz w:val="24"/>
                <w:szCs w:val="24"/>
              </w:rPr>
              <w:t>.</w:t>
            </w:r>
            <w:r>
              <w:rPr>
                <w:sz w:val="24"/>
                <w:szCs w:val="24"/>
              </w:rPr>
              <w:t xml:space="preserve"> The XXXX Safeguarding Board states that all adults aged 18 years and over should be able to live free from fear and harm and have their rights and choices respected. Safeguarding adults in Wales is primarily underpinned by Welsh legislation: the SSWBA and the Wales Safeguarding Procedures 2019 (WSP). Abuse can be </w:t>
            </w:r>
            <w:r w:rsidR="0050569D">
              <w:rPr>
                <w:sz w:val="24"/>
                <w:szCs w:val="24"/>
              </w:rPr>
              <w:t>emotional</w:t>
            </w:r>
            <w:r>
              <w:rPr>
                <w:sz w:val="24"/>
                <w:szCs w:val="24"/>
              </w:rPr>
              <w:t>,</w:t>
            </w:r>
            <w:r w:rsidR="0050569D">
              <w:rPr>
                <w:sz w:val="24"/>
                <w:szCs w:val="24"/>
              </w:rPr>
              <w:t xml:space="preserve"> </w:t>
            </w:r>
            <w:r>
              <w:rPr>
                <w:sz w:val="24"/>
                <w:szCs w:val="24"/>
              </w:rPr>
              <w:t>psychological,</w:t>
            </w:r>
            <w:r w:rsidR="0050569D">
              <w:rPr>
                <w:sz w:val="24"/>
                <w:szCs w:val="24"/>
              </w:rPr>
              <w:t xml:space="preserve"> sexual,</w:t>
            </w:r>
            <w:r>
              <w:rPr>
                <w:sz w:val="24"/>
                <w:szCs w:val="24"/>
              </w:rPr>
              <w:t xml:space="preserve"> </w:t>
            </w:r>
            <w:r w:rsidR="0050569D">
              <w:rPr>
                <w:sz w:val="24"/>
                <w:szCs w:val="24"/>
              </w:rPr>
              <w:t>physical</w:t>
            </w:r>
            <w:r>
              <w:rPr>
                <w:sz w:val="24"/>
                <w:szCs w:val="24"/>
              </w:rPr>
              <w:t>, or financial and neglect describes a fail</w:t>
            </w:r>
            <w:r w:rsidR="0070754E">
              <w:rPr>
                <w:sz w:val="24"/>
                <w:szCs w:val="24"/>
              </w:rPr>
              <w:t xml:space="preserve">ing </w:t>
            </w:r>
            <w:r>
              <w:rPr>
                <w:sz w:val="24"/>
                <w:szCs w:val="24"/>
              </w:rPr>
              <w:t xml:space="preserve">to meet a person’s basic needs, which </w:t>
            </w:r>
            <w:r w:rsidR="0070754E">
              <w:rPr>
                <w:sz w:val="24"/>
                <w:szCs w:val="24"/>
              </w:rPr>
              <w:t>could</w:t>
            </w:r>
            <w:r w:rsidR="00301710">
              <w:rPr>
                <w:sz w:val="24"/>
                <w:szCs w:val="24"/>
              </w:rPr>
              <w:t xml:space="preserve"> impact negatively on a </w:t>
            </w:r>
            <w:r w:rsidR="003D628D">
              <w:rPr>
                <w:sz w:val="24"/>
                <w:szCs w:val="24"/>
              </w:rPr>
              <w:t>person’s</w:t>
            </w:r>
            <w:r w:rsidR="00301710">
              <w:rPr>
                <w:sz w:val="24"/>
                <w:szCs w:val="24"/>
              </w:rPr>
              <w:t xml:space="preserve"> wellbeing</w:t>
            </w:r>
            <w:r w:rsidR="003D628D">
              <w:rPr>
                <w:sz w:val="24"/>
                <w:szCs w:val="24"/>
              </w:rPr>
              <w:t xml:space="preserve"> (Wales Safeguarding Procedures, 2019)</w:t>
            </w:r>
            <w:r>
              <w:rPr>
                <w:sz w:val="24"/>
                <w:szCs w:val="24"/>
              </w:rPr>
              <w:t xml:space="preserve">. Early intervention is </w:t>
            </w:r>
            <w:r w:rsidR="00324289">
              <w:rPr>
                <w:sz w:val="24"/>
                <w:szCs w:val="24"/>
              </w:rPr>
              <w:t xml:space="preserve">emphasised </w:t>
            </w:r>
            <w:r>
              <w:rPr>
                <w:sz w:val="24"/>
                <w:szCs w:val="24"/>
              </w:rPr>
              <w:t xml:space="preserve">within the SSWBA as it </w:t>
            </w:r>
            <w:r w:rsidR="00934F7F">
              <w:rPr>
                <w:sz w:val="24"/>
                <w:szCs w:val="24"/>
              </w:rPr>
              <w:t>can</w:t>
            </w:r>
            <w:r>
              <w:rPr>
                <w:sz w:val="24"/>
                <w:szCs w:val="24"/>
              </w:rPr>
              <w:t xml:space="preserve"> prevent abuse</w:t>
            </w:r>
            <w:r w:rsidR="00B13027">
              <w:rPr>
                <w:sz w:val="24"/>
                <w:szCs w:val="24"/>
              </w:rPr>
              <w:t xml:space="preserve"> from</w:t>
            </w:r>
            <w:r>
              <w:rPr>
                <w:sz w:val="24"/>
                <w:szCs w:val="24"/>
              </w:rPr>
              <w:t xml:space="preserve"> </w:t>
            </w:r>
            <w:r w:rsidR="00B13027">
              <w:rPr>
                <w:sz w:val="24"/>
                <w:szCs w:val="24"/>
              </w:rPr>
              <w:t xml:space="preserve">happening altogether. </w:t>
            </w:r>
            <w:r>
              <w:rPr>
                <w:sz w:val="24"/>
                <w:szCs w:val="24"/>
              </w:rPr>
              <w:t xml:space="preserve"> </w:t>
            </w:r>
          </w:p>
          <w:p w14:paraId="4EC2F5FC" w14:textId="77777777" w:rsidR="00111894" w:rsidRDefault="00111894" w:rsidP="00111894">
            <w:pPr>
              <w:spacing w:line="360" w:lineRule="auto"/>
              <w:jc w:val="both"/>
              <w:rPr>
                <w:sz w:val="24"/>
                <w:szCs w:val="24"/>
              </w:rPr>
            </w:pPr>
          </w:p>
          <w:p w14:paraId="2863AD86" w14:textId="1DC19129" w:rsidR="00111894" w:rsidRDefault="00946052" w:rsidP="00111894">
            <w:pPr>
              <w:spacing w:line="360" w:lineRule="auto"/>
              <w:jc w:val="both"/>
              <w:rPr>
                <w:sz w:val="24"/>
                <w:szCs w:val="24"/>
              </w:rPr>
            </w:pPr>
            <w:r>
              <w:rPr>
                <w:sz w:val="24"/>
                <w:szCs w:val="24"/>
              </w:rPr>
              <w:t xml:space="preserve">Further means </w:t>
            </w:r>
            <w:r w:rsidR="00111894">
              <w:rPr>
                <w:sz w:val="24"/>
                <w:szCs w:val="24"/>
              </w:rPr>
              <w:t xml:space="preserve">to ensure that adults are </w:t>
            </w:r>
            <w:r w:rsidR="00E7550F">
              <w:rPr>
                <w:sz w:val="24"/>
                <w:szCs w:val="24"/>
              </w:rPr>
              <w:t>protected from harm</w:t>
            </w:r>
            <w:r w:rsidR="00111894">
              <w:rPr>
                <w:sz w:val="24"/>
                <w:szCs w:val="24"/>
              </w:rPr>
              <w:t xml:space="preserve"> can be found within several pieces of </w:t>
            </w:r>
            <w:r w:rsidR="00722033">
              <w:rPr>
                <w:sz w:val="24"/>
                <w:szCs w:val="24"/>
              </w:rPr>
              <w:t>UK</w:t>
            </w:r>
            <w:r w:rsidR="00111894">
              <w:rPr>
                <w:sz w:val="24"/>
                <w:szCs w:val="24"/>
              </w:rPr>
              <w:t xml:space="preserve"> and </w:t>
            </w:r>
            <w:r w:rsidR="00722033">
              <w:rPr>
                <w:sz w:val="24"/>
                <w:szCs w:val="24"/>
              </w:rPr>
              <w:t>Welsh specific</w:t>
            </w:r>
            <w:r w:rsidR="00111894">
              <w:rPr>
                <w:sz w:val="24"/>
                <w:szCs w:val="24"/>
              </w:rPr>
              <w:t xml:space="preserve"> legislation: Mental Capacity Act 2005, Human Rights Act 1998, Modern Slavery Act 2015 and Violence against Women, Domestic Abuse and Sexual Violence (Wales) Act 2015. Each piece of legislation </w:t>
            </w:r>
            <w:r w:rsidR="00D17AF3">
              <w:rPr>
                <w:sz w:val="24"/>
                <w:szCs w:val="24"/>
              </w:rPr>
              <w:t>attempts to</w:t>
            </w:r>
            <w:r w:rsidR="00111894">
              <w:rPr>
                <w:sz w:val="24"/>
                <w:szCs w:val="24"/>
              </w:rPr>
              <w:t xml:space="preserve"> prote</w:t>
            </w:r>
            <w:r w:rsidR="00D17AF3">
              <w:rPr>
                <w:sz w:val="24"/>
                <w:szCs w:val="24"/>
              </w:rPr>
              <w:t>ct adults</w:t>
            </w:r>
            <w:r w:rsidR="00111894">
              <w:rPr>
                <w:sz w:val="24"/>
                <w:szCs w:val="24"/>
              </w:rPr>
              <w:t xml:space="preserve"> </w:t>
            </w:r>
            <w:r w:rsidR="00D17AF3">
              <w:rPr>
                <w:sz w:val="24"/>
                <w:szCs w:val="24"/>
              </w:rPr>
              <w:t>from</w:t>
            </w:r>
            <w:r w:rsidR="00111894">
              <w:rPr>
                <w:sz w:val="24"/>
                <w:szCs w:val="24"/>
              </w:rPr>
              <w:t xml:space="preserve"> different </w:t>
            </w:r>
            <w:r w:rsidR="00111894">
              <w:rPr>
                <w:sz w:val="24"/>
                <w:szCs w:val="24"/>
              </w:rPr>
              <w:lastRenderedPageBreak/>
              <w:t xml:space="preserve">forms of </w:t>
            </w:r>
            <w:r w:rsidR="008C597A">
              <w:rPr>
                <w:sz w:val="24"/>
                <w:szCs w:val="24"/>
              </w:rPr>
              <w:t>abuse and neglect</w:t>
            </w:r>
            <w:r w:rsidR="00111894">
              <w:rPr>
                <w:sz w:val="24"/>
                <w:szCs w:val="24"/>
              </w:rPr>
              <w:t xml:space="preserve"> and ensures that adults rights are upheld. Within Safeguarding adults, the rights of different groups of people must also be given regard to, which includes the United Nations Principles for Older Persons, the United Nations Convention on the Rights of Disabled People, and the United Nations Principles of Older People.</w:t>
            </w:r>
          </w:p>
          <w:p w14:paraId="1304B384" w14:textId="77777777" w:rsidR="00111894" w:rsidRDefault="00111894" w:rsidP="00111894">
            <w:pPr>
              <w:spacing w:line="360" w:lineRule="auto"/>
              <w:jc w:val="both"/>
              <w:rPr>
                <w:sz w:val="24"/>
                <w:szCs w:val="24"/>
              </w:rPr>
            </w:pPr>
          </w:p>
          <w:p w14:paraId="36678D85" w14:textId="7EBC78CD" w:rsidR="00111894" w:rsidRDefault="00111894" w:rsidP="00111894">
            <w:pPr>
              <w:spacing w:line="360" w:lineRule="auto"/>
              <w:jc w:val="both"/>
              <w:rPr>
                <w:sz w:val="24"/>
                <w:szCs w:val="24"/>
              </w:rPr>
            </w:pPr>
            <w:r>
              <w:rPr>
                <w:sz w:val="24"/>
                <w:szCs w:val="24"/>
              </w:rPr>
              <w:t>The SSWBA p</w:t>
            </w:r>
            <w:r w:rsidR="00513C8D">
              <w:rPr>
                <w:sz w:val="24"/>
                <w:szCs w:val="24"/>
              </w:rPr>
              <w:t>uts</w:t>
            </w:r>
            <w:r>
              <w:rPr>
                <w:sz w:val="24"/>
                <w:szCs w:val="24"/>
              </w:rPr>
              <w:t xml:space="preserve"> a statutory duty on ‘Relevant Partners’ to report any concerns of an ‘Adult at Risk’ to the Local Authority (LA). Relevant Partners are set out under Section 162 of the SSWBA. Local Authorities must then make initial enquiries and gather further information to decide if any action should be taken </w:t>
            </w:r>
            <w:r w:rsidR="00DC6DAD">
              <w:rPr>
                <w:sz w:val="24"/>
                <w:szCs w:val="24"/>
              </w:rPr>
              <w:t xml:space="preserve">following the safeguarding referral. </w:t>
            </w:r>
            <w:r>
              <w:rPr>
                <w:sz w:val="24"/>
                <w:szCs w:val="24"/>
              </w:rPr>
              <w:t xml:space="preserve">If the LA has reasonable cause to believe that an adult may be an ‘Adult at Risk’ then they must complete a S126 enquiry under the SSWBA. Should the LA experience barriers or be hindered in establishing if safeguarding action is required, Adult Protection and Support Orders can support this. Whilst undertaking S126 enquiries, the LA must take a person-centred approach to enquiries and must consider assessing the mental capacity of individuals. Should an individual be deemed not to have capacity, the decision made, or any action taken on their behalf must be made in their best interests. Assessing mental capacity is a complex area within adult social care and requires good professional judgement to balance that of choice verses control and risk verses safety (Hardy, 2017). </w:t>
            </w:r>
          </w:p>
          <w:p w14:paraId="3DACF47E" w14:textId="77777777" w:rsidR="00111894" w:rsidRDefault="00111894" w:rsidP="00111894">
            <w:pPr>
              <w:spacing w:line="360" w:lineRule="auto"/>
              <w:jc w:val="both"/>
              <w:rPr>
                <w:sz w:val="24"/>
                <w:szCs w:val="24"/>
              </w:rPr>
            </w:pPr>
          </w:p>
          <w:p w14:paraId="2F2C630F" w14:textId="481948A3" w:rsidR="00111894" w:rsidRDefault="00111894" w:rsidP="00111894">
            <w:pPr>
              <w:spacing w:line="360" w:lineRule="auto"/>
              <w:jc w:val="both"/>
              <w:rPr>
                <w:sz w:val="24"/>
                <w:szCs w:val="24"/>
              </w:rPr>
            </w:pPr>
            <w:r>
              <w:rPr>
                <w:sz w:val="24"/>
                <w:szCs w:val="24"/>
              </w:rPr>
              <w:t xml:space="preserve">From April 2016, the SSWBA required LA’s to implement regional Safeguarding Adult Boards, in a bid to place safeguarding adults on </w:t>
            </w:r>
            <w:r w:rsidR="000D738E">
              <w:rPr>
                <w:sz w:val="24"/>
                <w:szCs w:val="24"/>
              </w:rPr>
              <w:t>the same</w:t>
            </w:r>
            <w:r>
              <w:rPr>
                <w:sz w:val="24"/>
                <w:szCs w:val="24"/>
              </w:rPr>
              <w:t xml:space="preserve"> statutory </w:t>
            </w:r>
            <w:r w:rsidR="00C3792F">
              <w:rPr>
                <w:sz w:val="24"/>
                <w:szCs w:val="24"/>
              </w:rPr>
              <w:t>position</w:t>
            </w:r>
            <w:r>
              <w:rPr>
                <w:sz w:val="24"/>
                <w:szCs w:val="24"/>
              </w:rPr>
              <w:t xml:space="preserve"> </w:t>
            </w:r>
            <w:r w:rsidR="00664A3B">
              <w:rPr>
                <w:sz w:val="24"/>
                <w:szCs w:val="24"/>
              </w:rPr>
              <w:t>which is comparable</w:t>
            </w:r>
            <w:r>
              <w:rPr>
                <w:sz w:val="24"/>
                <w:szCs w:val="24"/>
              </w:rPr>
              <w:t xml:space="preserve"> to that of safeguarding children. The XXXX Safeguarding Adults Board is made up of the six LA’s and areas such as training, performance and audit, policies and serious case reviews should be undertaken regionally</w:t>
            </w:r>
            <w:r w:rsidR="00A434C2">
              <w:rPr>
                <w:sz w:val="24"/>
                <w:szCs w:val="24"/>
              </w:rPr>
              <w:t xml:space="preserve"> (XXXX Safeguarding board</w:t>
            </w:r>
            <w:r w:rsidR="002E0BD9">
              <w:rPr>
                <w:sz w:val="24"/>
                <w:szCs w:val="24"/>
              </w:rPr>
              <w:t>, 2023)</w:t>
            </w:r>
            <w:r>
              <w:rPr>
                <w:sz w:val="24"/>
                <w:szCs w:val="24"/>
              </w:rPr>
              <w:t>. Examples of regional safeguarding adult protocols are; Supporting people who self-neglect and the Hoarding Protocol.</w:t>
            </w:r>
          </w:p>
          <w:p w14:paraId="54E115C2" w14:textId="77777777" w:rsidR="00111894" w:rsidRDefault="00111894" w:rsidP="00111894">
            <w:pPr>
              <w:spacing w:line="360" w:lineRule="auto"/>
              <w:jc w:val="both"/>
              <w:rPr>
                <w:sz w:val="24"/>
                <w:szCs w:val="24"/>
              </w:rPr>
            </w:pPr>
          </w:p>
          <w:p w14:paraId="5A0C8F1D" w14:textId="77777777" w:rsidR="00111894" w:rsidRDefault="00111894" w:rsidP="00111894">
            <w:pPr>
              <w:spacing w:line="360" w:lineRule="auto"/>
              <w:jc w:val="both"/>
              <w:rPr>
                <w:sz w:val="24"/>
                <w:szCs w:val="24"/>
              </w:rPr>
            </w:pPr>
            <w:r>
              <w:rPr>
                <w:sz w:val="24"/>
                <w:szCs w:val="24"/>
              </w:rPr>
              <w:t>523 words</w:t>
            </w:r>
          </w:p>
          <w:p w14:paraId="03BD6D93" w14:textId="4A764552" w:rsidR="00856833" w:rsidRPr="00856833" w:rsidRDefault="00856833" w:rsidP="00FF7EBB">
            <w:pPr>
              <w:jc w:val="both"/>
              <w:rPr>
                <w:bCs/>
                <w:sz w:val="24"/>
                <w:szCs w:val="24"/>
              </w:rPr>
            </w:pPr>
          </w:p>
        </w:tc>
      </w:tr>
    </w:tbl>
    <w:p w14:paraId="37E9CF73" w14:textId="77777777" w:rsidR="00AA666E" w:rsidRDefault="00AA666E" w:rsidP="00FF7EBB">
      <w:pPr>
        <w:jc w:val="both"/>
        <w:rPr>
          <w:sz w:val="24"/>
          <w:szCs w:val="24"/>
        </w:rPr>
      </w:pPr>
    </w:p>
    <w:p w14:paraId="64F5A037" w14:textId="77777777" w:rsidR="00E45D2F" w:rsidRDefault="00E45D2F" w:rsidP="00FF7EBB">
      <w:pPr>
        <w:jc w:val="both"/>
        <w:rPr>
          <w:sz w:val="24"/>
          <w:szCs w:val="24"/>
        </w:rPr>
      </w:pPr>
    </w:p>
    <w:p w14:paraId="76904EC2" w14:textId="77777777" w:rsidR="008162F6" w:rsidRPr="008B28E7" w:rsidRDefault="008162F6" w:rsidP="008162F6">
      <w:pPr>
        <w:spacing w:line="360" w:lineRule="auto"/>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953AE08" w14:textId="77777777" w:rsidR="00111894" w:rsidRDefault="00111894" w:rsidP="00FC0334">
            <w:pPr>
              <w:jc w:val="both"/>
              <w:rPr>
                <w:i/>
                <w:sz w:val="24"/>
                <w:szCs w:val="24"/>
              </w:rPr>
            </w:pPr>
          </w:p>
          <w:p w14:paraId="6BA3DD84" w14:textId="44BBF285"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5CA365E" w14:textId="77777777" w:rsidR="00111894" w:rsidRDefault="00111894" w:rsidP="00FC0334">
            <w:pPr>
              <w:jc w:val="both"/>
              <w:rPr>
                <w:i/>
                <w:sz w:val="24"/>
                <w:szCs w:val="24"/>
              </w:rPr>
            </w:pPr>
          </w:p>
          <w:p w14:paraId="750EFDF2" w14:textId="77777777" w:rsidR="00111894" w:rsidRDefault="00111894" w:rsidP="00FC0334">
            <w:pPr>
              <w:jc w:val="both"/>
              <w:rPr>
                <w:i/>
                <w:sz w:val="24"/>
                <w:szCs w:val="24"/>
              </w:rPr>
            </w:pPr>
          </w:p>
          <w:p w14:paraId="3F233B11" w14:textId="77777777" w:rsidR="00E54931" w:rsidRDefault="00E54931" w:rsidP="00E54931">
            <w:pPr>
              <w:spacing w:line="360" w:lineRule="auto"/>
              <w:rPr>
                <w:sz w:val="24"/>
                <w:szCs w:val="24"/>
              </w:rPr>
            </w:pPr>
            <w:r>
              <w:rPr>
                <w:sz w:val="24"/>
                <w:szCs w:val="24"/>
              </w:rPr>
              <w:t>Other areas in the UK have separate legislative and safeguarding procedures for both adults and children. However, in Wales, safeguarding legislation for both adults and children is predominantly based within the SSWBA (2014) and the Wales Safeguarding Procedures (2019). There are similarities with both groups, including the duty to report both an ‘Adult at Risk’ and a ‘Child at Risk’. With regards to undertaking safeguarding enquiries, the provision about a LA’s duty to investigate is set out under Section 126 of the SSWBA for adults. However, in terms of children, this duty is set out under Section 47 of the Children Act 1989.</w:t>
            </w:r>
          </w:p>
          <w:p w14:paraId="459DCF9F" w14:textId="77777777" w:rsidR="00E54931" w:rsidRDefault="00E54931" w:rsidP="00E54931">
            <w:pPr>
              <w:spacing w:line="360" w:lineRule="auto"/>
              <w:rPr>
                <w:sz w:val="24"/>
                <w:szCs w:val="24"/>
              </w:rPr>
            </w:pPr>
          </w:p>
          <w:p w14:paraId="5232D570" w14:textId="076F67E1" w:rsidR="00E54931" w:rsidRDefault="00E54931" w:rsidP="00E54931">
            <w:pPr>
              <w:spacing w:line="360" w:lineRule="auto"/>
              <w:rPr>
                <w:sz w:val="24"/>
                <w:szCs w:val="24"/>
              </w:rPr>
            </w:pPr>
            <w:r>
              <w:rPr>
                <w:sz w:val="24"/>
                <w:szCs w:val="24"/>
              </w:rPr>
              <w:t xml:space="preserve">There is a difference </w:t>
            </w:r>
            <w:r w:rsidR="00AB6825">
              <w:rPr>
                <w:sz w:val="24"/>
                <w:szCs w:val="24"/>
              </w:rPr>
              <w:t xml:space="preserve">seen </w:t>
            </w:r>
            <w:r>
              <w:rPr>
                <w:sz w:val="24"/>
                <w:szCs w:val="24"/>
              </w:rPr>
              <w:t xml:space="preserve">in the WSP (2019) definition of ‘At Risk’ between </w:t>
            </w:r>
            <w:r w:rsidR="008E25E6">
              <w:rPr>
                <w:sz w:val="24"/>
                <w:szCs w:val="24"/>
              </w:rPr>
              <w:t>children and adults</w:t>
            </w:r>
            <w:r>
              <w:rPr>
                <w:sz w:val="24"/>
                <w:szCs w:val="24"/>
              </w:rPr>
              <w:t>; in adults, it is</w:t>
            </w:r>
            <w:r w:rsidR="00FD1623">
              <w:rPr>
                <w:sz w:val="24"/>
                <w:szCs w:val="24"/>
              </w:rPr>
              <w:t xml:space="preserve"> also</w:t>
            </w:r>
            <w:r>
              <w:rPr>
                <w:sz w:val="24"/>
                <w:szCs w:val="24"/>
              </w:rPr>
              <w:t xml:space="preserve"> </w:t>
            </w:r>
            <w:r w:rsidR="00FD1623">
              <w:rPr>
                <w:sz w:val="24"/>
                <w:szCs w:val="24"/>
              </w:rPr>
              <w:t>stated</w:t>
            </w:r>
            <w:r>
              <w:rPr>
                <w:sz w:val="24"/>
                <w:szCs w:val="24"/>
              </w:rPr>
              <w:t xml:space="preserve"> that they are </w:t>
            </w:r>
            <w:r w:rsidR="00050A16">
              <w:rPr>
                <w:sz w:val="24"/>
                <w:szCs w:val="24"/>
              </w:rPr>
              <w:t>not able</w:t>
            </w:r>
            <w:r>
              <w:rPr>
                <w:sz w:val="24"/>
                <w:szCs w:val="24"/>
              </w:rPr>
              <w:t xml:space="preserve"> to protect themselves, which recognises that a child’s caregiver is responsible for their </w:t>
            </w:r>
            <w:r w:rsidR="009D08FF">
              <w:rPr>
                <w:sz w:val="24"/>
                <w:szCs w:val="24"/>
              </w:rPr>
              <w:t>safety and wellbeing</w:t>
            </w:r>
            <w:r>
              <w:rPr>
                <w:sz w:val="24"/>
                <w:szCs w:val="24"/>
              </w:rPr>
              <w:t xml:space="preserve">. This is in addition to the shared </w:t>
            </w:r>
            <w:r w:rsidR="009D5085">
              <w:rPr>
                <w:sz w:val="24"/>
                <w:szCs w:val="24"/>
              </w:rPr>
              <w:t xml:space="preserve">condition </w:t>
            </w:r>
            <w:r>
              <w:rPr>
                <w:sz w:val="24"/>
                <w:szCs w:val="24"/>
              </w:rPr>
              <w:t xml:space="preserve">of both groups experiencing or being at risk of experiencing </w:t>
            </w:r>
            <w:r w:rsidR="00680CD0">
              <w:rPr>
                <w:sz w:val="24"/>
                <w:szCs w:val="24"/>
              </w:rPr>
              <w:t>neglect</w:t>
            </w:r>
            <w:r>
              <w:rPr>
                <w:sz w:val="24"/>
                <w:szCs w:val="24"/>
              </w:rPr>
              <w:t xml:space="preserve"> or </w:t>
            </w:r>
            <w:r w:rsidR="00680CD0">
              <w:rPr>
                <w:sz w:val="24"/>
                <w:szCs w:val="24"/>
              </w:rPr>
              <w:t>abuse</w:t>
            </w:r>
            <w:r>
              <w:rPr>
                <w:sz w:val="24"/>
                <w:szCs w:val="24"/>
              </w:rPr>
              <w:t xml:space="preserve"> and having </w:t>
            </w:r>
            <w:r w:rsidR="00BA0C89">
              <w:rPr>
                <w:sz w:val="24"/>
                <w:szCs w:val="24"/>
              </w:rPr>
              <w:t xml:space="preserve">care and support needs, </w:t>
            </w:r>
            <w:r>
              <w:rPr>
                <w:sz w:val="24"/>
                <w:szCs w:val="24"/>
              </w:rPr>
              <w:t xml:space="preserve">to be considered as ‘at risk’. There is also </w:t>
            </w:r>
            <w:r w:rsidR="00607733">
              <w:rPr>
                <w:sz w:val="24"/>
                <w:szCs w:val="24"/>
              </w:rPr>
              <w:t xml:space="preserve">the same </w:t>
            </w:r>
            <w:r>
              <w:rPr>
                <w:sz w:val="24"/>
                <w:szCs w:val="24"/>
              </w:rPr>
              <w:t>definition of ‘wellbeing’ in the Act for both groups, however, for adults there is the add</w:t>
            </w:r>
            <w:r w:rsidR="008C5312">
              <w:rPr>
                <w:sz w:val="24"/>
                <w:szCs w:val="24"/>
              </w:rPr>
              <w:t xml:space="preserve">ed </w:t>
            </w:r>
            <w:r w:rsidR="000E5B78">
              <w:rPr>
                <w:sz w:val="24"/>
                <w:szCs w:val="24"/>
              </w:rPr>
              <w:t>statement</w:t>
            </w:r>
            <w:r>
              <w:rPr>
                <w:sz w:val="24"/>
                <w:szCs w:val="24"/>
              </w:rPr>
              <w:t xml:space="preserve"> of having control in day-to-day life and participation in work and for children the addition of overall healthy development and welfare</w:t>
            </w:r>
            <w:r w:rsidR="00525627">
              <w:rPr>
                <w:sz w:val="24"/>
                <w:szCs w:val="24"/>
              </w:rPr>
              <w:t xml:space="preserve"> (Wales Safeguarding Procedures, 2019). </w:t>
            </w:r>
          </w:p>
          <w:p w14:paraId="0332F8E4" w14:textId="77777777" w:rsidR="00E54931" w:rsidRDefault="00E54931" w:rsidP="00E54931">
            <w:pPr>
              <w:spacing w:line="360" w:lineRule="auto"/>
              <w:rPr>
                <w:sz w:val="24"/>
                <w:szCs w:val="24"/>
              </w:rPr>
            </w:pPr>
          </w:p>
          <w:p w14:paraId="5582F614" w14:textId="77777777" w:rsidR="00E54931" w:rsidRDefault="00E54931" w:rsidP="00E54931">
            <w:pPr>
              <w:spacing w:line="360" w:lineRule="auto"/>
              <w:rPr>
                <w:sz w:val="24"/>
                <w:szCs w:val="24"/>
              </w:rPr>
            </w:pPr>
            <w:r>
              <w:rPr>
                <w:sz w:val="24"/>
                <w:szCs w:val="24"/>
              </w:rPr>
              <w:t>Obtaining consent must be considered within safeguarding practice. Within adult safeguarding, the WSP (2019) state that practitioners ‘</w:t>
            </w:r>
            <w:r w:rsidRPr="008E4FCE">
              <w:rPr>
                <w:i/>
                <w:iCs/>
                <w:sz w:val="24"/>
                <w:szCs w:val="24"/>
              </w:rPr>
              <w:t>should aim to seek consent from the adult where possible</w:t>
            </w:r>
            <w:r>
              <w:rPr>
                <w:i/>
                <w:iCs/>
                <w:sz w:val="24"/>
                <w:szCs w:val="24"/>
              </w:rPr>
              <w:t>’</w:t>
            </w:r>
            <w:r w:rsidRPr="008E4FCE">
              <w:rPr>
                <w:i/>
                <w:iCs/>
                <w:sz w:val="24"/>
                <w:szCs w:val="24"/>
              </w:rPr>
              <w:t xml:space="preserve"> </w:t>
            </w:r>
            <w:r>
              <w:rPr>
                <w:sz w:val="24"/>
                <w:szCs w:val="24"/>
              </w:rPr>
              <w:t>as this can create an effective working partnership, leading to better engagement and effective outcomes. A report should not be made about an adult who has capacity and refuses the referral unless there are justifiable reasons for doing so. An example of this could be that ‘</w:t>
            </w:r>
            <w:r w:rsidRPr="0088531D">
              <w:rPr>
                <w:i/>
                <w:iCs/>
                <w:sz w:val="24"/>
                <w:szCs w:val="24"/>
              </w:rPr>
              <w:t>it would place the adult at further risk’</w:t>
            </w:r>
            <w:r>
              <w:rPr>
                <w:i/>
                <w:iCs/>
                <w:sz w:val="24"/>
                <w:szCs w:val="24"/>
              </w:rPr>
              <w:t xml:space="preserve"> </w:t>
            </w:r>
            <w:r>
              <w:rPr>
                <w:sz w:val="24"/>
                <w:szCs w:val="24"/>
              </w:rPr>
              <w:t xml:space="preserve">or </w:t>
            </w:r>
            <w:r w:rsidRPr="00C47186">
              <w:rPr>
                <w:i/>
                <w:iCs/>
                <w:sz w:val="24"/>
                <w:szCs w:val="24"/>
              </w:rPr>
              <w:t>‘it is in the public interest’</w:t>
            </w:r>
            <w:r>
              <w:rPr>
                <w:i/>
                <w:iCs/>
                <w:sz w:val="24"/>
                <w:szCs w:val="24"/>
              </w:rPr>
              <w:t xml:space="preserve"> </w:t>
            </w:r>
            <w:r>
              <w:rPr>
                <w:sz w:val="24"/>
                <w:szCs w:val="24"/>
              </w:rPr>
              <w:t>or ‘</w:t>
            </w:r>
            <w:r w:rsidRPr="008130D6">
              <w:rPr>
                <w:i/>
                <w:iCs/>
                <w:sz w:val="24"/>
                <w:szCs w:val="24"/>
              </w:rPr>
              <w:t>the alleged abuser is a carer’</w:t>
            </w:r>
            <w:r>
              <w:rPr>
                <w:sz w:val="24"/>
                <w:szCs w:val="24"/>
              </w:rPr>
              <w:t xml:space="preserve">. </w:t>
            </w:r>
          </w:p>
          <w:p w14:paraId="1C274067" w14:textId="77777777" w:rsidR="00E54931" w:rsidRDefault="00E54931" w:rsidP="00E54931">
            <w:pPr>
              <w:spacing w:line="360" w:lineRule="auto"/>
              <w:rPr>
                <w:sz w:val="24"/>
                <w:szCs w:val="24"/>
              </w:rPr>
            </w:pPr>
          </w:p>
          <w:p w14:paraId="28DE5F73" w14:textId="77777777" w:rsidR="00E54931" w:rsidRDefault="00E54931" w:rsidP="00E54931">
            <w:pPr>
              <w:spacing w:line="360" w:lineRule="auto"/>
              <w:rPr>
                <w:sz w:val="24"/>
                <w:szCs w:val="24"/>
              </w:rPr>
            </w:pPr>
            <w:r>
              <w:rPr>
                <w:sz w:val="24"/>
                <w:szCs w:val="24"/>
              </w:rPr>
              <w:lastRenderedPageBreak/>
              <w:t xml:space="preserve">In terms of safeguarding children, the WSP (2019) state that </w:t>
            </w:r>
            <w:r w:rsidRPr="002D1679">
              <w:rPr>
                <w:i/>
                <w:iCs/>
                <w:sz w:val="24"/>
                <w:szCs w:val="24"/>
              </w:rPr>
              <w:t>‘the welfare and safety of the child is the paramount consideration in terms of seeking consent’</w:t>
            </w:r>
            <w:r>
              <w:rPr>
                <w:sz w:val="24"/>
                <w:szCs w:val="24"/>
              </w:rPr>
              <w:t>. Similarly, to adult safeguarding, practitioners should try to seek consent from the child’s parents and the child if competent. However, in some circumstances the practitioner may need to speak to the child without the knowledge or consent of the parents if there are concerns that ‘</w:t>
            </w:r>
            <w:r w:rsidRPr="00415AFB">
              <w:rPr>
                <w:i/>
                <w:iCs/>
                <w:sz w:val="24"/>
                <w:szCs w:val="24"/>
              </w:rPr>
              <w:t>the parent is identified as the alleged abuser’</w:t>
            </w:r>
            <w:r>
              <w:rPr>
                <w:sz w:val="24"/>
                <w:szCs w:val="24"/>
              </w:rPr>
              <w:t xml:space="preserve"> or ‘</w:t>
            </w:r>
            <w:r w:rsidRPr="00415AFB">
              <w:rPr>
                <w:i/>
                <w:iCs/>
                <w:sz w:val="24"/>
                <w:szCs w:val="24"/>
              </w:rPr>
              <w:t>the child may be forced or coerced into silence’</w:t>
            </w:r>
            <w:r>
              <w:rPr>
                <w:sz w:val="24"/>
                <w:szCs w:val="24"/>
              </w:rPr>
              <w:t xml:space="preserve">. The parents or child’s decision to refuse a report may also be over-ridden if there continues to be a safeguarding concern identified by the practitioner. </w:t>
            </w:r>
          </w:p>
          <w:p w14:paraId="760082CF" w14:textId="77777777" w:rsidR="00E54931" w:rsidRDefault="00E54931" w:rsidP="00E54931">
            <w:pPr>
              <w:spacing w:line="360" w:lineRule="auto"/>
              <w:rPr>
                <w:sz w:val="24"/>
                <w:szCs w:val="24"/>
              </w:rPr>
            </w:pPr>
          </w:p>
          <w:p w14:paraId="0CA73CB5" w14:textId="77777777" w:rsidR="00E54931" w:rsidRPr="0088531D" w:rsidRDefault="00E54931" w:rsidP="00E54931">
            <w:pPr>
              <w:spacing w:line="360" w:lineRule="auto"/>
              <w:rPr>
                <w:sz w:val="24"/>
                <w:szCs w:val="24"/>
              </w:rPr>
            </w:pPr>
            <w:r>
              <w:rPr>
                <w:sz w:val="24"/>
                <w:szCs w:val="24"/>
              </w:rPr>
              <w:t>431 words</w:t>
            </w:r>
          </w:p>
          <w:p w14:paraId="09B37D08" w14:textId="77777777" w:rsidR="00111894" w:rsidRPr="00111894" w:rsidRDefault="00111894"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6EF0945F" w14:textId="77777777" w:rsidR="000C55BF" w:rsidRDefault="000C55BF" w:rsidP="00CB15CA">
      <w:pPr>
        <w:spacing w:line="360" w:lineRule="auto"/>
        <w:rPr>
          <w:sz w:val="24"/>
          <w:szCs w:val="24"/>
        </w:rPr>
      </w:pPr>
    </w:p>
    <w:p w14:paraId="1E93F27A" w14:textId="34B89243" w:rsidR="000C55BF" w:rsidRDefault="000C55BF" w:rsidP="00CB15CA">
      <w:pPr>
        <w:spacing w:line="360" w:lineRule="auto"/>
        <w:rPr>
          <w:sz w:val="24"/>
          <w:szCs w:val="24"/>
        </w:rPr>
      </w:pPr>
    </w:p>
    <w:sectPr w:rsidR="000C55BF"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4FB7F" w14:textId="77777777" w:rsidR="00875DC3" w:rsidRDefault="00875DC3">
      <w:r>
        <w:separator/>
      </w:r>
    </w:p>
  </w:endnote>
  <w:endnote w:type="continuationSeparator" w:id="0">
    <w:p w14:paraId="0B81802F" w14:textId="77777777" w:rsidR="00875DC3" w:rsidRDefault="00875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E89B2" w14:textId="77777777" w:rsidR="00875DC3" w:rsidRDefault="00875DC3">
      <w:r>
        <w:separator/>
      </w:r>
    </w:p>
  </w:footnote>
  <w:footnote w:type="continuationSeparator" w:id="0">
    <w:p w14:paraId="5B676692" w14:textId="77777777" w:rsidR="00875DC3" w:rsidRDefault="00875D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2C"/>
    <w:rsid w:val="0000138E"/>
    <w:rsid w:val="00002C7A"/>
    <w:rsid w:val="000045B8"/>
    <w:rsid w:val="00007E91"/>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A16"/>
    <w:rsid w:val="00054A07"/>
    <w:rsid w:val="00055D43"/>
    <w:rsid w:val="00056FAC"/>
    <w:rsid w:val="00057751"/>
    <w:rsid w:val="00062E39"/>
    <w:rsid w:val="00064063"/>
    <w:rsid w:val="00064E5E"/>
    <w:rsid w:val="0006581A"/>
    <w:rsid w:val="0007237B"/>
    <w:rsid w:val="0007244F"/>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4B8"/>
    <w:rsid w:val="000B45AA"/>
    <w:rsid w:val="000C378F"/>
    <w:rsid w:val="000C55BF"/>
    <w:rsid w:val="000C6892"/>
    <w:rsid w:val="000C6FFE"/>
    <w:rsid w:val="000D0BB6"/>
    <w:rsid w:val="000D2D33"/>
    <w:rsid w:val="000D2ED2"/>
    <w:rsid w:val="000D6653"/>
    <w:rsid w:val="000D738E"/>
    <w:rsid w:val="000E0D51"/>
    <w:rsid w:val="000E26B0"/>
    <w:rsid w:val="000E37C2"/>
    <w:rsid w:val="000E38C3"/>
    <w:rsid w:val="000E5B78"/>
    <w:rsid w:val="000F1599"/>
    <w:rsid w:val="000F1769"/>
    <w:rsid w:val="000F1A97"/>
    <w:rsid w:val="000F349B"/>
    <w:rsid w:val="000F42AE"/>
    <w:rsid w:val="000F6196"/>
    <w:rsid w:val="000F6BC3"/>
    <w:rsid w:val="001015D5"/>
    <w:rsid w:val="0010312C"/>
    <w:rsid w:val="00105026"/>
    <w:rsid w:val="0010662B"/>
    <w:rsid w:val="00106DC7"/>
    <w:rsid w:val="00111894"/>
    <w:rsid w:val="00112391"/>
    <w:rsid w:val="00113DF6"/>
    <w:rsid w:val="00114F52"/>
    <w:rsid w:val="001244DE"/>
    <w:rsid w:val="00125962"/>
    <w:rsid w:val="00130119"/>
    <w:rsid w:val="00131F50"/>
    <w:rsid w:val="00132812"/>
    <w:rsid w:val="001347F8"/>
    <w:rsid w:val="001359EE"/>
    <w:rsid w:val="00137BB5"/>
    <w:rsid w:val="00137E05"/>
    <w:rsid w:val="001420C2"/>
    <w:rsid w:val="00143F08"/>
    <w:rsid w:val="001447F6"/>
    <w:rsid w:val="00147497"/>
    <w:rsid w:val="00147DE3"/>
    <w:rsid w:val="00150794"/>
    <w:rsid w:val="00151DA6"/>
    <w:rsid w:val="001608C4"/>
    <w:rsid w:val="001635A0"/>
    <w:rsid w:val="00164832"/>
    <w:rsid w:val="00166E2A"/>
    <w:rsid w:val="001678EF"/>
    <w:rsid w:val="00171418"/>
    <w:rsid w:val="00172227"/>
    <w:rsid w:val="001772BF"/>
    <w:rsid w:val="001772DE"/>
    <w:rsid w:val="00182B60"/>
    <w:rsid w:val="001848F3"/>
    <w:rsid w:val="0019496C"/>
    <w:rsid w:val="00195A02"/>
    <w:rsid w:val="001961CF"/>
    <w:rsid w:val="001A59BB"/>
    <w:rsid w:val="001A607E"/>
    <w:rsid w:val="001A6A51"/>
    <w:rsid w:val="001A79C4"/>
    <w:rsid w:val="001B331A"/>
    <w:rsid w:val="001C0237"/>
    <w:rsid w:val="001C0E74"/>
    <w:rsid w:val="001C4234"/>
    <w:rsid w:val="001C4DB8"/>
    <w:rsid w:val="001C50B8"/>
    <w:rsid w:val="001D0422"/>
    <w:rsid w:val="001D229F"/>
    <w:rsid w:val="001E2EB6"/>
    <w:rsid w:val="001F4552"/>
    <w:rsid w:val="001F6081"/>
    <w:rsid w:val="0020164C"/>
    <w:rsid w:val="002019EB"/>
    <w:rsid w:val="00204191"/>
    <w:rsid w:val="00204B58"/>
    <w:rsid w:val="00205051"/>
    <w:rsid w:val="00211F65"/>
    <w:rsid w:val="00214047"/>
    <w:rsid w:val="0021445D"/>
    <w:rsid w:val="00214EB1"/>
    <w:rsid w:val="00216563"/>
    <w:rsid w:val="0021792F"/>
    <w:rsid w:val="00220D06"/>
    <w:rsid w:val="00221D29"/>
    <w:rsid w:val="002246A0"/>
    <w:rsid w:val="00230439"/>
    <w:rsid w:val="00232A09"/>
    <w:rsid w:val="00235176"/>
    <w:rsid w:val="00236061"/>
    <w:rsid w:val="0024100E"/>
    <w:rsid w:val="00241537"/>
    <w:rsid w:val="00241C1B"/>
    <w:rsid w:val="0024288B"/>
    <w:rsid w:val="00243DB0"/>
    <w:rsid w:val="00247265"/>
    <w:rsid w:val="00260663"/>
    <w:rsid w:val="00262BB0"/>
    <w:rsid w:val="002657E9"/>
    <w:rsid w:val="0026665E"/>
    <w:rsid w:val="0027147E"/>
    <w:rsid w:val="002730A9"/>
    <w:rsid w:val="002742CB"/>
    <w:rsid w:val="00275FF4"/>
    <w:rsid w:val="002761F4"/>
    <w:rsid w:val="002767F4"/>
    <w:rsid w:val="002770C3"/>
    <w:rsid w:val="002775E1"/>
    <w:rsid w:val="00277979"/>
    <w:rsid w:val="00291ADD"/>
    <w:rsid w:val="002920DF"/>
    <w:rsid w:val="00292F3D"/>
    <w:rsid w:val="00295CA1"/>
    <w:rsid w:val="002967C0"/>
    <w:rsid w:val="002A0E51"/>
    <w:rsid w:val="002A1A44"/>
    <w:rsid w:val="002A291A"/>
    <w:rsid w:val="002A2C54"/>
    <w:rsid w:val="002A3A8C"/>
    <w:rsid w:val="002A4E2E"/>
    <w:rsid w:val="002A5604"/>
    <w:rsid w:val="002B05A1"/>
    <w:rsid w:val="002B1701"/>
    <w:rsid w:val="002B23C3"/>
    <w:rsid w:val="002B4147"/>
    <w:rsid w:val="002B443A"/>
    <w:rsid w:val="002B5B35"/>
    <w:rsid w:val="002B63B8"/>
    <w:rsid w:val="002B7AEE"/>
    <w:rsid w:val="002C2536"/>
    <w:rsid w:val="002C256A"/>
    <w:rsid w:val="002C3031"/>
    <w:rsid w:val="002C4233"/>
    <w:rsid w:val="002C4360"/>
    <w:rsid w:val="002C496D"/>
    <w:rsid w:val="002D05EB"/>
    <w:rsid w:val="002D11A8"/>
    <w:rsid w:val="002D1679"/>
    <w:rsid w:val="002D2F29"/>
    <w:rsid w:val="002D46C0"/>
    <w:rsid w:val="002D5A92"/>
    <w:rsid w:val="002D65D2"/>
    <w:rsid w:val="002D6B31"/>
    <w:rsid w:val="002E0BD9"/>
    <w:rsid w:val="002E6D17"/>
    <w:rsid w:val="002E6D80"/>
    <w:rsid w:val="002E7017"/>
    <w:rsid w:val="002E7376"/>
    <w:rsid w:val="002E7F2C"/>
    <w:rsid w:val="002F1FC7"/>
    <w:rsid w:val="002F2185"/>
    <w:rsid w:val="002F4F6E"/>
    <w:rsid w:val="00301326"/>
    <w:rsid w:val="003015C3"/>
    <w:rsid w:val="00301710"/>
    <w:rsid w:val="00305A4B"/>
    <w:rsid w:val="003106DB"/>
    <w:rsid w:val="0031350A"/>
    <w:rsid w:val="00316815"/>
    <w:rsid w:val="003168CA"/>
    <w:rsid w:val="00321255"/>
    <w:rsid w:val="0032230D"/>
    <w:rsid w:val="00322A0B"/>
    <w:rsid w:val="00324289"/>
    <w:rsid w:val="003265B6"/>
    <w:rsid w:val="00330881"/>
    <w:rsid w:val="00331CD2"/>
    <w:rsid w:val="00332426"/>
    <w:rsid w:val="0033408C"/>
    <w:rsid w:val="00335C41"/>
    <w:rsid w:val="00335FC5"/>
    <w:rsid w:val="0033771E"/>
    <w:rsid w:val="00337FEF"/>
    <w:rsid w:val="00345330"/>
    <w:rsid w:val="00347C35"/>
    <w:rsid w:val="00354B6D"/>
    <w:rsid w:val="00355210"/>
    <w:rsid w:val="00355CFD"/>
    <w:rsid w:val="00361A36"/>
    <w:rsid w:val="00365DF9"/>
    <w:rsid w:val="0037066E"/>
    <w:rsid w:val="00372475"/>
    <w:rsid w:val="00372DB4"/>
    <w:rsid w:val="00373A36"/>
    <w:rsid w:val="00373E58"/>
    <w:rsid w:val="0037419E"/>
    <w:rsid w:val="00375AF5"/>
    <w:rsid w:val="003761BD"/>
    <w:rsid w:val="00377448"/>
    <w:rsid w:val="00377884"/>
    <w:rsid w:val="003826BD"/>
    <w:rsid w:val="00385414"/>
    <w:rsid w:val="00390074"/>
    <w:rsid w:val="00392F73"/>
    <w:rsid w:val="00393600"/>
    <w:rsid w:val="0039400F"/>
    <w:rsid w:val="0039437E"/>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078"/>
    <w:rsid w:val="003D4710"/>
    <w:rsid w:val="003D628D"/>
    <w:rsid w:val="003D7B09"/>
    <w:rsid w:val="003E16D7"/>
    <w:rsid w:val="003E197E"/>
    <w:rsid w:val="003E4B70"/>
    <w:rsid w:val="003E54CF"/>
    <w:rsid w:val="003E5569"/>
    <w:rsid w:val="003E5FBA"/>
    <w:rsid w:val="003F1233"/>
    <w:rsid w:val="003F584A"/>
    <w:rsid w:val="003F67A4"/>
    <w:rsid w:val="00400786"/>
    <w:rsid w:val="00401FDA"/>
    <w:rsid w:val="004046F0"/>
    <w:rsid w:val="0040668F"/>
    <w:rsid w:val="00411EF7"/>
    <w:rsid w:val="00412677"/>
    <w:rsid w:val="00415AFB"/>
    <w:rsid w:val="00425160"/>
    <w:rsid w:val="00430DE3"/>
    <w:rsid w:val="00433242"/>
    <w:rsid w:val="004348AE"/>
    <w:rsid w:val="004376C0"/>
    <w:rsid w:val="0044223A"/>
    <w:rsid w:val="00450B67"/>
    <w:rsid w:val="00451851"/>
    <w:rsid w:val="0045189A"/>
    <w:rsid w:val="00453343"/>
    <w:rsid w:val="004538C3"/>
    <w:rsid w:val="004608B9"/>
    <w:rsid w:val="004623EA"/>
    <w:rsid w:val="00463B55"/>
    <w:rsid w:val="00465947"/>
    <w:rsid w:val="004667B1"/>
    <w:rsid w:val="00467F66"/>
    <w:rsid w:val="00470461"/>
    <w:rsid w:val="00470822"/>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4493"/>
    <w:rsid w:val="004B5553"/>
    <w:rsid w:val="004B600B"/>
    <w:rsid w:val="004B6822"/>
    <w:rsid w:val="004B69F6"/>
    <w:rsid w:val="004C2D3A"/>
    <w:rsid w:val="004D03C4"/>
    <w:rsid w:val="004D0BF1"/>
    <w:rsid w:val="004D0F4E"/>
    <w:rsid w:val="004D3278"/>
    <w:rsid w:val="004D35A4"/>
    <w:rsid w:val="004D445F"/>
    <w:rsid w:val="004E0483"/>
    <w:rsid w:val="004E087B"/>
    <w:rsid w:val="004E3751"/>
    <w:rsid w:val="004E44A4"/>
    <w:rsid w:val="004E5C89"/>
    <w:rsid w:val="004E7B8B"/>
    <w:rsid w:val="004E7BDD"/>
    <w:rsid w:val="004F1966"/>
    <w:rsid w:val="004F1E21"/>
    <w:rsid w:val="004F2542"/>
    <w:rsid w:val="004F4E33"/>
    <w:rsid w:val="004F740D"/>
    <w:rsid w:val="004F7B8F"/>
    <w:rsid w:val="00500748"/>
    <w:rsid w:val="005011D6"/>
    <w:rsid w:val="00501E32"/>
    <w:rsid w:val="00502A14"/>
    <w:rsid w:val="005042F1"/>
    <w:rsid w:val="0050481B"/>
    <w:rsid w:val="0050569D"/>
    <w:rsid w:val="005113D4"/>
    <w:rsid w:val="0051287D"/>
    <w:rsid w:val="00513C7D"/>
    <w:rsid w:val="00513C8D"/>
    <w:rsid w:val="005167BA"/>
    <w:rsid w:val="00520A5E"/>
    <w:rsid w:val="00521123"/>
    <w:rsid w:val="00521221"/>
    <w:rsid w:val="005215BB"/>
    <w:rsid w:val="0052250B"/>
    <w:rsid w:val="00525627"/>
    <w:rsid w:val="005305C6"/>
    <w:rsid w:val="005355AA"/>
    <w:rsid w:val="00540EEC"/>
    <w:rsid w:val="005414F4"/>
    <w:rsid w:val="00546187"/>
    <w:rsid w:val="00547B11"/>
    <w:rsid w:val="00557D77"/>
    <w:rsid w:val="00562EAA"/>
    <w:rsid w:val="00563B58"/>
    <w:rsid w:val="005640C4"/>
    <w:rsid w:val="0056510E"/>
    <w:rsid w:val="0056684C"/>
    <w:rsid w:val="00574A0C"/>
    <w:rsid w:val="0057780F"/>
    <w:rsid w:val="00581E0A"/>
    <w:rsid w:val="00586D89"/>
    <w:rsid w:val="005877C8"/>
    <w:rsid w:val="00587923"/>
    <w:rsid w:val="00594F9F"/>
    <w:rsid w:val="005A1B4C"/>
    <w:rsid w:val="005A545C"/>
    <w:rsid w:val="005B271A"/>
    <w:rsid w:val="005B3A2D"/>
    <w:rsid w:val="005C0255"/>
    <w:rsid w:val="005C1567"/>
    <w:rsid w:val="005C28D3"/>
    <w:rsid w:val="005C6CE5"/>
    <w:rsid w:val="005D2573"/>
    <w:rsid w:val="005D3F07"/>
    <w:rsid w:val="005D4A1E"/>
    <w:rsid w:val="005D4F72"/>
    <w:rsid w:val="005E13EA"/>
    <w:rsid w:val="005E17F1"/>
    <w:rsid w:val="005E2103"/>
    <w:rsid w:val="005F64AA"/>
    <w:rsid w:val="005F7851"/>
    <w:rsid w:val="00600ED9"/>
    <w:rsid w:val="00605EEB"/>
    <w:rsid w:val="00606E27"/>
    <w:rsid w:val="00607733"/>
    <w:rsid w:val="0061012C"/>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430B"/>
    <w:rsid w:val="00664A3B"/>
    <w:rsid w:val="006669F3"/>
    <w:rsid w:val="006712A7"/>
    <w:rsid w:val="00672CED"/>
    <w:rsid w:val="00674FC2"/>
    <w:rsid w:val="00676E35"/>
    <w:rsid w:val="006779E4"/>
    <w:rsid w:val="00677E42"/>
    <w:rsid w:val="00680CD0"/>
    <w:rsid w:val="00682334"/>
    <w:rsid w:val="00682E9B"/>
    <w:rsid w:val="00684732"/>
    <w:rsid w:val="00684B16"/>
    <w:rsid w:val="00687016"/>
    <w:rsid w:val="006872A0"/>
    <w:rsid w:val="0069625A"/>
    <w:rsid w:val="00696A88"/>
    <w:rsid w:val="00696F65"/>
    <w:rsid w:val="00697572"/>
    <w:rsid w:val="006A24E4"/>
    <w:rsid w:val="006B4496"/>
    <w:rsid w:val="006B5E67"/>
    <w:rsid w:val="006B6612"/>
    <w:rsid w:val="006C09EC"/>
    <w:rsid w:val="006C2EB5"/>
    <w:rsid w:val="006D18A3"/>
    <w:rsid w:val="006D28A7"/>
    <w:rsid w:val="006D5970"/>
    <w:rsid w:val="006E0A97"/>
    <w:rsid w:val="006E481E"/>
    <w:rsid w:val="006E653D"/>
    <w:rsid w:val="006E795F"/>
    <w:rsid w:val="006F0862"/>
    <w:rsid w:val="006F1438"/>
    <w:rsid w:val="006F2A9E"/>
    <w:rsid w:val="006F5ED3"/>
    <w:rsid w:val="006F6DCB"/>
    <w:rsid w:val="00700249"/>
    <w:rsid w:val="0070028F"/>
    <w:rsid w:val="00706408"/>
    <w:rsid w:val="007069CD"/>
    <w:rsid w:val="00706BB5"/>
    <w:rsid w:val="0070754E"/>
    <w:rsid w:val="0071231A"/>
    <w:rsid w:val="00712E90"/>
    <w:rsid w:val="00713B7E"/>
    <w:rsid w:val="007141A4"/>
    <w:rsid w:val="0071461C"/>
    <w:rsid w:val="00722033"/>
    <w:rsid w:val="0072678F"/>
    <w:rsid w:val="007276E5"/>
    <w:rsid w:val="00727C4C"/>
    <w:rsid w:val="00734809"/>
    <w:rsid w:val="0073714E"/>
    <w:rsid w:val="007374EF"/>
    <w:rsid w:val="007406E1"/>
    <w:rsid w:val="00743E40"/>
    <w:rsid w:val="00744032"/>
    <w:rsid w:val="00745016"/>
    <w:rsid w:val="0075031F"/>
    <w:rsid w:val="00751263"/>
    <w:rsid w:val="007544FC"/>
    <w:rsid w:val="00755427"/>
    <w:rsid w:val="00756548"/>
    <w:rsid w:val="0075673A"/>
    <w:rsid w:val="0075704F"/>
    <w:rsid w:val="00763B2D"/>
    <w:rsid w:val="00764C84"/>
    <w:rsid w:val="007710AD"/>
    <w:rsid w:val="00771823"/>
    <w:rsid w:val="00772924"/>
    <w:rsid w:val="0078112D"/>
    <w:rsid w:val="007872F2"/>
    <w:rsid w:val="007873F9"/>
    <w:rsid w:val="007908E0"/>
    <w:rsid w:val="00793EB3"/>
    <w:rsid w:val="00794205"/>
    <w:rsid w:val="0079422A"/>
    <w:rsid w:val="007A06A3"/>
    <w:rsid w:val="007A1F6A"/>
    <w:rsid w:val="007A2A3E"/>
    <w:rsid w:val="007A628F"/>
    <w:rsid w:val="007B0DE3"/>
    <w:rsid w:val="007B1BFD"/>
    <w:rsid w:val="007B7191"/>
    <w:rsid w:val="007C1D94"/>
    <w:rsid w:val="007C556F"/>
    <w:rsid w:val="007C5ABE"/>
    <w:rsid w:val="007C65DD"/>
    <w:rsid w:val="007C6A87"/>
    <w:rsid w:val="007D0A07"/>
    <w:rsid w:val="007D0F11"/>
    <w:rsid w:val="007D1114"/>
    <w:rsid w:val="007D133D"/>
    <w:rsid w:val="007D3EB4"/>
    <w:rsid w:val="007D3F16"/>
    <w:rsid w:val="007F03A8"/>
    <w:rsid w:val="007F10BD"/>
    <w:rsid w:val="007F312E"/>
    <w:rsid w:val="007F3F7E"/>
    <w:rsid w:val="007F4BA4"/>
    <w:rsid w:val="0081021C"/>
    <w:rsid w:val="008130D6"/>
    <w:rsid w:val="00813CEC"/>
    <w:rsid w:val="008147D2"/>
    <w:rsid w:val="0081534C"/>
    <w:rsid w:val="008162F6"/>
    <w:rsid w:val="00816CE7"/>
    <w:rsid w:val="008171E4"/>
    <w:rsid w:val="008208EA"/>
    <w:rsid w:val="00822B44"/>
    <w:rsid w:val="00824E67"/>
    <w:rsid w:val="00825A64"/>
    <w:rsid w:val="00826F48"/>
    <w:rsid w:val="008308AE"/>
    <w:rsid w:val="00830DD1"/>
    <w:rsid w:val="0083166E"/>
    <w:rsid w:val="00831DC3"/>
    <w:rsid w:val="0083223A"/>
    <w:rsid w:val="008322C7"/>
    <w:rsid w:val="008340BA"/>
    <w:rsid w:val="00834F1D"/>
    <w:rsid w:val="00836FEC"/>
    <w:rsid w:val="00841F9D"/>
    <w:rsid w:val="00842011"/>
    <w:rsid w:val="008420E1"/>
    <w:rsid w:val="0084422F"/>
    <w:rsid w:val="00844D98"/>
    <w:rsid w:val="00846D84"/>
    <w:rsid w:val="00850233"/>
    <w:rsid w:val="0085230E"/>
    <w:rsid w:val="00852323"/>
    <w:rsid w:val="008550A1"/>
    <w:rsid w:val="00856833"/>
    <w:rsid w:val="00861038"/>
    <w:rsid w:val="00865B58"/>
    <w:rsid w:val="00866B50"/>
    <w:rsid w:val="00866D53"/>
    <w:rsid w:val="00867A63"/>
    <w:rsid w:val="008708F1"/>
    <w:rsid w:val="00871960"/>
    <w:rsid w:val="00872E44"/>
    <w:rsid w:val="0087369F"/>
    <w:rsid w:val="00875DC3"/>
    <w:rsid w:val="008804D5"/>
    <w:rsid w:val="00880539"/>
    <w:rsid w:val="0088523E"/>
    <w:rsid w:val="0088531D"/>
    <w:rsid w:val="008859E8"/>
    <w:rsid w:val="0088737B"/>
    <w:rsid w:val="00891078"/>
    <w:rsid w:val="00892716"/>
    <w:rsid w:val="00892FD0"/>
    <w:rsid w:val="00893067"/>
    <w:rsid w:val="008933DE"/>
    <w:rsid w:val="00895FCE"/>
    <w:rsid w:val="00897F3E"/>
    <w:rsid w:val="008A21B4"/>
    <w:rsid w:val="008A5EE3"/>
    <w:rsid w:val="008B07DE"/>
    <w:rsid w:val="008B1309"/>
    <w:rsid w:val="008B28E7"/>
    <w:rsid w:val="008B67F6"/>
    <w:rsid w:val="008C14C7"/>
    <w:rsid w:val="008C2FFB"/>
    <w:rsid w:val="008C5312"/>
    <w:rsid w:val="008C5838"/>
    <w:rsid w:val="008C597A"/>
    <w:rsid w:val="008C633F"/>
    <w:rsid w:val="008C6EEA"/>
    <w:rsid w:val="008C7770"/>
    <w:rsid w:val="008C79C7"/>
    <w:rsid w:val="008D03B0"/>
    <w:rsid w:val="008D2150"/>
    <w:rsid w:val="008D318D"/>
    <w:rsid w:val="008D5813"/>
    <w:rsid w:val="008D5999"/>
    <w:rsid w:val="008D634E"/>
    <w:rsid w:val="008D778A"/>
    <w:rsid w:val="008D78C9"/>
    <w:rsid w:val="008E25E6"/>
    <w:rsid w:val="008E3195"/>
    <w:rsid w:val="008E4FCE"/>
    <w:rsid w:val="008E5A35"/>
    <w:rsid w:val="008E6812"/>
    <w:rsid w:val="008F0A72"/>
    <w:rsid w:val="008F127E"/>
    <w:rsid w:val="008F255C"/>
    <w:rsid w:val="008F32D9"/>
    <w:rsid w:val="00901680"/>
    <w:rsid w:val="00901947"/>
    <w:rsid w:val="00902A65"/>
    <w:rsid w:val="00903932"/>
    <w:rsid w:val="009079BD"/>
    <w:rsid w:val="00912BD9"/>
    <w:rsid w:val="00916FB2"/>
    <w:rsid w:val="00920E5B"/>
    <w:rsid w:val="00926436"/>
    <w:rsid w:val="00926C53"/>
    <w:rsid w:val="00927C4F"/>
    <w:rsid w:val="0093018C"/>
    <w:rsid w:val="00934F7F"/>
    <w:rsid w:val="0094495F"/>
    <w:rsid w:val="00946052"/>
    <w:rsid w:val="009544C0"/>
    <w:rsid w:val="00954FA4"/>
    <w:rsid w:val="00956AE9"/>
    <w:rsid w:val="00964CC6"/>
    <w:rsid w:val="00967BFA"/>
    <w:rsid w:val="0097565B"/>
    <w:rsid w:val="0098262C"/>
    <w:rsid w:val="00983720"/>
    <w:rsid w:val="0098427C"/>
    <w:rsid w:val="00986B43"/>
    <w:rsid w:val="00986C0B"/>
    <w:rsid w:val="00986D46"/>
    <w:rsid w:val="00991FDA"/>
    <w:rsid w:val="00992ACA"/>
    <w:rsid w:val="00993F15"/>
    <w:rsid w:val="00995F56"/>
    <w:rsid w:val="009A03E7"/>
    <w:rsid w:val="009A5F3B"/>
    <w:rsid w:val="009A5F79"/>
    <w:rsid w:val="009A6F87"/>
    <w:rsid w:val="009B0B61"/>
    <w:rsid w:val="009B28C0"/>
    <w:rsid w:val="009B3178"/>
    <w:rsid w:val="009B3E46"/>
    <w:rsid w:val="009B4016"/>
    <w:rsid w:val="009B7136"/>
    <w:rsid w:val="009C1A58"/>
    <w:rsid w:val="009C337F"/>
    <w:rsid w:val="009C3FCC"/>
    <w:rsid w:val="009C463C"/>
    <w:rsid w:val="009C53E7"/>
    <w:rsid w:val="009C6092"/>
    <w:rsid w:val="009C7342"/>
    <w:rsid w:val="009D08FF"/>
    <w:rsid w:val="009D0EDF"/>
    <w:rsid w:val="009D4365"/>
    <w:rsid w:val="009D477B"/>
    <w:rsid w:val="009D4E3B"/>
    <w:rsid w:val="009D5085"/>
    <w:rsid w:val="009D59C2"/>
    <w:rsid w:val="009D65FF"/>
    <w:rsid w:val="009D7BC9"/>
    <w:rsid w:val="009E122F"/>
    <w:rsid w:val="009E1982"/>
    <w:rsid w:val="009E4D2C"/>
    <w:rsid w:val="009F0978"/>
    <w:rsid w:val="009F3AEC"/>
    <w:rsid w:val="009F6801"/>
    <w:rsid w:val="00A00081"/>
    <w:rsid w:val="00A06422"/>
    <w:rsid w:val="00A071A3"/>
    <w:rsid w:val="00A07F37"/>
    <w:rsid w:val="00A10D56"/>
    <w:rsid w:val="00A12AAE"/>
    <w:rsid w:val="00A12F22"/>
    <w:rsid w:val="00A16DD1"/>
    <w:rsid w:val="00A17284"/>
    <w:rsid w:val="00A22441"/>
    <w:rsid w:val="00A23D14"/>
    <w:rsid w:val="00A23F3B"/>
    <w:rsid w:val="00A24406"/>
    <w:rsid w:val="00A25F64"/>
    <w:rsid w:val="00A26BE1"/>
    <w:rsid w:val="00A275F6"/>
    <w:rsid w:val="00A303B9"/>
    <w:rsid w:val="00A37416"/>
    <w:rsid w:val="00A40ED6"/>
    <w:rsid w:val="00A434C2"/>
    <w:rsid w:val="00A47621"/>
    <w:rsid w:val="00A479CD"/>
    <w:rsid w:val="00A50564"/>
    <w:rsid w:val="00A50CFC"/>
    <w:rsid w:val="00A5111D"/>
    <w:rsid w:val="00A54243"/>
    <w:rsid w:val="00A54D67"/>
    <w:rsid w:val="00A55A3F"/>
    <w:rsid w:val="00A5656A"/>
    <w:rsid w:val="00A60103"/>
    <w:rsid w:val="00A64DE1"/>
    <w:rsid w:val="00A652F6"/>
    <w:rsid w:val="00A65861"/>
    <w:rsid w:val="00A732EA"/>
    <w:rsid w:val="00A7489E"/>
    <w:rsid w:val="00A75822"/>
    <w:rsid w:val="00A8015F"/>
    <w:rsid w:val="00A85039"/>
    <w:rsid w:val="00A906AA"/>
    <w:rsid w:val="00A94C5E"/>
    <w:rsid w:val="00AA252C"/>
    <w:rsid w:val="00AA666E"/>
    <w:rsid w:val="00AA7960"/>
    <w:rsid w:val="00AB5518"/>
    <w:rsid w:val="00AB6825"/>
    <w:rsid w:val="00AC2DC8"/>
    <w:rsid w:val="00AC3A0E"/>
    <w:rsid w:val="00AC4A04"/>
    <w:rsid w:val="00AC5679"/>
    <w:rsid w:val="00AD336F"/>
    <w:rsid w:val="00AD55D1"/>
    <w:rsid w:val="00AE134C"/>
    <w:rsid w:val="00AE1868"/>
    <w:rsid w:val="00AE2564"/>
    <w:rsid w:val="00AE301F"/>
    <w:rsid w:val="00AE3302"/>
    <w:rsid w:val="00AE5BA6"/>
    <w:rsid w:val="00AE6231"/>
    <w:rsid w:val="00AE7077"/>
    <w:rsid w:val="00AF61C2"/>
    <w:rsid w:val="00AF6CC6"/>
    <w:rsid w:val="00B0296A"/>
    <w:rsid w:val="00B07E79"/>
    <w:rsid w:val="00B110AB"/>
    <w:rsid w:val="00B12295"/>
    <w:rsid w:val="00B13027"/>
    <w:rsid w:val="00B137BE"/>
    <w:rsid w:val="00B15998"/>
    <w:rsid w:val="00B17FA0"/>
    <w:rsid w:val="00B2292C"/>
    <w:rsid w:val="00B22C3C"/>
    <w:rsid w:val="00B24344"/>
    <w:rsid w:val="00B25E1C"/>
    <w:rsid w:val="00B26769"/>
    <w:rsid w:val="00B2754B"/>
    <w:rsid w:val="00B31C91"/>
    <w:rsid w:val="00B3747F"/>
    <w:rsid w:val="00B42E76"/>
    <w:rsid w:val="00B43194"/>
    <w:rsid w:val="00B436BF"/>
    <w:rsid w:val="00B436D1"/>
    <w:rsid w:val="00B47734"/>
    <w:rsid w:val="00B50FBA"/>
    <w:rsid w:val="00B533A9"/>
    <w:rsid w:val="00B558EB"/>
    <w:rsid w:val="00B577D3"/>
    <w:rsid w:val="00B60466"/>
    <w:rsid w:val="00B6548F"/>
    <w:rsid w:val="00B661D2"/>
    <w:rsid w:val="00B7002D"/>
    <w:rsid w:val="00B71A32"/>
    <w:rsid w:val="00B73D39"/>
    <w:rsid w:val="00B7502A"/>
    <w:rsid w:val="00B77305"/>
    <w:rsid w:val="00B774BD"/>
    <w:rsid w:val="00B813BA"/>
    <w:rsid w:val="00B82CC2"/>
    <w:rsid w:val="00B82CF4"/>
    <w:rsid w:val="00B84A89"/>
    <w:rsid w:val="00B9256C"/>
    <w:rsid w:val="00B925E3"/>
    <w:rsid w:val="00B92BEF"/>
    <w:rsid w:val="00B94443"/>
    <w:rsid w:val="00B9689A"/>
    <w:rsid w:val="00B97056"/>
    <w:rsid w:val="00BA0C89"/>
    <w:rsid w:val="00BA531E"/>
    <w:rsid w:val="00BA728B"/>
    <w:rsid w:val="00BB06CB"/>
    <w:rsid w:val="00BB261F"/>
    <w:rsid w:val="00BB2887"/>
    <w:rsid w:val="00BB2D7B"/>
    <w:rsid w:val="00BB3B56"/>
    <w:rsid w:val="00BB5EAA"/>
    <w:rsid w:val="00BB5F11"/>
    <w:rsid w:val="00BB6638"/>
    <w:rsid w:val="00BB7FD2"/>
    <w:rsid w:val="00BC04FA"/>
    <w:rsid w:val="00BC16E3"/>
    <w:rsid w:val="00BC1C22"/>
    <w:rsid w:val="00BC460B"/>
    <w:rsid w:val="00BC4ED3"/>
    <w:rsid w:val="00BC5725"/>
    <w:rsid w:val="00BD30B1"/>
    <w:rsid w:val="00BD559B"/>
    <w:rsid w:val="00BD5A52"/>
    <w:rsid w:val="00BE0F7B"/>
    <w:rsid w:val="00BE10C2"/>
    <w:rsid w:val="00BE7E85"/>
    <w:rsid w:val="00BF0D6C"/>
    <w:rsid w:val="00C01D14"/>
    <w:rsid w:val="00C01D97"/>
    <w:rsid w:val="00C025B4"/>
    <w:rsid w:val="00C029EC"/>
    <w:rsid w:val="00C03CA1"/>
    <w:rsid w:val="00C1507B"/>
    <w:rsid w:val="00C161FD"/>
    <w:rsid w:val="00C17C9F"/>
    <w:rsid w:val="00C23F17"/>
    <w:rsid w:val="00C246F2"/>
    <w:rsid w:val="00C26CBF"/>
    <w:rsid w:val="00C26D0D"/>
    <w:rsid w:val="00C27C95"/>
    <w:rsid w:val="00C300D2"/>
    <w:rsid w:val="00C3270F"/>
    <w:rsid w:val="00C3278B"/>
    <w:rsid w:val="00C33375"/>
    <w:rsid w:val="00C34C23"/>
    <w:rsid w:val="00C368FA"/>
    <w:rsid w:val="00C3792F"/>
    <w:rsid w:val="00C42005"/>
    <w:rsid w:val="00C4664D"/>
    <w:rsid w:val="00C47186"/>
    <w:rsid w:val="00C472AA"/>
    <w:rsid w:val="00C50763"/>
    <w:rsid w:val="00C50A05"/>
    <w:rsid w:val="00C54AED"/>
    <w:rsid w:val="00C555FC"/>
    <w:rsid w:val="00C55E9B"/>
    <w:rsid w:val="00C56D09"/>
    <w:rsid w:val="00C57D24"/>
    <w:rsid w:val="00C604D6"/>
    <w:rsid w:val="00C63983"/>
    <w:rsid w:val="00C63CAB"/>
    <w:rsid w:val="00C63D00"/>
    <w:rsid w:val="00C6441B"/>
    <w:rsid w:val="00C65921"/>
    <w:rsid w:val="00C7108B"/>
    <w:rsid w:val="00C719A2"/>
    <w:rsid w:val="00C75883"/>
    <w:rsid w:val="00C77FA5"/>
    <w:rsid w:val="00C8089F"/>
    <w:rsid w:val="00C81C80"/>
    <w:rsid w:val="00C835FE"/>
    <w:rsid w:val="00C836CC"/>
    <w:rsid w:val="00C83DC3"/>
    <w:rsid w:val="00C8411A"/>
    <w:rsid w:val="00C852D6"/>
    <w:rsid w:val="00C87A74"/>
    <w:rsid w:val="00C92C71"/>
    <w:rsid w:val="00C93F8F"/>
    <w:rsid w:val="00C95ED3"/>
    <w:rsid w:val="00C96E92"/>
    <w:rsid w:val="00CA0894"/>
    <w:rsid w:val="00CA3593"/>
    <w:rsid w:val="00CA464F"/>
    <w:rsid w:val="00CA5726"/>
    <w:rsid w:val="00CA7E6A"/>
    <w:rsid w:val="00CB03CE"/>
    <w:rsid w:val="00CB15CA"/>
    <w:rsid w:val="00CB258E"/>
    <w:rsid w:val="00CB3C8F"/>
    <w:rsid w:val="00CB6E1F"/>
    <w:rsid w:val="00CC02F1"/>
    <w:rsid w:val="00CC1122"/>
    <w:rsid w:val="00CC11A6"/>
    <w:rsid w:val="00CC135E"/>
    <w:rsid w:val="00CC7226"/>
    <w:rsid w:val="00CD0735"/>
    <w:rsid w:val="00CD45E3"/>
    <w:rsid w:val="00CD4771"/>
    <w:rsid w:val="00CD5089"/>
    <w:rsid w:val="00CD5D3F"/>
    <w:rsid w:val="00CD7E1F"/>
    <w:rsid w:val="00CE0A35"/>
    <w:rsid w:val="00CE2406"/>
    <w:rsid w:val="00CE4BC4"/>
    <w:rsid w:val="00CE635F"/>
    <w:rsid w:val="00CE7DA2"/>
    <w:rsid w:val="00CF140E"/>
    <w:rsid w:val="00CF2F8A"/>
    <w:rsid w:val="00CF3DB3"/>
    <w:rsid w:val="00CF6920"/>
    <w:rsid w:val="00D0274B"/>
    <w:rsid w:val="00D0503D"/>
    <w:rsid w:val="00D052BC"/>
    <w:rsid w:val="00D05EBC"/>
    <w:rsid w:val="00D07026"/>
    <w:rsid w:val="00D146AE"/>
    <w:rsid w:val="00D16293"/>
    <w:rsid w:val="00D172F5"/>
    <w:rsid w:val="00D17AF3"/>
    <w:rsid w:val="00D22C8F"/>
    <w:rsid w:val="00D308F4"/>
    <w:rsid w:val="00D3203C"/>
    <w:rsid w:val="00D33491"/>
    <w:rsid w:val="00D3442D"/>
    <w:rsid w:val="00D36F00"/>
    <w:rsid w:val="00D40EF2"/>
    <w:rsid w:val="00D43C52"/>
    <w:rsid w:val="00D44B67"/>
    <w:rsid w:val="00D44F8E"/>
    <w:rsid w:val="00D51FD5"/>
    <w:rsid w:val="00D55DE0"/>
    <w:rsid w:val="00D607EF"/>
    <w:rsid w:val="00D60F88"/>
    <w:rsid w:val="00D646BD"/>
    <w:rsid w:val="00D64C71"/>
    <w:rsid w:val="00D65435"/>
    <w:rsid w:val="00D65558"/>
    <w:rsid w:val="00D71201"/>
    <w:rsid w:val="00D720C7"/>
    <w:rsid w:val="00D84841"/>
    <w:rsid w:val="00D876E6"/>
    <w:rsid w:val="00D90958"/>
    <w:rsid w:val="00D93F91"/>
    <w:rsid w:val="00DA1025"/>
    <w:rsid w:val="00DA22EC"/>
    <w:rsid w:val="00DA5682"/>
    <w:rsid w:val="00DA5860"/>
    <w:rsid w:val="00DA5C0C"/>
    <w:rsid w:val="00DB2767"/>
    <w:rsid w:val="00DB29C1"/>
    <w:rsid w:val="00DB6589"/>
    <w:rsid w:val="00DC1B10"/>
    <w:rsid w:val="00DC2924"/>
    <w:rsid w:val="00DC4729"/>
    <w:rsid w:val="00DC6DAD"/>
    <w:rsid w:val="00DD31C5"/>
    <w:rsid w:val="00DD5020"/>
    <w:rsid w:val="00DD63BE"/>
    <w:rsid w:val="00DE4296"/>
    <w:rsid w:val="00DF10BB"/>
    <w:rsid w:val="00DF2469"/>
    <w:rsid w:val="00DF7899"/>
    <w:rsid w:val="00E00E99"/>
    <w:rsid w:val="00E0524C"/>
    <w:rsid w:val="00E15751"/>
    <w:rsid w:val="00E17160"/>
    <w:rsid w:val="00E17D41"/>
    <w:rsid w:val="00E231D1"/>
    <w:rsid w:val="00E3288D"/>
    <w:rsid w:val="00E35112"/>
    <w:rsid w:val="00E35BEC"/>
    <w:rsid w:val="00E418B6"/>
    <w:rsid w:val="00E41A6A"/>
    <w:rsid w:val="00E45D2F"/>
    <w:rsid w:val="00E50821"/>
    <w:rsid w:val="00E51F91"/>
    <w:rsid w:val="00E54931"/>
    <w:rsid w:val="00E5498A"/>
    <w:rsid w:val="00E559CE"/>
    <w:rsid w:val="00E60F42"/>
    <w:rsid w:val="00E65DA1"/>
    <w:rsid w:val="00E66650"/>
    <w:rsid w:val="00E6746C"/>
    <w:rsid w:val="00E7086E"/>
    <w:rsid w:val="00E71248"/>
    <w:rsid w:val="00E73C41"/>
    <w:rsid w:val="00E7550F"/>
    <w:rsid w:val="00E75911"/>
    <w:rsid w:val="00E7598F"/>
    <w:rsid w:val="00E76673"/>
    <w:rsid w:val="00E76F60"/>
    <w:rsid w:val="00E812B5"/>
    <w:rsid w:val="00E828EA"/>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5E9"/>
    <w:rsid w:val="00EB695F"/>
    <w:rsid w:val="00EC3A85"/>
    <w:rsid w:val="00EC4B89"/>
    <w:rsid w:val="00EC59A5"/>
    <w:rsid w:val="00EC6E15"/>
    <w:rsid w:val="00ED1B30"/>
    <w:rsid w:val="00ED340D"/>
    <w:rsid w:val="00ED5D03"/>
    <w:rsid w:val="00EE01ED"/>
    <w:rsid w:val="00EE1AC1"/>
    <w:rsid w:val="00EE39D6"/>
    <w:rsid w:val="00EE52AD"/>
    <w:rsid w:val="00EE5BC3"/>
    <w:rsid w:val="00EE62F0"/>
    <w:rsid w:val="00EE6FAB"/>
    <w:rsid w:val="00EF00A7"/>
    <w:rsid w:val="00EF328C"/>
    <w:rsid w:val="00EF56FA"/>
    <w:rsid w:val="00EF68BB"/>
    <w:rsid w:val="00F015BE"/>
    <w:rsid w:val="00F01F92"/>
    <w:rsid w:val="00F030D4"/>
    <w:rsid w:val="00F04053"/>
    <w:rsid w:val="00F06573"/>
    <w:rsid w:val="00F10A08"/>
    <w:rsid w:val="00F12F9C"/>
    <w:rsid w:val="00F15354"/>
    <w:rsid w:val="00F16F0B"/>
    <w:rsid w:val="00F22AC5"/>
    <w:rsid w:val="00F254D1"/>
    <w:rsid w:val="00F32B82"/>
    <w:rsid w:val="00F34C86"/>
    <w:rsid w:val="00F4043E"/>
    <w:rsid w:val="00F414DF"/>
    <w:rsid w:val="00F41795"/>
    <w:rsid w:val="00F41BBC"/>
    <w:rsid w:val="00F44088"/>
    <w:rsid w:val="00F444F0"/>
    <w:rsid w:val="00F446FF"/>
    <w:rsid w:val="00F45521"/>
    <w:rsid w:val="00F50847"/>
    <w:rsid w:val="00F53F27"/>
    <w:rsid w:val="00F546D1"/>
    <w:rsid w:val="00F60281"/>
    <w:rsid w:val="00F66272"/>
    <w:rsid w:val="00F709C0"/>
    <w:rsid w:val="00F77E40"/>
    <w:rsid w:val="00F81FEC"/>
    <w:rsid w:val="00F828F8"/>
    <w:rsid w:val="00F927A1"/>
    <w:rsid w:val="00F92E4D"/>
    <w:rsid w:val="00F93748"/>
    <w:rsid w:val="00F95D08"/>
    <w:rsid w:val="00FA0497"/>
    <w:rsid w:val="00FA1743"/>
    <w:rsid w:val="00FA23BD"/>
    <w:rsid w:val="00FA3764"/>
    <w:rsid w:val="00FA41C7"/>
    <w:rsid w:val="00FA4A79"/>
    <w:rsid w:val="00FA56ED"/>
    <w:rsid w:val="00FB05DD"/>
    <w:rsid w:val="00FB0F7C"/>
    <w:rsid w:val="00FB24EA"/>
    <w:rsid w:val="00FB372E"/>
    <w:rsid w:val="00FB5FA6"/>
    <w:rsid w:val="00FC0334"/>
    <w:rsid w:val="00FC1310"/>
    <w:rsid w:val="00FC2FF3"/>
    <w:rsid w:val="00FC3263"/>
    <w:rsid w:val="00FC51F9"/>
    <w:rsid w:val="00FC5B40"/>
    <w:rsid w:val="00FC5FF8"/>
    <w:rsid w:val="00FD1623"/>
    <w:rsid w:val="00FD26ED"/>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atie.andrews1@conwy.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19355@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1354</TotalTime>
  <Pages>5</Pages>
  <Words>1117</Words>
  <Characters>6370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Andrews</cp:lastModifiedBy>
  <cp:revision>270</cp:revision>
  <cp:lastPrinted>2020-02-11T19:20:00Z</cp:lastPrinted>
  <dcterms:created xsi:type="dcterms:W3CDTF">2023-07-22T18:27:00Z</dcterms:created>
  <dcterms:modified xsi:type="dcterms:W3CDTF">2023-10-21T10:12:00Z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