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4643DC">
            <w:pPr>
              <w:spacing w:line="360" w:lineRule="auto"/>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rsidP="004643DC">
            <w:pPr>
              <w:spacing w:line="360" w:lineRule="auto"/>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4643DC">
            <w:pPr>
              <w:spacing w:line="360" w:lineRule="auto"/>
              <w:jc w:val="both"/>
              <w:rPr>
                <w:sz w:val="24"/>
                <w:szCs w:val="24"/>
              </w:rPr>
            </w:pPr>
          </w:p>
          <w:p w14:paraId="20A5906F" w14:textId="77777777" w:rsidR="008D5999" w:rsidRDefault="008D5999" w:rsidP="004643DC">
            <w:pPr>
              <w:spacing w:line="360" w:lineRule="auto"/>
              <w:jc w:val="both"/>
              <w:rPr>
                <w:sz w:val="24"/>
                <w:szCs w:val="24"/>
              </w:rPr>
            </w:pPr>
          </w:p>
          <w:p w14:paraId="51AF4546" w14:textId="476CB9AF" w:rsidR="00D3203C" w:rsidRDefault="00045C40" w:rsidP="004643DC">
            <w:pPr>
              <w:spacing w:line="360" w:lineRule="auto"/>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4643DC">
            <w:pPr>
              <w:spacing w:line="360" w:lineRule="auto"/>
              <w:jc w:val="both"/>
              <w:rPr>
                <w:i/>
                <w:sz w:val="24"/>
                <w:szCs w:val="24"/>
              </w:rPr>
            </w:pPr>
          </w:p>
          <w:p w14:paraId="1AADCFC2" w14:textId="77777777" w:rsidR="004643DC" w:rsidRPr="004643DC" w:rsidRDefault="004643DC" w:rsidP="004643DC">
            <w:pPr>
              <w:spacing w:line="360" w:lineRule="auto"/>
              <w:rPr>
                <w:sz w:val="24"/>
                <w:szCs w:val="24"/>
              </w:rPr>
            </w:pPr>
            <w:r w:rsidRPr="004643DC">
              <w:rPr>
                <w:sz w:val="24"/>
                <w:szCs w:val="24"/>
              </w:rPr>
              <w:t xml:space="preserve">This critically reflective case study is based on a Public Law Outline (PLO) assessment I completed with the family and other professionals while working as a newly qualified social worker in a care and support planning team in Wales. The assessment involved a child whose parents were experiencing several difficulties, including substance misuse, mental health concerns, a history of domestic abuse, limited engagement with services and instability in their daily lives. There were further concerns because the mother’s older children had previously been removed from her care in circumstances that reflected some of the current worries. Throughout this case study, I will critically reflect on how my understanding of relevant legislation, strategies, policies and procedures shaped my </w:t>
            </w:r>
            <w:r w:rsidRPr="004643DC">
              <w:rPr>
                <w:sz w:val="24"/>
                <w:szCs w:val="24"/>
              </w:rPr>
              <w:lastRenderedPageBreak/>
              <w:t>assessment, collaborative working and professional judgement within the Welsh safeguarding context.</w:t>
            </w:r>
          </w:p>
          <w:p w14:paraId="1907F762" w14:textId="77777777" w:rsidR="004643DC" w:rsidRPr="004643DC" w:rsidRDefault="004643DC" w:rsidP="004643DC">
            <w:pPr>
              <w:spacing w:line="360" w:lineRule="auto"/>
              <w:rPr>
                <w:sz w:val="24"/>
                <w:szCs w:val="24"/>
              </w:rPr>
            </w:pPr>
            <w:r w:rsidRPr="004643DC">
              <w:rPr>
                <w:sz w:val="24"/>
                <w:szCs w:val="24"/>
              </w:rPr>
              <w:t>I will use Kolb’s Experiential Learning Cycle (1984) to reflect critically on what happened, how I responded, what I learned through theory and supervision, and what I would approach differently in future. I will consider how I brought the available information together to develop my analysis, worked with the family and professionals, and applied my judgement as the situation grew more complex. I will also draw on systems theory and attachment theory to understand how the family’s experiences and relationships influenced the child’s safety, emotional well-being and need for consistent care.</w:t>
            </w:r>
          </w:p>
          <w:p w14:paraId="61AA1D07" w14:textId="77777777" w:rsidR="004643DC" w:rsidRPr="004643DC" w:rsidRDefault="004643DC" w:rsidP="004643DC">
            <w:pPr>
              <w:spacing w:line="360" w:lineRule="auto"/>
              <w:rPr>
                <w:sz w:val="24"/>
                <w:szCs w:val="24"/>
              </w:rPr>
            </w:pPr>
            <w:r w:rsidRPr="004643DC">
              <w:rPr>
                <w:sz w:val="24"/>
                <w:szCs w:val="24"/>
              </w:rPr>
              <w:t xml:space="preserve">I will also reflect on how working in Wales shaped the support I offered this family. My practice was guided by the Social Services and Well-being (Wales) Act 2014, the Wales Safeguarding Procedures (Wales Safeguarding Procedures Project Board, 2019) and the Code of Professional Practice for Social Care Workers (Social Care Wales, 2026). As 3 attended a Welsh-medium school, I asked both parents which language they preferred rather than assuming they spoke Welsh. In keeping with </w:t>
            </w:r>
            <w:r w:rsidRPr="004643DC">
              <w:rPr>
                <w:iCs/>
                <w:sz w:val="24"/>
                <w:szCs w:val="24"/>
              </w:rPr>
              <w:t xml:space="preserve">the </w:t>
            </w:r>
            <w:r w:rsidRPr="004643DC">
              <w:rPr>
                <w:sz w:val="24"/>
                <w:szCs w:val="24"/>
              </w:rPr>
              <w:t xml:space="preserve">Active Offer </w:t>
            </w:r>
            <w:r w:rsidRPr="004643DC">
              <w:rPr>
                <w:iCs/>
                <w:sz w:val="24"/>
                <w:szCs w:val="24"/>
              </w:rPr>
              <w:t xml:space="preserve">and the </w:t>
            </w:r>
            <w:r w:rsidRPr="004643DC">
              <w:rPr>
                <w:i/>
                <w:sz w:val="24"/>
                <w:szCs w:val="24"/>
              </w:rPr>
              <w:t>More than Just Words</w:t>
            </w:r>
            <w:r w:rsidRPr="004643DC">
              <w:rPr>
                <w:iCs/>
                <w:sz w:val="24"/>
                <w:szCs w:val="24"/>
              </w:rPr>
              <w:t xml:space="preserve"> </w:t>
            </w:r>
            <w:r w:rsidRPr="004643DC">
              <w:rPr>
                <w:sz w:val="24"/>
                <w:szCs w:val="24"/>
              </w:rPr>
              <w:t>plan, I offered to complete the assessment in Welsh (Welsh Government, 2022b). Both parents chose English. Respecting their choice helped them understand and participate</w:t>
            </w:r>
            <w:r w:rsidRPr="004643DC">
              <w:rPr>
                <w:iCs/>
                <w:sz w:val="24"/>
                <w:szCs w:val="24"/>
              </w:rPr>
              <w:t xml:space="preserve"> in </w:t>
            </w:r>
            <w:r w:rsidRPr="004643DC">
              <w:rPr>
                <w:sz w:val="24"/>
                <w:szCs w:val="24"/>
              </w:rPr>
              <w:t>the assessment.</w:t>
            </w:r>
          </w:p>
          <w:p w14:paraId="562878BF" w14:textId="77777777" w:rsidR="004643DC" w:rsidRPr="004643DC" w:rsidRDefault="004643DC" w:rsidP="004643DC">
            <w:pPr>
              <w:spacing w:line="360" w:lineRule="auto"/>
              <w:rPr>
                <w:sz w:val="24"/>
                <w:szCs w:val="24"/>
              </w:rPr>
            </w:pPr>
            <w:r w:rsidRPr="004643DC">
              <w:rPr>
                <w:sz w:val="24"/>
                <w:szCs w:val="24"/>
              </w:rPr>
              <w:t xml:space="preserve">To maintain the family’s confidentiality, I use numbered identifiers throughout this case study. I refer to the six-year-old child as 3 and her parents as 1 and 2. 1 and 2 have had an on-and-off relationship for several years, and 3 is their only child together. Following a positive IFFCA, 3 is living with paternal family members, and this arrangement is progressing to a Form K assessment. Both parents also have older children from previous relationships. 2’s children live with their mother, while 1’s older children are adults and live independently. 1 and 2 have a history of substance misuse and continue to use crack cocaine, cannabis and pregabalin bought on the street. Both also have a history of mental health concerns. Professionals have been concerned about 1’s mental health for a long time, and it is currently low. More recently, 1 experienced a crisis involving a suspected overdose, which led to the emergency services being called to her home. 1 has experienced domestic abuse in several relationships and has previously been identified as both a victim and a perpetrator. 2 has a history of offending behaviour. Both parents had difficult </w:t>
            </w:r>
            <w:r w:rsidRPr="004643DC">
              <w:rPr>
                <w:sz w:val="24"/>
                <w:szCs w:val="24"/>
              </w:rPr>
              <w:lastRenderedPageBreak/>
              <w:t>childhood experiences, which may have influenced their current circumstances and how they respond to challenges. These experiences were especially significant for 1, who spent periods of her childhood in care.</w:t>
            </w:r>
          </w:p>
          <w:p w14:paraId="69AD241B" w14:textId="77777777" w:rsidR="004643DC" w:rsidRPr="004643DC" w:rsidRDefault="004643DC" w:rsidP="004643DC">
            <w:pPr>
              <w:spacing w:line="360" w:lineRule="auto"/>
              <w:rPr>
                <w:sz w:val="24"/>
                <w:szCs w:val="24"/>
              </w:rPr>
            </w:pPr>
            <w:r w:rsidRPr="004643DC">
              <w:rPr>
                <w:sz w:val="24"/>
                <w:szCs w:val="24"/>
              </w:rPr>
              <w:t>1 and 2 are both 48 years old and identify as White Welsh. The way I explored and respected their language preference reflected Section 1 of the Code of Professional Practice for Social Care Workers, as I recognised their identity, views and choices and supported them to participate fully in the assessment (Social Care Wales, 2026).</w:t>
            </w:r>
          </w:p>
          <w:p w14:paraId="324F0F27" w14:textId="77777777" w:rsidR="004643DC" w:rsidRPr="004643DC" w:rsidRDefault="004643DC" w:rsidP="004643DC">
            <w:pPr>
              <w:spacing w:line="360" w:lineRule="auto"/>
              <w:rPr>
                <w:sz w:val="24"/>
                <w:szCs w:val="24"/>
              </w:rPr>
            </w:pPr>
            <w:r w:rsidRPr="004643DC">
              <w:rPr>
                <w:sz w:val="24"/>
                <w:szCs w:val="24"/>
              </w:rPr>
              <w:t xml:space="preserve">In Wales, my safeguarding practice is guided by the Social Services and Well-being (Wales) Act 2014, the Wales Safeguarding Procedures and wider UK and international law. Part 7 of the 2014 Act sets out the duties for responding to a child at risk. It works alongside section 47 of the Children Act 1989, which provides the legal basis for enquiries where there is reasonable cause to suspect significant harm. Multi-agency strategy discussions allow social services, the police, health, education and other agencies to share information, understand the child’s lived experience and agree what action is needed (Welsh Government, 2019; Wales Safeguarding Procedures Project Board, 2019). Care Inspectorate Wales independently regulates and inspects social care and childcare services and can require improvements when concerns about quality or safety are identified (Care Inspectorate Wales, n.d.). Its </w:t>
            </w:r>
            <w:r w:rsidRPr="004643DC">
              <w:rPr>
                <w:i/>
                <w:sz w:val="24"/>
                <w:szCs w:val="24"/>
              </w:rPr>
              <w:t>Rapid Review of Child Protection Arrangements</w:t>
            </w:r>
            <w:r w:rsidRPr="004643DC">
              <w:rPr>
                <w:sz w:val="24"/>
                <w:szCs w:val="24"/>
              </w:rPr>
              <w:t xml:space="preserve"> highlighted positive practice but also found inconsistencies in thresholds, information sharing and how children’s voices informed decisions (Care Inspectorate Wales, 2023). This reminded me that following procedures is not enough; professional curiosity and clear analysis are needed to understand the child’s daily experience. The rights framework also extends across national boundaries. Within the UK, the Children Act 1989 applies in Wales and England, while Welsh legislation sets out the duties and approach followed by social services in Wales. The UNCRC places 3’s best interests and right to be heard at the centre of practice, and the Rights of Children and Young Persons (Wales) Measure 2011 strengthens this commitment in Wales (United Nations, 1989). Although this case had no international element, families may move between Wales, other parts of the UK, EU countries and countries outside the EU. If 3 had moved across a border, I would have needed to establish which authority and court held responsibility, seek legal advice and work with the relevant agencies before making decisions about her care. The 1996 Hague </w:t>
            </w:r>
            <w:r w:rsidRPr="004643DC">
              <w:rPr>
                <w:sz w:val="24"/>
                <w:szCs w:val="24"/>
              </w:rPr>
              <w:lastRenderedPageBreak/>
              <w:t xml:space="preserve">Convention supports cooperation, information exchange and recognition of protective measures across contracting states. Welsh Government guidance confirms that these arrangements are not limited to the EU, so leaving the EU did not remove the need for cross-border safeguarding cooperation (Welsh Government, 2022a). </w:t>
            </w:r>
          </w:p>
          <w:p w14:paraId="1E0521DD" w14:textId="77777777" w:rsidR="004643DC" w:rsidRPr="004643DC" w:rsidRDefault="004643DC" w:rsidP="004643DC">
            <w:pPr>
              <w:spacing w:line="360" w:lineRule="auto"/>
              <w:rPr>
                <w:sz w:val="24"/>
                <w:szCs w:val="24"/>
              </w:rPr>
            </w:pPr>
            <w:r w:rsidRPr="004643DC">
              <w:rPr>
                <w:sz w:val="24"/>
                <w:szCs w:val="24"/>
              </w:rPr>
              <w:t>My local authority has a dedicated ‘front door’ team that receives and screens safeguarding referrals about children. The team reviews the information provided, contacts the family and decides what response is needed based on the level of need and risk. The assessment is proportionate to the child’s circumstances and may include a home visit, direct work with the child, discussions with the family’s support network, checks with relevant agencies and a family network meeting. This helps the social worker develop a fuller picture of the child’s wishes, feelings and lived experience, alongside the views of the family and professionals involved. This reflects the Part 3 Code of Practice, which requires assessments to focus on what matters to the person, their strengths and the outcomes they want to achieve (Welsh Government, 2015). The worker then considers the information with multi-agency colleagues and uses professional judgement to agree the next steps. Depending on the concerns, this may include Early Help, further assessment by children’s services or section 47 enquiries, which may lead to a child protection plan. Parents or carers are told about the referral, and consent for multi-agency checks is sought where this is appropriate and safe. However, the UK General Data Protection Regulation and the Data Protection Act 2018 allow information to be shared without consent where there is a lawful safeguarding reason and withholding it could place a child at risk. Information shared should be necessary, relevant, proportionate and secure, with the reason for the decision clearly recorded (Information Commissioner’s Office, n.d.). Where appropriate, the team also responds to information requests from Cafcass Cymru, probation services, the police, health services and other local authorities, including requests linked to private family law proceedings.</w:t>
            </w:r>
          </w:p>
          <w:p w14:paraId="45F0D4D4" w14:textId="77777777" w:rsidR="004643DC" w:rsidRPr="004643DC" w:rsidRDefault="004643DC" w:rsidP="004643DC">
            <w:pPr>
              <w:spacing w:line="360" w:lineRule="auto"/>
              <w:rPr>
                <w:sz w:val="24"/>
                <w:szCs w:val="24"/>
              </w:rPr>
            </w:pPr>
            <w:r w:rsidRPr="004643DC">
              <w:rPr>
                <w:sz w:val="24"/>
                <w:szCs w:val="24"/>
              </w:rPr>
              <w:t xml:space="preserve">In 3’s case, the first referral came from a maternal family member who described an unsafe and unclean home, unfamiliar adults visiting, shouting and arguments, and irregular school attendance. Several public protection notices relating to domestic abuse between 1 and 2, along with a referral from the school, added to the concerns. Taken together, this information pointed to cumulative harm rather than one isolated incident. Under Part 7 of the Social Services and Well-being (Wales) Act 2014 and section 47 of the Children Act 1989, </w:t>
            </w:r>
            <w:r w:rsidRPr="004643DC">
              <w:rPr>
                <w:sz w:val="24"/>
                <w:szCs w:val="24"/>
              </w:rPr>
              <w:lastRenderedPageBreak/>
              <w:t xml:space="preserve">information was gathered from the family, school, police and existing records to understand 3’s lived experience and decide what action was needed (Wales Safeguarding Procedures Project Board, 2019). I used the chronology, direct work, assessment sessions, agency information and case records to identify patterns, check whether accounts were consistent and separate fact from professional opinion. I recorded the source of information, the reasons behind decisions and any gaps that still needed to be explored. This made the analysis clearer and provided an evidence trail for later meetings and legal planning. Poor or unclear recording could have meant that patterns were missed, weakened the risk analysis and affected decisions made during safeguarding meetings or court proceedings. Direct work with 3 was important because the assessment needed to reflect her experience, not only the adults’ accounts. I considered what she communicated about home, school and living with paternal family, alongside observations and information from people who knew her. Her views were considered in a way that reflected her age and understanding. This supported an outcome-focused assessment by identifying what mattered to 3: feeling safe, attending school consistently, receiving predictable care and maintaining important family relationships where these were safe. Article 12 of the UNCRC recognises a child’s right to have their views </w:t>
            </w:r>
            <w:proofErr w:type="gramStart"/>
            <w:r w:rsidRPr="004643DC">
              <w:rPr>
                <w:sz w:val="24"/>
                <w:szCs w:val="24"/>
              </w:rPr>
              <w:t>taken into account</w:t>
            </w:r>
            <w:proofErr w:type="gramEnd"/>
            <w:r w:rsidRPr="004643DC">
              <w:rPr>
                <w:sz w:val="24"/>
                <w:szCs w:val="24"/>
              </w:rPr>
              <w:t xml:space="preserve">, while the Part 3 Code of Practice requires assessments to consider personal outcomes, strengths and well-being (United Nations, 1989; Welsh Government, 2015). The information showed that 3 was experiencing significant harm, and she remained with paternal family members while ‘what matters’ conversations were completed with 1 and 2. Both parents showed limited insight and minimised the impact of the concerns on 3. An initial strategy discussion with the police considered the immediate and cumulative risks, applied the legal threshold and agreed a proportionate response. Munro (2011) argues that effective child protection relies on professional judgement that keeps the child’s experience central rather than depending on procedure alone. In this case, the pattern of concerns, 3’s lived experience and the parents’ limited insight supported the judgement that the significant-harm threshold had been met. An initial child protection conference was held within 15 working days and agreed that 3 should be placed on the </w:t>
            </w:r>
            <w:r w:rsidRPr="004643DC">
              <w:rPr>
                <w:color w:val="000000" w:themeColor="text1"/>
                <w:sz w:val="24"/>
                <w:szCs w:val="24"/>
              </w:rPr>
              <w:t xml:space="preserve">Child Protection Register under </w:t>
            </w:r>
            <w:r w:rsidRPr="004643DC">
              <w:rPr>
                <w:sz w:val="24"/>
                <w:szCs w:val="24"/>
              </w:rPr>
              <w:t xml:space="preserve">the categories of </w:t>
            </w:r>
            <w:r w:rsidRPr="004643DC">
              <w:rPr>
                <w:color w:val="000000" w:themeColor="text1"/>
                <w:sz w:val="24"/>
                <w:szCs w:val="24"/>
              </w:rPr>
              <w:t>neglect, physical abuse and emotional abuse</w:t>
            </w:r>
            <w:r w:rsidRPr="004643DC">
              <w:rPr>
                <w:sz w:val="24"/>
                <w:szCs w:val="24"/>
              </w:rPr>
              <w:t xml:space="preserve"> (Wales Safeguarding Procedures Project Board, 2019). </w:t>
            </w:r>
            <w:r w:rsidRPr="004643DC">
              <w:rPr>
                <w:color w:val="000000" w:themeColor="text1"/>
                <w:sz w:val="24"/>
                <w:szCs w:val="24"/>
              </w:rPr>
              <w:t xml:space="preserve">At </w:t>
            </w:r>
            <w:r w:rsidRPr="004643DC">
              <w:rPr>
                <w:sz w:val="24"/>
                <w:szCs w:val="24"/>
              </w:rPr>
              <w:t xml:space="preserve">the </w:t>
            </w:r>
            <w:r w:rsidRPr="004643DC">
              <w:rPr>
                <w:color w:val="000000" w:themeColor="text1"/>
                <w:sz w:val="24"/>
                <w:szCs w:val="24"/>
              </w:rPr>
              <w:t>review</w:t>
            </w:r>
            <w:r w:rsidRPr="004643DC">
              <w:rPr>
                <w:sz w:val="24"/>
                <w:szCs w:val="24"/>
              </w:rPr>
              <w:t xml:space="preserve"> child protection conference,</w:t>
            </w:r>
            <w:r w:rsidRPr="004643DC">
              <w:rPr>
                <w:color w:val="000000" w:themeColor="text1"/>
                <w:sz w:val="24"/>
                <w:szCs w:val="24"/>
              </w:rPr>
              <w:t xml:space="preserve"> professionals </w:t>
            </w:r>
            <w:r w:rsidRPr="004643DC">
              <w:rPr>
                <w:sz w:val="24"/>
                <w:szCs w:val="24"/>
              </w:rPr>
              <w:t xml:space="preserve">agreed </w:t>
            </w:r>
            <w:r w:rsidRPr="004643DC">
              <w:rPr>
                <w:color w:val="000000" w:themeColor="text1"/>
                <w:sz w:val="24"/>
                <w:szCs w:val="24"/>
              </w:rPr>
              <w:t xml:space="preserve">that little </w:t>
            </w:r>
            <w:r w:rsidRPr="004643DC">
              <w:rPr>
                <w:sz w:val="24"/>
                <w:szCs w:val="24"/>
              </w:rPr>
              <w:t>progress had been made and</w:t>
            </w:r>
            <w:r w:rsidRPr="004643DC">
              <w:rPr>
                <w:color w:val="000000" w:themeColor="text1"/>
                <w:sz w:val="24"/>
                <w:szCs w:val="24"/>
              </w:rPr>
              <w:t xml:space="preserve"> </w:t>
            </w:r>
            <w:r w:rsidRPr="004643DC">
              <w:rPr>
                <w:sz w:val="24"/>
                <w:szCs w:val="24"/>
              </w:rPr>
              <w:t xml:space="preserve">that the same </w:t>
            </w:r>
            <w:r w:rsidRPr="004643DC">
              <w:rPr>
                <w:sz w:val="24"/>
                <w:szCs w:val="24"/>
              </w:rPr>
              <w:lastRenderedPageBreak/>
              <w:t xml:space="preserve">concerns remained. The case progressed through a legal gateway meeting to the PLO process. </w:t>
            </w:r>
            <w:r w:rsidRPr="004643DC">
              <w:rPr>
                <w:color w:val="000000" w:themeColor="text1"/>
                <w:sz w:val="24"/>
                <w:szCs w:val="24"/>
              </w:rPr>
              <w:t xml:space="preserve">I </w:t>
            </w:r>
            <w:r w:rsidRPr="004643DC">
              <w:rPr>
                <w:sz w:val="24"/>
                <w:szCs w:val="24"/>
              </w:rPr>
              <w:t xml:space="preserve">became </w:t>
            </w:r>
            <w:r w:rsidRPr="004643DC">
              <w:rPr>
                <w:color w:val="000000" w:themeColor="text1"/>
                <w:sz w:val="24"/>
                <w:szCs w:val="24"/>
              </w:rPr>
              <w:t xml:space="preserve">the second social worker </w:t>
            </w:r>
            <w:r w:rsidRPr="004643DC">
              <w:rPr>
                <w:sz w:val="24"/>
                <w:szCs w:val="24"/>
              </w:rPr>
              <w:t>after</w:t>
            </w:r>
            <w:r w:rsidRPr="004643DC">
              <w:rPr>
                <w:color w:val="000000" w:themeColor="text1"/>
                <w:sz w:val="24"/>
                <w:szCs w:val="24"/>
              </w:rPr>
              <w:t xml:space="preserve"> the previous worker left</w:t>
            </w:r>
            <w:r w:rsidRPr="004643DC">
              <w:rPr>
                <w:sz w:val="24"/>
                <w:szCs w:val="24"/>
              </w:rPr>
              <w:t>, when the PLO period was close to ending. I felt anxious and under pressure because I needed to understand the history, build relationships and complete the assessment fairly. In supervision, my practice lead helped me review the previous records and separate what was already known from what still needed to be assessed. A follow-up legal gateway meeting agreed an extension. I felt reassured because this gave me time for further sessions and allowed me to make a recommendation based on enough evidence rather than reaching a rushed conclusion.</w:t>
            </w:r>
          </w:p>
          <w:p w14:paraId="4321B609" w14:textId="77777777" w:rsidR="004643DC" w:rsidRPr="004643DC" w:rsidRDefault="004643DC" w:rsidP="004643DC">
            <w:pPr>
              <w:spacing w:line="360" w:lineRule="auto"/>
              <w:rPr>
                <w:sz w:val="24"/>
                <w:szCs w:val="24"/>
              </w:rPr>
            </w:pPr>
            <w:r w:rsidRPr="004643DC">
              <w:rPr>
                <w:sz w:val="24"/>
                <w:szCs w:val="24"/>
              </w:rPr>
              <w:t>A key part of my analysis was deciding how much weight to give each piece of information. Some concerns came from direct observations, while others were reported by family members or professionals. I needed to avoid accepting information without question, while also recognising when different sources were describing a similar pattern. The public protection notices, school information, home conditions and the parents’ own accounts did not provide a complete picture individually. Considered together, however, they showed how domestic abuse, substance use, poor school attendance and instability were affecting 3 over time. I discussed uncertainties in supervision and recorded where information had been confirmed, where accounts differed and what further enquiries were needed. This helped me avoid assumptions and made my recommendation easier to explain. I also considered the parents’ strengths. They attended some sessions, spoke about their experiences and agreed to 3 staying with paternal family members. These were important factors, but they needed to be balanced against the continuing risks and limited evidence of sustained change. I found this difficult because I wanted to recognise their efforts without minimising 3’s experience. The assessment therefore focused on whether change was happening quickly and consistently enough to meet 3’s timescale, rather than whether 1 and 2 cared about her. This helped me remain respectful while being clear that love alone could not provide the safety and stability she needed. It also strengthened my understanding that analysis is more than a list of concerns. It means explaining how the evidence connects, what it means for the child and why a particular intervention is justified.</w:t>
            </w:r>
          </w:p>
          <w:p w14:paraId="7F515C1F" w14:textId="77777777" w:rsidR="004643DC" w:rsidRPr="004643DC" w:rsidRDefault="004643DC" w:rsidP="004643DC">
            <w:pPr>
              <w:spacing w:line="360" w:lineRule="auto"/>
              <w:rPr>
                <w:sz w:val="24"/>
                <w:szCs w:val="24"/>
              </w:rPr>
            </w:pPr>
            <w:r w:rsidRPr="004643DC">
              <w:rPr>
                <w:sz w:val="24"/>
                <w:szCs w:val="24"/>
              </w:rPr>
              <w:t xml:space="preserve">Looking back, the extension helped me recognise that I work better when clear timescales and a structured plan are in place. I protected time in my calendar to prepare for </w:t>
            </w:r>
            <w:r w:rsidRPr="004643DC">
              <w:rPr>
                <w:sz w:val="24"/>
                <w:szCs w:val="24"/>
              </w:rPr>
              <w:lastRenderedPageBreak/>
              <w:t>assessment sessions, update the chronology, analyse the evidence and complete recording. In future PLO work, I will do this from the beginning and use supervision to review progress and challenge my thinking. As the second worker, I also felt worried about meeting 1 and 2 because they did not agree with the local authority’s concerns. A support worker who had known the family from the start introduced me and attended the sessions. This continuity helped both parents engage with a new social worker and supported 1 when discussing her childhood and domestic abuse. She did not want to repeat her story, so with her consent I used information she had already shared with the support worker and arranged sensitive discussions away from the family home. This reduced unnecessary repetition and helped me work in a trauma-informed and person-centred way. During one home session, 1 became verbally aggressive towards me and the support worker. We spoke calmly and asked her to stop, but the behaviour continued. We left to protect our safety and give 1 space. Later sessions took place at the office, where safety procedures and support were available. On reflection, this was a proportionate response because it allowed the assessment to continue while maintaining boundaries and reducing risk to everyone involved.</w:t>
            </w:r>
          </w:p>
          <w:p w14:paraId="6F47FDD5" w14:textId="77777777" w:rsidR="004643DC" w:rsidRPr="004643DC" w:rsidRDefault="004643DC" w:rsidP="004643DC">
            <w:pPr>
              <w:spacing w:line="360" w:lineRule="auto"/>
              <w:rPr>
                <w:sz w:val="24"/>
                <w:szCs w:val="24"/>
              </w:rPr>
            </w:pPr>
            <w:r w:rsidRPr="004643DC">
              <w:rPr>
                <w:sz w:val="24"/>
                <w:szCs w:val="24"/>
              </w:rPr>
              <w:t>The home visit made me think more carefully about how my emotions and professional authority could affect the assessment. I felt unsettled and worried that changing the location of future sessions could damage my relationship with 1. In supervision, I reflected on the difference between showing empathy and accepting behaviour that placed workers at risk. I came to understand that maintaining boundaries was not punitive and allowed the work to continue safely. Before the next session, I explained why the venue had changed and what support would be available so that 1 understood the decision. Her experiences of care, domestic abuse and professional involvement may have shaped her response to difficult questions. Fear about proceedings, the change of social worker and the power I held within the assessment may also have affected how able she felt to disagree or participate openly. This did not excuse the aggression, but it helped me approach later conversations with curiosity rather than judgement. I prepared topics in advance, agreed breaks, checked her understanding and made space for her views. This showed me that trauma-informed practice needs empathy, boundaries and awareness of power, and that supervision helped me manage my anxiety without avoiding or rushing difficult issues.</w:t>
            </w:r>
          </w:p>
          <w:p w14:paraId="37E1B5DD" w14:textId="77777777" w:rsidR="004643DC" w:rsidRPr="004643DC" w:rsidRDefault="004643DC" w:rsidP="004643DC">
            <w:pPr>
              <w:spacing w:line="360" w:lineRule="auto"/>
              <w:rPr>
                <w:sz w:val="24"/>
                <w:szCs w:val="24"/>
              </w:rPr>
            </w:pPr>
            <w:r w:rsidRPr="004643DC">
              <w:rPr>
                <w:sz w:val="24"/>
                <w:szCs w:val="24"/>
              </w:rPr>
              <w:lastRenderedPageBreak/>
              <w:t xml:space="preserve">Throughout the assessment, I worked in line with the BASW Code of Ethics </w:t>
            </w:r>
            <w:r w:rsidRPr="004643DC">
              <w:rPr>
                <w:iCs/>
                <w:sz w:val="24"/>
                <w:szCs w:val="24"/>
              </w:rPr>
              <w:t xml:space="preserve">(British Association of Social Workers, </w:t>
            </w:r>
            <w:r w:rsidRPr="004643DC">
              <w:rPr>
                <w:sz w:val="24"/>
                <w:szCs w:val="24"/>
              </w:rPr>
              <w:t>2021</w:t>
            </w:r>
            <w:r w:rsidRPr="004643DC">
              <w:rPr>
                <w:iCs/>
                <w:sz w:val="24"/>
                <w:szCs w:val="24"/>
              </w:rPr>
              <w:t>)</w:t>
            </w:r>
            <w:r w:rsidRPr="004643DC">
              <w:rPr>
                <w:sz w:val="24"/>
                <w:szCs w:val="24"/>
              </w:rPr>
              <w:t xml:space="preserve"> and the </w:t>
            </w:r>
            <w:r w:rsidRPr="004643DC">
              <w:rPr>
                <w:iCs/>
                <w:sz w:val="24"/>
                <w:szCs w:val="24"/>
              </w:rPr>
              <w:t xml:space="preserve">Code of Professional Practice </w:t>
            </w:r>
            <w:r w:rsidRPr="004643DC">
              <w:rPr>
                <w:sz w:val="24"/>
                <w:szCs w:val="24"/>
              </w:rPr>
              <w:t xml:space="preserve">for Social Care Workers </w:t>
            </w:r>
            <w:r w:rsidRPr="004643DC">
              <w:rPr>
                <w:iCs/>
                <w:sz w:val="24"/>
                <w:szCs w:val="24"/>
              </w:rPr>
              <w:t xml:space="preserve">(Social Care Wales, </w:t>
            </w:r>
            <w:r w:rsidRPr="004643DC">
              <w:rPr>
                <w:sz w:val="24"/>
                <w:szCs w:val="24"/>
              </w:rPr>
              <w:t>2026</w:t>
            </w:r>
            <w:r w:rsidRPr="004643DC">
              <w:rPr>
                <w:iCs/>
                <w:sz w:val="24"/>
                <w:szCs w:val="24"/>
              </w:rPr>
              <w:t xml:space="preserve">). I listened to </w:t>
            </w:r>
            <w:r w:rsidRPr="004643DC">
              <w:rPr>
                <w:sz w:val="24"/>
                <w:szCs w:val="24"/>
              </w:rPr>
              <w:t>1 and 2 and treated them respectfully while</w:t>
            </w:r>
            <w:r w:rsidRPr="004643DC">
              <w:rPr>
                <w:iCs/>
                <w:sz w:val="24"/>
                <w:szCs w:val="24"/>
              </w:rPr>
              <w:t xml:space="preserve"> remaining honest about the concerns </w:t>
            </w:r>
            <w:r w:rsidRPr="004643DC">
              <w:rPr>
                <w:sz w:val="24"/>
                <w:szCs w:val="24"/>
              </w:rPr>
              <w:t>for 3. I explained</w:t>
            </w:r>
            <w:r w:rsidRPr="004643DC">
              <w:rPr>
                <w:iCs/>
                <w:sz w:val="24"/>
                <w:szCs w:val="24"/>
              </w:rPr>
              <w:t xml:space="preserve"> </w:t>
            </w:r>
            <w:r w:rsidRPr="004643DC">
              <w:rPr>
                <w:sz w:val="24"/>
                <w:szCs w:val="24"/>
              </w:rPr>
              <w:t>the process, gave them enough</w:t>
            </w:r>
            <w:r w:rsidRPr="004643DC">
              <w:rPr>
                <w:iCs/>
                <w:sz w:val="24"/>
                <w:szCs w:val="24"/>
              </w:rPr>
              <w:t xml:space="preserve"> time</w:t>
            </w:r>
            <w:r w:rsidRPr="004643DC">
              <w:rPr>
                <w:sz w:val="24"/>
                <w:szCs w:val="24"/>
              </w:rPr>
              <w:t xml:space="preserve"> </w:t>
            </w:r>
            <w:r w:rsidRPr="004643DC">
              <w:rPr>
                <w:iCs/>
                <w:sz w:val="24"/>
                <w:szCs w:val="24"/>
              </w:rPr>
              <w:t xml:space="preserve">to </w:t>
            </w:r>
            <w:r w:rsidRPr="004643DC">
              <w:rPr>
                <w:sz w:val="24"/>
                <w:szCs w:val="24"/>
              </w:rPr>
              <w:t>speak, encouraged questions and followed up anything I could not answer at the time. I kept in contact with the professionals involved, and core groups were held every four to six weeks to review progress, share information and agree what needed to happen next (Wales Safeguarding Procedures Project Board, 2019). Working with several agencies strengthened the assessment because it brought together different parts of 3’s lived experience. However, information was not always available at the same time, and the change of social worker meant the family had to adjust to a new professional. I learned that collaborative working involves more than requesting updates; I needed to be clear about the information required, follow up gaps and make sure different professional views were accurately reflected in the analysis. Systems theory helped me recognise that the concerns could not be considered separately. Parental substance use, mental health, domestic abuse, school attendance, the family’s support network and professional involvement all affected one another (Bronfenbrenner, 1979). Looking at these links helped me understand how difficulties in the adults’ lives were shaping 3’s daily experience, while the paternal family placement and school provided important stability. It also showed why no single service could manage the risks alone and why coordinated multi-agency planning was necessary. Attachment theory helped me consider how conflict, inconsistent care and changes in where 3 lived may have affected her sense of safety and trust (Bowlby, 1969). I did not use theory to assume how 3 felt or label her attachment. Instead, it guided me to look carefully at her behaviour, relationships and need for predictable care. Maintaining the paternal family placement therefore provided continuity while the assessment considered whether 1 and 2 could make sustained changes. Using both theories strengthened my analysis by helping me consider the wider family system alongside 3’s individual need for safe and consistent caregiving.</w:t>
            </w:r>
          </w:p>
          <w:p w14:paraId="690A9EE6" w14:textId="77777777" w:rsidR="004643DC" w:rsidRPr="004643DC" w:rsidRDefault="004643DC" w:rsidP="004643DC">
            <w:pPr>
              <w:spacing w:line="360" w:lineRule="auto"/>
              <w:rPr>
                <w:sz w:val="24"/>
                <w:szCs w:val="24"/>
              </w:rPr>
            </w:pPr>
            <w:r w:rsidRPr="004643DC">
              <w:rPr>
                <w:sz w:val="24"/>
                <w:szCs w:val="24"/>
              </w:rPr>
              <w:t xml:space="preserve">I also needed to be aware of the limits of the theories I used. Systems theory helped me understand the links between family relationships, services and wider pressures, but the analysis could have become too broad if it was not kept closely connected to 3’s day-to-day </w:t>
            </w:r>
            <w:r w:rsidRPr="004643DC">
              <w:rPr>
                <w:sz w:val="24"/>
                <w:szCs w:val="24"/>
              </w:rPr>
              <w:lastRenderedPageBreak/>
              <w:t xml:space="preserve">experience. Attachment theory highlighted the importance of predictable care, but it could not explain 3’s presentation on its own and should not be used to make assumptions about the quality of her relationships. I therefore used theory as a way of asking questions and making sense of the evidence, rather than as proof of harm. I also challenged my initial concern that the parents’ hostility or inconsistent engagement might lead me to view </w:t>
            </w:r>
            <w:proofErr w:type="gramStart"/>
            <w:r w:rsidRPr="004643DC">
              <w:rPr>
                <w:sz w:val="24"/>
                <w:szCs w:val="24"/>
              </w:rPr>
              <w:t>all of</w:t>
            </w:r>
            <w:proofErr w:type="gramEnd"/>
            <w:r w:rsidRPr="004643DC">
              <w:rPr>
                <w:sz w:val="24"/>
                <w:szCs w:val="24"/>
              </w:rPr>
              <w:t xml:space="preserve"> their actions negatively. Supervision, direct work and evidence from several sources helped me separate their response to professional involvement from the different question of whether they could provide safe and consistent care within 3’s timescale.</w:t>
            </w:r>
          </w:p>
          <w:p w14:paraId="577EBF8F" w14:textId="77777777" w:rsidR="004643DC" w:rsidRPr="004643DC" w:rsidRDefault="004643DC" w:rsidP="004643DC">
            <w:pPr>
              <w:spacing w:line="360" w:lineRule="auto"/>
              <w:rPr>
                <w:sz w:val="24"/>
                <w:szCs w:val="24"/>
              </w:rPr>
            </w:pPr>
            <w:r w:rsidRPr="004643DC">
              <w:rPr>
                <w:sz w:val="24"/>
                <w:szCs w:val="24"/>
              </w:rPr>
              <w:t>Collaborative working mattered because each professional held a different part of the family’s story. School staff described 3’s attendance and presentation; police information provided evidence of domestic abuse incidents; and substance misuse and mental health services explained the support offered and the parents’ engagement. The support worker provided continuity and understood how 1 and 2 responded during assessment sessions. My role was to compare these views, identify gaps and bring them together into a clear analysis. Where updates recorded attendance without explaining any observed change, I asked for more detail. Where information focused mainly on the parents, I brought the discussion back to what it meant for 3. I was also aware that meetings, reports and legal language could feel overwhelming for 1 and 2. I therefore explained professional views in everyday language, separated observations from reported information and analysis, and gave both parents time to respond to the outcome. On reflection, a written plan from the outset, setting out the purpose of each session, outstanding evidence and timescales, may have reduced uncertainty. In future, I will agree a communication plan early, record differences of opinion and check that everyone understands the concerns and intended outcomes for 3.</w:t>
            </w:r>
          </w:p>
          <w:p w14:paraId="3487C145" w14:textId="77777777" w:rsidR="004643DC" w:rsidRPr="004643DC" w:rsidRDefault="004643DC" w:rsidP="004643DC">
            <w:pPr>
              <w:spacing w:line="360" w:lineRule="auto"/>
              <w:rPr>
                <w:sz w:val="24"/>
                <w:szCs w:val="24"/>
              </w:rPr>
            </w:pPr>
            <w:r w:rsidRPr="004643DC">
              <w:rPr>
                <w:sz w:val="24"/>
                <w:szCs w:val="24"/>
              </w:rPr>
              <w:t xml:space="preserve">During the PLO process, 1 and 2 were offered substance misuse services, healthy relationship work, parenting support, referrals to mental health services and advocacy. Their attendance was inconsistent, and they did not seem to recognise how the support could help them make and maintain changes. I was careful not to view non-attendance alone as evidence that they could not change. Instead, I considered it alongside the family history, ongoing concerns, their limited insight, information from other professionals and the impact on 3. I discussed the risks and protective factors with my practice lead to make sure my </w:t>
            </w:r>
            <w:r w:rsidRPr="004643DC">
              <w:rPr>
                <w:sz w:val="24"/>
                <w:szCs w:val="24"/>
              </w:rPr>
              <w:lastRenderedPageBreak/>
              <w:t>analysis did not focus only on the worries. Drawing on resilience theory, I considered whether the stability provided by paternal family members, school and professional support could lessen the effects of adversity for 3. Rutter (1987) explains that protective factors may reduce the impact of adversity but do not remove the underlying risk. The paternal family placement was therefore protective, but it did not resolve the concerns about the care provided by 1 and 2. At the legal gateway meeting, the evidence was considered as a whole, and it was agreed that care proceedings should be issued. As 3 was settled with paternal family members, maintaining this placement was the least disruptive option and provided continuity while the court considered the long-term plan.</w:t>
            </w:r>
          </w:p>
          <w:p w14:paraId="570E3241" w14:textId="77777777" w:rsidR="004643DC" w:rsidRPr="004643DC" w:rsidRDefault="004643DC" w:rsidP="004643DC">
            <w:pPr>
              <w:spacing w:line="360" w:lineRule="auto"/>
              <w:rPr>
                <w:sz w:val="24"/>
                <w:szCs w:val="24"/>
              </w:rPr>
            </w:pPr>
            <w:r w:rsidRPr="004643DC">
              <w:rPr>
                <w:sz w:val="24"/>
                <w:szCs w:val="24"/>
              </w:rPr>
              <w:t>I arranged to meet 1 and 2 to explain the assessment outcome and my recommendations. 2 said he had expected the assessment not to be positive. When I asked what made him feel this way, he replied, “we are rubbish”. 1 disagreed and blamed 2, saying that he had introduced her to drugs and that the situation was his fault. I explained that my recommendations were based on what they had shared during the assessment sessions, together with information from the professionals involved. I was open about how I had reached my decision and the concerns that remained for 3. During the discussion, 1 became distressed and her communication became increasingly challenging. We agreed it was best to end the meeting, give both parents time to read the report and allow them to seek legal advice about the next steps. I explained that the local authority intended to apply to the court for an interim care order (ICO). I understood why 1 was upset by the outcome, particularly as she had found it difficult to recognise the concerns throughout the assessment. She felt that other people, including professionals, were responsible for the difficulties and said she had not received support. I acknowledged her feelings while also explaining that support had been offered, but her inconsistent engagement meant she had not always been able to benefit from it.</w:t>
            </w:r>
          </w:p>
          <w:p w14:paraId="56AADEAC" w14:textId="77777777" w:rsidR="004643DC" w:rsidRPr="004643DC" w:rsidRDefault="004643DC" w:rsidP="004643DC">
            <w:pPr>
              <w:spacing w:line="360" w:lineRule="auto"/>
              <w:rPr>
                <w:sz w:val="24"/>
                <w:szCs w:val="24"/>
              </w:rPr>
            </w:pPr>
            <w:r w:rsidRPr="004643DC">
              <w:rPr>
                <w:sz w:val="24"/>
                <w:szCs w:val="24"/>
              </w:rPr>
              <w:t xml:space="preserve">Preparing for legal action made me more aware of my professional accountability. As the assessment might be examined by solicitors, the children’s guardian and the court, my recommendation needed to be supported by clear evidence rather than opinion. I reviewed the chronology, checked dates and sources, and separated </w:t>
            </w:r>
            <w:proofErr w:type="gramStart"/>
            <w:r w:rsidRPr="004643DC">
              <w:rPr>
                <w:sz w:val="24"/>
                <w:szCs w:val="24"/>
              </w:rPr>
              <w:t>past history</w:t>
            </w:r>
            <w:proofErr w:type="gramEnd"/>
            <w:r w:rsidRPr="004643DC">
              <w:rPr>
                <w:sz w:val="24"/>
                <w:szCs w:val="24"/>
              </w:rPr>
              <w:t xml:space="preserve">, current concerns, protective factors and changes made during PLO. I considered whether a less intrusive option could safely meet 3’s needs. The support offered had not led to enough parental </w:t>
            </w:r>
            <w:r w:rsidRPr="004643DC">
              <w:rPr>
                <w:sz w:val="24"/>
                <w:szCs w:val="24"/>
              </w:rPr>
              <w:lastRenderedPageBreak/>
              <w:t>change, while returning 3 to their care would not provide the stability she needed. The paternal family placement allowed her to remain within her family network and avoided an unnecessary move. The recommendation was therefore proportionate because it addressed the identified harm while preserving safe continuity. This was my first experience of working alongside a children’s guardian, and it showed me how assessment and professional judgement are independently scrutinised during proceedings. Professional agreement did not remove my responsibility to explain and defend my judgement or to consider any alternative view carefully. This developed my confidence in legal processes and highlighted a learning need for more experience of preparing for hearings and giving clear verbal evidence while remaining focused on the child’s welfare.</w:t>
            </w:r>
          </w:p>
          <w:p w14:paraId="742D5E5F" w14:textId="77777777" w:rsidR="004643DC" w:rsidRPr="004643DC" w:rsidRDefault="004643DC" w:rsidP="004643DC">
            <w:pPr>
              <w:spacing w:line="360" w:lineRule="auto"/>
              <w:rPr>
                <w:sz w:val="24"/>
                <w:szCs w:val="24"/>
              </w:rPr>
            </w:pPr>
            <w:r w:rsidRPr="004643DC">
              <w:rPr>
                <w:sz w:val="24"/>
                <w:szCs w:val="24"/>
              </w:rPr>
              <w:t xml:space="preserve">Using Kolb’s cycle helped me make sense of my learning rather than simply describe what happened. The concrete experience was taking over a complex PLO assessment late in the process. Reflecting on it, I recognised that I felt anxious, relied heavily on structure and initially worried that I would not gather enough evidence. Through supervision, theory and reviewing the records, I developed a clearer understanding that good analysis comes from testing information, listening to different perspectives and keeping the child’s lived experience central. I then put this learning into practice by planning sessions, strengthening the chronology, using multi-agency information and explaining my reasoning openly to the parents and professionals. This shows how I applied analysis in assessment, maintained a clear evidence trail and reached a professional judgement based on recorded information rather than opinion. It also reflects collaborative working: I communicated with the family in accessible language, coordinated information from other professionals, challenged gaps and reflected on the impact of professional power and my own responses. As the case became more complex, I managed my role through supervision, clear boundaries, structured planning and accountability for my recommendation. I contributed to legal processes by preparing an evidence-based assessment, considering proportionality, working with the children’s guardian and explaining my judgement. My next stage of active learning is to use this structure earlier, provide families with a clear written assessment plan, seek challenge through supervision and make the child’s outcomes visible throughout my recording rather than mainly at the recommendation stage. I will continue to question how my emotions, assumptions and professional authority may influence participation and analysis. </w:t>
            </w:r>
            <w:r w:rsidRPr="004643DC">
              <w:rPr>
                <w:sz w:val="24"/>
                <w:szCs w:val="24"/>
              </w:rPr>
              <w:lastRenderedPageBreak/>
              <w:t xml:space="preserve">Safeguarding legislation and policy are central to practice, and this case helped me move from knowing the law in theory to understanding how it guides real decisions. I will keep my knowledge current through training and updated </w:t>
            </w:r>
            <w:proofErr w:type="gramStart"/>
            <w:r w:rsidRPr="004643DC">
              <w:rPr>
                <w:sz w:val="24"/>
                <w:szCs w:val="24"/>
              </w:rPr>
              <w:t>guidance, and</w:t>
            </w:r>
            <w:proofErr w:type="gramEnd"/>
            <w:r w:rsidRPr="004643DC">
              <w:rPr>
                <w:sz w:val="24"/>
                <w:szCs w:val="24"/>
              </w:rPr>
              <w:t xml:space="preserve"> build my confidence in preparing for hearings and giving verbal evidence by observing experienced colleagues and completing relevant training. Overall, this case strengthened my understanding of how legislation, theory, assessment evidence and partnership working come together in complex safeguarding decisions. It showed me that a proportionate recommendation must balance parental rights and strengths with the seriousness of the risks, while keeping 3’s safety, voice and need for stable care at the centre. Working within the Welsh framework required attention to the Active Offer, ‘what matters’ conversations, statutory safeguarding duties and children’s rights, alongside UK and international arrangements. The experience increased my </w:t>
            </w:r>
            <w:proofErr w:type="gramStart"/>
            <w:r w:rsidRPr="004643DC">
              <w:rPr>
                <w:sz w:val="24"/>
                <w:szCs w:val="24"/>
              </w:rPr>
              <w:t>confidence, but</w:t>
            </w:r>
            <w:proofErr w:type="gramEnd"/>
            <w:r w:rsidRPr="004643DC">
              <w:rPr>
                <w:sz w:val="24"/>
                <w:szCs w:val="24"/>
              </w:rPr>
              <w:t xml:space="preserve"> also reminded me that professional judgement should remain open to challenge, be clearly recorded and supported by ongoing reflection.</w:t>
            </w:r>
          </w:p>
          <w:p w14:paraId="0B8A6650" w14:textId="77777777" w:rsidR="004643DC" w:rsidRPr="004643DC" w:rsidRDefault="004643DC" w:rsidP="004643DC">
            <w:pPr>
              <w:spacing w:line="360" w:lineRule="auto"/>
              <w:rPr>
                <w:sz w:val="24"/>
                <w:szCs w:val="24"/>
              </w:rPr>
            </w:pPr>
          </w:p>
          <w:p w14:paraId="5783D205" w14:textId="77777777" w:rsidR="004643DC" w:rsidRPr="004643DC" w:rsidRDefault="004643DC" w:rsidP="004643DC">
            <w:pPr>
              <w:spacing w:line="360" w:lineRule="auto"/>
              <w:rPr>
                <w:sz w:val="24"/>
                <w:szCs w:val="24"/>
              </w:rPr>
            </w:pPr>
            <w:r w:rsidRPr="004643DC">
              <w:rPr>
                <w:sz w:val="24"/>
                <w:szCs w:val="24"/>
              </w:rPr>
              <w:t>Word count: 4,350</w:t>
            </w:r>
          </w:p>
          <w:p w14:paraId="20370495" w14:textId="79B79501" w:rsidR="00D3203C" w:rsidRPr="004643DC" w:rsidRDefault="00D3203C" w:rsidP="004643DC">
            <w:pPr>
              <w:spacing w:line="360" w:lineRule="auto"/>
              <w:jc w:val="both"/>
              <w:rPr>
                <w:iCs/>
                <w:sz w:val="24"/>
                <w:szCs w:val="24"/>
              </w:rPr>
            </w:pPr>
          </w:p>
          <w:p w14:paraId="12DC2F24" w14:textId="24094196" w:rsidR="00D3203C" w:rsidRDefault="00D3203C" w:rsidP="004643DC">
            <w:pPr>
              <w:spacing w:line="360" w:lineRule="auto"/>
              <w:jc w:val="both"/>
              <w:rPr>
                <w:i/>
                <w:sz w:val="24"/>
                <w:szCs w:val="24"/>
              </w:rPr>
            </w:pPr>
          </w:p>
          <w:p w14:paraId="1225D23D" w14:textId="4FFF3138" w:rsidR="00D3203C" w:rsidRDefault="00D3203C" w:rsidP="004643DC">
            <w:pPr>
              <w:spacing w:line="360" w:lineRule="auto"/>
              <w:jc w:val="both"/>
              <w:rPr>
                <w:i/>
                <w:sz w:val="24"/>
                <w:szCs w:val="24"/>
              </w:rPr>
            </w:pPr>
          </w:p>
          <w:p w14:paraId="0C1020FE" w14:textId="61CE561C" w:rsidR="00D3203C" w:rsidRDefault="00D3203C" w:rsidP="004643DC">
            <w:pPr>
              <w:spacing w:line="360" w:lineRule="auto"/>
              <w:jc w:val="both"/>
              <w:rPr>
                <w:i/>
                <w:sz w:val="24"/>
                <w:szCs w:val="24"/>
              </w:rPr>
            </w:pPr>
          </w:p>
          <w:p w14:paraId="43CA65F6" w14:textId="46B65686" w:rsidR="00D3203C" w:rsidRDefault="00D3203C" w:rsidP="004643DC">
            <w:pPr>
              <w:spacing w:line="360" w:lineRule="auto"/>
              <w:jc w:val="both"/>
              <w:rPr>
                <w:i/>
                <w:sz w:val="24"/>
                <w:szCs w:val="24"/>
              </w:rPr>
            </w:pPr>
          </w:p>
          <w:p w14:paraId="5C222972" w14:textId="259CE14B" w:rsidR="00D3203C" w:rsidRDefault="00D3203C" w:rsidP="004643DC">
            <w:pPr>
              <w:spacing w:line="360" w:lineRule="auto"/>
              <w:jc w:val="both"/>
              <w:rPr>
                <w:i/>
                <w:sz w:val="24"/>
                <w:szCs w:val="24"/>
              </w:rPr>
            </w:pPr>
          </w:p>
          <w:p w14:paraId="0E7BBCC9" w14:textId="77777777" w:rsidR="00D3203C" w:rsidRDefault="00D3203C" w:rsidP="004643DC">
            <w:pPr>
              <w:spacing w:line="360" w:lineRule="auto"/>
              <w:jc w:val="both"/>
              <w:rPr>
                <w:i/>
                <w:sz w:val="24"/>
                <w:szCs w:val="24"/>
              </w:rPr>
            </w:pPr>
          </w:p>
          <w:p w14:paraId="47F21B6A" w14:textId="007FFCCE" w:rsidR="007A628F" w:rsidRPr="008B28E7" w:rsidRDefault="007A628F" w:rsidP="004643DC">
            <w:pPr>
              <w:spacing w:line="360" w:lineRule="auto"/>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87567" w14:textId="77777777" w:rsidR="004C0812" w:rsidRDefault="004C0812">
      <w:r>
        <w:separator/>
      </w:r>
    </w:p>
  </w:endnote>
  <w:endnote w:type="continuationSeparator" w:id="0">
    <w:p w14:paraId="14BF01D0" w14:textId="77777777" w:rsidR="004C0812" w:rsidRDefault="004C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D7AB" w14:textId="77777777" w:rsidR="004C0812" w:rsidRDefault="004C0812">
      <w:r>
        <w:separator/>
      </w:r>
    </w:p>
  </w:footnote>
  <w:footnote w:type="continuationSeparator" w:id="0">
    <w:p w14:paraId="5B4BDDD4" w14:textId="77777777" w:rsidR="004C0812" w:rsidRDefault="004C0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913"/>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43DC"/>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812"/>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6E3"/>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57BF"/>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5</TotalTime>
  <Pages>13</Pages>
  <Words>4450</Words>
  <Characters>25460</Characters>
  <Application>Microsoft Office Word</Application>
  <DocSecurity>0</DocSecurity>
  <Lines>1414</Lines>
  <Paragraphs>427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Keeley Spriggs</cp:lastModifiedBy>
  <cp:revision>7</cp:revision>
  <cp:lastPrinted>2020-02-11T19:20:00Z</cp:lastPrinted>
  <dcterms:created xsi:type="dcterms:W3CDTF">2022-09-29T11:34:00Z</dcterms:created>
  <dcterms:modified xsi:type="dcterms:W3CDTF">2026-10-07T10:18:00Z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