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72035262"/>
        <w:docPartObj>
          <w:docPartGallery w:val="Cover Pages"/>
          <w:docPartUnique/>
        </w:docPartObj>
      </w:sdtPr>
      <w:sdtContent>
        <w:p w14:paraId="520D7FED" w14:textId="7ED1C95B" w:rsidR="002A3BEE" w:rsidRDefault="002A3BEE">
          <w:r>
            <w:rPr>
              <w:noProof/>
            </w:rPr>
            <mc:AlternateContent>
              <mc:Choice Requires="wpg">
                <w:drawing>
                  <wp:anchor distT="0" distB="0" distL="114300" distR="114300" simplePos="0" relativeHeight="251659264" behindDoc="1" locked="0" layoutInCell="1" allowOverlap="1" wp14:anchorId="6AF19B89" wp14:editId="4025803A">
                    <wp:simplePos x="0" y="0"/>
                    <wp:positionH relativeFrom="page">
                      <wp:align>center</wp:align>
                    </wp:positionH>
                    <wp:positionV relativeFrom="page">
                      <wp:align>center</wp:align>
                    </wp:positionV>
                    <wp:extent cx="6852920" cy="9142730"/>
                    <wp:effectExtent l="0" t="0" r="25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3739763" w14:textId="0E234F10" w:rsidR="002A3BEE" w:rsidRDefault="002A3BEE">
                                      <w:pPr>
                                        <w:pStyle w:val="NoSpacing"/>
                                        <w:rPr>
                                          <w:color w:val="FFFFFF" w:themeColor="background1"/>
                                          <w:sz w:val="32"/>
                                          <w:szCs w:val="32"/>
                                        </w:rPr>
                                      </w:pPr>
                                      <w:r>
                                        <w:rPr>
                                          <w:color w:val="FFFFFF" w:themeColor="background1"/>
                                          <w:sz w:val="32"/>
                                          <w:szCs w:val="32"/>
                                        </w:rPr>
                                        <w:t>Bethan Jane Francis (1802113)</w:t>
                                      </w:r>
                                    </w:p>
                                  </w:sdtContent>
                                </w:sdt>
                                <w:p w14:paraId="74838448" w14:textId="0220D203" w:rsidR="002A3BEE" w:rsidRDefault="002A3BEE">
                                  <w:pPr>
                                    <w:pStyle w:val="NoSpacing"/>
                                    <w:rPr>
                                      <w:caps/>
                                      <w:color w:val="FFFFFF" w:themeColor="background1"/>
                                    </w:rPr>
                                  </w:pPr>
                                  <w:r>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A5AA235" w14:textId="0E6822C0" w:rsidR="002A3BEE" w:rsidRPr="002A3BEE" w:rsidRDefault="002A3BEE" w:rsidP="002A3BE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2A3BEE">
                                        <w:rPr>
                                          <w:rFonts w:asciiTheme="majorHAnsi" w:eastAsiaTheme="majorEastAsia" w:hAnsiTheme="majorHAnsi" w:cstheme="majorBidi"/>
                                          <w:color w:val="595959" w:themeColor="text1" w:themeTint="A6"/>
                                          <w:sz w:val="96"/>
                                          <w:szCs w:val="96"/>
                                        </w:rPr>
                                        <w:t xml:space="preserve">Outsiders, Social Strain Theory and Abortions in America: Historical Explanations of Crime in Modern Society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F19B89"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3739763" w14:textId="0E234F10" w:rsidR="002A3BEE" w:rsidRDefault="002A3BEE">
                                <w:pPr>
                                  <w:pStyle w:val="NoSpacing"/>
                                  <w:rPr>
                                    <w:color w:val="FFFFFF" w:themeColor="background1"/>
                                    <w:sz w:val="32"/>
                                    <w:szCs w:val="32"/>
                                  </w:rPr>
                                </w:pPr>
                                <w:r>
                                  <w:rPr>
                                    <w:color w:val="FFFFFF" w:themeColor="background1"/>
                                    <w:sz w:val="32"/>
                                    <w:szCs w:val="32"/>
                                  </w:rPr>
                                  <w:t>Bethan Jane Francis (1802113)</w:t>
                                </w:r>
                              </w:p>
                            </w:sdtContent>
                          </w:sdt>
                          <w:p w14:paraId="74838448" w14:textId="0220D203" w:rsidR="002A3BEE" w:rsidRDefault="002A3BEE">
                            <w:pPr>
                              <w:pStyle w:val="NoSpacing"/>
                              <w:rPr>
                                <w:caps/>
                                <w:color w:val="FFFFFF" w:themeColor="background1"/>
                              </w:rPr>
                            </w:pPr>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A5AA235" w14:textId="0E6822C0" w:rsidR="002A3BEE" w:rsidRPr="002A3BEE" w:rsidRDefault="002A3BEE" w:rsidP="002A3BE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2A3BEE">
                                  <w:rPr>
                                    <w:rFonts w:asciiTheme="majorHAnsi" w:eastAsiaTheme="majorEastAsia" w:hAnsiTheme="majorHAnsi" w:cstheme="majorBidi"/>
                                    <w:color w:val="595959" w:themeColor="text1" w:themeTint="A6"/>
                                    <w:sz w:val="96"/>
                                    <w:szCs w:val="96"/>
                                  </w:rPr>
                                  <w:t xml:space="preserve">Outsiders, Social Strain Theory and Abortions in America: Historical Explanations of Crime in Modern Society </w:t>
                                </w:r>
                              </w:p>
                            </w:sdtContent>
                          </w:sdt>
                        </w:txbxContent>
                      </v:textbox>
                    </v:shape>
                    <w10:wrap anchorx="page" anchory="page"/>
                  </v:group>
                </w:pict>
              </mc:Fallback>
            </mc:AlternateContent>
          </w:r>
        </w:p>
        <w:p w14:paraId="0D9BF786" w14:textId="6858D092" w:rsidR="002A3BEE" w:rsidRDefault="002A3BEE">
          <w:r>
            <w:br w:type="page"/>
          </w:r>
        </w:p>
      </w:sdtContent>
    </w:sdt>
    <w:p w14:paraId="05E7B4A2" w14:textId="75E144AC" w:rsidR="008C2BC4" w:rsidRDefault="005A09B1" w:rsidP="005A09B1">
      <w:pPr>
        <w:spacing w:line="360" w:lineRule="auto"/>
      </w:pPr>
      <w:r>
        <w:lastRenderedPageBreak/>
        <w:t xml:space="preserve">Criminology has changed and evolved over time, and as a result more complex theories to why individuals commit criminal and deviant behaviour have been theorised. </w:t>
      </w:r>
      <w:proofErr w:type="gramStart"/>
      <w:r>
        <w:t xml:space="preserve">During the course </w:t>
      </w:r>
      <w:r w:rsidR="00F06496">
        <w:t>of</w:t>
      </w:r>
      <w:proofErr w:type="gramEnd"/>
      <w:r>
        <w:t xml:space="preserve"> criminology four key theories have come to the forefront, historical explanations, structuralism, constructionism, and poststructuralism</w:t>
      </w:r>
      <w:r w:rsidR="00F06496">
        <w:t xml:space="preserve"> (Hale</w:t>
      </w:r>
      <w:r w:rsidR="00F06496">
        <w:rPr>
          <w:i/>
          <w:iCs/>
        </w:rPr>
        <w:t xml:space="preserve"> et al</w:t>
      </w:r>
      <w:r w:rsidR="00F06496">
        <w:t>, 2013)</w:t>
      </w:r>
      <w:r>
        <w:t xml:space="preserve">. </w:t>
      </w:r>
      <w:r w:rsidR="00513EDE">
        <w:t>This essay will look at constructionism as it links into outsider’s theory</w:t>
      </w:r>
      <w:r w:rsidR="00077939">
        <w:t xml:space="preserve"> a form of labelling theory, and</w:t>
      </w:r>
      <w:r w:rsidR="00513EDE">
        <w:t xml:space="preserve"> strain theory which will be discussed later</w:t>
      </w:r>
      <w:r w:rsidR="00077939">
        <w:t xml:space="preserve"> as the main theories of this essay. These two theories will then be analysed to see if they have a link to modern day crime and deviance. </w:t>
      </w:r>
    </w:p>
    <w:p w14:paraId="75B9B4BE" w14:textId="7057E6BD" w:rsidR="00077939" w:rsidRDefault="00077939" w:rsidP="005A09B1">
      <w:pPr>
        <w:spacing w:line="360" w:lineRule="auto"/>
      </w:pPr>
    </w:p>
    <w:p w14:paraId="773BDB77" w14:textId="52052414" w:rsidR="00077939" w:rsidRDefault="00FE6625" w:rsidP="005A09B1">
      <w:pPr>
        <w:spacing w:line="360" w:lineRule="auto"/>
      </w:pPr>
      <w:r>
        <w:t xml:space="preserve">Constructionism is the overarching theory of criminology that crime is in the eyes of the beholder and that beholder is the law, however society deems what is deviant behaviour not the law. </w:t>
      </w:r>
      <w:r w:rsidR="00391FBC">
        <w:t>In constructionism crime is seen as more of a fluid ideal and idea, as crime has changed and adapted over time to fit the needs of society or not and this can be seen over history s</w:t>
      </w:r>
      <w:r w:rsidR="00F06496">
        <w:t>uch</w:t>
      </w:r>
      <w:r w:rsidR="00391FBC">
        <w:t xml:space="preserve"> as the constant change in laws surrounding abortion and even LGBTQ+ rights in America</w:t>
      </w:r>
      <w:r w:rsidR="008B0922">
        <w:t xml:space="preserve"> (Fitzgerald, 2011)</w:t>
      </w:r>
      <w:r w:rsidR="00391FBC">
        <w:t xml:space="preserve">.  This theory feels that when deviance threatens the state it then becomes law, and until it threatens it in some way it will still be an act of </w:t>
      </w:r>
      <w:r w:rsidR="00F06496">
        <w:t>deviance</w:t>
      </w:r>
      <w:r w:rsidR="00391FBC">
        <w:t xml:space="preserve">.  This plays its hand into labelling theory as labelling theory has a neutral stance towards law making, as different groups </w:t>
      </w:r>
      <w:proofErr w:type="gramStart"/>
      <w:r w:rsidR="00391FBC">
        <w:t>are able to</w:t>
      </w:r>
      <w:proofErr w:type="gramEnd"/>
      <w:r w:rsidR="00391FBC">
        <w:t xml:space="preserve"> battle in the arena to solidify the values that that group holds in law</w:t>
      </w:r>
      <w:r w:rsidR="008B0922">
        <w:t xml:space="preserve"> (</w:t>
      </w:r>
      <w:proofErr w:type="spellStart"/>
      <w:r w:rsidR="008B0922">
        <w:t>Scarpitti</w:t>
      </w:r>
      <w:proofErr w:type="spellEnd"/>
      <w:r w:rsidR="008B0922">
        <w:t>, Nielsen and Miller, 2008)</w:t>
      </w:r>
      <w:r w:rsidR="00391FBC">
        <w:t xml:space="preserve">.  The laws that are then put in place are commonly held and are thought to uphold public welfare, the laws that are put in place often reflect </w:t>
      </w:r>
      <w:proofErr w:type="gramStart"/>
      <w:r w:rsidR="00391FBC">
        <w:t>the majority of</w:t>
      </w:r>
      <w:proofErr w:type="gramEnd"/>
      <w:r w:rsidR="00391FBC">
        <w:t xml:space="preserve"> the group and not the minority. These laws act as a social contract as people then surrender freedom to abide by laws for the common good, and individuals are labelled as deviant as they threaten this common good</w:t>
      </w:r>
      <w:r w:rsidR="008B0922">
        <w:t xml:space="preserve"> (Friedman, 1993)</w:t>
      </w:r>
      <w:r w:rsidR="00391FBC">
        <w:t xml:space="preserve">. </w:t>
      </w:r>
    </w:p>
    <w:p w14:paraId="777092F3" w14:textId="34C270A9" w:rsidR="00391FBC" w:rsidRDefault="00391FBC" w:rsidP="005A09B1">
      <w:pPr>
        <w:spacing w:line="360" w:lineRule="auto"/>
      </w:pPr>
    </w:p>
    <w:p w14:paraId="2268CAF4" w14:textId="165966D3" w:rsidR="00391FBC" w:rsidRDefault="00C77D25" w:rsidP="005A09B1">
      <w:pPr>
        <w:spacing w:line="360" w:lineRule="auto"/>
      </w:pPr>
      <w:r>
        <w:t xml:space="preserve">This links into Becker’s outsider’s theory, which is a form of labelling theory it builds upon it by analysing social groups.  Groups make social </w:t>
      </w:r>
      <w:r w:rsidR="009B275E">
        <w:t>rules,</w:t>
      </w:r>
      <w:r>
        <w:t xml:space="preserve"> and these rules define different situations, as there are right and wrong actions depending on what social group an individual is a part of. </w:t>
      </w:r>
      <w:r w:rsidR="009B275E">
        <w:t>The individual who has broken these rules is then labelled as an outsider as they are not trusted by the group, how far outside the group they become depends on the severity of the deviant act or crime committed</w:t>
      </w:r>
      <w:r w:rsidR="008B0922">
        <w:t xml:space="preserve"> (Becker, 2018)</w:t>
      </w:r>
      <w:r w:rsidR="009B275E">
        <w:t xml:space="preserve">. </w:t>
      </w:r>
      <w:r w:rsidR="00E93BE5">
        <w:t xml:space="preserve">Deviance is also not the quality of the act that the individual commits, in outsides theory it is how the rules are applied to that individual by society. Deviant behaviour is behaviour that society </w:t>
      </w:r>
      <w:r w:rsidR="00E93BE5">
        <w:lastRenderedPageBreak/>
        <w:t>labels as deviant, so for one to be a criminal or deviant and individual needs to be labelled an outsider by society</w:t>
      </w:r>
      <w:r w:rsidR="008B0922">
        <w:t xml:space="preserve"> (Hund, 1985)</w:t>
      </w:r>
      <w:r w:rsidR="00E93BE5">
        <w:t xml:space="preserve">. </w:t>
      </w:r>
    </w:p>
    <w:p w14:paraId="0D9EEDDE" w14:textId="25181745" w:rsidR="00E93BE5" w:rsidRDefault="00E93BE5" w:rsidP="005A09B1">
      <w:pPr>
        <w:spacing w:line="360" w:lineRule="auto"/>
      </w:pPr>
    </w:p>
    <w:p w14:paraId="28417FB2" w14:textId="7B841D47" w:rsidR="00E93BE5" w:rsidRDefault="006255BD" w:rsidP="005A09B1">
      <w:pPr>
        <w:spacing w:line="360" w:lineRule="auto"/>
      </w:pPr>
      <w:r>
        <w:t>Social strain theory was introduced by Robert Merton, it has been further developed into later strain theory or general strain theory by Albert Cohen.  Strain theory states that a strain placed on an individual can lead them to commit crime or deviant act</w:t>
      </w:r>
      <w:r w:rsidR="0092520C">
        <w:t xml:space="preserve"> (Murphy and Robinson, 2008)</w:t>
      </w:r>
      <w:r>
        <w:t xml:space="preserve">. There are three main stains an individual could </w:t>
      </w:r>
      <w:r w:rsidR="00FA07A6">
        <w:t>have</w:t>
      </w:r>
      <w:r w:rsidR="00F06496">
        <w:t>,</w:t>
      </w:r>
      <w:r w:rsidR="00FA07A6">
        <w:t xml:space="preserve"> that is being threatened in a negative manner by others, losing something they value and that the individual is unable to achieve their goals</w:t>
      </w:r>
      <w:r w:rsidR="008B0922">
        <w:t xml:space="preserve"> (Newburn, 2017)</w:t>
      </w:r>
      <w:r w:rsidR="00FA07A6">
        <w:t>. The bigger the strain the more likely the individual’s response is to be deviant, there are factors that can affect the strain of negative emotions on crime. These include the ability to cope with the strain in a legal manner, cost of criminal coping and the deposition of criminal coping.  There are also many things that will increase the strain on an individual listed are around twelve</w:t>
      </w:r>
      <w:r w:rsidR="00120CDB">
        <w:t xml:space="preserve"> strains</w:t>
      </w:r>
      <w:r w:rsidR="00FA07A6">
        <w:t xml:space="preserve"> that cover</w:t>
      </w:r>
      <w:r w:rsidR="00120CDB">
        <w:t xml:space="preserve"> things from</w:t>
      </w:r>
      <w:r w:rsidR="00FA07A6">
        <w:t xml:space="preserve"> child abuse and neglect, unemployment, failure to achieve goals, residence in a servilely deprived area and abusive peer relationships</w:t>
      </w:r>
      <w:r w:rsidR="008B0922">
        <w:t xml:space="preserve"> (Agnew, 2001)</w:t>
      </w:r>
      <w:r w:rsidR="00FA07A6">
        <w:t xml:space="preserve">. Merton also introduces the idea that lower social control is more likely to increase the likelihood of an individual turning to crime and </w:t>
      </w:r>
      <w:r w:rsidR="008B0922">
        <w:t>delinquency.</w:t>
      </w:r>
      <w:r w:rsidR="00FA07A6">
        <w:t xml:space="preserve"> </w:t>
      </w:r>
      <w:r w:rsidR="006B6D00">
        <w:t xml:space="preserve">These chronic strains are likely to create a predisposition to crime, and if an individual faces one or more of these strains repeatedly it may reduce an individual’s ability to cope leading to chronic strain. This can lead to negative emotional traits such as anger, depression, </w:t>
      </w:r>
      <w:r w:rsidR="00E40971">
        <w:t>fear,</w:t>
      </w:r>
      <w:r w:rsidR="006B6D00">
        <w:t xml:space="preserve"> and frustration and this can lead to an individual committing a crime or a deviant act</w:t>
      </w:r>
      <w:r w:rsidR="008B0922">
        <w:t xml:space="preserve"> (Agnew, 1992)</w:t>
      </w:r>
      <w:r w:rsidR="006B6D00">
        <w:t xml:space="preserve">. </w:t>
      </w:r>
    </w:p>
    <w:p w14:paraId="1BA2EED8" w14:textId="54B19954" w:rsidR="00A51370" w:rsidRDefault="00A51370" w:rsidP="005A09B1">
      <w:pPr>
        <w:spacing w:line="360" w:lineRule="auto"/>
      </w:pPr>
    </w:p>
    <w:p w14:paraId="3C540295" w14:textId="7D9FA916" w:rsidR="00A51370" w:rsidRDefault="00A51370" w:rsidP="005A09B1">
      <w:pPr>
        <w:spacing w:line="360" w:lineRule="auto"/>
      </w:pPr>
      <w:r>
        <w:t xml:space="preserve">General strain theory and </w:t>
      </w:r>
      <w:r w:rsidR="00DA7D94">
        <w:t>outsider’s</w:t>
      </w:r>
      <w:r>
        <w:t xml:space="preserve"> theory are two examples of criminological theories, it is impotent to understand how these theories apply to modern day issues to understand if they are still relevant. Abortion is an issue that is seen as criminal by law in many states in America and may </w:t>
      </w:r>
      <w:r w:rsidR="00DA7D94">
        <w:t>countries, it</w:t>
      </w:r>
      <w:r>
        <w:t xml:space="preserve"> is also seen as a human right to have by many </w:t>
      </w:r>
      <w:r w:rsidR="00DA7D94">
        <w:t xml:space="preserve">women’s feminist groups and other social groups.  </w:t>
      </w:r>
      <w:r w:rsidR="00846893">
        <w:t xml:space="preserve">Historically women have been seen to be only fit to have children and that is their only use, and this label of being a mother and becoming a mother is still prevalent </w:t>
      </w:r>
      <w:proofErr w:type="gramStart"/>
      <w:r w:rsidR="00846893">
        <w:t>in today’s society</w:t>
      </w:r>
      <w:proofErr w:type="gramEnd"/>
      <w:r w:rsidR="0092520C">
        <w:t xml:space="preserve"> (Mason, 2019)</w:t>
      </w:r>
      <w:r w:rsidR="00846893">
        <w:t xml:space="preserve">.  When a woman makes a choice for herself to not become a mum or to not have a child for a reason it is stigmatised, and she is often labelled as an outsider because it is still a foreign concept for a woman not to want this in her life and to want other things outside of this. This stigma that is created is </w:t>
      </w:r>
      <w:r w:rsidR="00846893">
        <w:lastRenderedPageBreak/>
        <w:t xml:space="preserve">what Becker talks about and that it can be created by any social group, and as a result the idea of social </w:t>
      </w:r>
      <w:r w:rsidR="0019426F">
        <w:t>deviance and</w:t>
      </w:r>
      <w:r w:rsidR="00846893">
        <w:t xml:space="preserve"> becoming an outsider can still be used</w:t>
      </w:r>
      <w:r w:rsidR="0019426F">
        <w:t xml:space="preserve"> (Smith, 2002)</w:t>
      </w:r>
      <w:r w:rsidR="00846893">
        <w:t xml:space="preserve">.  </w:t>
      </w:r>
    </w:p>
    <w:p w14:paraId="634BF812" w14:textId="35D3852F" w:rsidR="00873370" w:rsidRDefault="00873370" w:rsidP="005A09B1">
      <w:pPr>
        <w:spacing w:line="360" w:lineRule="auto"/>
      </w:pPr>
    </w:p>
    <w:p w14:paraId="0EA93518" w14:textId="74CA5883" w:rsidR="00873370" w:rsidRDefault="00873370" w:rsidP="005A09B1">
      <w:pPr>
        <w:spacing w:line="360" w:lineRule="auto"/>
      </w:pPr>
      <w:r w:rsidRPr="002A3BEE">
        <w:t>Laws surrounding abortion are often hyper regulated which is used as a tool to deter and</w:t>
      </w:r>
      <w:r>
        <w:t xml:space="preserve"> punish women who may need to seek them out as a form of medical help, this shame and negativity is created by social groups</w:t>
      </w:r>
      <w:r w:rsidR="002A3BEE">
        <w:t xml:space="preserve"> (Sanger, 2016)</w:t>
      </w:r>
      <w:r>
        <w:t>.  Showing that outsiders theory exists in a legal setting as the law still sees abortions as an ev</w:t>
      </w:r>
      <w:r w:rsidR="00F06496">
        <w:t>i</w:t>
      </w:r>
      <w:r>
        <w:t xml:space="preserve">l deviant thing to have in places like America, </w:t>
      </w:r>
      <w:proofErr w:type="gramStart"/>
      <w:r>
        <w:t>Brazil</w:t>
      </w:r>
      <w:proofErr w:type="gramEnd"/>
      <w:r>
        <w:t xml:space="preserve"> and Mexico.  Private abortion histories have also been used in courts </w:t>
      </w:r>
      <w:proofErr w:type="gramStart"/>
      <w:r>
        <w:t>in order to</w:t>
      </w:r>
      <w:proofErr w:type="gramEnd"/>
      <w:r>
        <w:t xml:space="preserve"> slander and vilify women as a result further labelling them and this could have a massive negative impact on the woman’s mental health.  This could further pressure them as they do not feel like they have done the correct motherly instincts expected from a woman and putting a strain on them in a social way by their peers (Menconi, 2018).  </w:t>
      </w:r>
    </w:p>
    <w:p w14:paraId="5B165936" w14:textId="0369627C" w:rsidR="00B724EB" w:rsidRDefault="00B724EB" w:rsidP="005A09B1">
      <w:pPr>
        <w:spacing w:line="360" w:lineRule="auto"/>
      </w:pPr>
    </w:p>
    <w:p w14:paraId="35B3879B" w14:textId="77777777" w:rsidR="00B724EB" w:rsidRDefault="00B724EB" w:rsidP="005A09B1">
      <w:pPr>
        <w:spacing w:line="360" w:lineRule="auto"/>
      </w:pPr>
      <w:r>
        <w:t xml:space="preserve">The main issue with abortion arguments is </w:t>
      </w:r>
      <w:proofErr w:type="gramStart"/>
      <w:r>
        <w:t>whether or not</w:t>
      </w:r>
      <w:proofErr w:type="gramEnd"/>
      <w:r>
        <w:t xml:space="preserve"> a foetus can be considered as a living person, and as so if law deems it as a living thing does it have the same right to life that all humans have. This </w:t>
      </w:r>
      <w:proofErr w:type="gramStart"/>
      <w:r>
        <w:t>in itself is</w:t>
      </w:r>
      <w:proofErr w:type="gramEnd"/>
      <w:r>
        <w:t xml:space="preserve"> a form of labelling theory but also trying to put the individual foetus in a category to try and get an explanation for a law to be put in place (Hendricks, 2018). In Texas as of September the 2nd 2021 there were new restrictions placed on abortion laws under Senate Bill 8(SB8). This law ruled on by the Supreme Court limits the ability for a person to have or provide an abortion beyond six weeks of pregnancy sometimes even earlier. This means that most women do not even know they are pregnant before they have time to decide, making people who seek out abortions seen as criminals and as outsiders (Planned Parenthood Centre for Choice, 2022).  </w:t>
      </w:r>
    </w:p>
    <w:p w14:paraId="3C02D1CD" w14:textId="77777777" w:rsidR="00B724EB" w:rsidRDefault="00B724EB" w:rsidP="005A09B1">
      <w:pPr>
        <w:spacing w:line="360" w:lineRule="auto"/>
      </w:pPr>
    </w:p>
    <w:p w14:paraId="7CF3D7CE" w14:textId="08FFB250" w:rsidR="00B724EB" w:rsidRDefault="00B724EB" w:rsidP="005A09B1">
      <w:pPr>
        <w:spacing w:line="360" w:lineRule="auto"/>
      </w:pPr>
      <w:r>
        <w:t xml:space="preserve">This has led to women being ostracised by the law and being made to feel like outsiders, this can also be seen in a literal sense. As in Texas abortions by registered providers fell by 60% this could mean that women are seeking out other more dangerous illegal forms of terminating pregnancies. It also shows that more women are traveling hundreds of miles into neighbouring clinics like Oklahoma and Colorado to have these procedures done safely.  The ruling of the Supreme Court also conflicts with Row V Wade, this prevents the complete banning of abortion in the early stages (The Guardian, 2022). This case shows that women are being made to feel like outsiders and that outsider’s theory can and does still apply to </w:t>
      </w:r>
      <w:r>
        <w:lastRenderedPageBreak/>
        <w:t xml:space="preserve">today’s society.  To further support the idea of outsiders Alice Storey (2021) talks about the fact that the majority of the Supreme Court at current is made up of Conservatives. Out of the current nine Justices, six are Conservative and three were appointed by the controversial President Donald Trump.  Showing that the Supreme Court failed to act in a way in which to protect and uphold current cases and instead aligned with their own conservative viewpoints. Any decision on whether a woman has the right to choose lies within the nine Justices, this is something Becker talks about, but he indicates that the majority will </w:t>
      </w:r>
      <w:proofErr w:type="gramStart"/>
      <w:r>
        <w:t>make a decision</w:t>
      </w:r>
      <w:proofErr w:type="gramEnd"/>
      <w:r>
        <w:t xml:space="preserve"> for the benefit of society. Whereas in this case one could argue that the Supreme Court are in the minority and in fact they have not made the correct decision as they have not upheld previously set standards.  Showing that a minority can make the majority feel like outsiders </w:t>
      </w:r>
      <w:r w:rsidR="00F06496">
        <w:t>i</w:t>
      </w:r>
      <w:r>
        <w:t>f they hold the power to do so</w:t>
      </w:r>
      <w:r w:rsidR="0092520C">
        <w:t xml:space="preserve"> (Cohen, </w:t>
      </w:r>
      <w:proofErr w:type="spellStart"/>
      <w:r w:rsidR="0092520C">
        <w:t>Adashi</w:t>
      </w:r>
      <w:proofErr w:type="spellEnd"/>
      <w:r w:rsidR="0092520C">
        <w:t xml:space="preserve"> and </w:t>
      </w:r>
      <w:proofErr w:type="spellStart"/>
      <w:r w:rsidR="0092520C">
        <w:t>Gostin</w:t>
      </w:r>
      <w:proofErr w:type="spellEnd"/>
      <w:r w:rsidR="0092520C">
        <w:t>, 2021)</w:t>
      </w:r>
      <w:r>
        <w:t xml:space="preserve">. </w:t>
      </w:r>
    </w:p>
    <w:p w14:paraId="13465283" w14:textId="0BD82344" w:rsidR="00B724EB" w:rsidRDefault="00B724EB" w:rsidP="005A09B1">
      <w:pPr>
        <w:spacing w:line="360" w:lineRule="auto"/>
      </w:pPr>
    </w:p>
    <w:p w14:paraId="7DCD999A" w14:textId="1A83F6CE" w:rsidR="00B724EB" w:rsidRDefault="00B724EB" w:rsidP="005A09B1">
      <w:pPr>
        <w:spacing w:line="360" w:lineRule="auto"/>
      </w:pPr>
      <w:r>
        <w:t xml:space="preserve">Religion and politics put strains on people, and this is dependent whether if you are in insider our outsider of the religion or political party in power. When understanding the strain religion can have on a woman seeking out abortion Pope Francis has compared it to hiring a hitman to solve a problem, but also under the Catholic Church who also do not agree with contraception.  Showing that religion could be a strain put on an individual that general stain theory does not </w:t>
      </w:r>
      <w:proofErr w:type="gramStart"/>
      <w:r>
        <w:t>take into account</w:t>
      </w:r>
      <w:proofErr w:type="gramEnd"/>
      <w:r>
        <w:t xml:space="preserve"> (</w:t>
      </w:r>
      <w:proofErr w:type="spellStart"/>
      <w:r>
        <w:t>Shahvisi</w:t>
      </w:r>
      <w:proofErr w:type="spellEnd"/>
      <w:r>
        <w:t>, 2018). This means that other forms of strain do exist within society and that general strain theory, only takes the general strains into account and not the ones that may be more specific to cases. An example would be the religious strain not to have an abortion may push an individual to have an illegal abortion as they are not able to have one legally, or to have th</w:t>
      </w:r>
      <w:r w:rsidR="00F06496">
        <w:t>e</w:t>
      </w:r>
      <w:r>
        <w:t xml:space="preserve"> child and then</w:t>
      </w:r>
      <w:r w:rsidR="0092520C">
        <w:t xml:space="preserve"> steal</w:t>
      </w:r>
      <w:r>
        <w:t xml:space="preserve"> as they are not able to provide for that child</w:t>
      </w:r>
      <w:r w:rsidR="0092520C">
        <w:t xml:space="preserve"> (</w:t>
      </w:r>
      <w:proofErr w:type="spellStart"/>
      <w:r w:rsidR="0092520C">
        <w:t>Broidy</w:t>
      </w:r>
      <w:proofErr w:type="spellEnd"/>
      <w:r w:rsidR="0092520C">
        <w:t>, 2001)</w:t>
      </w:r>
      <w:r>
        <w:t xml:space="preserve">. Becoming an outsider could also put a strain on that individual as the support network of what they once knew could be gone because they did not follow the rules, and that is why Pope Francis compares abortion to hiring a hitman to explain the gravity of the sin to his followers so anyone who gets or seeks out an abortion will no longer be a part of the Catholic Church. </w:t>
      </w:r>
      <w:r w:rsidR="0092520C">
        <w:t>Individuals have been excommunicated by the Catholic Church for thinking that abortions may be morally correct in some situations such as Sister McBride who was cut off once she spoke out on this (</w:t>
      </w:r>
      <w:proofErr w:type="spellStart"/>
      <w:r w:rsidR="0092520C">
        <w:t>McCruden</w:t>
      </w:r>
      <w:proofErr w:type="spellEnd"/>
      <w:r w:rsidR="0092520C">
        <w:t>, 2012)</w:t>
      </w:r>
    </w:p>
    <w:p w14:paraId="2957119C" w14:textId="0C4B60D9" w:rsidR="00B724EB" w:rsidRDefault="00B724EB" w:rsidP="005A09B1">
      <w:pPr>
        <w:spacing w:line="360" w:lineRule="auto"/>
      </w:pPr>
    </w:p>
    <w:p w14:paraId="42CF09C6" w14:textId="7282B476" w:rsidR="00B724EB" w:rsidRDefault="00B724EB" w:rsidP="005A09B1">
      <w:pPr>
        <w:spacing w:line="360" w:lineRule="auto"/>
      </w:pPr>
      <w:r>
        <w:lastRenderedPageBreak/>
        <w:t>Outsiders in the form of politics is important to acknowledge because it links to how and why crimes are made criminal in countries and what society views as criminal. For politics in America abortion is an easy topic, as it is easy for politicians to gain or lose votes depending on how they align themselves</w:t>
      </w:r>
      <w:r w:rsidR="0092520C">
        <w:t xml:space="preserve"> (</w:t>
      </w:r>
      <w:proofErr w:type="spellStart"/>
      <w:r w:rsidR="0092520C">
        <w:t>Jelen</w:t>
      </w:r>
      <w:proofErr w:type="spellEnd"/>
      <w:r w:rsidR="0092520C">
        <w:t xml:space="preserve"> and Wilcox, 2003)</w:t>
      </w:r>
      <w:r>
        <w:t>.  All Americans have a view on abortion and if it should be a criminal act or not, but the bigger picture is that in America abortion is also linked to both healthcare and the economy and money is seen as an easy from of strain especially in America when linked to healthcare which many are unable to afford. The Affordable Care Act was put in place to fund and support insurance plans with regards to all healthcare this did not cover abortion (</w:t>
      </w:r>
      <w:proofErr w:type="spellStart"/>
      <w:r>
        <w:t>Liebertz</w:t>
      </w:r>
      <w:proofErr w:type="spellEnd"/>
      <w:r>
        <w:t xml:space="preserve"> and Bunch, 2021). Being able to afford healthcare puts a massive strain on all families in America who are unable to afford medical bills or treatment, this means women are unable to afford both birth control and healthcare. The strain of not having money could lead them to commit deviant or criminal acts just to seek out basic healthcare that they need. They may seek out illegal and unsafe alternatives and this may put further strain and labels on them if they are </w:t>
      </w:r>
      <w:r w:rsidR="0092520C">
        <w:t>seen</w:t>
      </w:r>
      <w:r>
        <w:t xml:space="preserve"> doing so</w:t>
      </w:r>
      <w:r w:rsidR="0092520C">
        <w:t xml:space="preserve"> (</w:t>
      </w:r>
      <w:proofErr w:type="spellStart"/>
      <w:r w:rsidR="0092520C">
        <w:t>Botchkovar</w:t>
      </w:r>
      <w:proofErr w:type="spellEnd"/>
      <w:r w:rsidR="0092520C">
        <w:t xml:space="preserve">, Tittle and </w:t>
      </w:r>
      <w:proofErr w:type="spellStart"/>
      <w:r w:rsidR="0092520C">
        <w:t>Antonaccio</w:t>
      </w:r>
      <w:proofErr w:type="spellEnd"/>
      <w:r w:rsidR="0092520C">
        <w:t>, 2009)</w:t>
      </w:r>
      <w:r>
        <w:t xml:space="preserve">. </w:t>
      </w:r>
    </w:p>
    <w:p w14:paraId="32E21C20" w14:textId="275DD97C" w:rsidR="00B724EB" w:rsidRDefault="00B724EB" w:rsidP="005A09B1">
      <w:pPr>
        <w:spacing w:line="360" w:lineRule="auto"/>
      </w:pPr>
    </w:p>
    <w:p w14:paraId="73AC2A6B" w14:textId="652BB4A2" w:rsidR="00B724EB" w:rsidRDefault="00B724EB" w:rsidP="005A09B1">
      <w:pPr>
        <w:spacing w:line="360" w:lineRule="auto"/>
      </w:pPr>
      <w:r>
        <w:t xml:space="preserve">In America there have been groups formed like Planned Parenthood and Pro-Choice America, who were all formed when they became outsiders and labelled as criminals or deviants on the back of not agreeing with abortion laws that hindered women getting </w:t>
      </w:r>
      <w:r w:rsidRPr="0092520C">
        <w:t>abortions</w:t>
      </w:r>
      <w:r w:rsidR="0092520C" w:rsidRPr="0092520C">
        <w:t xml:space="preserve"> (Maxwell, 2002)</w:t>
      </w:r>
      <w:r w:rsidRPr="0092520C">
        <w:t xml:space="preserve">.  </w:t>
      </w:r>
      <w:r w:rsidR="00F06496">
        <w:t>O</w:t>
      </w:r>
      <w:r w:rsidRPr="0092520C">
        <w:t xml:space="preserve">ne of the main failures of outsider’s theory </w:t>
      </w:r>
      <w:r w:rsidR="00F06496">
        <w:t>is</w:t>
      </w:r>
      <w:r w:rsidRPr="0092520C">
        <w:t xml:space="preserve"> that</w:t>
      </w:r>
      <w:r>
        <w:t xml:space="preserve"> there is no understanding that there may be other groups formed of individual’s who feel that they have been wronged. It talks about the individual but does not understand that likeminded individuals will always find each other and support each other, and often push for change on issues they feel should not be criminalised in the case of abortion or can also from criminal gangs when looking at </w:t>
      </w:r>
      <w:proofErr w:type="gramStart"/>
      <w:r>
        <w:t>crime as a whole</w:t>
      </w:r>
      <w:proofErr w:type="gramEnd"/>
      <w:r>
        <w:t xml:space="preserve"> (Bernburg, </w:t>
      </w:r>
      <w:proofErr w:type="spellStart"/>
      <w:r>
        <w:t>Krohn</w:t>
      </w:r>
      <w:proofErr w:type="spellEnd"/>
      <w:r>
        <w:t xml:space="preserve"> and Rivera, 2006). This can cause harm to society or it can be the cause of social change, the fact is that once one person is labelled as a criminal even if it is for carrying out an act like abortion it will be hard for them to not be labelled and then they will identify with people who feel the </w:t>
      </w:r>
      <w:r w:rsidRPr="0092520C">
        <w:t>same as them</w:t>
      </w:r>
      <w:r w:rsidR="0092520C" w:rsidRPr="0092520C">
        <w:t xml:space="preserve"> (Adams and Evans, 1996)</w:t>
      </w:r>
      <w:r w:rsidRPr="0092520C">
        <w:t>.</w:t>
      </w:r>
      <w:r>
        <w:t xml:space="preserve">  There is also the issue that comes from society labelling everything and needing a label for everything, when we label and individual as criminal it gives them a stigma they are left with for life in most cases. This can put a strain on a person as they may not be able to get a job, house and or be a normal member of society it also </w:t>
      </w:r>
      <w:r>
        <w:lastRenderedPageBreak/>
        <w:t>does not allow for reform (</w:t>
      </w:r>
      <w:proofErr w:type="spellStart"/>
      <w:r>
        <w:t>Kroska</w:t>
      </w:r>
      <w:proofErr w:type="spellEnd"/>
      <w:r>
        <w:t xml:space="preserve"> and Harkness, 2008). </w:t>
      </w:r>
      <w:r w:rsidR="00120CDB">
        <w:t xml:space="preserve">Labelling theory </w:t>
      </w:r>
      <w:r>
        <w:t xml:space="preserve">does not allow exceptions such as </w:t>
      </w:r>
      <w:r w:rsidR="0092520C">
        <w:t>abortions, that</w:t>
      </w:r>
      <w:r>
        <w:t xml:space="preserve"> maybe a criminal act </w:t>
      </w:r>
      <w:r w:rsidR="0092520C">
        <w:t>in some countries</w:t>
      </w:r>
      <w:r w:rsidR="00120CDB">
        <w:t xml:space="preserve"> but not in others. </w:t>
      </w:r>
      <w:r w:rsidR="0092520C">
        <w:t xml:space="preserve"> </w:t>
      </w:r>
      <w:r w:rsidR="00120CDB">
        <w:t xml:space="preserve">As well as a </w:t>
      </w:r>
      <w:r>
        <w:t>woman m</w:t>
      </w:r>
      <w:r w:rsidR="00F06496">
        <w:t>a</w:t>
      </w:r>
      <w:r w:rsidR="00120CDB">
        <w:t>y</w:t>
      </w:r>
      <w:r>
        <w:t xml:space="preserve"> need</w:t>
      </w:r>
      <w:r w:rsidR="00120CDB">
        <w:t>ing</w:t>
      </w:r>
      <w:r>
        <w:t xml:space="preserve"> </w:t>
      </w:r>
      <w:r w:rsidR="00F06496">
        <w:t>one</w:t>
      </w:r>
      <w:r>
        <w:t xml:space="preserve"> for a medical reason or so that they do not have the financial burden of </w:t>
      </w:r>
      <w:r w:rsidR="00F06496">
        <w:t xml:space="preserve">a </w:t>
      </w:r>
      <w:r>
        <w:t>child</w:t>
      </w:r>
      <w:r w:rsidR="00120CDB">
        <w:t>, and then being labelled as a criminal because of this</w:t>
      </w:r>
      <w:r w:rsidR="0092520C">
        <w:t>.</w:t>
      </w:r>
      <w:r>
        <w:t xml:space="preserve"> </w:t>
      </w:r>
      <w:proofErr w:type="gramStart"/>
      <w:r w:rsidR="00120CDB">
        <w:t>Furthermore</w:t>
      </w:r>
      <w:proofErr w:type="gramEnd"/>
      <w:r w:rsidR="00120CDB">
        <w:t xml:space="preserve"> as a</w:t>
      </w:r>
      <w:r>
        <w:t xml:space="preserve"> </w:t>
      </w:r>
      <w:r w:rsidR="0092520C">
        <w:t>result of not having an abortion they may have to</w:t>
      </w:r>
      <w:r>
        <w:t xml:space="preserve"> commit more deviant acts, and this is one of the biggest issues with labelling theory no room for reform or exceptions to the rules</w:t>
      </w:r>
      <w:r w:rsidR="0092520C">
        <w:t xml:space="preserve"> (Joon Jang, 2007)</w:t>
      </w:r>
      <w:r>
        <w:t xml:space="preserve">. </w:t>
      </w:r>
    </w:p>
    <w:p w14:paraId="17C162B6" w14:textId="77777777" w:rsidR="00B724EB" w:rsidRDefault="00B724EB" w:rsidP="005A09B1">
      <w:pPr>
        <w:spacing w:line="360" w:lineRule="auto"/>
      </w:pPr>
    </w:p>
    <w:p w14:paraId="1742C13C" w14:textId="7E84C860" w:rsidR="00873370" w:rsidRDefault="00873370" w:rsidP="005A09B1">
      <w:pPr>
        <w:spacing w:line="360" w:lineRule="auto"/>
      </w:pPr>
      <w:r>
        <w:t xml:space="preserve">General strain theory lists </w:t>
      </w:r>
      <w:proofErr w:type="gramStart"/>
      <w:r>
        <w:t>a number of</w:t>
      </w:r>
      <w:proofErr w:type="gramEnd"/>
      <w:r>
        <w:t xml:space="preserve"> strains and has its roots in not fulfilling goals and expectations, when looking at abortion and motherhood the social strain put on new mothers is set to a high standard. Every woman is expected by society to be maternal in nature and expected to be a perfect mother, this as a result can result in stress, </w:t>
      </w:r>
      <w:proofErr w:type="gramStart"/>
      <w:r>
        <w:t>anxiety</w:t>
      </w:r>
      <w:proofErr w:type="gramEnd"/>
      <w:r>
        <w:t xml:space="preserve"> and pressure to live up to these standards (Henderson, Harmon and Newman, 2016).  This can all manifest in stress, </w:t>
      </w:r>
      <w:r w:rsidR="000A71A2">
        <w:t>anger,</w:t>
      </w:r>
      <w:r>
        <w:t xml:space="preserve"> and guilt and this can be all consuming for them as they are not meeting the standards and it is putting a strain on them mentally.  This strain can manifest in negative ways for some mothers such as some of the strains mentioned child neglect, putting pressure on their child to perform highly in school leading them to feel strains and stress (</w:t>
      </w:r>
      <w:proofErr w:type="spellStart"/>
      <w:r w:rsidR="00B413D2">
        <w:t>Newart</w:t>
      </w:r>
      <w:proofErr w:type="spellEnd"/>
      <w:r w:rsidR="00B413D2">
        <w:t>, 2005</w:t>
      </w:r>
      <w:r>
        <w:t xml:space="preserve">).  </w:t>
      </w:r>
    </w:p>
    <w:p w14:paraId="3686B532" w14:textId="77777777" w:rsidR="00873370" w:rsidRDefault="00873370" w:rsidP="005A09B1">
      <w:pPr>
        <w:spacing w:line="360" w:lineRule="auto"/>
      </w:pPr>
    </w:p>
    <w:p w14:paraId="31FED6F5" w14:textId="2E30A837" w:rsidR="00873370" w:rsidRDefault="00873370" w:rsidP="005A09B1">
      <w:pPr>
        <w:spacing w:line="360" w:lineRule="auto"/>
      </w:pPr>
      <w:r>
        <w:t xml:space="preserve">An example that shows how much strain can be put on mothers to be maternal can be seen in the 2001 case of Andrea Yates. She drowned her five children in their home in Texas, as she felt she had not been a good mother to them, and they were not developing correctly. She was suffering also from postnatal psychosis after having her last baby, this is what led her to think these things and put a further strain on her. There also religious undertones to this case as she thought that parent should commit suicide rather than cause children to fall and go to hell (McLellan, 2006). Strain theory does not </w:t>
      </w:r>
      <w:proofErr w:type="gramStart"/>
      <w:r>
        <w:t>take into account</w:t>
      </w:r>
      <w:proofErr w:type="gramEnd"/>
      <w:r>
        <w:t xml:space="preserve"> that me</w:t>
      </w:r>
      <w:r w:rsidR="00F06496">
        <w:t>n</w:t>
      </w:r>
      <w:r>
        <w:t>tal illness or the development of one could be a factor of why and individual commits a deviant act or crime. This case does show that the pressure society puts people under to be perfect and to achieve goals and when an individual does not meet them for whatever reason the strain and pressure that that puts on them is far too much and this is where support is needed for an individual and help needs to be put in place before a deviant act or crime takes place as it did in the case of Andera Yates</w:t>
      </w:r>
      <w:r w:rsidR="0092520C">
        <w:t xml:space="preserve"> (Link </w:t>
      </w:r>
      <w:r w:rsidR="0092520C">
        <w:rPr>
          <w:i/>
          <w:iCs/>
        </w:rPr>
        <w:t xml:space="preserve">et al, </w:t>
      </w:r>
      <w:r w:rsidR="0092520C">
        <w:t>2016)</w:t>
      </w:r>
      <w:r>
        <w:t xml:space="preserve">.  </w:t>
      </w:r>
    </w:p>
    <w:p w14:paraId="507B0F4A" w14:textId="177F196C" w:rsidR="00E40971" w:rsidRDefault="00E40971" w:rsidP="005A09B1">
      <w:pPr>
        <w:spacing w:line="360" w:lineRule="auto"/>
      </w:pPr>
    </w:p>
    <w:p w14:paraId="01FEF0F8" w14:textId="15C6D8C7" w:rsidR="00873370" w:rsidRDefault="00873370" w:rsidP="005A09B1">
      <w:pPr>
        <w:spacing w:line="360" w:lineRule="auto"/>
      </w:pPr>
      <w:proofErr w:type="gramStart"/>
      <w:r>
        <w:t>This is why</w:t>
      </w:r>
      <w:proofErr w:type="gramEnd"/>
      <w:r>
        <w:t xml:space="preserve"> even though many academics support general strain theory, it is detrimental to remember that different strains will impact individuals in different ways many people experience post-natal depression, but many people also receive the correct support to help them and support them. General strain theory identifies that there are three types of potential support but does not further expand on how these may be able to help an individual suffering from a form of social strain (</w:t>
      </w:r>
      <w:proofErr w:type="spellStart"/>
      <w:r>
        <w:t>Capowich</w:t>
      </w:r>
      <w:proofErr w:type="spellEnd"/>
      <w:r>
        <w:t xml:space="preserve">, Mazerolle and </w:t>
      </w:r>
      <w:proofErr w:type="spellStart"/>
      <w:r>
        <w:t>Piqero</w:t>
      </w:r>
      <w:proofErr w:type="spellEnd"/>
      <w:r>
        <w:t xml:space="preserve">, 2001). If an individual </w:t>
      </w:r>
      <w:proofErr w:type="gramStart"/>
      <w:r>
        <w:t>is able to</w:t>
      </w:r>
      <w:proofErr w:type="gramEnd"/>
      <w:r>
        <w:t xml:space="preserve"> seek out help of have the support network available to them then it is more likely they could take some of that strain off the ind</w:t>
      </w:r>
      <w:r w:rsidR="00F06496">
        <w:t>i</w:t>
      </w:r>
      <w:r>
        <w:t>vi</w:t>
      </w:r>
      <w:r w:rsidR="00F06496">
        <w:t>du</w:t>
      </w:r>
      <w:r>
        <w:t xml:space="preserve">al or allow them to assess the support services such as mental health and that could be detrimental in that individual not committing a deviant act or becoming a criminal (Resnick </w:t>
      </w:r>
      <w:r>
        <w:rPr>
          <w:i/>
          <w:iCs/>
        </w:rPr>
        <w:t xml:space="preserve">et al, </w:t>
      </w:r>
      <w:r>
        <w:t xml:space="preserve">1997). </w:t>
      </w:r>
      <w:r w:rsidR="00B724EB">
        <w:t xml:space="preserve">There is a possibility If an individual like Andrea </w:t>
      </w:r>
      <w:r>
        <w:t>Yates had support outside of the religion, then she may have not suffered as much from her post-natal psychosis. Showing that strain can be a factor</w:t>
      </w:r>
      <w:r w:rsidR="00F06496">
        <w:t>,</w:t>
      </w:r>
      <w:r>
        <w:t xml:space="preserve"> but also that general stain theory does not fully understand other factors that could influence individuals to commit crimes</w:t>
      </w:r>
      <w:r w:rsidR="00B724EB">
        <w:t xml:space="preserve"> such as religion and groups like the LGBTQ+ community and internalised homophobia</w:t>
      </w:r>
      <w:r w:rsidR="0092520C">
        <w:t xml:space="preserve"> (</w:t>
      </w:r>
      <w:proofErr w:type="spellStart"/>
      <w:r w:rsidR="0092520C">
        <w:t>Sigfusdottir</w:t>
      </w:r>
      <w:proofErr w:type="spellEnd"/>
      <w:r w:rsidR="0092520C">
        <w:t xml:space="preserve">, </w:t>
      </w:r>
      <w:proofErr w:type="spellStart"/>
      <w:r w:rsidR="0092520C">
        <w:t>Kristjansson</w:t>
      </w:r>
      <w:proofErr w:type="spellEnd"/>
      <w:r w:rsidR="0092520C">
        <w:t xml:space="preserve"> and Agnew, 2012)</w:t>
      </w:r>
      <w:r w:rsidR="00B724EB">
        <w:t xml:space="preserve">. </w:t>
      </w:r>
    </w:p>
    <w:p w14:paraId="0981E47B" w14:textId="77777777" w:rsidR="00B724EB" w:rsidRDefault="00B724EB" w:rsidP="005A09B1">
      <w:pPr>
        <w:spacing w:line="360" w:lineRule="auto"/>
      </w:pPr>
    </w:p>
    <w:p w14:paraId="428F87CA" w14:textId="17411D70" w:rsidR="00B724EB" w:rsidRDefault="00B724EB" w:rsidP="005A09B1">
      <w:pPr>
        <w:spacing w:line="360" w:lineRule="auto"/>
      </w:pPr>
      <w:r>
        <w:t>There are links between general strain theory and outsider’s theory. When an individual becomes an outsider, it is likely they will then be put under some form of strain as they do not have the support needed by society and as a result this could result in criminal or deviant behaviour</w:t>
      </w:r>
      <w:r w:rsidR="00B413D2">
        <w:t xml:space="preserve"> (James, Bunch and Clay-Warner, 2015)</w:t>
      </w:r>
      <w:r>
        <w:t xml:space="preserve">.  Both theories still have relevance as </w:t>
      </w:r>
      <w:r w:rsidR="00F06496">
        <w:t>they can still be applied to modern day examples of crime and deviance.</w:t>
      </w:r>
      <w:r>
        <w:t xml:space="preserve"> It is also of importance to remember not all those who become outsiders</w:t>
      </w:r>
      <w:r w:rsidR="00B413D2">
        <w:t xml:space="preserve"> and have labels </w:t>
      </w:r>
      <w:r>
        <w:t>will commit crimes and not all people who experience strain will commit crimes</w:t>
      </w:r>
      <w:r w:rsidR="00F06496">
        <w:t xml:space="preserve"> (</w:t>
      </w:r>
      <w:r w:rsidR="00B413D2">
        <w:t>Thompson, 2014</w:t>
      </w:r>
      <w:r w:rsidR="00F06496">
        <w:t>)</w:t>
      </w:r>
      <w:r>
        <w:t xml:space="preserve">. </w:t>
      </w:r>
      <w:r w:rsidR="00F06496">
        <w:t>I</w:t>
      </w:r>
      <w:r>
        <w:t>n the case of abortion, it divides people some people see it as</w:t>
      </w:r>
      <w:r w:rsidR="00F06496">
        <w:t xml:space="preserve"> a</w:t>
      </w:r>
      <w:r>
        <w:t xml:space="preserve"> criminal</w:t>
      </w:r>
      <w:r w:rsidR="00F06496">
        <w:t xml:space="preserve"> act</w:t>
      </w:r>
      <w:r>
        <w:t xml:space="preserve">, and some do not. Crime and criminology are always changing, so it is important that these theories are built upon and improved to move with modern times. </w:t>
      </w:r>
    </w:p>
    <w:p w14:paraId="38131C51" w14:textId="503225F8" w:rsidR="007C1DBB" w:rsidRDefault="007C1DBB" w:rsidP="005A09B1">
      <w:pPr>
        <w:spacing w:line="360" w:lineRule="auto"/>
      </w:pPr>
    </w:p>
    <w:p w14:paraId="2EE76D11" w14:textId="7F4FF412" w:rsidR="007C1DBB" w:rsidRDefault="007C1DBB" w:rsidP="005A09B1">
      <w:pPr>
        <w:spacing w:line="360" w:lineRule="auto"/>
      </w:pPr>
    </w:p>
    <w:p w14:paraId="39536102" w14:textId="4EBD56FA" w:rsidR="007C1DBB" w:rsidRDefault="007C1DBB" w:rsidP="005A09B1">
      <w:pPr>
        <w:spacing w:line="360" w:lineRule="auto"/>
      </w:pPr>
    </w:p>
    <w:p w14:paraId="50BE9913" w14:textId="3B034917" w:rsidR="007C1DBB" w:rsidRDefault="007C1DBB" w:rsidP="005A09B1">
      <w:pPr>
        <w:spacing w:line="360" w:lineRule="auto"/>
      </w:pPr>
    </w:p>
    <w:p w14:paraId="0817D35F" w14:textId="15149917" w:rsidR="007C1DBB" w:rsidRDefault="007C1DBB" w:rsidP="005A09B1">
      <w:pPr>
        <w:spacing w:line="360" w:lineRule="auto"/>
      </w:pPr>
    </w:p>
    <w:p w14:paraId="5241B5F6" w14:textId="23B0CB4D" w:rsidR="007C1DBB" w:rsidRDefault="007C1DBB" w:rsidP="005A09B1">
      <w:pPr>
        <w:spacing w:line="360" w:lineRule="auto"/>
        <w:rPr>
          <w:u w:val="single"/>
        </w:rPr>
      </w:pPr>
      <w:r w:rsidRPr="007C1DBB">
        <w:rPr>
          <w:u w:val="single"/>
        </w:rPr>
        <w:lastRenderedPageBreak/>
        <w:t xml:space="preserve">Reference list </w:t>
      </w:r>
    </w:p>
    <w:p w14:paraId="0F493B31" w14:textId="77777777" w:rsidR="007C1DBB" w:rsidRPr="00FF24ED" w:rsidRDefault="007C1DBB" w:rsidP="007C1DBB">
      <w:pPr>
        <w:rPr>
          <w:rFonts w:cstheme="minorHAnsi"/>
        </w:rPr>
      </w:pPr>
      <w:r w:rsidRPr="00FF24ED">
        <w:rPr>
          <w:rFonts w:cstheme="minorHAnsi"/>
        </w:rPr>
        <w:t xml:space="preserve">Adams, M. and Evans, D. (1996) ‘Teacher Disapproval, Delinquent Peers, and Self-Reported Delinquency: A Longitudinal Test of Labelling Theory’, </w:t>
      </w:r>
      <w:r w:rsidRPr="00FF24ED">
        <w:rPr>
          <w:rFonts w:cstheme="minorHAnsi"/>
          <w:i/>
          <w:iCs/>
        </w:rPr>
        <w:t xml:space="preserve">The Urban Review, </w:t>
      </w:r>
      <w:r w:rsidRPr="00FF24ED">
        <w:rPr>
          <w:rFonts w:cstheme="minorHAnsi"/>
        </w:rPr>
        <w:t>28(3), pp.199-211. DOI: 10.1007/BF02355337</w:t>
      </w:r>
    </w:p>
    <w:p w14:paraId="07707496" w14:textId="77777777" w:rsidR="007C1DBB" w:rsidRPr="00507EAE" w:rsidRDefault="007C1DBB" w:rsidP="007C1DBB">
      <w:pPr>
        <w:ind w:left="360"/>
        <w:rPr>
          <w:rFonts w:cstheme="minorHAnsi"/>
        </w:rPr>
      </w:pPr>
    </w:p>
    <w:p w14:paraId="0035514C" w14:textId="77777777" w:rsidR="007C1DBB" w:rsidRPr="00FF24ED" w:rsidRDefault="007C1DBB" w:rsidP="007C1DBB">
      <w:pPr>
        <w:rPr>
          <w:rFonts w:cstheme="minorHAnsi"/>
        </w:rPr>
      </w:pPr>
      <w:r w:rsidRPr="00FF24ED">
        <w:rPr>
          <w:rFonts w:cstheme="minorHAnsi"/>
        </w:rPr>
        <w:t>Agnew, R. (1992) ‘Foundation for a General Strain Theory of Crime and Delinquency</w:t>
      </w:r>
      <w:proofErr w:type="gramStart"/>
      <w:r w:rsidRPr="00FF24ED">
        <w:rPr>
          <w:rFonts w:cstheme="minorHAnsi"/>
        </w:rPr>
        <w:t xml:space="preserve">’, </w:t>
      </w:r>
      <w:r w:rsidRPr="00FF24ED">
        <w:rPr>
          <w:rFonts w:cstheme="minorHAnsi"/>
          <w:i/>
          <w:iCs/>
        </w:rPr>
        <w:t xml:space="preserve"> Criminology</w:t>
      </w:r>
      <w:proofErr w:type="gramEnd"/>
      <w:r w:rsidRPr="00FF24ED">
        <w:rPr>
          <w:rFonts w:cstheme="minorHAnsi"/>
          <w:i/>
          <w:iCs/>
        </w:rPr>
        <w:t xml:space="preserve">, </w:t>
      </w:r>
      <w:r w:rsidRPr="00FF24ED">
        <w:rPr>
          <w:rFonts w:cstheme="minorHAnsi"/>
        </w:rPr>
        <w:t>30(1), pp.47-87. DOI:</w:t>
      </w:r>
      <w:r w:rsidRPr="00FF24ED">
        <w:rPr>
          <w:rFonts w:ascii="Helvetica" w:eastAsia="Times New Roman" w:hAnsi="Helvetica" w:cs="Times New Roman"/>
          <w:color w:val="333333"/>
          <w:sz w:val="20"/>
          <w:szCs w:val="20"/>
          <w:shd w:val="clear" w:color="auto" w:fill="F6F6F6"/>
          <w:lang w:eastAsia="en-GB"/>
        </w:rPr>
        <w:t xml:space="preserve"> </w:t>
      </w:r>
      <w:r w:rsidRPr="00FF24ED">
        <w:rPr>
          <w:rFonts w:cstheme="minorHAnsi"/>
        </w:rPr>
        <w:t>10.1111/j.1745-</w:t>
      </w:r>
      <w:proofErr w:type="gramStart"/>
      <w:r w:rsidRPr="00FF24ED">
        <w:rPr>
          <w:rFonts w:cstheme="minorHAnsi"/>
        </w:rPr>
        <w:t>9125.1992.tb</w:t>
      </w:r>
      <w:proofErr w:type="gramEnd"/>
      <w:r w:rsidRPr="00FF24ED">
        <w:rPr>
          <w:rFonts w:cstheme="minorHAnsi"/>
        </w:rPr>
        <w:t>01093.x</w:t>
      </w:r>
    </w:p>
    <w:p w14:paraId="187C89EF" w14:textId="77777777" w:rsidR="007C1DBB" w:rsidRPr="00507EAE" w:rsidRDefault="007C1DBB" w:rsidP="007C1DBB">
      <w:pPr>
        <w:ind w:left="360"/>
        <w:rPr>
          <w:rFonts w:cstheme="minorHAnsi"/>
        </w:rPr>
      </w:pPr>
    </w:p>
    <w:p w14:paraId="7CC44793" w14:textId="77777777" w:rsidR="007C1DBB" w:rsidRPr="00FF24ED" w:rsidRDefault="007C1DBB" w:rsidP="007C1DBB">
      <w:pPr>
        <w:rPr>
          <w:rFonts w:cstheme="minorHAnsi"/>
        </w:rPr>
      </w:pPr>
      <w:r w:rsidRPr="00FF24ED">
        <w:rPr>
          <w:rFonts w:cstheme="minorHAnsi"/>
        </w:rPr>
        <w:t xml:space="preserve">Agnew, R. (2001) ‘Building on the Foundation of General Strain Theory: Specifying the Types of Strain Most Likely to Lead to Crime and Delinquency’, </w:t>
      </w:r>
      <w:r w:rsidRPr="00FF24ED">
        <w:rPr>
          <w:rFonts w:cstheme="minorHAnsi"/>
          <w:i/>
          <w:iCs/>
        </w:rPr>
        <w:t xml:space="preserve">Journal of Research in Crime and Delinquency, </w:t>
      </w:r>
      <w:r w:rsidRPr="00FF24ED">
        <w:rPr>
          <w:rFonts w:cstheme="minorHAnsi"/>
        </w:rPr>
        <w:t>38(4), pp.319-361. DOI: 10.1.1.473.6703</w:t>
      </w:r>
    </w:p>
    <w:p w14:paraId="10FAD1FD" w14:textId="77777777" w:rsidR="007C1DBB" w:rsidRPr="00507EAE" w:rsidRDefault="007C1DBB" w:rsidP="007C1DBB">
      <w:pPr>
        <w:ind w:left="360"/>
        <w:rPr>
          <w:rFonts w:cstheme="minorHAnsi"/>
        </w:rPr>
      </w:pPr>
    </w:p>
    <w:p w14:paraId="01569F12" w14:textId="09894129" w:rsidR="007C1DBB" w:rsidRPr="00FF24ED" w:rsidRDefault="007C1DBB" w:rsidP="007C1DBB">
      <w:pPr>
        <w:rPr>
          <w:rFonts w:cstheme="minorHAnsi"/>
        </w:rPr>
      </w:pPr>
      <w:r w:rsidRPr="00FF24ED">
        <w:rPr>
          <w:rFonts w:cstheme="minorHAnsi"/>
        </w:rPr>
        <w:t xml:space="preserve">Becker, H. (2018) </w:t>
      </w:r>
      <w:r w:rsidRPr="00FF24ED">
        <w:rPr>
          <w:rFonts w:cstheme="minorHAnsi"/>
          <w:i/>
          <w:iCs/>
        </w:rPr>
        <w:t xml:space="preserve">Outsiders Studies in the Sociology of Deviance. </w:t>
      </w:r>
      <w:r w:rsidRPr="00FF24ED">
        <w:rPr>
          <w:rFonts w:cstheme="minorHAnsi"/>
        </w:rPr>
        <w:t>New York: Free Press.</w:t>
      </w:r>
    </w:p>
    <w:p w14:paraId="732125F1" w14:textId="77777777" w:rsidR="007C1DBB" w:rsidRPr="00507EAE" w:rsidRDefault="007C1DBB" w:rsidP="007C1DBB">
      <w:pPr>
        <w:ind w:left="360"/>
        <w:rPr>
          <w:rFonts w:cstheme="minorHAnsi"/>
        </w:rPr>
      </w:pPr>
    </w:p>
    <w:p w14:paraId="59B9756D" w14:textId="77777777" w:rsidR="007C1DBB" w:rsidRPr="00FF24ED" w:rsidRDefault="007C1DBB" w:rsidP="007C1DBB">
      <w:pPr>
        <w:rPr>
          <w:rFonts w:cstheme="minorHAnsi"/>
        </w:rPr>
      </w:pPr>
      <w:r w:rsidRPr="00FF24ED">
        <w:rPr>
          <w:rFonts w:cstheme="minorHAnsi"/>
        </w:rPr>
        <w:t xml:space="preserve">Bernburg, J.  </w:t>
      </w:r>
      <w:proofErr w:type="spellStart"/>
      <w:r w:rsidRPr="00FF24ED">
        <w:rPr>
          <w:rFonts w:cstheme="minorHAnsi"/>
        </w:rPr>
        <w:t>Krohn</w:t>
      </w:r>
      <w:proofErr w:type="spellEnd"/>
      <w:r w:rsidRPr="00FF24ED">
        <w:rPr>
          <w:rFonts w:cstheme="minorHAnsi"/>
        </w:rPr>
        <w:t xml:space="preserve">, M. And Rivera, C. (2006) ‘Official Labelling, Criminal Embeddedness, and Subsequent Delinquency’, </w:t>
      </w:r>
      <w:r w:rsidRPr="00FF24ED">
        <w:rPr>
          <w:rFonts w:cstheme="minorHAnsi"/>
          <w:i/>
          <w:iCs/>
        </w:rPr>
        <w:t xml:space="preserve">Journal of Research in Crime and Delinquency, </w:t>
      </w:r>
      <w:r w:rsidRPr="00FF24ED">
        <w:rPr>
          <w:rFonts w:cstheme="minorHAnsi"/>
        </w:rPr>
        <w:t>43(1), pp.67-88. DOI:</w:t>
      </w:r>
      <w:r w:rsidRPr="00FF24ED">
        <w:rPr>
          <w:rFonts w:ascii="Times New Roman" w:eastAsia="Times New Roman" w:hAnsi="Times New Roman" w:cs="Times New Roman"/>
          <w:lang w:eastAsia="en-GB"/>
        </w:rPr>
        <w:t xml:space="preserve"> </w:t>
      </w:r>
      <w:hyperlink r:id="rId6" w:history="1">
        <w:r w:rsidRPr="00FF24ED">
          <w:rPr>
            <w:rStyle w:val="Hyperlink"/>
            <w:rFonts w:cstheme="minorHAnsi"/>
          </w:rPr>
          <w:t>10.1177/0022427805280068</w:t>
        </w:r>
      </w:hyperlink>
      <w:r w:rsidRPr="00FF24ED">
        <w:rPr>
          <w:rFonts w:cstheme="minorHAnsi"/>
        </w:rPr>
        <w:t>.</w:t>
      </w:r>
    </w:p>
    <w:p w14:paraId="3ADACB1D" w14:textId="77777777" w:rsidR="007C1DBB" w:rsidRPr="00507EAE" w:rsidRDefault="007C1DBB" w:rsidP="007C1DBB">
      <w:pPr>
        <w:ind w:left="360"/>
        <w:rPr>
          <w:rFonts w:cstheme="minorHAnsi"/>
        </w:rPr>
      </w:pPr>
    </w:p>
    <w:p w14:paraId="76AEDC51" w14:textId="77777777" w:rsidR="007C1DBB" w:rsidRPr="00FF24ED" w:rsidRDefault="007C1DBB" w:rsidP="007C1DBB">
      <w:pPr>
        <w:rPr>
          <w:rFonts w:cstheme="minorHAnsi"/>
        </w:rPr>
      </w:pPr>
      <w:proofErr w:type="spellStart"/>
      <w:r w:rsidRPr="00FF24ED">
        <w:rPr>
          <w:rFonts w:cstheme="minorHAnsi"/>
        </w:rPr>
        <w:t>Botchkovar</w:t>
      </w:r>
      <w:proofErr w:type="spellEnd"/>
      <w:r w:rsidRPr="00FF24ED">
        <w:rPr>
          <w:rFonts w:cstheme="minorHAnsi"/>
        </w:rPr>
        <w:t xml:space="preserve">, E. Tittle, C. and </w:t>
      </w:r>
      <w:proofErr w:type="spellStart"/>
      <w:r w:rsidRPr="00FF24ED">
        <w:rPr>
          <w:rFonts w:cstheme="minorHAnsi"/>
        </w:rPr>
        <w:t>Antonaccio</w:t>
      </w:r>
      <w:proofErr w:type="spellEnd"/>
      <w:r w:rsidRPr="00FF24ED">
        <w:rPr>
          <w:rFonts w:cstheme="minorHAnsi"/>
        </w:rPr>
        <w:t xml:space="preserve">, O. (2009) ‘General Strain Theory: Additional Evidence Using Cross Cultural Data’, </w:t>
      </w:r>
      <w:r w:rsidRPr="00FF24ED">
        <w:rPr>
          <w:rFonts w:cstheme="minorHAnsi"/>
          <w:i/>
          <w:iCs/>
        </w:rPr>
        <w:t xml:space="preserve">Criminology, </w:t>
      </w:r>
      <w:r w:rsidRPr="00FF24ED">
        <w:rPr>
          <w:rFonts w:cstheme="minorHAnsi"/>
        </w:rPr>
        <w:t xml:space="preserve">47(1), pp.131-179. DOI: </w:t>
      </w:r>
      <w:hyperlink r:id="rId7" w:tgtFrame="_blank" w:history="1">
        <w:r w:rsidRPr="00FF24ED">
          <w:rPr>
            <w:rStyle w:val="Hyperlink"/>
            <w:rFonts w:cstheme="minorHAnsi"/>
            <w:b/>
            <w:bCs/>
          </w:rPr>
          <w:t>10.1111/j.1745-9125.</w:t>
        </w:r>
        <w:proofErr w:type="gramStart"/>
        <w:r w:rsidRPr="00FF24ED">
          <w:rPr>
            <w:rStyle w:val="Hyperlink"/>
            <w:rFonts w:cstheme="minorHAnsi"/>
            <w:b/>
            <w:bCs/>
          </w:rPr>
          <w:t>2009.00141.x</w:t>
        </w:r>
        <w:proofErr w:type="gramEnd"/>
      </w:hyperlink>
    </w:p>
    <w:p w14:paraId="2D4705E4" w14:textId="77777777" w:rsidR="007C1DBB" w:rsidRPr="00507EAE" w:rsidRDefault="007C1DBB" w:rsidP="007C1DBB">
      <w:pPr>
        <w:ind w:left="360"/>
        <w:rPr>
          <w:rFonts w:cstheme="minorHAnsi"/>
        </w:rPr>
      </w:pPr>
    </w:p>
    <w:p w14:paraId="18B9B60D" w14:textId="77777777" w:rsidR="007C1DBB" w:rsidRPr="00FF24ED" w:rsidRDefault="007C1DBB" w:rsidP="007C1DBB">
      <w:pPr>
        <w:rPr>
          <w:rFonts w:cstheme="minorHAnsi"/>
        </w:rPr>
      </w:pPr>
      <w:proofErr w:type="spellStart"/>
      <w:r w:rsidRPr="00FF24ED">
        <w:rPr>
          <w:rFonts w:cstheme="minorHAnsi"/>
        </w:rPr>
        <w:t>Broidy</w:t>
      </w:r>
      <w:proofErr w:type="spellEnd"/>
      <w:r w:rsidRPr="00FF24ED">
        <w:rPr>
          <w:rFonts w:cstheme="minorHAnsi"/>
        </w:rPr>
        <w:t xml:space="preserve">, L. (2001) ‘A Test of General Strain Theory’, </w:t>
      </w:r>
      <w:r w:rsidRPr="00FF24ED">
        <w:rPr>
          <w:rFonts w:cstheme="minorHAnsi"/>
          <w:i/>
          <w:iCs/>
        </w:rPr>
        <w:t xml:space="preserve">Criminology, </w:t>
      </w:r>
      <w:r w:rsidRPr="00FF24ED">
        <w:rPr>
          <w:rFonts w:cstheme="minorHAnsi"/>
        </w:rPr>
        <w:t>39(1), pp.9-36. DOI:</w:t>
      </w:r>
      <w:r w:rsidRPr="00FF24ED">
        <w:rPr>
          <w:rFonts w:ascii="Times New Roman" w:eastAsia="Times New Roman" w:hAnsi="Times New Roman" w:cs="Times New Roman"/>
          <w:lang w:eastAsia="en-GB"/>
        </w:rPr>
        <w:t xml:space="preserve"> </w:t>
      </w:r>
      <w:hyperlink r:id="rId8" w:tgtFrame="_blank" w:history="1">
        <w:r w:rsidRPr="00FF24ED">
          <w:rPr>
            <w:rStyle w:val="Hyperlink"/>
            <w:rFonts w:cstheme="minorHAnsi"/>
            <w:b/>
            <w:bCs/>
          </w:rPr>
          <w:t>10.1111/j.1745-9125. 2001.tb00915.x</w:t>
        </w:r>
      </w:hyperlink>
    </w:p>
    <w:p w14:paraId="2789C95F" w14:textId="77777777" w:rsidR="007C1DBB" w:rsidRPr="00507EAE" w:rsidRDefault="007C1DBB" w:rsidP="007C1DBB">
      <w:pPr>
        <w:ind w:left="360"/>
        <w:rPr>
          <w:rFonts w:cstheme="minorHAnsi"/>
        </w:rPr>
      </w:pPr>
    </w:p>
    <w:p w14:paraId="6BFF0146" w14:textId="77777777" w:rsidR="007C1DBB" w:rsidRPr="00FF24ED" w:rsidRDefault="007C1DBB" w:rsidP="007C1DBB">
      <w:pPr>
        <w:rPr>
          <w:rFonts w:cstheme="minorHAnsi"/>
        </w:rPr>
      </w:pPr>
      <w:proofErr w:type="spellStart"/>
      <w:r w:rsidRPr="00FF24ED">
        <w:rPr>
          <w:rFonts w:cstheme="minorHAnsi"/>
        </w:rPr>
        <w:t>Capowich</w:t>
      </w:r>
      <w:proofErr w:type="spellEnd"/>
      <w:r w:rsidRPr="00FF24ED">
        <w:rPr>
          <w:rFonts w:cstheme="minorHAnsi"/>
        </w:rPr>
        <w:t xml:space="preserve">, G. </w:t>
      </w:r>
      <w:proofErr w:type="spellStart"/>
      <w:r w:rsidRPr="00FF24ED">
        <w:rPr>
          <w:rFonts w:cstheme="minorHAnsi"/>
        </w:rPr>
        <w:t>Maxerolle</w:t>
      </w:r>
      <w:proofErr w:type="spellEnd"/>
      <w:r w:rsidRPr="00FF24ED">
        <w:rPr>
          <w:rFonts w:cstheme="minorHAnsi"/>
        </w:rPr>
        <w:t xml:space="preserve">, P. and </w:t>
      </w:r>
      <w:proofErr w:type="spellStart"/>
      <w:r w:rsidRPr="00FF24ED">
        <w:rPr>
          <w:rFonts w:cstheme="minorHAnsi"/>
        </w:rPr>
        <w:t>Piquro</w:t>
      </w:r>
      <w:proofErr w:type="spellEnd"/>
      <w:r w:rsidRPr="00FF24ED">
        <w:rPr>
          <w:rFonts w:cstheme="minorHAnsi"/>
        </w:rPr>
        <w:t xml:space="preserve">, A. (2001) ‘General Strain Theory, Situational Anger, and Social Networks </w:t>
      </w:r>
      <w:proofErr w:type="gramStart"/>
      <w:r w:rsidRPr="00FF24ED">
        <w:rPr>
          <w:rFonts w:cstheme="minorHAnsi"/>
        </w:rPr>
        <w:t>An</w:t>
      </w:r>
      <w:proofErr w:type="gramEnd"/>
      <w:r w:rsidRPr="00FF24ED">
        <w:rPr>
          <w:rFonts w:cstheme="minorHAnsi"/>
        </w:rPr>
        <w:t xml:space="preserve"> Assessment of Conditioning Influences’, </w:t>
      </w:r>
      <w:r w:rsidRPr="00FF24ED">
        <w:rPr>
          <w:rFonts w:cstheme="minorHAnsi"/>
          <w:i/>
          <w:iCs/>
        </w:rPr>
        <w:t xml:space="preserve">Journal of Criminal Justice, </w:t>
      </w:r>
      <w:r w:rsidRPr="00FF24ED">
        <w:rPr>
          <w:rFonts w:cstheme="minorHAnsi"/>
        </w:rPr>
        <w:t>29(5), pp.445-461. DOI:</w:t>
      </w:r>
      <w:r w:rsidRPr="00FF24ED">
        <w:rPr>
          <w:rFonts w:ascii="Times New Roman" w:eastAsia="Times New Roman" w:hAnsi="Times New Roman" w:cs="Times New Roman"/>
          <w:lang w:eastAsia="en-GB"/>
        </w:rPr>
        <w:t xml:space="preserve"> </w:t>
      </w:r>
      <w:hyperlink r:id="rId9" w:tgtFrame="_blank" w:tooltip="Persistent link using digital object identifier" w:history="1">
        <w:r w:rsidRPr="00FF24ED">
          <w:rPr>
            <w:rStyle w:val="Hyperlink"/>
            <w:rFonts w:cstheme="minorHAnsi"/>
          </w:rPr>
          <w:t>10.1016/S0047-2352(01)00101-5</w:t>
        </w:r>
      </w:hyperlink>
    </w:p>
    <w:p w14:paraId="30E0CA60" w14:textId="77777777" w:rsidR="007C1DBB" w:rsidRPr="00507EAE" w:rsidRDefault="007C1DBB" w:rsidP="007C1DBB">
      <w:pPr>
        <w:ind w:left="360"/>
        <w:rPr>
          <w:rFonts w:cstheme="minorHAnsi"/>
        </w:rPr>
      </w:pPr>
    </w:p>
    <w:p w14:paraId="3AC086BD" w14:textId="77777777" w:rsidR="007C1DBB" w:rsidRPr="00FF24ED" w:rsidRDefault="007C1DBB" w:rsidP="007C1DBB">
      <w:pPr>
        <w:rPr>
          <w:rFonts w:cstheme="minorHAnsi"/>
        </w:rPr>
      </w:pPr>
      <w:r w:rsidRPr="00FF24ED">
        <w:rPr>
          <w:rFonts w:cstheme="minorHAnsi"/>
        </w:rPr>
        <w:t xml:space="preserve">Cohen, G. </w:t>
      </w:r>
      <w:proofErr w:type="spellStart"/>
      <w:r w:rsidRPr="00FF24ED">
        <w:rPr>
          <w:rFonts w:cstheme="minorHAnsi"/>
        </w:rPr>
        <w:t>Adashi</w:t>
      </w:r>
      <w:proofErr w:type="spellEnd"/>
      <w:r w:rsidRPr="00FF24ED">
        <w:rPr>
          <w:rFonts w:cstheme="minorHAnsi"/>
        </w:rPr>
        <w:t xml:space="preserve">, E. and </w:t>
      </w:r>
      <w:proofErr w:type="spellStart"/>
      <w:r w:rsidRPr="00FF24ED">
        <w:rPr>
          <w:rFonts w:cstheme="minorHAnsi"/>
        </w:rPr>
        <w:t>Gostin</w:t>
      </w:r>
      <w:proofErr w:type="spellEnd"/>
      <w:r w:rsidRPr="00FF24ED">
        <w:rPr>
          <w:rFonts w:cstheme="minorHAnsi"/>
        </w:rPr>
        <w:t xml:space="preserve">, L. (2021) ‘The Supreme Court, the Texas Abortion Law (SB8) and the Beginning of the End of Roe v Wade?’, </w:t>
      </w:r>
      <w:r w:rsidRPr="00FF24ED">
        <w:rPr>
          <w:rFonts w:cstheme="minorHAnsi"/>
          <w:i/>
          <w:iCs/>
        </w:rPr>
        <w:t xml:space="preserve">JAMA, </w:t>
      </w:r>
      <w:r w:rsidRPr="00FF24ED">
        <w:rPr>
          <w:rFonts w:cstheme="minorHAnsi"/>
        </w:rPr>
        <w:t>326(15), pp.1473-1474. DOI:10.1001/jama.2021.17639.</w:t>
      </w:r>
    </w:p>
    <w:p w14:paraId="06FDCD8A" w14:textId="77777777" w:rsidR="007C1DBB" w:rsidRPr="00507EAE" w:rsidRDefault="007C1DBB" w:rsidP="007C1DBB">
      <w:pPr>
        <w:ind w:left="360"/>
        <w:rPr>
          <w:rFonts w:cstheme="minorHAnsi"/>
        </w:rPr>
      </w:pPr>
    </w:p>
    <w:p w14:paraId="51C2E88B" w14:textId="77777777" w:rsidR="007C1DBB" w:rsidRPr="00FF24ED" w:rsidRDefault="007C1DBB" w:rsidP="007C1DBB">
      <w:pPr>
        <w:rPr>
          <w:rFonts w:cstheme="minorHAnsi"/>
        </w:rPr>
      </w:pPr>
      <w:r w:rsidRPr="00FF24ED">
        <w:rPr>
          <w:rFonts w:cstheme="minorHAnsi"/>
        </w:rPr>
        <w:t xml:space="preserve">Fitzgerald, C.S. (2011) ‘Historical Theories of Crime and Delinquency’, </w:t>
      </w:r>
      <w:r w:rsidRPr="00FF24ED">
        <w:rPr>
          <w:rFonts w:cstheme="minorHAnsi"/>
          <w:i/>
          <w:iCs/>
        </w:rPr>
        <w:t xml:space="preserve">Journal of Human Behaviour in the Social Environment, </w:t>
      </w:r>
      <w:r w:rsidRPr="00FF24ED">
        <w:rPr>
          <w:rFonts w:cstheme="minorHAnsi"/>
        </w:rPr>
        <w:t>21(3), pp.297-311. DOI: 10.1080/10911359.2011.564954.</w:t>
      </w:r>
    </w:p>
    <w:p w14:paraId="3D600C4A" w14:textId="77777777" w:rsidR="007C1DBB" w:rsidRPr="00507EAE" w:rsidRDefault="007C1DBB" w:rsidP="007C1DBB">
      <w:pPr>
        <w:ind w:left="360"/>
        <w:rPr>
          <w:rFonts w:cstheme="minorHAnsi"/>
        </w:rPr>
      </w:pPr>
    </w:p>
    <w:p w14:paraId="28C44D06" w14:textId="71956F26" w:rsidR="007C1DBB" w:rsidRPr="00FF24ED" w:rsidRDefault="007C1DBB" w:rsidP="007C1DBB">
      <w:pPr>
        <w:rPr>
          <w:rFonts w:cstheme="minorHAnsi"/>
        </w:rPr>
      </w:pPr>
      <w:r w:rsidRPr="00FF24ED">
        <w:rPr>
          <w:rFonts w:cstheme="minorHAnsi"/>
        </w:rPr>
        <w:t xml:space="preserve">Friedman, L. (1993) </w:t>
      </w:r>
      <w:r w:rsidRPr="00FF24ED">
        <w:rPr>
          <w:rFonts w:cstheme="minorHAnsi"/>
          <w:i/>
          <w:iCs/>
        </w:rPr>
        <w:t xml:space="preserve">Crime and Punishment in American History. </w:t>
      </w:r>
      <w:r w:rsidRPr="00FF24ED">
        <w:rPr>
          <w:rFonts w:cstheme="minorHAnsi"/>
        </w:rPr>
        <w:t>New York: Basic Books.</w:t>
      </w:r>
    </w:p>
    <w:p w14:paraId="0DCBA65D" w14:textId="77777777" w:rsidR="007C1DBB" w:rsidRPr="00507EAE" w:rsidRDefault="007C1DBB" w:rsidP="007C1DBB">
      <w:pPr>
        <w:ind w:left="360"/>
        <w:rPr>
          <w:rFonts w:cstheme="minorHAnsi"/>
        </w:rPr>
      </w:pPr>
    </w:p>
    <w:p w14:paraId="58BA06B0" w14:textId="0CD5F9EC" w:rsidR="007C1DBB" w:rsidRPr="00FF24ED" w:rsidRDefault="007C1DBB" w:rsidP="007C1DBB">
      <w:pPr>
        <w:rPr>
          <w:rFonts w:cstheme="minorHAnsi"/>
        </w:rPr>
      </w:pPr>
      <w:r w:rsidRPr="00FF24ED">
        <w:rPr>
          <w:rFonts w:cstheme="minorHAnsi"/>
        </w:rPr>
        <w:t xml:space="preserve">Hale, C. et al. (2013) </w:t>
      </w:r>
      <w:r w:rsidRPr="00FF24ED">
        <w:rPr>
          <w:rFonts w:cstheme="minorHAnsi"/>
          <w:i/>
          <w:iCs/>
        </w:rPr>
        <w:t xml:space="preserve">Criminology. </w:t>
      </w:r>
      <w:r w:rsidRPr="00FF24ED">
        <w:rPr>
          <w:rFonts w:cstheme="minorHAnsi"/>
        </w:rPr>
        <w:t>3</w:t>
      </w:r>
      <w:r w:rsidRPr="00FF24ED">
        <w:rPr>
          <w:rFonts w:cstheme="minorHAnsi"/>
          <w:vertAlign w:val="superscript"/>
        </w:rPr>
        <w:t>rd</w:t>
      </w:r>
      <w:r w:rsidRPr="00FF24ED">
        <w:rPr>
          <w:rFonts w:cstheme="minorHAnsi"/>
        </w:rPr>
        <w:t xml:space="preserve"> </w:t>
      </w:r>
      <w:proofErr w:type="spellStart"/>
      <w:r w:rsidRPr="00FF24ED">
        <w:rPr>
          <w:rFonts w:cstheme="minorHAnsi"/>
        </w:rPr>
        <w:t>edn</w:t>
      </w:r>
      <w:proofErr w:type="spellEnd"/>
      <w:r w:rsidRPr="00FF24ED">
        <w:rPr>
          <w:rFonts w:cstheme="minorHAnsi"/>
        </w:rPr>
        <w:t>. Oxford: Oxford University Press.</w:t>
      </w:r>
    </w:p>
    <w:p w14:paraId="739F8406" w14:textId="77777777" w:rsidR="007C1DBB" w:rsidRPr="00507EAE" w:rsidRDefault="007C1DBB" w:rsidP="007C1DBB">
      <w:pPr>
        <w:ind w:left="360"/>
        <w:rPr>
          <w:rFonts w:cstheme="minorHAnsi"/>
        </w:rPr>
      </w:pPr>
    </w:p>
    <w:p w14:paraId="4998BE35" w14:textId="77777777" w:rsidR="007C1DBB" w:rsidRDefault="007C1DBB" w:rsidP="007C1DBB">
      <w:r>
        <w:t xml:space="preserve">Henderson, A. Harmon, S. and Newman, H. (2016) ‘The Price Mothers Pay, Even When They Are Not Buying It: Mental </w:t>
      </w:r>
      <w:proofErr w:type="spellStart"/>
      <w:r>
        <w:t>Heath</w:t>
      </w:r>
      <w:proofErr w:type="spellEnd"/>
      <w:r>
        <w:t xml:space="preserve"> Consequences </w:t>
      </w:r>
      <w:proofErr w:type="gramStart"/>
      <w:r>
        <w:t>Of</w:t>
      </w:r>
      <w:proofErr w:type="gramEnd"/>
      <w:r>
        <w:t xml:space="preserve"> Idealised Motherhood’, </w:t>
      </w:r>
      <w:r w:rsidRPr="00FF24ED">
        <w:rPr>
          <w:i/>
          <w:iCs/>
        </w:rPr>
        <w:t xml:space="preserve">Sex Roles, </w:t>
      </w:r>
      <w:r>
        <w:t>74, pp.512-526. DOI:</w:t>
      </w:r>
      <w:r w:rsidRPr="00FF24ED">
        <w:rPr>
          <w:rFonts w:ascii="Times New Roman" w:eastAsia="Times New Roman" w:hAnsi="Times New Roman" w:cs="Times New Roman"/>
          <w:lang w:eastAsia="en-GB"/>
        </w:rPr>
        <w:t xml:space="preserve"> </w:t>
      </w:r>
      <w:r w:rsidRPr="005D3D47">
        <w:t>10.1007/s11199-015-0534-5</w:t>
      </w:r>
      <w:r>
        <w:t>.</w:t>
      </w:r>
    </w:p>
    <w:p w14:paraId="03C5E3FB" w14:textId="77777777" w:rsidR="007C1DBB" w:rsidRPr="005D3D47" w:rsidRDefault="007C1DBB" w:rsidP="007C1DBB">
      <w:pPr>
        <w:ind w:left="360"/>
      </w:pPr>
    </w:p>
    <w:p w14:paraId="59C7B6CD" w14:textId="77777777" w:rsidR="007C1DBB" w:rsidRPr="00FF24ED" w:rsidRDefault="007C1DBB" w:rsidP="007C1DBB">
      <w:pPr>
        <w:rPr>
          <w:rFonts w:cstheme="minorHAnsi"/>
        </w:rPr>
      </w:pPr>
      <w:r w:rsidRPr="00FF24ED">
        <w:rPr>
          <w:rFonts w:cstheme="minorHAnsi"/>
        </w:rPr>
        <w:t xml:space="preserve">Hendricks, P. (2018) ‘Even if the Foetus is Not a Person, Abortion is Immoral: The Impairment Argument’, </w:t>
      </w:r>
      <w:r w:rsidRPr="00FF24ED">
        <w:rPr>
          <w:rFonts w:cstheme="minorHAnsi"/>
          <w:i/>
          <w:iCs/>
        </w:rPr>
        <w:t xml:space="preserve">Bioethics, </w:t>
      </w:r>
      <w:r w:rsidRPr="00FF24ED">
        <w:rPr>
          <w:rFonts w:cstheme="minorHAnsi"/>
        </w:rPr>
        <w:t>33(2), pp.245-253. DOI: 10.1111/bioe.12533.</w:t>
      </w:r>
    </w:p>
    <w:p w14:paraId="5DBCAD2A" w14:textId="77777777" w:rsidR="007C1DBB" w:rsidRPr="00507EAE" w:rsidRDefault="007C1DBB" w:rsidP="007C1DBB">
      <w:pPr>
        <w:ind w:left="360"/>
        <w:rPr>
          <w:rFonts w:cstheme="minorHAnsi"/>
        </w:rPr>
      </w:pPr>
    </w:p>
    <w:p w14:paraId="2A4C042B" w14:textId="77777777" w:rsidR="007C1DBB" w:rsidRPr="00FF24ED" w:rsidRDefault="007C1DBB" w:rsidP="007C1DBB">
      <w:pPr>
        <w:rPr>
          <w:rFonts w:cstheme="minorHAnsi"/>
        </w:rPr>
      </w:pPr>
      <w:r w:rsidRPr="00FF24ED">
        <w:rPr>
          <w:rFonts w:cstheme="minorHAnsi"/>
        </w:rPr>
        <w:t xml:space="preserve">Hund, J. (1985) ‘Insiders and Outsiders Models of Deviance and Jurisprudence’, </w:t>
      </w:r>
      <w:r w:rsidRPr="00FF24ED">
        <w:rPr>
          <w:rFonts w:cstheme="minorHAnsi"/>
          <w:i/>
          <w:iCs/>
        </w:rPr>
        <w:t xml:space="preserve">Philosophy of the Social Sciences, </w:t>
      </w:r>
      <w:r w:rsidRPr="00FF24ED">
        <w:rPr>
          <w:rFonts w:cstheme="minorHAnsi"/>
        </w:rPr>
        <w:t>15(1), pp.35-44. DOI:</w:t>
      </w:r>
      <w:r w:rsidRPr="00FF24ED">
        <w:rPr>
          <w:rFonts w:ascii="Times New Roman" w:eastAsia="Times New Roman" w:hAnsi="Times New Roman" w:cs="Times New Roman"/>
          <w:lang w:eastAsia="en-GB"/>
        </w:rPr>
        <w:t xml:space="preserve"> </w:t>
      </w:r>
      <w:hyperlink r:id="rId10" w:history="1">
        <w:r w:rsidRPr="00FF24ED">
          <w:rPr>
            <w:rStyle w:val="Hyperlink"/>
            <w:rFonts w:cstheme="minorHAnsi"/>
          </w:rPr>
          <w:t>10.1177/004839318501500103</w:t>
        </w:r>
      </w:hyperlink>
      <w:r w:rsidRPr="00FF24ED">
        <w:rPr>
          <w:rFonts w:cstheme="minorHAnsi"/>
        </w:rPr>
        <w:t>.</w:t>
      </w:r>
    </w:p>
    <w:p w14:paraId="4148AC47" w14:textId="77777777" w:rsidR="007C1DBB" w:rsidRPr="00507EAE" w:rsidRDefault="007C1DBB" w:rsidP="007C1DBB">
      <w:pPr>
        <w:ind w:left="360"/>
        <w:rPr>
          <w:rFonts w:cstheme="minorHAnsi"/>
        </w:rPr>
      </w:pPr>
    </w:p>
    <w:p w14:paraId="1C0604A6" w14:textId="77777777" w:rsidR="007C1DBB" w:rsidRPr="00FF24ED" w:rsidRDefault="007C1DBB" w:rsidP="007C1DBB">
      <w:pPr>
        <w:rPr>
          <w:rFonts w:cstheme="minorHAnsi"/>
        </w:rPr>
      </w:pPr>
      <w:r w:rsidRPr="00FF24ED">
        <w:rPr>
          <w:rFonts w:cstheme="minorHAnsi"/>
        </w:rPr>
        <w:t xml:space="preserve">James, K. Bunch, J. and Clay-Warner, J. (2015) ‘Perceived Injustice and School Violence: An Application of General Strain Theory’, </w:t>
      </w:r>
      <w:r w:rsidRPr="00FF24ED">
        <w:rPr>
          <w:rFonts w:cstheme="minorHAnsi"/>
          <w:i/>
          <w:iCs/>
        </w:rPr>
        <w:t>Youth Violence and Juvenile Justice,</w:t>
      </w:r>
      <w:r w:rsidRPr="00FF24ED">
        <w:rPr>
          <w:rFonts w:cstheme="minorHAnsi"/>
        </w:rPr>
        <w:t xml:space="preserve"> 13(2), pp.169189. DOI:10.1177/1541204014521251.</w:t>
      </w:r>
    </w:p>
    <w:p w14:paraId="2DED1A84" w14:textId="77777777" w:rsidR="007C1DBB" w:rsidRPr="00507EAE" w:rsidRDefault="007C1DBB" w:rsidP="007C1DBB">
      <w:pPr>
        <w:ind w:left="360"/>
        <w:rPr>
          <w:rFonts w:cstheme="minorHAnsi"/>
        </w:rPr>
      </w:pPr>
    </w:p>
    <w:p w14:paraId="7C1EF4FE" w14:textId="77777777" w:rsidR="007C1DBB" w:rsidRPr="00FF24ED" w:rsidRDefault="007C1DBB" w:rsidP="007C1DBB">
      <w:pPr>
        <w:rPr>
          <w:rFonts w:cstheme="minorHAnsi"/>
        </w:rPr>
      </w:pPr>
      <w:proofErr w:type="spellStart"/>
      <w:r w:rsidRPr="00FF24ED">
        <w:rPr>
          <w:rFonts w:cstheme="minorHAnsi"/>
        </w:rPr>
        <w:t>Jelen</w:t>
      </w:r>
      <w:proofErr w:type="spellEnd"/>
      <w:r w:rsidRPr="00FF24ED">
        <w:rPr>
          <w:rFonts w:cstheme="minorHAnsi"/>
        </w:rPr>
        <w:t xml:space="preserve">, T. and Wilcox, C. (2003) ‘Causes and Consequences of Public Attitudes Toward Abortion: A Review and Research Agender’, </w:t>
      </w:r>
      <w:r w:rsidRPr="00FF24ED">
        <w:rPr>
          <w:rFonts w:cstheme="minorHAnsi"/>
          <w:i/>
          <w:iCs/>
        </w:rPr>
        <w:t xml:space="preserve">Political Research Quarterly, </w:t>
      </w:r>
      <w:r w:rsidRPr="00FF24ED">
        <w:rPr>
          <w:rFonts w:cstheme="minorHAnsi"/>
        </w:rPr>
        <w:t>56(4), pp.489-500. DOI:</w:t>
      </w:r>
      <w:r w:rsidRPr="00FF24ED">
        <w:rPr>
          <w:rFonts w:ascii="Times New Roman" w:eastAsia="Times New Roman" w:hAnsi="Times New Roman" w:cs="Times New Roman"/>
          <w:lang w:eastAsia="en-GB"/>
        </w:rPr>
        <w:t xml:space="preserve"> </w:t>
      </w:r>
      <w:hyperlink r:id="rId11" w:history="1">
        <w:r w:rsidRPr="00FF24ED">
          <w:rPr>
            <w:rStyle w:val="Hyperlink"/>
            <w:rFonts w:cstheme="minorHAnsi"/>
          </w:rPr>
          <w:t>10.1177/106591290305600410</w:t>
        </w:r>
      </w:hyperlink>
      <w:r w:rsidRPr="00FF24ED">
        <w:rPr>
          <w:rFonts w:cstheme="minorHAnsi"/>
        </w:rPr>
        <w:t>.</w:t>
      </w:r>
    </w:p>
    <w:p w14:paraId="4AA9B992" w14:textId="77777777" w:rsidR="007C1DBB" w:rsidRPr="00507EAE" w:rsidRDefault="007C1DBB" w:rsidP="007C1DBB">
      <w:pPr>
        <w:ind w:left="360"/>
        <w:rPr>
          <w:rFonts w:cstheme="minorHAnsi"/>
        </w:rPr>
      </w:pPr>
    </w:p>
    <w:p w14:paraId="6C40F545" w14:textId="77777777" w:rsidR="007C1DBB" w:rsidRPr="00FF24ED" w:rsidRDefault="007C1DBB" w:rsidP="007C1DBB">
      <w:pPr>
        <w:rPr>
          <w:rFonts w:cstheme="minorHAnsi"/>
        </w:rPr>
      </w:pPr>
      <w:r w:rsidRPr="00FF24ED">
        <w:rPr>
          <w:rFonts w:cstheme="minorHAnsi"/>
        </w:rPr>
        <w:t xml:space="preserve">Joon Jang, S. (2007) ‘Gender Differences in Strain, Negative Emotions, and Coping Behaviours: A General Strain Theory Approach’, </w:t>
      </w:r>
      <w:r w:rsidRPr="00FF24ED">
        <w:rPr>
          <w:rFonts w:cstheme="minorHAnsi"/>
          <w:i/>
          <w:iCs/>
        </w:rPr>
        <w:t>Justice Quarterly,</w:t>
      </w:r>
      <w:r w:rsidRPr="00FF24ED">
        <w:rPr>
          <w:rFonts w:cstheme="minorHAnsi"/>
        </w:rPr>
        <w:t xml:space="preserve"> 24(3), pp.523-553. DOI: 10.1080/07418820701485486.</w:t>
      </w:r>
    </w:p>
    <w:p w14:paraId="130E531A" w14:textId="77777777" w:rsidR="007C1DBB" w:rsidRPr="00507EAE" w:rsidRDefault="007C1DBB" w:rsidP="007C1DBB">
      <w:pPr>
        <w:ind w:left="360"/>
        <w:rPr>
          <w:rFonts w:cstheme="minorHAnsi"/>
        </w:rPr>
      </w:pPr>
    </w:p>
    <w:p w14:paraId="2796C9D0" w14:textId="77777777" w:rsidR="007C1DBB" w:rsidRPr="00FF24ED" w:rsidRDefault="007C1DBB" w:rsidP="007C1DBB">
      <w:pPr>
        <w:rPr>
          <w:rFonts w:cstheme="minorHAnsi"/>
        </w:rPr>
      </w:pPr>
      <w:proofErr w:type="spellStart"/>
      <w:r w:rsidRPr="00FF24ED">
        <w:rPr>
          <w:rFonts w:cstheme="minorHAnsi"/>
        </w:rPr>
        <w:t>Kroska</w:t>
      </w:r>
      <w:proofErr w:type="spellEnd"/>
      <w:r w:rsidRPr="00FF24ED">
        <w:rPr>
          <w:rFonts w:cstheme="minorHAnsi"/>
        </w:rPr>
        <w:t xml:space="preserve">, A. And Harkness, S. (2008) ‘Exploring the Role of Diagnosis in the Modified Labelling Theory of Mental Illness’, </w:t>
      </w:r>
      <w:r w:rsidRPr="00FF24ED">
        <w:rPr>
          <w:rFonts w:cstheme="minorHAnsi"/>
          <w:i/>
          <w:iCs/>
        </w:rPr>
        <w:t xml:space="preserve">Social Psychology Quarterly, </w:t>
      </w:r>
      <w:r w:rsidRPr="00FF24ED">
        <w:rPr>
          <w:rFonts w:cstheme="minorHAnsi"/>
        </w:rPr>
        <w:t xml:space="preserve">71(2), pp.193-208. DOI: </w:t>
      </w:r>
      <w:hyperlink r:id="rId12" w:history="1">
        <w:r w:rsidRPr="00FF24ED">
          <w:rPr>
            <w:rStyle w:val="Hyperlink"/>
            <w:rFonts w:cstheme="minorHAnsi"/>
          </w:rPr>
          <w:t>10.1177/019027250807100207</w:t>
        </w:r>
      </w:hyperlink>
      <w:r w:rsidRPr="00FF24ED">
        <w:rPr>
          <w:rFonts w:cstheme="minorHAnsi"/>
        </w:rPr>
        <w:t>.</w:t>
      </w:r>
    </w:p>
    <w:p w14:paraId="5EC90155" w14:textId="77777777" w:rsidR="007C1DBB" w:rsidRPr="00507EAE" w:rsidRDefault="007C1DBB" w:rsidP="007C1DBB">
      <w:pPr>
        <w:ind w:left="360"/>
        <w:rPr>
          <w:rFonts w:cstheme="minorHAnsi"/>
        </w:rPr>
      </w:pPr>
    </w:p>
    <w:p w14:paraId="604512BD" w14:textId="77777777" w:rsidR="007C1DBB" w:rsidRPr="00FF24ED" w:rsidRDefault="007C1DBB" w:rsidP="007C1DBB">
      <w:pPr>
        <w:rPr>
          <w:rFonts w:cstheme="minorHAnsi"/>
        </w:rPr>
      </w:pPr>
      <w:proofErr w:type="spellStart"/>
      <w:r w:rsidRPr="00FF24ED">
        <w:rPr>
          <w:rFonts w:cstheme="minorHAnsi"/>
        </w:rPr>
        <w:t>Liebertz</w:t>
      </w:r>
      <w:proofErr w:type="spellEnd"/>
      <w:r w:rsidRPr="00FF24ED">
        <w:rPr>
          <w:rFonts w:cstheme="minorHAnsi"/>
        </w:rPr>
        <w:t xml:space="preserve">, S. and Bunch, J. (2021) ‘Backfiring Frames: Abortion Politics, Religion and Attitude Resistance’, </w:t>
      </w:r>
      <w:r w:rsidRPr="00FF24ED">
        <w:rPr>
          <w:rFonts w:cstheme="minorHAnsi"/>
          <w:i/>
          <w:iCs/>
        </w:rPr>
        <w:t xml:space="preserve">Politics and Religion, </w:t>
      </w:r>
      <w:r w:rsidRPr="00FF24ED">
        <w:rPr>
          <w:rFonts w:cstheme="minorHAnsi"/>
        </w:rPr>
        <w:t>14(3), pp.403-430. DOI: 10.1017/S1755048320000310.</w:t>
      </w:r>
    </w:p>
    <w:p w14:paraId="54ECB5F9" w14:textId="77777777" w:rsidR="007C1DBB" w:rsidRPr="00507EAE" w:rsidRDefault="007C1DBB" w:rsidP="007C1DBB">
      <w:pPr>
        <w:ind w:left="360"/>
        <w:rPr>
          <w:rFonts w:cstheme="minorHAnsi"/>
        </w:rPr>
      </w:pPr>
    </w:p>
    <w:p w14:paraId="180DFF14" w14:textId="07E1829E" w:rsidR="007C1DBB" w:rsidRPr="00FF24ED" w:rsidRDefault="007C1DBB" w:rsidP="007C1DBB">
      <w:pPr>
        <w:rPr>
          <w:rFonts w:cstheme="minorHAnsi"/>
        </w:rPr>
      </w:pPr>
      <w:r w:rsidRPr="00FF24ED">
        <w:rPr>
          <w:rFonts w:cstheme="minorHAnsi"/>
        </w:rPr>
        <w:t xml:space="preserve">Link, N. et al. (2016) ‘Can General Strain Theory Help Us Understand Violent Behaviours Among People with Mental Illness?’, </w:t>
      </w:r>
      <w:r w:rsidRPr="00FF24ED">
        <w:rPr>
          <w:rFonts w:cstheme="minorHAnsi"/>
          <w:i/>
          <w:iCs/>
        </w:rPr>
        <w:t xml:space="preserve">Justice Quarterly, </w:t>
      </w:r>
      <w:r w:rsidRPr="00FF24ED">
        <w:rPr>
          <w:rFonts w:cstheme="minorHAnsi"/>
        </w:rPr>
        <w:t>33(4), pp.729-754. DOI:</w:t>
      </w:r>
      <w:r w:rsidRPr="00FF24ED">
        <w:rPr>
          <w:rFonts w:ascii="Times New Roman" w:eastAsia="Times New Roman" w:hAnsi="Times New Roman" w:cs="Times New Roman"/>
          <w:lang w:eastAsia="en-GB"/>
        </w:rPr>
        <w:t xml:space="preserve"> </w:t>
      </w:r>
      <w:r w:rsidRPr="00FF24ED">
        <w:rPr>
          <w:rFonts w:cstheme="minorHAnsi"/>
        </w:rPr>
        <w:t>10.1080/07418825.2015.1005656.</w:t>
      </w:r>
    </w:p>
    <w:p w14:paraId="6BFF7223" w14:textId="77777777" w:rsidR="007C1DBB" w:rsidRPr="00507EAE" w:rsidRDefault="007C1DBB" w:rsidP="007C1DBB">
      <w:pPr>
        <w:ind w:left="360"/>
        <w:rPr>
          <w:rFonts w:cstheme="minorHAnsi"/>
        </w:rPr>
      </w:pPr>
    </w:p>
    <w:p w14:paraId="41CA9AAE" w14:textId="77777777" w:rsidR="007C1DBB" w:rsidRPr="00FF24ED" w:rsidRDefault="007C1DBB" w:rsidP="007C1DBB">
      <w:pPr>
        <w:rPr>
          <w:rFonts w:cstheme="minorHAnsi"/>
        </w:rPr>
      </w:pPr>
      <w:r w:rsidRPr="00FF24ED">
        <w:rPr>
          <w:rFonts w:cstheme="minorHAnsi"/>
        </w:rPr>
        <w:t xml:space="preserve">Mason, C. (2019) ‘Opposing Abortion to Protect Women: Transitional Strategy Since the 1990s’, </w:t>
      </w:r>
      <w:r w:rsidRPr="00FF24ED">
        <w:rPr>
          <w:rFonts w:cstheme="minorHAnsi"/>
          <w:i/>
          <w:iCs/>
        </w:rPr>
        <w:t xml:space="preserve">Journal of Women in Culture and Society, </w:t>
      </w:r>
      <w:r w:rsidRPr="00FF24ED">
        <w:rPr>
          <w:rFonts w:cstheme="minorHAnsi"/>
        </w:rPr>
        <w:t>44(3), pp.665-692. DOI: 10.1086/701156.</w:t>
      </w:r>
    </w:p>
    <w:p w14:paraId="149CE9B1" w14:textId="77777777" w:rsidR="007C1DBB" w:rsidRPr="00507EAE" w:rsidRDefault="007C1DBB" w:rsidP="007C1DBB">
      <w:pPr>
        <w:ind w:left="360"/>
        <w:rPr>
          <w:rFonts w:cstheme="minorHAnsi"/>
        </w:rPr>
      </w:pPr>
    </w:p>
    <w:p w14:paraId="62BDF507" w14:textId="715C9D7E" w:rsidR="007C1DBB" w:rsidRPr="00FF24ED" w:rsidRDefault="007C1DBB" w:rsidP="007C1DBB">
      <w:pPr>
        <w:rPr>
          <w:rFonts w:cstheme="minorHAnsi"/>
        </w:rPr>
      </w:pPr>
      <w:r w:rsidRPr="00FF24ED">
        <w:rPr>
          <w:rFonts w:cstheme="minorHAnsi"/>
        </w:rPr>
        <w:t xml:space="preserve">Maxwell, C. (2002) </w:t>
      </w:r>
      <w:r w:rsidRPr="00FF24ED">
        <w:rPr>
          <w:rFonts w:cstheme="minorHAnsi"/>
          <w:i/>
          <w:iCs/>
        </w:rPr>
        <w:t xml:space="preserve">Pro-Life Activists in America Meaning, Motivation, and Direct Action. </w:t>
      </w:r>
      <w:r w:rsidRPr="00FF24ED">
        <w:rPr>
          <w:rFonts w:cstheme="minorHAnsi"/>
        </w:rPr>
        <w:t>Cambridge: Cambridge University Press.</w:t>
      </w:r>
    </w:p>
    <w:p w14:paraId="2C6E038E" w14:textId="77777777" w:rsidR="007C1DBB" w:rsidRPr="00507EAE" w:rsidRDefault="007C1DBB" w:rsidP="007C1DBB">
      <w:pPr>
        <w:ind w:left="360"/>
        <w:rPr>
          <w:rFonts w:cstheme="minorHAnsi"/>
        </w:rPr>
      </w:pPr>
    </w:p>
    <w:p w14:paraId="138B3BA6" w14:textId="0912F086" w:rsidR="007C1DBB" w:rsidRPr="00FF24ED" w:rsidRDefault="007C1DBB" w:rsidP="007C1DBB">
      <w:pPr>
        <w:rPr>
          <w:rFonts w:cstheme="minorHAnsi"/>
        </w:rPr>
      </w:pPr>
      <w:proofErr w:type="spellStart"/>
      <w:r w:rsidRPr="00FF24ED">
        <w:rPr>
          <w:rFonts w:cstheme="minorHAnsi"/>
        </w:rPr>
        <w:t>McCruden</w:t>
      </w:r>
      <w:proofErr w:type="spellEnd"/>
      <w:r w:rsidRPr="00FF24ED">
        <w:rPr>
          <w:rFonts w:cstheme="minorHAnsi"/>
        </w:rPr>
        <w:t xml:space="preserve">, P. (2012) ‘The Moral Object in the “Phoenix Case”: A Defence of Sister McBride’s Decision’, </w:t>
      </w:r>
      <w:r w:rsidRPr="00FF24ED">
        <w:rPr>
          <w:rFonts w:cstheme="minorHAnsi"/>
          <w:i/>
          <w:iCs/>
        </w:rPr>
        <w:t xml:space="preserve">Christian Bioethics, </w:t>
      </w:r>
      <w:r w:rsidRPr="00FF24ED">
        <w:rPr>
          <w:rFonts w:cstheme="minorHAnsi"/>
        </w:rPr>
        <w:t>18(3), pp.301-311. DOI:</w:t>
      </w:r>
      <w:r w:rsidRPr="00FF24ED">
        <w:rPr>
          <w:rFonts w:ascii="Times New Roman" w:eastAsia="Times New Roman" w:hAnsi="Times New Roman" w:cs="Times New Roman"/>
          <w:lang w:eastAsia="en-GB"/>
        </w:rPr>
        <w:t xml:space="preserve"> </w:t>
      </w:r>
      <w:r w:rsidRPr="00FF24ED">
        <w:rPr>
          <w:rFonts w:cstheme="minorHAnsi"/>
        </w:rPr>
        <w:t>10.1093/</w:t>
      </w:r>
      <w:proofErr w:type="spellStart"/>
      <w:r w:rsidRPr="00FF24ED">
        <w:rPr>
          <w:rFonts w:cstheme="minorHAnsi"/>
        </w:rPr>
        <w:t>cb</w:t>
      </w:r>
      <w:proofErr w:type="spellEnd"/>
      <w:r w:rsidRPr="00FF24ED">
        <w:rPr>
          <w:rFonts w:cstheme="minorHAnsi"/>
        </w:rPr>
        <w:t>/cbs026.</w:t>
      </w:r>
    </w:p>
    <w:p w14:paraId="5F7C19B5" w14:textId="77777777" w:rsidR="007C1DBB" w:rsidRPr="00507EAE" w:rsidRDefault="007C1DBB" w:rsidP="007C1DBB">
      <w:pPr>
        <w:ind w:left="360"/>
        <w:rPr>
          <w:rFonts w:cstheme="minorHAnsi"/>
        </w:rPr>
      </w:pPr>
    </w:p>
    <w:p w14:paraId="36F31CC1" w14:textId="77777777" w:rsidR="007C1DBB" w:rsidRPr="00FF24ED" w:rsidRDefault="007C1DBB" w:rsidP="007C1DBB">
      <w:pPr>
        <w:rPr>
          <w:rFonts w:cstheme="minorHAnsi"/>
        </w:rPr>
      </w:pPr>
      <w:r w:rsidRPr="00FF24ED">
        <w:rPr>
          <w:rFonts w:cstheme="minorHAnsi"/>
        </w:rPr>
        <w:t xml:space="preserve">McLellan, F. (2006) ‘Mental Health and Justice: The Case of Andrea Yates’, </w:t>
      </w:r>
      <w:r w:rsidRPr="00FF24ED">
        <w:rPr>
          <w:rFonts w:cstheme="minorHAnsi"/>
          <w:i/>
          <w:iCs/>
        </w:rPr>
        <w:t xml:space="preserve">World Report, </w:t>
      </w:r>
      <w:r w:rsidRPr="00FF24ED">
        <w:rPr>
          <w:rFonts w:cstheme="minorHAnsi"/>
        </w:rPr>
        <w:t xml:space="preserve">368(9551), pp.1951-1954. DOI: </w:t>
      </w:r>
      <w:hyperlink r:id="rId13" w:history="1">
        <w:r w:rsidRPr="00FF24ED">
          <w:rPr>
            <w:rStyle w:val="Hyperlink"/>
            <w:rFonts w:cstheme="minorHAnsi"/>
          </w:rPr>
          <w:t>10.1016/S0140-6736(06)69789-4</w:t>
        </w:r>
      </w:hyperlink>
      <w:r w:rsidRPr="00FF24ED">
        <w:rPr>
          <w:rFonts w:cstheme="minorHAnsi"/>
        </w:rPr>
        <w:t>.</w:t>
      </w:r>
    </w:p>
    <w:p w14:paraId="27A2F673" w14:textId="77777777" w:rsidR="007C1DBB" w:rsidRPr="00507EAE" w:rsidRDefault="007C1DBB" w:rsidP="007C1DBB">
      <w:pPr>
        <w:ind w:left="360"/>
        <w:rPr>
          <w:rFonts w:cstheme="minorHAnsi"/>
        </w:rPr>
      </w:pPr>
    </w:p>
    <w:p w14:paraId="31D5678E" w14:textId="77777777" w:rsidR="007C1DBB" w:rsidRDefault="007C1DBB" w:rsidP="007C1DBB">
      <w:r>
        <w:t>Menconi, M. (2018) ‘About Abortion: Terminating Pregnancy in Twenty First-Century America, by Carol Sanger’, Women’s</w:t>
      </w:r>
      <w:r w:rsidRPr="00FF24ED">
        <w:rPr>
          <w:i/>
          <w:iCs/>
        </w:rPr>
        <w:t xml:space="preserve"> Studies, </w:t>
      </w:r>
      <w:r w:rsidRPr="005D3D47">
        <w:t>47(1),</w:t>
      </w:r>
      <w:r>
        <w:t xml:space="preserve"> pp.108-110. DOI:</w:t>
      </w:r>
      <w:r w:rsidRPr="005D3D47">
        <w:t>10.1080/00497878.2017.1406359</w:t>
      </w:r>
      <w:r>
        <w:t>.</w:t>
      </w:r>
    </w:p>
    <w:p w14:paraId="62F27AE4" w14:textId="77777777" w:rsidR="007C1DBB" w:rsidRDefault="007C1DBB" w:rsidP="007C1DBB">
      <w:pPr>
        <w:ind w:left="360"/>
      </w:pPr>
    </w:p>
    <w:p w14:paraId="0B616189" w14:textId="36A200FF" w:rsidR="007C1DBB" w:rsidRPr="00FF24ED" w:rsidRDefault="007C1DBB" w:rsidP="007C1DBB">
      <w:pPr>
        <w:rPr>
          <w:rFonts w:cstheme="minorHAnsi"/>
        </w:rPr>
      </w:pPr>
      <w:r w:rsidRPr="00FF24ED">
        <w:rPr>
          <w:rFonts w:cstheme="minorHAnsi"/>
        </w:rPr>
        <w:t xml:space="preserve">Murphy, D. and Robinson, M. (2008) ‘The Maximiser: Clarifying Merton’s Theories of Anomie and Strain’, </w:t>
      </w:r>
      <w:r w:rsidRPr="00FF24ED">
        <w:rPr>
          <w:rFonts w:cstheme="minorHAnsi"/>
          <w:i/>
          <w:iCs/>
        </w:rPr>
        <w:t xml:space="preserve">Theoretical Criminology, </w:t>
      </w:r>
      <w:r w:rsidRPr="00FF24ED">
        <w:rPr>
          <w:rFonts w:cstheme="minorHAnsi"/>
        </w:rPr>
        <w:t>12(4), pp.501-521. DOI:</w:t>
      </w:r>
      <w:r w:rsidRPr="00FF24ED">
        <w:rPr>
          <w:rFonts w:ascii="Times New Roman" w:eastAsia="Times New Roman" w:hAnsi="Times New Roman" w:cs="Times New Roman"/>
          <w:lang w:eastAsia="en-GB"/>
        </w:rPr>
        <w:t xml:space="preserve"> </w:t>
      </w:r>
      <w:r w:rsidRPr="00FF24ED">
        <w:rPr>
          <w:rFonts w:cstheme="minorHAnsi"/>
        </w:rPr>
        <w:t>10.1177/1362480608097154.</w:t>
      </w:r>
    </w:p>
    <w:p w14:paraId="31E77D0B" w14:textId="77777777" w:rsidR="007C1DBB" w:rsidRPr="00507EAE" w:rsidRDefault="007C1DBB" w:rsidP="007C1DBB">
      <w:pPr>
        <w:ind w:left="360"/>
        <w:rPr>
          <w:rFonts w:cstheme="minorHAnsi"/>
        </w:rPr>
      </w:pPr>
    </w:p>
    <w:p w14:paraId="18B4D249" w14:textId="77777777" w:rsidR="007C1DBB" w:rsidRPr="00FF24ED" w:rsidRDefault="007C1DBB" w:rsidP="007C1DBB">
      <w:pPr>
        <w:rPr>
          <w:rFonts w:cstheme="minorHAnsi"/>
        </w:rPr>
      </w:pPr>
      <w:proofErr w:type="spellStart"/>
      <w:r w:rsidRPr="00FF24ED">
        <w:rPr>
          <w:rFonts w:cstheme="minorHAnsi"/>
        </w:rPr>
        <w:lastRenderedPageBreak/>
        <w:t>Newart</w:t>
      </w:r>
      <w:proofErr w:type="spellEnd"/>
      <w:r w:rsidRPr="00FF24ED">
        <w:rPr>
          <w:rFonts w:cstheme="minorHAnsi"/>
        </w:rPr>
        <w:t xml:space="preserve">, T. (2005) ‘A Review of: “Rebecca Eckler. </w:t>
      </w:r>
      <w:r w:rsidRPr="00FF24ED">
        <w:rPr>
          <w:rFonts w:cstheme="minorHAnsi"/>
          <w:i/>
          <w:iCs/>
        </w:rPr>
        <w:t>Knocked Up: Confessions of a Hip Mother-To-Be.</w:t>
      </w:r>
      <w:r w:rsidRPr="00FF24ED">
        <w:rPr>
          <w:rFonts w:cstheme="minorHAnsi"/>
        </w:rPr>
        <w:t xml:space="preserve"> New York: Random House, 2004. Judith Warner. </w:t>
      </w:r>
      <w:r w:rsidRPr="00FF24ED">
        <w:rPr>
          <w:rFonts w:cstheme="minorHAnsi"/>
          <w:i/>
          <w:iCs/>
        </w:rPr>
        <w:t>Prefect Madness: Motherhood in the Age of Anxiety</w:t>
      </w:r>
      <w:r w:rsidRPr="00FF24ED">
        <w:rPr>
          <w:rFonts w:cstheme="minorHAnsi"/>
        </w:rPr>
        <w:t>. New York: Riverhead Books, 2005.”’, 34(8), pp.701-704. DOI:</w:t>
      </w:r>
      <w:r w:rsidRPr="00FF24ED">
        <w:rPr>
          <w:rFonts w:ascii="Times New Roman" w:eastAsia="Times New Roman" w:hAnsi="Times New Roman" w:cs="Times New Roman"/>
          <w:lang w:eastAsia="en-GB"/>
        </w:rPr>
        <w:t xml:space="preserve"> </w:t>
      </w:r>
      <w:r w:rsidRPr="00FF24ED">
        <w:rPr>
          <w:rFonts w:cstheme="minorHAnsi"/>
        </w:rPr>
        <w:t>10.1080/00497870500359738.</w:t>
      </w:r>
    </w:p>
    <w:p w14:paraId="6BF3F257" w14:textId="77777777" w:rsidR="007C1DBB" w:rsidRPr="00507EAE" w:rsidRDefault="007C1DBB" w:rsidP="007C1DBB">
      <w:pPr>
        <w:ind w:left="360"/>
        <w:rPr>
          <w:rFonts w:cstheme="minorHAnsi"/>
        </w:rPr>
      </w:pPr>
    </w:p>
    <w:p w14:paraId="08A4D9D0" w14:textId="000D18F2" w:rsidR="007C1DBB" w:rsidRPr="00FF24ED" w:rsidRDefault="007C1DBB" w:rsidP="007C1DBB">
      <w:pPr>
        <w:rPr>
          <w:rFonts w:cstheme="minorHAnsi"/>
        </w:rPr>
      </w:pPr>
      <w:r w:rsidRPr="00FF24ED">
        <w:rPr>
          <w:rFonts w:cstheme="minorHAnsi"/>
        </w:rPr>
        <w:t xml:space="preserve">Newburn, T. (2017) </w:t>
      </w:r>
      <w:r w:rsidRPr="00FF24ED">
        <w:rPr>
          <w:rFonts w:cstheme="minorHAnsi"/>
          <w:i/>
          <w:iCs/>
        </w:rPr>
        <w:t xml:space="preserve">Criminology. </w:t>
      </w:r>
      <w:r w:rsidRPr="00FF24ED">
        <w:rPr>
          <w:rFonts w:cstheme="minorHAnsi"/>
        </w:rPr>
        <w:t>3</w:t>
      </w:r>
      <w:r w:rsidRPr="00FF24ED">
        <w:rPr>
          <w:rFonts w:cstheme="minorHAnsi"/>
          <w:vertAlign w:val="superscript"/>
        </w:rPr>
        <w:t>rd</w:t>
      </w:r>
      <w:r w:rsidRPr="00FF24ED">
        <w:rPr>
          <w:rFonts w:cstheme="minorHAnsi"/>
        </w:rPr>
        <w:t xml:space="preserve"> </w:t>
      </w:r>
      <w:proofErr w:type="spellStart"/>
      <w:r w:rsidRPr="00FF24ED">
        <w:rPr>
          <w:rFonts w:cstheme="minorHAnsi"/>
        </w:rPr>
        <w:t>edn</w:t>
      </w:r>
      <w:proofErr w:type="spellEnd"/>
      <w:r w:rsidRPr="00FF24ED">
        <w:rPr>
          <w:rFonts w:cstheme="minorHAnsi"/>
        </w:rPr>
        <w:t>. New York: Routledge.</w:t>
      </w:r>
    </w:p>
    <w:p w14:paraId="3744AABF" w14:textId="77777777" w:rsidR="007C1DBB" w:rsidRPr="00507EAE" w:rsidRDefault="007C1DBB" w:rsidP="007C1DBB">
      <w:pPr>
        <w:ind w:left="360"/>
        <w:rPr>
          <w:rFonts w:cstheme="minorHAnsi"/>
        </w:rPr>
      </w:pPr>
    </w:p>
    <w:p w14:paraId="60574557" w14:textId="1182BB62" w:rsidR="007C1DBB" w:rsidRPr="00FF24ED" w:rsidRDefault="007C1DBB" w:rsidP="007C1DBB">
      <w:pPr>
        <w:rPr>
          <w:rFonts w:cstheme="minorHAnsi"/>
        </w:rPr>
      </w:pPr>
      <w:r w:rsidRPr="00FF24ED">
        <w:rPr>
          <w:rFonts w:cstheme="minorHAnsi"/>
        </w:rPr>
        <w:t xml:space="preserve">Planned Parenthood Centre for Choice. (2022) </w:t>
      </w:r>
      <w:r w:rsidRPr="00FF24ED">
        <w:rPr>
          <w:rFonts w:cstheme="minorHAnsi"/>
          <w:i/>
          <w:iCs/>
        </w:rPr>
        <w:t xml:space="preserve">Texas Abortion Laws. </w:t>
      </w:r>
      <w:r w:rsidRPr="00FF24ED">
        <w:rPr>
          <w:rFonts w:cstheme="minorHAnsi"/>
        </w:rPr>
        <w:t xml:space="preserve">Available at: </w:t>
      </w:r>
      <w:hyperlink r:id="rId14" w:history="1">
        <w:r w:rsidRPr="00FF24ED">
          <w:rPr>
            <w:rStyle w:val="Hyperlink"/>
            <w:rFonts w:cstheme="minorHAnsi"/>
          </w:rPr>
          <w:t>https://www.plannedparenthood.org/planned-parenthood-center-for-choice/texas-abortion-laws</w:t>
        </w:r>
      </w:hyperlink>
      <w:r w:rsidRPr="00FF24ED">
        <w:rPr>
          <w:rFonts w:cstheme="minorHAnsi"/>
        </w:rPr>
        <w:t xml:space="preserve"> (Accessed: 28</w:t>
      </w:r>
      <w:r w:rsidRPr="00FF24ED">
        <w:rPr>
          <w:rFonts w:cstheme="minorHAnsi"/>
          <w:vertAlign w:val="superscript"/>
        </w:rPr>
        <w:t>th</w:t>
      </w:r>
      <w:r w:rsidRPr="00FF24ED">
        <w:rPr>
          <w:rFonts w:cstheme="minorHAnsi"/>
        </w:rPr>
        <w:t xml:space="preserve"> February 2022).</w:t>
      </w:r>
    </w:p>
    <w:p w14:paraId="0F0C0049" w14:textId="77777777" w:rsidR="007C1DBB" w:rsidRPr="00507EAE" w:rsidRDefault="007C1DBB" w:rsidP="007C1DBB">
      <w:pPr>
        <w:ind w:left="360"/>
        <w:rPr>
          <w:rFonts w:cstheme="minorHAnsi"/>
        </w:rPr>
      </w:pPr>
    </w:p>
    <w:p w14:paraId="5A73B6A7" w14:textId="77777777" w:rsidR="007C1DBB" w:rsidRPr="00FF24ED" w:rsidRDefault="007C1DBB" w:rsidP="007C1DBB">
      <w:pPr>
        <w:rPr>
          <w:rFonts w:cstheme="minorHAnsi"/>
        </w:rPr>
      </w:pPr>
      <w:r w:rsidRPr="00FF24ED">
        <w:rPr>
          <w:rFonts w:cstheme="minorHAnsi"/>
        </w:rPr>
        <w:t xml:space="preserve">Resnick, M. et al. (1997) ‘Protecting Adolescents from Harm Findings from the National Longitudinal Study on Adolescent Health’, </w:t>
      </w:r>
      <w:r w:rsidRPr="00FF24ED">
        <w:rPr>
          <w:rFonts w:cstheme="minorHAnsi"/>
          <w:i/>
          <w:iCs/>
        </w:rPr>
        <w:t xml:space="preserve">JAMA, </w:t>
      </w:r>
      <w:r w:rsidRPr="00FF24ED">
        <w:rPr>
          <w:rFonts w:cstheme="minorHAnsi"/>
        </w:rPr>
        <w:t>278(10), pp. 823-832. DOI:</w:t>
      </w:r>
      <w:r w:rsidRPr="00FF24ED">
        <w:rPr>
          <w:rFonts w:ascii="Helvetica Neue" w:eastAsia="Times New Roman" w:hAnsi="Helvetica Neue" w:cs="Times New Roman"/>
          <w:color w:val="333333"/>
          <w:sz w:val="23"/>
          <w:szCs w:val="23"/>
          <w:shd w:val="clear" w:color="auto" w:fill="FFFFFF"/>
          <w:lang w:eastAsia="en-GB"/>
        </w:rPr>
        <w:t xml:space="preserve"> </w:t>
      </w:r>
      <w:r w:rsidRPr="00FF24ED">
        <w:rPr>
          <w:rFonts w:cstheme="minorHAnsi"/>
        </w:rPr>
        <w:t>10.1001/jama.1997.03550100049038.</w:t>
      </w:r>
    </w:p>
    <w:p w14:paraId="2432FF1C" w14:textId="77777777" w:rsidR="007C1DBB" w:rsidRPr="00507EAE" w:rsidRDefault="007C1DBB" w:rsidP="007C1DBB">
      <w:pPr>
        <w:ind w:left="360"/>
        <w:rPr>
          <w:rFonts w:cstheme="minorHAnsi"/>
        </w:rPr>
      </w:pPr>
    </w:p>
    <w:p w14:paraId="537191DD" w14:textId="5F5B4C4F" w:rsidR="007C1DBB" w:rsidRPr="00FF24ED" w:rsidRDefault="007C1DBB" w:rsidP="007C1DBB">
      <w:pPr>
        <w:rPr>
          <w:rFonts w:cstheme="minorHAnsi"/>
        </w:rPr>
      </w:pPr>
      <w:r w:rsidRPr="00FF24ED">
        <w:rPr>
          <w:rFonts w:cstheme="minorHAnsi"/>
        </w:rPr>
        <w:t xml:space="preserve">Sanger, C. (2016) ‘Tanking About Abortion’, </w:t>
      </w:r>
      <w:r w:rsidRPr="00FF24ED">
        <w:rPr>
          <w:rFonts w:cstheme="minorHAnsi"/>
          <w:i/>
          <w:iCs/>
        </w:rPr>
        <w:t xml:space="preserve">Social and Legal Studies, </w:t>
      </w:r>
      <w:r w:rsidRPr="00FF24ED">
        <w:rPr>
          <w:rFonts w:cstheme="minorHAnsi"/>
        </w:rPr>
        <w:t xml:space="preserve">25(6), pp.615-666. DOI: </w:t>
      </w:r>
      <w:hyperlink r:id="rId15" w:history="1">
        <w:r w:rsidRPr="00FF24ED">
          <w:rPr>
            <w:rStyle w:val="Hyperlink"/>
            <w:rFonts w:cstheme="minorHAnsi"/>
          </w:rPr>
          <w:t>10.1177/0964663916668250</w:t>
        </w:r>
      </w:hyperlink>
      <w:r w:rsidRPr="00FF24ED">
        <w:rPr>
          <w:rFonts w:cstheme="minorHAnsi"/>
        </w:rPr>
        <w:t>.</w:t>
      </w:r>
    </w:p>
    <w:p w14:paraId="46F5AA12" w14:textId="77777777" w:rsidR="007C1DBB" w:rsidRPr="00507EAE" w:rsidRDefault="007C1DBB" w:rsidP="007C1DBB">
      <w:pPr>
        <w:ind w:left="360"/>
        <w:rPr>
          <w:rFonts w:cstheme="minorHAnsi"/>
        </w:rPr>
      </w:pPr>
    </w:p>
    <w:p w14:paraId="598A45C3" w14:textId="4C8B528D" w:rsidR="007C1DBB" w:rsidRPr="00FF24ED" w:rsidRDefault="007C1DBB" w:rsidP="007C1DBB">
      <w:pPr>
        <w:rPr>
          <w:rFonts w:cstheme="minorHAnsi"/>
        </w:rPr>
      </w:pPr>
      <w:proofErr w:type="spellStart"/>
      <w:r w:rsidRPr="00FF24ED">
        <w:rPr>
          <w:rFonts w:cstheme="minorHAnsi"/>
        </w:rPr>
        <w:t>Scarpitti</w:t>
      </w:r>
      <w:proofErr w:type="spellEnd"/>
      <w:r w:rsidRPr="00FF24ED">
        <w:rPr>
          <w:rFonts w:cstheme="minorHAnsi"/>
        </w:rPr>
        <w:t xml:space="preserve">, F. Nielsen, A. And Miller, M. (2008) </w:t>
      </w:r>
      <w:r w:rsidRPr="00FF24ED">
        <w:rPr>
          <w:rFonts w:cstheme="minorHAnsi"/>
          <w:i/>
          <w:iCs/>
        </w:rPr>
        <w:t xml:space="preserve">Crime and Criminals: Contemporary and Classic Readings in Criminology. </w:t>
      </w:r>
      <w:r w:rsidRPr="00FF24ED">
        <w:rPr>
          <w:rFonts w:cstheme="minorHAnsi"/>
        </w:rPr>
        <w:t>2</w:t>
      </w:r>
      <w:r w:rsidRPr="00FF24ED">
        <w:rPr>
          <w:rFonts w:cstheme="minorHAnsi"/>
          <w:vertAlign w:val="superscript"/>
        </w:rPr>
        <w:t>nd</w:t>
      </w:r>
      <w:r w:rsidRPr="00FF24ED">
        <w:rPr>
          <w:rFonts w:cstheme="minorHAnsi"/>
        </w:rPr>
        <w:t xml:space="preserve"> </w:t>
      </w:r>
      <w:proofErr w:type="spellStart"/>
      <w:r w:rsidRPr="00FF24ED">
        <w:rPr>
          <w:rFonts w:cstheme="minorHAnsi"/>
        </w:rPr>
        <w:t>edn</w:t>
      </w:r>
      <w:proofErr w:type="spellEnd"/>
      <w:r w:rsidRPr="00FF24ED">
        <w:rPr>
          <w:rFonts w:cstheme="minorHAnsi"/>
        </w:rPr>
        <w:t>. Oxford: Oxford University Press.</w:t>
      </w:r>
    </w:p>
    <w:p w14:paraId="28A31FC9" w14:textId="77777777" w:rsidR="007C1DBB" w:rsidRPr="00507EAE" w:rsidRDefault="007C1DBB" w:rsidP="007C1DBB">
      <w:pPr>
        <w:ind w:left="360"/>
        <w:rPr>
          <w:rFonts w:cstheme="minorHAnsi"/>
        </w:rPr>
      </w:pPr>
    </w:p>
    <w:p w14:paraId="1507229C" w14:textId="77777777" w:rsidR="007C1DBB" w:rsidRPr="00FF24ED" w:rsidRDefault="007C1DBB" w:rsidP="007C1DBB">
      <w:pPr>
        <w:rPr>
          <w:rFonts w:cstheme="minorHAnsi"/>
        </w:rPr>
      </w:pPr>
      <w:proofErr w:type="spellStart"/>
      <w:r w:rsidRPr="00FF24ED">
        <w:rPr>
          <w:rFonts w:cstheme="minorHAnsi"/>
        </w:rPr>
        <w:t>Shahvisi</w:t>
      </w:r>
      <w:proofErr w:type="spellEnd"/>
      <w:r w:rsidRPr="00FF24ED">
        <w:rPr>
          <w:rFonts w:cstheme="minorHAnsi"/>
        </w:rPr>
        <w:t xml:space="preserve">, A. (2018). </w:t>
      </w:r>
      <w:r w:rsidRPr="00FF24ED">
        <w:rPr>
          <w:rFonts w:cstheme="minorHAnsi"/>
          <w:i/>
          <w:iCs/>
        </w:rPr>
        <w:t xml:space="preserve">Abortion is Nothing Like Hiring a Hitman, Whatever Pope Francis Says. </w:t>
      </w:r>
      <w:r w:rsidRPr="00FF24ED">
        <w:rPr>
          <w:rFonts w:cstheme="minorHAnsi"/>
        </w:rPr>
        <w:t xml:space="preserve">Available at: </w:t>
      </w:r>
      <w:hyperlink r:id="rId16" w:history="1">
        <w:r w:rsidRPr="00FF24ED">
          <w:rPr>
            <w:rStyle w:val="Hyperlink"/>
            <w:rFonts w:cstheme="minorHAnsi"/>
          </w:rPr>
          <w:t>https://theconversation.com/abortion-is-nothing-like-hiring-a-hitman-whatever-pope-francis-says-104741</w:t>
        </w:r>
      </w:hyperlink>
      <w:r w:rsidRPr="00FF24ED">
        <w:rPr>
          <w:rFonts w:cstheme="minorHAnsi"/>
        </w:rPr>
        <w:t xml:space="preserve"> (Accessed: 28</w:t>
      </w:r>
      <w:r w:rsidRPr="00FF24ED">
        <w:rPr>
          <w:rFonts w:cstheme="minorHAnsi"/>
          <w:vertAlign w:val="superscript"/>
        </w:rPr>
        <w:t>th</w:t>
      </w:r>
      <w:r w:rsidRPr="00FF24ED">
        <w:rPr>
          <w:rFonts w:cstheme="minorHAnsi"/>
        </w:rPr>
        <w:t xml:space="preserve"> February 2022).</w:t>
      </w:r>
    </w:p>
    <w:p w14:paraId="4DC7842D" w14:textId="77777777" w:rsidR="007C1DBB" w:rsidRPr="00507EAE" w:rsidRDefault="007C1DBB" w:rsidP="007C1DBB">
      <w:pPr>
        <w:ind w:left="360"/>
        <w:rPr>
          <w:rFonts w:cstheme="minorHAnsi"/>
        </w:rPr>
      </w:pPr>
    </w:p>
    <w:p w14:paraId="7A269374" w14:textId="77777777" w:rsidR="007C1DBB" w:rsidRPr="00FF24ED" w:rsidRDefault="007C1DBB" w:rsidP="007C1DBB">
      <w:pPr>
        <w:rPr>
          <w:rFonts w:cstheme="minorHAnsi"/>
        </w:rPr>
      </w:pPr>
      <w:proofErr w:type="spellStart"/>
      <w:r w:rsidRPr="00FF24ED">
        <w:rPr>
          <w:rFonts w:cstheme="minorHAnsi"/>
        </w:rPr>
        <w:t>Sigfusdittir</w:t>
      </w:r>
      <w:proofErr w:type="spellEnd"/>
      <w:r w:rsidRPr="00FF24ED">
        <w:rPr>
          <w:rFonts w:cstheme="minorHAnsi"/>
        </w:rPr>
        <w:t xml:space="preserve">, I. </w:t>
      </w:r>
      <w:proofErr w:type="spellStart"/>
      <w:r w:rsidRPr="00FF24ED">
        <w:rPr>
          <w:rFonts w:cstheme="minorHAnsi"/>
        </w:rPr>
        <w:t>Kristjansson</w:t>
      </w:r>
      <w:proofErr w:type="spellEnd"/>
      <w:r w:rsidRPr="00FF24ED">
        <w:rPr>
          <w:rFonts w:cstheme="minorHAnsi"/>
        </w:rPr>
        <w:t xml:space="preserve">, A. and Agnew, R. (2012) ‘A Comparative Analysis of General Strain Theory’, </w:t>
      </w:r>
      <w:r w:rsidRPr="00FF24ED">
        <w:rPr>
          <w:rFonts w:cstheme="minorHAnsi"/>
          <w:i/>
          <w:iCs/>
        </w:rPr>
        <w:t xml:space="preserve">Journal of Criminal Justice, </w:t>
      </w:r>
      <w:r w:rsidRPr="00FF24ED">
        <w:rPr>
          <w:rFonts w:cstheme="minorHAnsi"/>
        </w:rPr>
        <w:t>40(2), pp.117-127. DOI:</w:t>
      </w:r>
      <w:r w:rsidRPr="00FF24ED">
        <w:rPr>
          <w:rFonts w:ascii="Source Sans Pro" w:eastAsia="Times New Roman" w:hAnsi="Source Sans Pro" w:cs="Times New Roman"/>
          <w:color w:val="3A3A3A"/>
          <w:sz w:val="23"/>
          <w:szCs w:val="23"/>
          <w:shd w:val="clear" w:color="auto" w:fill="FFFFFF"/>
          <w:lang w:eastAsia="en-GB"/>
        </w:rPr>
        <w:t xml:space="preserve"> </w:t>
      </w:r>
      <w:r w:rsidRPr="00FF24ED">
        <w:rPr>
          <w:rFonts w:cstheme="minorHAnsi"/>
        </w:rPr>
        <w:t>10.1016/j.jcrimjus.2012.01.001.</w:t>
      </w:r>
    </w:p>
    <w:p w14:paraId="34F3B291" w14:textId="77777777" w:rsidR="007C1DBB" w:rsidRPr="00507EAE" w:rsidRDefault="007C1DBB" w:rsidP="007C1DBB">
      <w:pPr>
        <w:ind w:left="360"/>
        <w:rPr>
          <w:rFonts w:cstheme="minorHAnsi"/>
        </w:rPr>
      </w:pPr>
    </w:p>
    <w:p w14:paraId="04162E09" w14:textId="77777777" w:rsidR="007C1DBB" w:rsidRDefault="007C1DBB" w:rsidP="007C1DBB">
      <w:r>
        <w:t xml:space="preserve">Smith, L. (2002) ‘Feminism and Abortion Politics: Choice, Rights, and Reproductive Freedom’, </w:t>
      </w:r>
      <w:r w:rsidRPr="00FF24ED">
        <w:rPr>
          <w:i/>
          <w:iCs/>
        </w:rPr>
        <w:t xml:space="preserve">Women’s Studies International Forum, </w:t>
      </w:r>
      <w:r>
        <w:t>25(3), pp.335-345. DOI:</w:t>
      </w:r>
      <w:r w:rsidRPr="00FF24ED">
        <w:rPr>
          <w:rFonts w:ascii="Times New Roman" w:eastAsia="Times New Roman" w:hAnsi="Times New Roman" w:cs="Times New Roman"/>
          <w:lang w:eastAsia="en-GB"/>
        </w:rPr>
        <w:t xml:space="preserve"> </w:t>
      </w:r>
      <w:hyperlink r:id="rId17" w:tgtFrame="_blank" w:tooltip="Persistent link using digital object identifier" w:history="1">
        <w:r w:rsidRPr="00760AF4">
          <w:rPr>
            <w:rStyle w:val="Hyperlink"/>
          </w:rPr>
          <w:t>10.1016/S0277-5395(02)00256-X</w:t>
        </w:r>
      </w:hyperlink>
      <w:r>
        <w:t>.</w:t>
      </w:r>
    </w:p>
    <w:p w14:paraId="61F0BC13" w14:textId="77777777" w:rsidR="007C1DBB" w:rsidRDefault="007C1DBB" w:rsidP="007C1DBB">
      <w:pPr>
        <w:ind w:left="360"/>
      </w:pPr>
    </w:p>
    <w:p w14:paraId="6B6C1691" w14:textId="17EAC969" w:rsidR="007C1DBB" w:rsidRPr="00FF24ED" w:rsidRDefault="007C1DBB" w:rsidP="007C1DBB">
      <w:pPr>
        <w:rPr>
          <w:rFonts w:cstheme="minorHAnsi"/>
        </w:rPr>
      </w:pPr>
      <w:r w:rsidRPr="00FF24ED">
        <w:rPr>
          <w:rFonts w:cstheme="minorHAnsi"/>
        </w:rPr>
        <w:t xml:space="preserve">Storey, A. (2021) </w:t>
      </w:r>
      <w:r w:rsidRPr="00FF24ED">
        <w:rPr>
          <w:rFonts w:cstheme="minorHAnsi"/>
          <w:i/>
          <w:iCs/>
        </w:rPr>
        <w:t xml:space="preserve">US Abortion Law: Supreme Court Stacked with Conservatives Bodies Ill for Women’s Rights. </w:t>
      </w:r>
      <w:r w:rsidRPr="00FF24ED">
        <w:rPr>
          <w:rFonts w:cstheme="minorHAnsi"/>
        </w:rPr>
        <w:t xml:space="preserve">Available at: </w:t>
      </w:r>
      <w:hyperlink r:id="rId18" w:history="1">
        <w:r w:rsidRPr="00FF24ED">
          <w:rPr>
            <w:rStyle w:val="Hyperlink"/>
            <w:rFonts w:cstheme="minorHAnsi"/>
          </w:rPr>
          <w:t>https://theconversation.com/us-abortion-law-supreme-court-stacked-with-conservatives-bodes-ill-for-womens-rights-167231</w:t>
        </w:r>
      </w:hyperlink>
      <w:r w:rsidRPr="00FF24ED">
        <w:rPr>
          <w:rFonts w:cstheme="minorHAnsi"/>
        </w:rPr>
        <w:t xml:space="preserve"> (Accessed:  28</w:t>
      </w:r>
      <w:r w:rsidRPr="00FF24ED">
        <w:rPr>
          <w:rFonts w:cstheme="minorHAnsi"/>
          <w:vertAlign w:val="superscript"/>
        </w:rPr>
        <w:t>th</w:t>
      </w:r>
      <w:r w:rsidRPr="00FF24ED">
        <w:rPr>
          <w:rFonts w:cstheme="minorHAnsi"/>
        </w:rPr>
        <w:t xml:space="preserve"> February 2022).</w:t>
      </w:r>
    </w:p>
    <w:p w14:paraId="2CAAA792" w14:textId="77777777" w:rsidR="007C1DBB" w:rsidRPr="00507EAE" w:rsidRDefault="007C1DBB" w:rsidP="007C1DBB">
      <w:pPr>
        <w:ind w:left="360"/>
        <w:rPr>
          <w:rFonts w:cstheme="minorHAnsi"/>
        </w:rPr>
      </w:pPr>
    </w:p>
    <w:p w14:paraId="29EB5F49" w14:textId="438A1418" w:rsidR="007C1DBB" w:rsidRDefault="007C1DBB" w:rsidP="007C1DBB">
      <w:pPr>
        <w:rPr>
          <w:rFonts w:cstheme="minorHAnsi"/>
        </w:rPr>
      </w:pPr>
      <w:r w:rsidRPr="00FF24ED">
        <w:rPr>
          <w:rFonts w:cstheme="minorHAnsi"/>
        </w:rPr>
        <w:t xml:space="preserve">The Guardian. (2022) </w:t>
      </w:r>
      <w:r w:rsidRPr="00FF24ED">
        <w:rPr>
          <w:rFonts w:cstheme="minorHAnsi"/>
          <w:i/>
          <w:iCs/>
        </w:rPr>
        <w:t xml:space="preserve">Texas Law Causes Abortions to Drop by 60% as People Seek Care in Other States. </w:t>
      </w:r>
      <w:r w:rsidRPr="00FF24ED">
        <w:rPr>
          <w:rFonts w:cstheme="minorHAnsi"/>
        </w:rPr>
        <w:t xml:space="preserve">Available at: </w:t>
      </w:r>
      <w:hyperlink r:id="rId19" w:history="1">
        <w:r w:rsidRPr="00FF24ED">
          <w:rPr>
            <w:rStyle w:val="Hyperlink"/>
            <w:rFonts w:cstheme="minorHAnsi"/>
          </w:rPr>
          <w:t>https://www.theguardian.com/us-news/2022/feb/10/texas-law-abortion-drops-roe-v-wade</w:t>
        </w:r>
      </w:hyperlink>
      <w:r w:rsidRPr="00FF24ED">
        <w:rPr>
          <w:rFonts w:cstheme="minorHAnsi"/>
        </w:rPr>
        <w:t xml:space="preserve"> (Accessed: 28</w:t>
      </w:r>
      <w:r w:rsidRPr="00FF24ED">
        <w:rPr>
          <w:rFonts w:cstheme="minorHAnsi"/>
          <w:vertAlign w:val="superscript"/>
        </w:rPr>
        <w:t>th</w:t>
      </w:r>
      <w:r w:rsidRPr="00FF24ED">
        <w:rPr>
          <w:rFonts w:cstheme="minorHAnsi"/>
        </w:rPr>
        <w:t xml:space="preserve"> February 2022).</w:t>
      </w:r>
    </w:p>
    <w:p w14:paraId="2331C0AD" w14:textId="77777777" w:rsidR="007C1DBB" w:rsidRPr="00FF24ED" w:rsidRDefault="007C1DBB" w:rsidP="007C1DBB">
      <w:pPr>
        <w:rPr>
          <w:rFonts w:cstheme="minorHAnsi"/>
        </w:rPr>
      </w:pPr>
    </w:p>
    <w:p w14:paraId="45B345CA" w14:textId="253D80FC" w:rsidR="007C1DBB" w:rsidRPr="00FF24ED" w:rsidRDefault="007C1DBB" w:rsidP="007C1DBB">
      <w:pPr>
        <w:rPr>
          <w:rFonts w:cstheme="minorHAnsi"/>
        </w:rPr>
      </w:pPr>
      <w:r w:rsidRPr="00FF24ED">
        <w:rPr>
          <w:rFonts w:cstheme="minorHAnsi"/>
        </w:rPr>
        <w:t>Thompson, G. (2014) ‘</w:t>
      </w:r>
      <w:proofErr w:type="spellStart"/>
      <w:r w:rsidRPr="00FF24ED">
        <w:rPr>
          <w:rFonts w:cstheme="minorHAnsi"/>
        </w:rPr>
        <w:t>Labeling</w:t>
      </w:r>
      <w:proofErr w:type="spellEnd"/>
      <w:r w:rsidRPr="00FF24ED">
        <w:rPr>
          <w:rFonts w:cstheme="minorHAnsi"/>
        </w:rPr>
        <w:t xml:space="preserve"> in Interactional Practice: Applying </w:t>
      </w:r>
      <w:proofErr w:type="spellStart"/>
      <w:r w:rsidRPr="00FF24ED">
        <w:rPr>
          <w:rFonts w:cstheme="minorHAnsi"/>
        </w:rPr>
        <w:t>Labeling</w:t>
      </w:r>
      <w:proofErr w:type="spellEnd"/>
      <w:r w:rsidRPr="00FF24ED">
        <w:rPr>
          <w:rFonts w:cstheme="minorHAnsi"/>
        </w:rPr>
        <w:t xml:space="preserve"> Theory to Interactions and Interactional Analysis to </w:t>
      </w:r>
      <w:proofErr w:type="spellStart"/>
      <w:r w:rsidRPr="00FF24ED">
        <w:rPr>
          <w:rFonts w:cstheme="minorHAnsi"/>
        </w:rPr>
        <w:t>Labeling</w:t>
      </w:r>
      <w:proofErr w:type="spellEnd"/>
      <w:r w:rsidRPr="00FF24ED">
        <w:rPr>
          <w:rFonts w:cstheme="minorHAnsi"/>
        </w:rPr>
        <w:t xml:space="preserve">’, </w:t>
      </w:r>
      <w:r w:rsidRPr="00FF24ED">
        <w:rPr>
          <w:rFonts w:cstheme="minorHAnsi"/>
          <w:i/>
          <w:iCs/>
        </w:rPr>
        <w:t xml:space="preserve">Symbolic Interaction, </w:t>
      </w:r>
      <w:r w:rsidRPr="00FF24ED">
        <w:rPr>
          <w:rFonts w:cstheme="minorHAnsi"/>
        </w:rPr>
        <w:t>37(4), pp.458-482.DOI: 10.1002/SYMB.127.</w:t>
      </w:r>
    </w:p>
    <w:p w14:paraId="50740DFB" w14:textId="77777777" w:rsidR="007C1DBB" w:rsidRPr="007C1DBB" w:rsidRDefault="007C1DBB" w:rsidP="007C1DBB">
      <w:pPr>
        <w:spacing w:line="360" w:lineRule="auto"/>
        <w:rPr>
          <w:u w:val="single"/>
        </w:rPr>
      </w:pPr>
    </w:p>
    <w:p w14:paraId="0D3F793B" w14:textId="77777777" w:rsidR="007C1DBB" w:rsidRDefault="007C1DBB" w:rsidP="007C1DBB">
      <w:pPr>
        <w:spacing w:line="360" w:lineRule="auto"/>
      </w:pPr>
    </w:p>
    <w:p w14:paraId="2BD38A12" w14:textId="6D64A6E2" w:rsidR="00513EDE" w:rsidRDefault="00513EDE" w:rsidP="007C1DBB">
      <w:pPr>
        <w:spacing w:line="360" w:lineRule="auto"/>
      </w:pPr>
    </w:p>
    <w:p w14:paraId="49631DD8" w14:textId="77777777" w:rsidR="00513EDE" w:rsidRDefault="00513EDE" w:rsidP="007C1DBB">
      <w:pPr>
        <w:spacing w:line="360" w:lineRule="auto"/>
      </w:pPr>
    </w:p>
    <w:sectPr w:rsidR="00513EDE" w:rsidSect="002A3BEE">
      <w:headerReference w:type="default" r:id="rId2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1384DA" w14:textId="77777777" w:rsidR="0092343D" w:rsidRDefault="0092343D" w:rsidP="0092520C">
      <w:r>
        <w:separator/>
      </w:r>
    </w:p>
  </w:endnote>
  <w:endnote w:type="continuationSeparator" w:id="0">
    <w:p w14:paraId="62A0DC85" w14:textId="77777777" w:rsidR="0092343D" w:rsidRDefault="0092343D" w:rsidP="009252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1E78C1" w14:textId="77777777" w:rsidR="0092343D" w:rsidRDefault="0092343D" w:rsidP="0092520C">
      <w:r>
        <w:separator/>
      </w:r>
    </w:p>
  </w:footnote>
  <w:footnote w:type="continuationSeparator" w:id="0">
    <w:p w14:paraId="651734AE" w14:textId="77777777" w:rsidR="0092343D" w:rsidRDefault="0092343D" w:rsidP="009252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C2A74F" w14:textId="2245A932" w:rsidR="0092520C" w:rsidRDefault="0092520C">
    <w:pPr>
      <w:pStyle w:val="Header"/>
    </w:pPr>
    <w:r>
      <w:t>Bethan Francis 1802113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9B1"/>
    <w:rsid w:val="00025ED4"/>
    <w:rsid w:val="00077939"/>
    <w:rsid w:val="000A71A2"/>
    <w:rsid w:val="000E4958"/>
    <w:rsid w:val="00120CDB"/>
    <w:rsid w:val="0019426F"/>
    <w:rsid w:val="002A3BEE"/>
    <w:rsid w:val="00391FBC"/>
    <w:rsid w:val="00473A0F"/>
    <w:rsid w:val="00513EDE"/>
    <w:rsid w:val="00524BE4"/>
    <w:rsid w:val="00554079"/>
    <w:rsid w:val="005A09B1"/>
    <w:rsid w:val="006255BD"/>
    <w:rsid w:val="006B6D00"/>
    <w:rsid w:val="006C21D2"/>
    <w:rsid w:val="007C1DBB"/>
    <w:rsid w:val="00846893"/>
    <w:rsid w:val="00873370"/>
    <w:rsid w:val="008B0922"/>
    <w:rsid w:val="0092343D"/>
    <w:rsid w:val="0092520C"/>
    <w:rsid w:val="009B275E"/>
    <w:rsid w:val="00A51370"/>
    <w:rsid w:val="00A90F3E"/>
    <w:rsid w:val="00B413D2"/>
    <w:rsid w:val="00B724EB"/>
    <w:rsid w:val="00C222C9"/>
    <w:rsid w:val="00C77D25"/>
    <w:rsid w:val="00DA7D94"/>
    <w:rsid w:val="00E40971"/>
    <w:rsid w:val="00E93BE5"/>
    <w:rsid w:val="00F06496"/>
    <w:rsid w:val="00FA07A6"/>
    <w:rsid w:val="00FE6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47DA1"/>
  <w15:chartTrackingRefBased/>
  <w15:docId w15:val="{EA1391E4-6BBB-2D4F-8661-1C52FC96A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20C"/>
    <w:pPr>
      <w:tabs>
        <w:tab w:val="center" w:pos="4680"/>
        <w:tab w:val="right" w:pos="9360"/>
      </w:tabs>
    </w:pPr>
  </w:style>
  <w:style w:type="character" w:customStyle="1" w:styleId="HeaderChar">
    <w:name w:val="Header Char"/>
    <w:basedOn w:val="DefaultParagraphFont"/>
    <w:link w:val="Header"/>
    <w:uiPriority w:val="99"/>
    <w:rsid w:val="0092520C"/>
  </w:style>
  <w:style w:type="paragraph" w:styleId="Footer">
    <w:name w:val="footer"/>
    <w:basedOn w:val="Normal"/>
    <w:link w:val="FooterChar"/>
    <w:uiPriority w:val="99"/>
    <w:unhideWhenUsed/>
    <w:rsid w:val="0092520C"/>
    <w:pPr>
      <w:tabs>
        <w:tab w:val="center" w:pos="4680"/>
        <w:tab w:val="right" w:pos="9360"/>
      </w:tabs>
    </w:pPr>
  </w:style>
  <w:style w:type="character" w:customStyle="1" w:styleId="FooterChar">
    <w:name w:val="Footer Char"/>
    <w:basedOn w:val="DefaultParagraphFont"/>
    <w:link w:val="Footer"/>
    <w:uiPriority w:val="99"/>
    <w:rsid w:val="0092520C"/>
  </w:style>
  <w:style w:type="paragraph" w:styleId="NoSpacing">
    <w:name w:val="No Spacing"/>
    <w:link w:val="NoSpacingChar"/>
    <w:uiPriority w:val="1"/>
    <w:qFormat/>
    <w:rsid w:val="002A3BEE"/>
    <w:rPr>
      <w:rFonts w:eastAsiaTheme="minorEastAsia"/>
      <w:sz w:val="22"/>
      <w:szCs w:val="22"/>
      <w:lang w:val="en-US" w:eastAsia="zh-CN"/>
    </w:rPr>
  </w:style>
  <w:style w:type="character" w:customStyle="1" w:styleId="NoSpacingChar">
    <w:name w:val="No Spacing Char"/>
    <w:basedOn w:val="DefaultParagraphFont"/>
    <w:link w:val="NoSpacing"/>
    <w:uiPriority w:val="1"/>
    <w:rsid w:val="002A3BEE"/>
    <w:rPr>
      <w:rFonts w:eastAsiaTheme="minorEastAsia"/>
      <w:sz w:val="22"/>
      <w:szCs w:val="22"/>
      <w:lang w:val="en-US" w:eastAsia="zh-CN"/>
    </w:rPr>
  </w:style>
  <w:style w:type="character" w:styleId="Hyperlink">
    <w:name w:val="Hyperlink"/>
    <w:basedOn w:val="DefaultParagraphFont"/>
    <w:uiPriority w:val="99"/>
    <w:unhideWhenUsed/>
    <w:rsid w:val="007C1D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5-9125.2001.tb00915.x" TargetMode="External"/><Relationship Id="rId13" Type="http://schemas.openxmlformats.org/officeDocument/2006/relationships/hyperlink" Target="https://doi.org/10.1016/S0140-6736(06)69789-4" TargetMode="External"/><Relationship Id="rId18" Type="http://schemas.openxmlformats.org/officeDocument/2006/relationships/hyperlink" Target="https://theconversation.com/us-abortion-law-supreme-court-stacked-with-conservatives-bodes-ill-for-womens-rights-167231"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111/j.1745-9125.2009.00141.x" TargetMode="External"/><Relationship Id="rId12" Type="http://schemas.openxmlformats.org/officeDocument/2006/relationships/hyperlink" Target="https://doi.org/10.1177/019027250807100207" TargetMode="External"/><Relationship Id="rId17" Type="http://schemas.openxmlformats.org/officeDocument/2006/relationships/hyperlink" Target="https://doi.org/10.1016/S0277-5395(02)00256-X" TargetMode="External"/><Relationship Id="rId2" Type="http://schemas.openxmlformats.org/officeDocument/2006/relationships/settings" Target="settings.xml"/><Relationship Id="rId16" Type="http://schemas.openxmlformats.org/officeDocument/2006/relationships/hyperlink" Target="https://theconversation.com/abortion-is-nothing-like-hiring-a-hitman-whatever-pope-francis-says-104741"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1177/0022427805280068" TargetMode="External"/><Relationship Id="rId11" Type="http://schemas.openxmlformats.org/officeDocument/2006/relationships/hyperlink" Target="https://doi.org/10.1177/106591290305600410" TargetMode="External"/><Relationship Id="rId5" Type="http://schemas.openxmlformats.org/officeDocument/2006/relationships/endnotes" Target="endnotes.xml"/><Relationship Id="rId15" Type="http://schemas.openxmlformats.org/officeDocument/2006/relationships/hyperlink" Target="https://doi.org/10.1177/0964663916668250" TargetMode="External"/><Relationship Id="rId10" Type="http://schemas.openxmlformats.org/officeDocument/2006/relationships/hyperlink" Target="https://doi.org/10.1177/004839318501500103" TargetMode="External"/><Relationship Id="rId19" Type="http://schemas.openxmlformats.org/officeDocument/2006/relationships/hyperlink" Target="https://www.theguardian.com/us-news/2022/feb/10/texas-law-abortion-drops-roe-v-wade" TargetMode="External"/><Relationship Id="rId4" Type="http://schemas.openxmlformats.org/officeDocument/2006/relationships/footnotes" Target="footnotes.xml"/><Relationship Id="rId9" Type="http://schemas.openxmlformats.org/officeDocument/2006/relationships/hyperlink" Target="https://doi.org/10.1016/S0047-2352(01)00101-5" TargetMode="External"/><Relationship Id="rId14" Type="http://schemas.openxmlformats.org/officeDocument/2006/relationships/hyperlink" Target="https://www.plannedparenthood.org/planned-parenthood-center-for-choice/texas-abortion-law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1826</TotalTime>
  <Pages>12</Pages>
  <Words>3921</Words>
  <Characters>22352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Outsiders, Social Strain Theory and Abortions in America: Historical Explanations of Crime in Modern Society</dc:title>
  <dc:subject/>
  <dc:creator>Bethan Jane Francis (1802113)</dc:creator>
  <cp:keywords/>
  <dc:description/>
  <cp:lastModifiedBy>Beth Francis (1802113)</cp:lastModifiedBy>
  <cp:revision>15</cp:revision>
  <dcterms:created xsi:type="dcterms:W3CDTF">2022-02-24T10:21:00Z</dcterms:created>
  <dcterms:modified xsi:type="dcterms:W3CDTF">2022-03-03T11:48:00Z</dcterms:modified>
</cp:coreProperties>
</file>