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AAF2C" w14:textId="0250C657" w:rsidR="00143EA3" w:rsidRDefault="00143EA3" w:rsidP="00CB6F4A">
      <w:pPr>
        <w:ind w:firstLine="720"/>
      </w:pPr>
      <w:r w:rsidRPr="00143EA3">
        <w:rPr>
          <w:highlight w:val="magenta"/>
        </w:rPr>
        <w:t>CUT CONJUNCTIONS</w:t>
      </w:r>
    </w:p>
    <w:p w14:paraId="18291C9A" w14:textId="41A4F2FD" w:rsidR="00CB6F4A" w:rsidRDefault="00767FB6" w:rsidP="00CB6F4A">
      <w:pPr>
        <w:ind w:firstLine="720"/>
      </w:pPr>
      <w:r>
        <w:t xml:space="preserve">Modern medicine has </w:t>
      </w:r>
      <w:r w:rsidR="00C121A8">
        <w:t xml:space="preserve">its </w:t>
      </w:r>
      <w:r>
        <w:t>roots in ancient Greece, with Hippocrates of Cos</w:t>
      </w:r>
      <w:r w:rsidR="00DD140D">
        <w:t xml:space="preserve"> and the Hippocratic Corpus</w:t>
      </w:r>
      <w:r>
        <w:t xml:space="preserve"> greatly influencing </w:t>
      </w:r>
      <w:r w:rsidR="00976E4B">
        <w:t xml:space="preserve">its </w:t>
      </w:r>
      <w:r w:rsidR="00C121A8">
        <w:t xml:space="preserve">contemporary </w:t>
      </w:r>
      <w:r>
        <w:t>practice</w:t>
      </w:r>
      <w:r w:rsidR="00C121A8">
        <w:t xml:space="preserve"> and development</w:t>
      </w:r>
      <w:r>
        <w:t>.</w:t>
      </w:r>
      <w:r>
        <w:rPr>
          <w:rStyle w:val="FootnoteReference"/>
        </w:rPr>
        <w:footnoteReference w:id="1"/>
      </w:r>
      <w:r>
        <w:t xml:space="preserve"> </w:t>
      </w:r>
      <w:r w:rsidR="00F91BF9">
        <w:t xml:space="preserve">While </w:t>
      </w:r>
      <w:r w:rsidR="00C121A8">
        <w:t>modern</w:t>
      </w:r>
      <w:r w:rsidR="00F91BF9">
        <w:t xml:space="preserve"> medicine is </w:t>
      </w:r>
      <w:r w:rsidR="00C121A8">
        <w:t>primarily</w:t>
      </w:r>
      <w:r w:rsidR="00CB6F4A">
        <w:t xml:space="preserve"> </w:t>
      </w:r>
      <w:r w:rsidR="00AF1243">
        <w:t>rooted</w:t>
      </w:r>
      <w:r w:rsidR="00CB6F4A">
        <w:t xml:space="preserve"> </w:t>
      </w:r>
      <w:r w:rsidR="00AF1243">
        <w:t>i</w:t>
      </w:r>
      <w:r w:rsidR="00CB6F4A">
        <w:t xml:space="preserve">n the natural approach </w:t>
      </w:r>
      <w:r w:rsidR="00AC2B05">
        <w:t>to</w:t>
      </w:r>
      <w:r w:rsidR="00AF1243">
        <w:t xml:space="preserve"> the</w:t>
      </w:r>
      <w:r w:rsidR="00CB6F4A">
        <w:t xml:space="preserve"> treatment </w:t>
      </w:r>
      <w:r w:rsidR="00976E4B">
        <w:t>of disease,</w:t>
      </w:r>
      <w:r w:rsidR="00DD140D">
        <w:t xml:space="preserve"> this has not always been the case. In fact, Steven M. Oberhelman noted the history of medicine</w:t>
      </w:r>
      <w:r w:rsidR="00F60F63">
        <w:t xml:space="preserve"> is</w:t>
      </w:r>
      <w:r w:rsidR="00DD140D">
        <w:t xml:space="preserve"> marked by binary oppositions</w:t>
      </w:r>
      <w:r w:rsidR="00DE0B57">
        <w:t>, with th</w:t>
      </w:r>
      <w:r w:rsidR="00F60F63">
        <w:t>e battle between</w:t>
      </w:r>
      <w:r w:rsidR="00DE0B57">
        <w:t xml:space="preserve"> </w:t>
      </w:r>
      <w:r w:rsidR="000A3A8C">
        <w:t>‘</w:t>
      </w:r>
      <w:r w:rsidR="00DE0B57">
        <w:t>rational</w:t>
      </w:r>
      <w:r w:rsidR="000A3A8C">
        <w:t>’</w:t>
      </w:r>
      <w:r w:rsidR="00DE0B57">
        <w:t xml:space="preserve"> </w:t>
      </w:r>
      <w:r w:rsidR="00F60F63">
        <w:t>and</w:t>
      </w:r>
      <w:r w:rsidR="00DE0B57">
        <w:t xml:space="preserve"> </w:t>
      </w:r>
      <w:r w:rsidR="000A3A8C">
        <w:t>‘</w:t>
      </w:r>
      <w:r w:rsidR="00DE0B57">
        <w:t>irrational</w:t>
      </w:r>
      <w:r w:rsidR="000A3A8C">
        <w:t>’</w:t>
      </w:r>
      <w:r w:rsidR="00DE0B57">
        <w:t xml:space="preserve"> medicine </w:t>
      </w:r>
      <w:r w:rsidR="00F60F63">
        <w:t>holding a prominent theme</w:t>
      </w:r>
      <w:r w:rsidR="00DE0B57">
        <w:t>.</w:t>
      </w:r>
      <w:r w:rsidR="00DD140D">
        <w:rPr>
          <w:rStyle w:val="FootnoteReference"/>
        </w:rPr>
        <w:footnoteReference w:id="2"/>
      </w:r>
      <w:r w:rsidR="00DD140D">
        <w:t xml:space="preserve"> </w:t>
      </w:r>
      <w:r w:rsidR="00F60F63">
        <w:t xml:space="preserve">As such, </w:t>
      </w:r>
      <w:r w:rsidR="00370FD0">
        <w:t>this paper</w:t>
      </w:r>
      <w:r w:rsidR="00DD140D">
        <w:t xml:space="preserve"> will </w:t>
      </w:r>
      <w:r w:rsidR="000A3A8C">
        <w:t>examine</w:t>
      </w:r>
      <w:r w:rsidR="00370FD0">
        <w:t xml:space="preserve"> the role </w:t>
      </w:r>
      <w:r w:rsidR="00AF1243">
        <w:t xml:space="preserve">of </w:t>
      </w:r>
      <w:r w:rsidR="00976E4B">
        <w:t xml:space="preserve">divination </w:t>
      </w:r>
      <w:r w:rsidR="00370FD0">
        <w:t>and r</w:t>
      </w:r>
      <w:r w:rsidR="00976E4B">
        <w:t xml:space="preserve">eligious healing </w:t>
      </w:r>
      <w:r w:rsidR="00370FD0">
        <w:t xml:space="preserve">within </w:t>
      </w:r>
      <w:r w:rsidR="00976E4B">
        <w:t xml:space="preserve">Greek medical </w:t>
      </w:r>
      <w:r w:rsidR="000A3A8C">
        <w:t xml:space="preserve">theory and </w:t>
      </w:r>
      <w:r w:rsidR="00DD140D">
        <w:t>practice</w:t>
      </w:r>
      <w:r w:rsidR="00370FD0">
        <w:t xml:space="preserve">. </w:t>
      </w:r>
    </w:p>
    <w:p w14:paraId="7EF82A31" w14:textId="794450AA" w:rsidR="00CB6F4A" w:rsidRPr="00F20EFF" w:rsidRDefault="00CB6F4A" w:rsidP="00CB6F4A">
      <w:pPr>
        <w:rPr>
          <w:b/>
          <w:bCs/>
        </w:rPr>
      </w:pPr>
      <w:r w:rsidRPr="00CB6F4A">
        <w:rPr>
          <w:b/>
          <w:bCs/>
        </w:rPr>
        <w:t xml:space="preserve">Defining </w:t>
      </w:r>
      <w:r w:rsidR="00F16500">
        <w:rPr>
          <w:b/>
          <w:bCs/>
        </w:rPr>
        <w:t xml:space="preserve">divination, medicine, and secular versus religious healing </w:t>
      </w:r>
    </w:p>
    <w:p w14:paraId="2801E108" w14:textId="6B22BA3C" w:rsidR="004E0632" w:rsidRPr="0065736F" w:rsidRDefault="003257E7" w:rsidP="004E0632">
      <w:r>
        <w:tab/>
      </w:r>
      <w:r w:rsidR="009D2848">
        <w:t>D</w:t>
      </w:r>
      <w:r w:rsidR="00AC2B05">
        <w:t>ivination, for all intents and purposes, can be defined as a form of intervention through which the divine communicates to humans, revealing appropriate courses of action, coming events, and/or answers to moral and practical questions.</w:t>
      </w:r>
      <w:r w:rsidR="00AC2B05">
        <w:rPr>
          <w:rStyle w:val="FootnoteReference"/>
        </w:rPr>
        <w:footnoteReference w:id="3"/>
      </w:r>
      <w:r w:rsidR="004E0632">
        <w:t xml:space="preserve"> </w:t>
      </w:r>
      <w:r w:rsidR="00AC2B05" w:rsidRPr="0065736F">
        <w:t xml:space="preserve">However, defining medicine </w:t>
      </w:r>
      <w:r w:rsidR="00087EE2" w:rsidRPr="0065736F">
        <w:t>is</w:t>
      </w:r>
      <w:r w:rsidR="00AC2B05" w:rsidRPr="0065736F">
        <w:t xml:space="preserve"> more complex. </w:t>
      </w:r>
    </w:p>
    <w:p w14:paraId="353A8164" w14:textId="41E9A2DA" w:rsidR="00B15119" w:rsidRDefault="007C12DB" w:rsidP="00B15119">
      <w:pPr>
        <w:ind w:firstLine="720"/>
      </w:pPr>
      <w:r w:rsidRPr="0065736F">
        <w:t>In a basic sense, m</w:t>
      </w:r>
      <w:r w:rsidR="00AC2B05" w:rsidRPr="0065736F">
        <w:t>edicine can be understood as the understand</w:t>
      </w:r>
      <w:r w:rsidR="00210577" w:rsidRPr="0065736F">
        <w:t>ing</w:t>
      </w:r>
      <w:r w:rsidR="00AC2B05" w:rsidRPr="0065736F">
        <w:t>, treat</w:t>
      </w:r>
      <w:r w:rsidR="00210577" w:rsidRPr="0065736F">
        <w:t>ment</w:t>
      </w:r>
      <w:r w:rsidR="00AC2B05" w:rsidRPr="0065736F">
        <w:t>, and cur</w:t>
      </w:r>
      <w:r w:rsidR="00210577" w:rsidRPr="0065736F">
        <w:t>ing of</w:t>
      </w:r>
      <w:r w:rsidR="00AC2B05" w:rsidRPr="0065736F">
        <w:t xml:space="preserve"> disease. However, </w:t>
      </w:r>
      <w:r w:rsidR="00EA10B2" w:rsidRPr="0065736F">
        <w:t xml:space="preserve">as Veena </w:t>
      </w:r>
      <w:proofErr w:type="spellStart"/>
      <w:r w:rsidR="00EA10B2" w:rsidRPr="0065736F">
        <w:t>Bhasin</w:t>
      </w:r>
      <w:proofErr w:type="spellEnd"/>
      <w:r w:rsidR="00EA10B2" w:rsidRPr="0065736F">
        <w:t xml:space="preserve"> notes, ‘medicine, health and illness are all partly cultural categories,’ with various cultures utilizing </w:t>
      </w:r>
      <w:r w:rsidR="003A0701">
        <w:t>differing</w:t>
      </w:r>
      <w:r w:rsidR="00EA10B2" w:rsidRPr="0065736F">
        <w:t xml:space="preserve"> logic, approaches and means to understand </w:t>
      </w:r>
      <w:r w:rsidR="004E6797" w:rsidRPr="0065736F">
        <w:t>and treat</w:t>
      </w:r>
      <w:r w:rsidR="00EA10B2" w:rsidRPr="0065736F">
        <w:t xml:space="preserve"> patient issues.</w:t>
      </w:r>
      <w:r w:rsidR="00EA10B2" w:rsidRPr="0065736F">
        <w:rPr>
          <w:rStyle w:val="FootnoteReference"/>
        </w:rPr>
        <w:footnoteReference w:id="4"/>
      </w:r>
      <w:r w:rsidR="00EA10B2" w:rsidRPr="0065736F">
        <w:t xml:space="preserve"> </w:t>
      </w:r>
      <w:r w:rsidR="00AC2B05" w:rsidRPr="0065736F">
        <w:t xml:space="preserve"> </w:t>
      </w:r>
      <w:r w:rsidR="004E6797" w:rsidRPr="0065736F">
        <w:t>While a f</w:t>
      </w:r>
      <w:r w:rsidR="00AC2B05" w:rsidRPr="0065736F">
        <w:t>ocus on natural or material causes is generally implicit in the</w:t>
      </w:r>
      <w:r w:rsidR="00F9249F" w:rsidRPr="0065736F">
        <w:t xml:space="preserve"> </w:t>
      </w:r>
      <w:r w:rsidR="004E6797" w:rsidRPr="0065736F">
        <w:t xml:space="preserve">common, modern </w:t>
      </w:r>
      <w:r w:rsidR="00AC2B05" w:rsidRPr="0065736F">
        <w:t>u</w:t>
      </w:r>
      <w:r w:rsidR="00210577" w:rsidRPr="0065736F">
        <w:t>sage</w:t>
      </w:r>
      <w:r w:rsidR="00AC2B05" w:rsidRPr="0065736F">
        <w:t xml:space="preserve"> of the term</w:t>
      </w:r>
      <w:r w:rsidR="003A0701">
        <w:t xml:space="preserve"> ‘medicine’</w:t>
      </w:r>
      <w:r w:rsidR="004E6797" w:rsidRPr="0065736F">
        <w:t>,</w:t>
      </w:r>
      <w:r w:rsidR="004E6797">
        <w:t xml:space="preserve"> i</w:t>
      </w:r>
      <w:r w:rsidR="00EA703E">
        <w:t xml:space="preserve">n ancient Greece, </w:t>
      </w:r>
      <w:r w:rsidR="004E6797">
        <w:t>this not entirely the case</w:t>
      </w:r>
      <w:r w:rsidR="00EA703E">
        <w:t xml:space="preserve">. </w:t>
      </w:r>
      <w:r w:rsidR="00AC2B05">
        <w:t>According to</w:t>
      </w:r>
      <w:r w:rsidR="003257E7">
        <w:t xml:space="preserve"> Vivian </w:t>
      </w:r>
      <w:proofErr w:type="spellStart"/>
      <w:r w:rsidR="003257E7">
        <w:t>Nutton</w:t>
      </w:r>
      <w:proofErr w:type="spellEnd"/>
      <w:r w:rsidR="00AC2B05">
        <w:t xml:space="preserve">, </w:t>
      </w:r>
      <w:r w:rsidR="00D95E44">
        <w:t xml:space="preserve">the diverse standpoints found in Greek medical writings from the fifth and early fourth centuries </w:t>
      </w:r>
      <w:r w:rsidR="00D95E44" w:rsidRPr="00D95E44">
        <w:rPr>
          <w:highlight w:val="magenta"/>
        </w:rPr>
        <w:t>BCE</w:t>
      </w:r>
      <w:r w:rsidR="00D95E44">
        <w:t xml:space="preserve"> is ‘arguably greater than in any other comparable block of Classical Greek literature’.</w:t>
      </w:r>
      <w:r w:rsidR="00D95E44">
        <w:rPr>
          <w:rStyle w:val="FootnoteReference"/>
        </w:rPr>
        <w:footnoteReference w:id="5"/>
      </w:r>
      <w:r w:rsidR="00D95E44">
        <w:t xml:space="preserve"> </w:t>
      </w:r>
    </w:p>
    <w:p w14:paraId="30672864" w14:textId="65C4D16A" w:rsidR="00126866" w:rsidRDefault="00D95E44" w:rsidP="00B15119">
      <w:pPr>
        <w:ind w:firstLine="720"/>
      </w:pPr>
      <w:r>
        <w:t>By the late fifth century, a social debate regarding medicine had developed</w:t>
      </w:r>
      <w:r w:rsidR="004E6797">
        <w:t xml:space="preserve"> in Greece</w:t>
      </w:r>
      <w:r>
        <w:t xml:space="preserve">, with the </w:t>
      </w:r>
      <w:r w:rsidRPr="00D95E44">
        <w:t>Hippocratic</w:t>
      </w:r>
      <w:r>
        <w:t xml:space="preserve"> Corpus acting as the</w:t>
      </w:r>
      <w:r w:rsidR="00AC2B05">
        <w:t xml:space="preserve"> </w:t>
      </w:r>
      <w:r w:rsidR="00126866">
        <w:t xml:space="preserve">first </w:t>
      </w:r>
      <w:r w:rsidR="00AC2B05">
        <w:t xml:space="preserve">known </w:t>
      </w:r>
      <w:r>
        <w:t>work</w:t>
      </w:r>
      <w:r w:rsidR="00C121A8">
        <w:t xml:space="preserve"> </w:t>
      </w:r>
      <w:r w:rsidR="00EA703E">
        <w:t>to</w:t>
      </w:r>
      <w:r w:rsidR="00C121A8">
        <w:t xml:space="preserve"> defi</w:t>
      </w:r>
      <w:r w:rsidR="00EA703E">
        <w:t>ne</w:t>
      </w:r>
      <w:r w:rsidR="00087EE2">
        <w:t xml:space="preserve"> and </w:t>
      </w:r>
      <w:r w:rsidR="00210577">
        <w:t xml:space="preserve">set </w:t>
      </w:r>
      <w:r w:rsidR="00F9249F">
        <w:t xml:space="preserve">forth </w:t>
      </w:r>
      <w:r w:rsidR="00210577">
        <w:t>the foundations</w:t>
      </w:r>
      <w:r w:rsidR="00F16500">
        <w:t xml:space="preserve"> and limits</w:t>
      </w:r>
      <w:r w:rsidR="00210577">
        <w:t xml:space="preserve"> of</w:t>
      </w:r>
      <w:r w:rsidR="007C12DB">
        <w:t xml:space="preserve"> the medical field</w:t>
      </w:r>
      <w:r>
        <w:t>.</w:t>
      </w:r>
      <w:r w:rsidR="00C121A8">
        <w:rPr>
          <w:rStyle w:val="FootnoteReference"/>
        </w:rPr>
        <w:footnoteReference w:id="6"/>
      </w:r>
      <w:r w:rsidR="00210577">
        <w:t xml:space="preserve"> </w:t>
      </w:r>
      <w:r w:rsidR="00F20EFF">
        <w:t xml:space="preserve">For </w:t>
      </w:r>
      <w:proofErr w:type="spellStart"/>
      <w:r w:rsidR="00F20EFF">
        <w:t>Nutton</w:t>
      </w:r>
      <w:proofErr w:type="spellEnd"/>
      <w:r w:rsidR="00F20EFF">
        <w:t xml:space="preserve">, </w:t>
      </w:r>
      <w:r w:rsidR="000C352D">
        <w:t xml:space="preserve">a distinguishing feature of </w:t>
      </w:r>
      <w:r w:rsidR="00F20EFF">
        <w:t>Greek doctors</w:t>
      </w:r>
      <w:r>
        <w:t xml:space="preserve"> (</w:t>
      </w:r>
      <w:proofErr w:type="spellStart"/>
      <w:r>
        <w:rPr>
          <w:i/>
          <w:iCs/>
        </w:rPr>
        <w:t>iatros</w:t>
      </w:r>
      <w:proofErr w:type="spellEnd"/>
      <w:r>
        <w:rPr>
          <w:i/>
          <w:iCs/>
        </w:rPr>
        <w:t xml:space="preserve">) </w:t>
      </w:r>
      <w:r w:rsidR="00210577">
        <w:t>practicing Hippocratic medicine was</w:t>
      </w:r>
      <w:r w:rsidR="000C352D">
        <w:t xml:space="preserve"> t</w:t>
      </w:r>
      <w:r w:rsidR="00210577">
        <w:t xml:space="preserve">heir method of determining </w:t>
      </w:r>
      <w:r w:rsidR="007C12DB">
        <w:t>‘significant’ causes of disease</w:t>
      </w:r>
      <w:r w:rsidR="00210577">
        <w:t>.</w:t>
      </w:r>
      <w:r w:rsidR="00126866">
        <w:rPr>
          <w:rStyle w:val="FootnoteReference"/>
        </w:rPr>
        <w:footnoteReference w:id="7"/>
      </w:r>
      <w:r w:rsidR="00A76C0B">
        <w:t xml:space="preserve">  </w:t>
      </w:r>
      <w:r w:rsidR="00087EE2">
        <w:t>In other words, causes that did not relate to the ‘somewhat arbitrary intervention of divine powers</w:t>
      </w:r>
      <w:r w:rsidR="000A3A8C">
        <w:t>,</w:t>
      </w:r>
      <w:r w:rsidR="00087EE2">
        <w:t>’ a common consideration fo</w:t>
      </w:r>
      <w:r w:rsidR="00153BB4">
        <w:t>r other types of healers</w:t>
      </w:r>
      <w:r w:rsidR="000902C8">
        <w:t>.</w:t>
      </w:r>
      <w:r w:rsidR="00087EE2">
        <w:rPr>
          <w:rStyle w:val="FootnoteReference"/>
        </w:rPr>
        <w:footnoteReference w:id="8"/>
      </w:r>
      <w:r w:rsidR="00087EE2">
        <w:t xml:space="preserve"> </w:t>
      </w:r>
      <w:r w:rsidR="00210577">
        <w:t>T</w:t>
      </w:r>
      <w:r w:rsidR="00F16500">
        <w:t>herefore, for the purpos</w:t>
      </w:r>
      <w:r w:rsidR="00087EE2">
        <w:t>e</w:t>
      </w:r>
      <w:r w:rsidR="00F16500">
        <w:t xml:space="preserve"> of this e</w:t>
      </w:r>
      <w:r w:rsidR="00FA787E">
        <w:t>xamination</w:t>
      </w:r>
      <w:r w:rsidR="00F16500">
        <w:t xml:space="preserve">, practitioners using the natural approach to healing will be </w:t>
      </w:r>
      <w:r w:rsidR="007C12DB">
        <w:t>described</w:t>
      </w:r>
      <w:r w:rsidR="00F16500">
        <w:t xml:space="preserve"> as </w:t>
      </w:r>
      <w:r w:rsidR="00210577">
        <w:t>‘Hippocratic’ or ‘secula</w:t>
      </w:r>
      <w:r w:rsidR="00F16500">
        <w:t>r</w:t>
      </w:r>
      <w:r w:rsidR="000902C8">
        <w:t>’</w:t>
      </w:r>
      <w:r w:rsidR="00210577">
        <w:t xml:space="preserve"> while </w:t>
      </w:r>
      <w:r w:rsidR="00F16500">
        <w:t xml:space="preserve">those using religious or divinatory means will be </w:t>
      </w:r>
      <w:r w:rsidR="007C12DB">
        <w:t>described</w:t>
      </w:r>
      <w:r w:rsidR="00F16500">
        <w:t xml:space="preserve"> as ‘religiou</w:t>
      </w:r>
      <w:r w:rsidR="007C12DB">
        <w:t>s’.</w:t>
      </w:r>
    </w:p>
    <w:p w14:paraId="59853B25" w14:textId="77777777" w:rsidR="003A0701" w:rsidRDefault="003A0701">
      <w:pPr>
        <w:rPr>
          <w:b/>
          <w:bCs/>
        </w:rPr>
      </w:pPr>
    </w:p>
    <w:p w14:paraId="571F7DA1" w14:textId="77777777" w:rsidR="003A0701" w:rsidRDefault="003A0701">
      <w:pPr>
        <w:rPr>
          <w:b/>
          <w:bCs/>
        </w:rPr>
      </w:pPr>
    </w:p>
    <w:p w14:paraId="6E8B77B0" w14:textId="673AD58D" w:rsidR="00DD140D" w:rsidRDefault="00DD140D">
      <w:pPr>
        <w:rPr>
          <w:b/>
          <w:bCs/>
        </w:rPr>
      </w:pPr>
      <w:r>
        <w:rPr>
          <w:b/>
          <w:bCs/>
        </w:rPr>
        <w:lastRenderedPageBreak/>
        <w:t xml:space="preserve">Medical </w:t>
      </w:r>
      <w:r w:rsidR="007D1C36">
        <w:rPr>
          <w:b/>
          <w:bCs/>
        </w:rPr>
        <w:t>p</w:t>
      </w:r>
      <w:r>
        <w:rPr>
          <w:b/>
          <w:bCs/>
        </w:rPr>
        <w:t xml:space="preserve">lurality </w:t>
      </w:r>
      <w:r w:rsidR="00065363">
        <w:rPr>
          <w:b/>
          <w:bCs/>
        </w:rPr>
        <w:t>and</w:t>
      </w:r>
      <w:r w:rsidR="00C17BCE">
        <w:rPr>
          <w:b/>
          <w:bCs/>
        </w:rPr>
        <w:t xml:space="preserve"> practical</w:t>
      </w:r>
      <w:r w:rsidR="00065363">
        <w:rPr>
          <w:b/>
          <w:bCs/>
        </w:rPr>
        <w:t xml:space="preserve"> overlap in ancient</w:t>
      </w:r>
      <w:r>
        <w:rPr>
          <w:b/>
          <w:bCs/>
        </w:rPr>
        <w:t xml:space="preserve"> Gr</w:t>
      </w:r>
      <w:r w:rsidR="00065363">
        <w:rPr>
          <w:b/>
          <w:bCs/>
        </w:rPr>
        <w:t>eece</w:t>
      </w:r>
      <w:r>
        <w:rPr>
          <w:b/>
          <w:bCs/>
        </w:rPr>
        <w:t xml:space="preserve"> </w:t>
      </w:r>
    </w:p>
    <w:p w14:paraId="60A45B3E" w14:textId="61D179AB" w:rsidR="007D1C36" w:rsidRDefault="00E557F2" w:rsidP="009D2848">
      <w:pPr>
        <w:ind w:firstLine="720"/>
      </w:pPr>
      <w:r>
        <w:t xml:space="preserve">A sick patient in ancient Greece had a variety of healers to choose from. </w:t>
      </w:r>
      <w:r w:rsidR="009D2848">
        <w:t xml:space="preserve">The aforementioned </w:t>
      </w:r>
      <w:r>
        <w:t>religious and Hippocratic healers were</w:t>
      </w:r>
      <w:r w:rsidR="009D2848">
        <w:t xml:space="preserve"> no doubt</w:t>
      </w:r>
      <w:r>
        <w:t xml:space="preserve"> </w:t>
      </w:r>
      <w:r w:rsidR="007D1C36">
        <w:t>available; h</w:t>
      </w:r>
      <w:r>
        <w:t>owever, a patient could also self-treat with herbs</w:t>
      </w:r>
      <w:r w:rsidR="009D2848">
        <w:t xml:space="preserve"> or</w:t>
      </w:r>
      <w:r w:rsidR="005E26ED">
        <w:t xml:space="preserve"> </w:t>
      </w:r>
      <w:r w:rsidR="009D2848">
        <w:t xml:space="preserve">by </w:t>
      </w:r>
      <w:r w:rsidR="005E26ED">
        <w:t>purchas</w:t>
      </w:r>
      <w:r w:rsidR="009D2848">
        <w:t>ing</w:t>
      </w:r>
      <w:r w:rsidR="005E26ED">
        <w:t xml:space="preserve"> a medical</w:t>
      </w:r>
      <w:r>
        <w:t xml:space="preserve"> amu</w:t>
      </w:r>
      <w:r w:rsidR="005E26ED">
        <w:t>let</w:t>
      </w:r>
      <w:r w:rsidR="00D95E44">
        <w:t>;</w:t>
      </w:r>
      <w:r>
        <w:t xml:space="preserve"> </w:t>
      </w:r>
      <w:r w:rsidR="009D2848">
        <w:t xml:space="preserve">they could </w:t>
      </w:r>
      <w:r>
        <w:t xml:space="preserve">see a magician to be cured </w:t>
      </w:r>
      <w:r w:rsidR="000A3A8C">
        <w:t>with</w:t>
      </w:r>
      <w:r>
        <w:t xml:space="preserve"> a spell</w:t>
      </w:r>
      <w:r w:rsidR="00D95E44">
        <w:t>;</w:t>
      </w:r>
      <w:r w:rsidR="007C12DB">
        <w:t xml:space="preserve"> or they could</w:t>
      </w:r>
      <w:r>
        <w:t xml:space="preserve"> visit a root-cutter or drug-seller </w:t>
      </w:r>
      <w:r w:rsidR="007D1C36">
        <w:t>to</w:t>
      </w:r>
      <w:r w:rsidR="004E6797">
        <w:t xml:space="preserve"> obtain</w:t>
      </w:r>
      <w:r w:rsidR="009D2848">
        <w:t xml:space="preserve"> a</w:t>
      </w:r>
      <w:r w:rsidR="007D1C36">
        <w:t xml:space="preserve"> healing potion or drug.</w:t>
      </w:r>
      <w:r w:rsidR="007D1C36">
        <w:rPr>
          <w:rStyle w:val="FootnoteReference"/>
        </w:rPr>
        <w:footnoteReference w:id="9"/>
      </w:r>
      <w:r w:rsidR="007D1C36">
        <w:t xml:space="preserve"> This </w:t>
      </w:r>
      <w:r w:rsidR="005E26ED">
        <w:t>vast array of</w:t>
      </w:r>
      <w:r w:rsidR="007D1C36">
        <w:t xml:space="preserve"> healing treatments led to a collection of eclectic approaches, with Oberhelman noting that various practitioners ‘often overlapped in theory and praxis’.</w:t>
      </w:r>
      <w:r w:rsidR="007D1C36">
        <w:rPr>
          <w:rStyle w:val="FootnoteReference"/>
        </w:rPr>
        <w:footnoteReference w:id="10"/>
      </w:r>
      <w:r w:rsidR="003868DE">
        <w:t xml:space="preserve"> As a result, t</w:t>
      </w:r>
      <w:r w:rsidR="007D1C36">
        <w:t>reatments</w:t>
      </w:r>
      <w:r w:rsidR="005E26ED">
        <w:t xml:space="preserve"> from </w:t>
      </w:r>
      <w:r w:rsidR="003868DE">
        <w:t>a particular</w:t>
      </w:r>
      <w:r w:rsidR="005E26ED">
        <w:t xml:space="preserve"> healing sector</w:t>
      </w:r>
      <w:r w:rsidR="007D1C36">
        <w:t xml:space="preserve"> </w:t>
      </w:r>
      <w:r w:rsidR="009D2848">
        <w:t xml:space="preserve">would </w:t>
      </w:r>
      <w:r w:rsidR="005E26ED">
        <w:t>often incorporate</w:t>
      </w:r>
      <w:r w:rsidR="007D1C36">
        <w:t xml:space="preserve"> elements from </w:t>
      </w:r>
      <w:r w:rsidR="005E26ED">
        <w:t xml:space="preserve">other </w:t>
      </w:r>
      <w:r w:rsidR="007D1C36">
        <w:t>healing paradigms.</w:t>
      </w:r>
      <w:r w:rsidR="005E26ED">
        <w:rPr>
          <w:rStyle w:val="FootnoteReference"/>
        </w:rPr>
        <w:footnoteReference w:id="11"/>
      </w:r>
      <w:r w:rsidR="007D1C36">
        <w:t xml:space="preserve"> For example,</w:t>
      </w:r>
      <w:r w:rsidR="005E26ED">
        <w:t xml:space="preserve"> there exist many ancient accounts of individuals receiving Hippocratic cures through divinatory means such as dream divination. Conversely, the rational treatises of the </w:t>
      </w:r>
      <w:r w:rsidR="007D1C36">
        <w:t>Hippocratic Corpus</w:t>
      </w:r>
      <w:r w:rsidR="005E26ED">
        <w:t xml:space="preserve"> </w:t>
      </w:r>
      <w:r w:rsidR="007D1C36">
        <w:t>invoke the Gods and recommend prayer alongside</w:t>
      </w:r>
      <w:r w:rsidR="009D2848">
        <w:t xml:space="preserve"> rational</w:t>
      </w:r>
      <w:r w:rsidR="007C12DB">
        <w:t xml:space="preserve"> and</w:t>
      </w:r>
      <w:r w:rsidR="009D2848">
        <w:t xml:space="preserve"> natural </w:t>
      </w:r>
      <w:r w:rsidR="007D1C36">
        <w:t>treatments.</w:t>
      </w:r>
      <w:r w:rsidR="007D1C36">
        <w:rPr>
          <w:rStyle w:val="FootnoteReference"/>
        </w:rPr>
        <w:footnoteReference w:id="12"/>
      </w:r>
      <w:r w:rsidR="003868DE">
        <w:t xml:space="preserve"> </w:t>
      </w:r>
      <w:r w:rsidR="00F9249F">
        <w:t>This overlap will be examined more thoroughly in the following sections. However, it</w:t>
      </w:r>
      <w:r w:rsidR="00EA10B2">
        <w:t xml:space="preserve"> i</w:t>
      </w:r>
      <w:r w:rsidR="00065363">
        <w:t>s</w:t>
      </w:r>
      <w:r w:rsidR="00F368B7">
        <w:t xml:space="preserve"> mainly</w:t>
      </w:r>
      <w:r w:rsidR="00F9249F">
        <w:t xml:space="preserve"> important to note that</w:t>
      </w:r>
      <w:r w:rsidR="00652DE4">
        <w:t xml:space="preserve"> in ancient Greek medical practice,</w:t>
      </w:r>
      <w:r w:rsidR="00F9249F">
        <w:t xml:space="preserve"> distinctions </w:t>
      </w:r>
      <w:r w:rsidR="00065363">
        <w:t>between</w:t>
      </w:r>
      <w:r w:rsidR="00F9249F">
        <w:t xml:space="preserve"> ‘Hippocratic’ and ‘religious</w:t>
      </w:r>
      <w:r w:rsidR="00065363">
        <w:t xml:space="preserve">’ </w:t>
      </w:r>
      <w:r w:rsidR="00652DE4">
        <w:t xml:space="preserve">healing were much less concrete than those existing </w:t>
      </w:r>
      <w:r w:rsidR="000A3A8C">
        <w:t>in</w:t>
      </w:r>
      <w:r w:rsidR="00652DE4">
        <w:t xml:space="preserve"> </w:t>
      </w:r>
      <w:r w:rsidR="00320AD2">
        <w:t>modern society.</w:t>
      </w:r>
      <w:r w:rsidR="00652DE4">
        <w:t xml:space="preserve"> </w:t>
      </w:r>
    </w:p>
    <w:p w14:paraId="4C2D1B39" w14:textId="77777777" w:rsidR="00BB6C24" w:rsidRPr="004E0497" w:rsidRDefault="00BB6C24" w:rsidP="00BB6C24">
      <w:pPr>
        <w:rPr>
          <w:b/>
          <w:bCs/>
        </w:rPr>
      </w:pPr>
      <w:r w:rsidRPr="004E0497">
        <w:rPr>
          <w:b/>
          <w:bCs/>
        </w:rPr>
        <w:t xml:space="preserve">The Hippocratic Corpus on </w:t>
      </w:r>
      <w:r>
        <w:rPr>
          <w:b/>
          <w:bCs/>
        </w:rPr>
        <w:t>‘s</w:t>
      </w:r>
      <w:r w:rsidRPr="004E0497">
        <w:rPr>
          <w:b/>
          <w:bCs/>
        </w:rPr>
        <w:t>acred</w:t>
      </w:r>
      <w:r>
        <w:rPr>
          <w:b/>
          <w:bCs/>
        </w:rPr>
        <w:t>’</w:t>
      </w:r>
      <w:r w:rsidRPr="004E0497">
        <w:rPr>
          <w:b/>
          <w:bCs/>
        </w:rPr>
        <w:t xml:space="preserve"> </w:t>
      </w:r>
      <w:r>
        <w:rPr>
          <w:b/>
          <w:bCs/>
        </w:rPr>
        <w:t>d</w:t>
      </w:r>
      <w:r w:rsidRPr="004E0497">
        <w:rPr>
          <w:b/>
          <w:bCs/>
        </w:rPr>
        <w:t xml:space="preserve">isease </w:t>
      </w:r>
    </w:p>
    <w:p w14:paraId="799FC8D3" w14:textId="0C9A2E3C" w:rsidR="00CB4C8F" w:rsidRDefault="00BB6C24" w:rsidP="00CE3815">
      <w:pPr>
        <w:ind w:firstLine="720"/>
      </w:pPr>
      <w:r>
        <w:t>In ancient Greek culture, the unpredictable symptoms of epilepsy were largely thought to be divine in source</w:t>
      </w:r>
      <w:r w:rsidR="002F0C6C">
        <w:t xml:space="preserve">, and </w:t>
      </w:r>
      <w:r w:rsidR="00F54888">
        <w:t xml:space="preserve"> as a result,</w:t>
      </w:r>
      <w:r w:rsidR="002F0C6C">
        <w:t xml:space="preserve"> the illness was often referred to as ‘sacred disease’</w:t>
      </w:r>
      <w:r>
        <w:t>.</w:t>
      </w:r>
      <w:r>
        <w:rPr>
          <w:rStyle w:val="FootnoteReference"/>
        </w:rPr>
        <w:footnoteReference w:id="13"/>
      </w:r>
      <w:r w:rsidR="004E6797">
        <w:t xml:space="preserve"> </w:t>
      </w:r>
      <w:r w:rsidR="002F0C6C">
        <w:t>A</w:t>
      </w:r>
      <w:r w:rsidR="00CB4C8F">
        <w:t xml:space="preserve">ccording to </w:t>
      </w:r>
      <w:proofErr w:type="spellStart"/>
      <w:r w:rsidR="00CB4C8F">
        <w:t>Emmanouil</w:t>
      </w:r>
      <w:proofErr w:type="spellEnd"/>
      <w:r w:rsidR="00CB4C8F">
        <w:t xml:space="preserve"> </w:t>
      </w:r>
      <w:proofErr w:type="spellStart"/>
      <w:r w:rsidR="00CB4C8F">
        <w:t>Magiorkinis</w:t>
      </w:r>
      <w:proofErr w:type="spellEnd"/>
      <w:r w:rsidR="00CB4C8F">
        <w:t xml:space="preserve">, </w:t>
      </w:r>
      <w:proofErr w:type="spellStart"/>
      <w:r w:rsidR="00CB4C8F">
        <w:t>Kalliopi</w:t>
      </w:r>
      <w:proofErr w:type="spellEnd"/>
      <w:r w:rsidR="00CB4C8F">
        <w:t xml:space="preserve"> </w:t>
      </w:r>
      <w:proofErr w:type="spellStart"/>
      <w:r w:rsidR="00CB4C8F">
        <w:t>Sidiropoulou</w:t>
      </w:r>
      <w:proofErr w:type="spellEnd"/>
      <w:r w:rsidR="00CB4C8F">
        <w:t xml:space="preserve">, and </w:t>
      </w:r>
      <w:proofErr w:type="spellStart"/>
      <w:r w:rsidR="00CB4C8F">
        <w:t>Aristidis</w:t>
      </w:r>
      <w:proofErr w:type="spellEnd"/>
      <w:r w:rsidR="00CB4C8F">
        <w:t xml:space="preserve"> </w:t>
      </w:r>
      <w:proofErr w:type="spellStart"/>
      <w:r w:rsidR="00CB4C8F">
        <w:t>Diamantis</w:t>
      </w:r>
      <w:proofErr w:type="spellEnd"/>
      <w:r w:rsidR="00CB4C8F">
        <w:t>,</w:t>
      </w:r>
      <w:r w:rsidR="004E6797">
        <w:t xml:space="preserve"> </w:t>
      </w:r>
      <w:r w:rsidR="00CB4C8F">
        <w:t xml:space="preserve">ancient Greeks </w:t>
      </w:r>
      <w:r w:rsidR="003A0701">
        <w:t>believed</w:t>
      </w:r>
      <w:r w:rsidR="00CB4C8F">
        <w:t xml:space="preserve"> epilepsy to be a ‘miasma that was cast on the soul’, a </w:t>
      </w:r>
      <w:r w:rsidR="00CF0E2E">
        <w:t xml:space="preserve">type of </w:t>
      </w:r>
      <w:r w:rsidR="00CB4C8F">
        <w:t>divine punishment sent to afflict sinners.</w:t>
      </w:r>
      <w:r w:rsidR="00CB4C8F">
        <w:rPr>
          <w:rStyle w:val="FootnoteReference"/>
        </w:rPr>
        <w:footnoteReference w:id="14"/>
      </w:r>
      <w:r w:rsidR="002F0C6C">
        <w:t xml:space="preserve"> As such, many ancient Greeks reasoned, the cure must therefore be obtained through, or from, divine deities.</w:t>
      </w:r>
      <w:r w:rsidR="002F0C6C">
        <w:rPr>
          <w:rStyle w:val="FootnoteReference"/>
        </w:rPr>
        <w:footnoteReference w:id="15"/>
      </w:r>
      <w:r w:rsidR="002F0C6C">
        <w:t xml:space="preserve"> In general, ancient Greeks associated epileptic seizures with specific deities based on the symptoms </w:t>
      </w:r>
      <w:r w:rsidR="00547AE0">
        <w:t>the</w:t>
      </w:r>
      <w:r w:rsidR="00F54888">
        <w:t xml:space="preserve"> </w:t>
      </w:r>
      <w:r w:rsidR="00547AE0">
        <w:t xml:space="preserve">individual </w:t>
      </w:r>
      <w:r w:rsidR="002F0C6C">
        <w:t>exhibited.</w:t>
      </w:r>
      <w:r w:rsidR="002F0C6C">
        <w:rPr>
          <w:rStyle w:val="FootnoteReference"/>
        </w:rPr>
        <w:footnoteReference w:id="16"/>
      </w:r>
      <w:r w:rsidR="00CB4C8F">
        <w:t xml:space="preserve"> </w:t>
      </w:r>
      <w:r w:rsidR="00032675">
        <w:t xml:space="preserve">In particular, </w:t>
      </w:r>
      <w:r w:rsidR="002F0C6C">
        <w:t xml:space="preserve">however, </w:t>
      </w:r>
      <w:r w:rsidR="00032675">
        <w:t>Selene, the Goddess of the Moon was thought to cast epilepsy onto those who displeased or offended her.</w:t>
      </w:r>
      <w:r w:rsidR="00032675">
        <w:rPr>
          <w:rStyle w:val="FootnoteReference"/>
        </w:rPr>
        <w:footnoteReference w:id="17"/>
      </w:r>
      <w:r w:rsidR="00032675">
        <w:t xml:space="preserve"> </w:t>
      </w:r>
      <w:proofErr w:type="spellStart"/>
      <w:r w:rsidR="00032675">
        <w:t>Artemide</w:t>
      </w:r>
      <w:proofErr w:type="spellEnd"/>
      <w:r w:rsidR="00032675">
        <w:t>, Apollo’s sister in Greek mythology,</w:t>
      </w:r>
      <w:r w:rsidR="00547AE0">
        <w:t xml:space="preserve"> </w:t>
      </w:r>
      <w:r w:rsidR="00D321A5">
        <w:t>was</w:t>
      </w:r>
      <w:r w:rsidR="00032675">
        <w:t xml:space="preserve"> also a lunar goddess to whom wom</w:t>
      </w:r>
      <w:r w:rsidR="00CF0E2E">
        <w:t>e</w:t>
      </w:r>
      <w:r w:rsidR="00032675">
        <w:t xml:space="preserve">n with epilepsy </w:t>
      </w:r>
      <w:r w:rsidR="00D321A5">
        <w:t>w</w:t>
      </w:r>
      <w:r w:rsidR="00CF0E2E">
        <w:t>ere</w:t>
      </w:r>
      <w:r w:rsidR="00032675">
        <w:t xml:space="preserve"> inst</w:t>
      </w:r>
      <w:r w:rsidR="00D321A5">
        <w:t>ructed to bring offerings.</w:t>
      </w:r>
      <w:r w:rsidR="00D321A5">
        <w:rPr>
          <w:rStyle w:val="FootnoteReference"/>
        </w:rPr>
        <w:footnoteReference w:id="18"/>
      </w:r>
      <w:r w:rsidR="00D321A5">
        <w:t xml:space="preserve"> </w:t>
      </w:r>
    </w:p>
    <w:p w14:paraId="0F0CD5C1" w14:textId="1E61AE10" w:rsidR="003D6E95" w:rsidRDefault="00D321A5" w:rsidP="003D6E95">
      <w:pPr>
        <w:ind w:firstLine="720"/>
      </w:pPr>
      <w:r>
        <w:t xml:space="preserve">Because Hippocratic writers were known to place emphasis on causes of disease </w:t>
      </w:r>
      <w:r>
        <w:rPr>
          <w:i/>
          <w:iCs/>
        </w:rPr>
        <w:t>not</w:t>
      </w:r>
      <w:r>
        <w:t xml:space="preserve"> related to divine influence, the treatise </w:t>
      </w:r>
      <w:r>
        <w:rPr>
          <w:i/>
          <w:iCs/>
        </w:rPr>
        <w:t>The Sacred Disease</w:t>
      </w:r>
      <w:r>
        <w:t xml:space="preserve"> in the Hippocratic Corpus is particularly relevant</w:t>
      </w:r>
      <w:r w:rsidR="00547AE0">
        <w:t xml:space="preserve"> to the current inquiry</w:t>
      </w:r>
      <w:r>
        <w:t>.</w:t>
      </w:r>
      <w:r>
        <w:rPr>
          <w:rStyle w:val="FootnoteReference"/>
        </w:rPr>
        <w:footnoteReference w:id="19"/>
      </w:r>
      <w:r>
        <w:t xml:space="preserve"> </w:t>
      </w:r>
      <w:r w:rsidR="00603BA1">
        <w:rPr>
          <w:i/>
          <w:iCs/>
        </w:rPr>
        <w:t xml:space="preserve">The Sacred </w:t>
      </w:r>
      <w:r>
        <w:rPr>
          <w:i/>
          <w:iCs/>
        </w:rPr>
        <w:t>D</w:t>
      </w:r>
      <w:r w:rsidR="00603BA1" w:rsidRPr="00D321A5">
        <w:rPr>
          <w:i/>
          <w:iCs/>
        </w:rPr>
        <w:t>isease</w:t>
      </w:r>
      <w:r>
        <w:rPr>
          <w:i/>
          <w:iCs/>
        </w:rPr>
        <w:t xml:space="preserve"> </w:t>
      </w:r>
      <w:r>
        <w:t>is notable because it</w:t>
      </w:r>
      <w:r w:rsidR="00603BA1">
        <w:t xml:space="preserve"> </w:t>
      </w:r>
      <w:r>
        <w:t xml:space="preserve">is the first known text to relegate epilepsy as a disease </w:t>
      </w:r>
      <w:r w:rsidR="00F54888">
        <w:t>stemming from</w:t>
      </w:r>
      <w:r>
        <w:t xml:space="preserve"> natural causes.</w:t>
      </w:r>
      <w:r>
        <w:rPr>
          <w:rStyle w:val="FootnoteReference"/>
        </w:rPr>
        <w:footnoteReference w:id="20"/>
      </w:r>
      <w:r>
        <w:t xml:space="preserve"> In the text, the author accuses</w:t>
      </w:r>
      <w:r w:rsidR="00603BA1">
        <w:t xml:space="preserve"> ‘magicians, purifiers, </w:t>
      </w:r>
      <w:r w:rsidR="00603BA1">
        <w:lastRenderedPageBreak/>
        <w:t xml:space="preserve">charlatans, and quacks’  </w:t>
      </w:r>
      <w:r>
        <w:t xml:space="preserve">of </w:t>
      </w:r>
      <w:r w:rsidR="00603BA1">
        <w:t>linking</w:t>
      </w:r>
      <w:r>
        <w:t xml:space="preserve"> </w:t>
      </w:r>
      <w:r w:rsidR="00603BA1">
        <w:t xml:space="preserve">epilepsy with the divine </w:t>
      </w:r>
      <w:r w:rsidR="00547AE0">
        <w:t>in</w:t>
      </w:r>
      <w:r w:rsidR="00603BA1">
        <w:t xml:space="preserve"> an attempt to hide ‘their utter ignorance’</w:t>
      </w:r>
      <w:r w:rsidR="00547AE0">
        <w:t xml:space="preserve"> regarding the true cause</w:t>
      </w:r>
      <w:r w:rsidR="00F54888">
        <w:t>s</w:t>
      </w:r>
      <w:r w:rsidR="00547AE0">
        <w:t xml:space="preserve"> </w:t>
      </w:r>
      <w:r w:rsidR="00F54888">
        <w:t>underlying</w:t>
      </w:r>
      <w:r w:rsidR="00547AE0">
        <w:t xml:space="preserve"> the</w:t>
      </w:r>
      <w:r w:rsidR="00F54888">
        <w:t xml:space="preserve"> condition</w:t>
      </w:r>
      <w:r w:rsidR="00603BA1">
        <w:t>.</w:t>
      </w:r>
      <w:r w:rsidR="00603BA1">
        <w:rPr>
          <w:rStyle w:val="FootnoteReference"/>
        </w:rPr>
        <w:footnoteReference w:id="21"/>
      </w:r>
      <w:r w:rsidR="00603BA1">
        <w:t xml:space="preserve"> </w:t>
      </w:r>
      <w:r w:rsidR="00765634">
        <w:t xml:space="preserve">The treatise </w:t>
      </w:r>
      <w:r>
        <w:t xml:space="preserve">essentially </w:t>
      </w:r>
      <w:r w:rsidR="00765634">
        <w:t xml:space="preserve">argues that no disease is sacred; however, that the author felt compelled to write such a work </w:t>
      </w:r>
      <w:r>
        <w:t xml:space="preserve">attests to the fact that </w:t>
      </w:r>
      <w:r w:rsidR="00CF0E2E">
        <w:t xml:space="preserve">this </w:t>
      </w:r>
      <w:r>
        <w:t xml:space="preserve">belief </w:t>
      </w:r>
      <w:r w:rsidR="00CF0E2E">
        <w:t>in the</w:t>
      </w:r>
      <w:r>
        <w:t xml:space="preserve"> divine </w:t>
      </w:r>
      <w:r w:rsidR="00CF0E2E">
        <w:t xml:space="preserve">as the </w:t>
      </w:r>
      <w:r>
        <w:t>source of epilepsy</w:t>
      </w:r>
      <w:r w:rsidR="00765634">
        <w:t xml:space="preserve"> w</w:t>
      </w:r>
      <w:r w:rsidR="00CF0E2E">
        <w:t>as</w:t>
      </w:r>
      <w:r w:rsidR="00765634">
        <w:t xml:space="preserve"> </w:t>
      </w:r>
      <w:r w:rsidR="003D6E95">
        <w:t xml:space="preserve">likely </w:t>
      </w:r>
      <w:r w:rsidR="00765634">
        <w:t>widespread.</w:t>
      </w:r>
      <w:r>
        <w:t xml:space="preserve"> </w:t>
      </w:r>
      <w:r w:rsidR="00765634">
        <w:t xml:space="preserve">Indeed, Jacques </w:t>
      </w:r>
      <w:proofErr w:type="spellStart"/>
      <w:r w:rsidR="00765634">
        <w:t>Jouanna</w:t>
      </w:r>
      <w:proofErr w:type="spellEnd"/>
      <w:r w:rsidR="00765634">
        <w:t xml:space="preserve"> affirms this position, noting: </w:t>
      </w:r>
      <w:r w:rsidR="00F4357E">
        <w:t>‘</w:t>
      </w:r>
      <w:r w:rsidR="00765634">
        <w:t>Neither this evidence for popular belief, nor the oversimplified criticism of the Hippocratic author should hide the fact that religious medicine was able to rival rational medicine’ during this period.</w:t>
      </w:r>
      <w:r w:rsidR="00765634">
        <w:rPr>
          <w:rStyle w:val="FootnoteReference"/>
        </w:rPr>
        <w:footnoteReference w:id="22"/>
      </w:r>
      <w:r w:rsidR="00765634">
        <w:t xml:space="preserve"> </w:t>
      </w:r>
    </w:p>
    <w:p w14:paraId="1ADA6C69" w14:textId="77777777" w:rsidR="00F54888" w:rsidRDefault="003D6E95" w:rsidP="00F54888">
      <w:pPr>
        <w:ind w:firstLine="720"/>
        <w:rPr>
          <w:iCs/>
        </w:rPr>
      </w:pPr>
      <w:r>
        <w:t xml:space="preserve">For the author of </w:t>
      </w:r>
      <w:r>
        <w:rPr>
          <w:i/>
          <w:iCs/>
        </w:rPr>
        <w:t>The Sacred Disease</w:t>
      </w:r>
      <w:r>
        <w:rPr>
          <w:iCs/>
        </w:rPr>
        <w:t xml:space="preserve">, epilepsy is no more sacred than any other </w:t>
      </w:r>
      <w:r w:rsidR="00547AE0">
        <w:rPr>
          <w:iCs/>
        </w:rPr>
        <w:t>condition</w:t>
      </w:r>
      <w:r>
        <w:rPr>
          <w:iCs/>
        </w:rPr>
        <w:t>.</w:t>
      </w:r>
      <w:r>
        <w:rPr>
          <w:rStyle w:val="FootnoteReference"/>
          <w:iCs/>
        </w:rPr>
        <w:footnoteReference w:id="23"/>
      </w:r>
      <w:r>
        <w:rPr>
          <w:iCs/>
        </w:rPr>
        <w:t xml:space="preserve"> The concept of a divine source of disease is acceptable only in the sense that </w:t>
      </w:r>
      <w:r>
        <w:rPr>
          <w:i/>
        </w:rPr>
        <w:t>all of</w:t>
      </w:r>
      <w:r>
        <w:rPr>
          <w:iCs/>
        </w:rPr>
        <w:t xml:space="preserve"> nature</w:t>
      </w:r>
      <w:r w:rsidR="00CF0E2E">
        <w:rPr>
          <w:iCs/>
        </w:rPr>
        <w:t xml:space="preserve">, and therefore </w:t>
      </w:r>
      <w:r w:rsidR="00547AE0">
        <w:rPr>
          <w:iCs/>
        </w:rPr>
        <w:t>all of</w:t>
      </w:r>
      <w:r w:rsidR="00CF0E2E">
        <w:rPr>
          <w:iCs/>
        </w:rPr>
        <w:t xml:space="preserve"> natural disease,</w:t>
      </w:r>
      <w:r>
        <w:rPr>
          <w:iCs/>
        </w:rPr>
        <w:t xml:space="preserve"> is </w:t>
      </w:r>
      <w:r w:rsidR="00547AE0">
        <w:rPr>
          <w:iCs/>
        </w:rPr>
        <w:t xml:space="preserve">essentially </w:t>
      </w:r>
      <w:r>
        <w:rPr>
          <w:iCs/>
        </w:rPr>
        <w:t>divine.</w:t>
      </w:r>
      <w:r>
        <w:rPr>
          <w:rStyle w:val="FootnoteReference"/>
          <w:iCs/>
        </w:rPr>
        <w:footnoteReference w:id="24"/>
      </w:r>
      <w:r>
        <w:rPr>
          <w:iCs/>
        </w:rPr>
        <w:t xml:space="preserve"> The author </w:t>
      </w:r>
      <w:r w:rsidR="00CF0E2E">
        <w:rPr>
          <w:iCs/>
        </w:rPr>
        <w:t>proclaims</w:t>
      </w:r>
      <w:r>
        <w:rPr>
          <w:iCs/>
        </w:rPr>
        <w:t xml:space="preserve"> </w:t>
      </w:r>
      <w:r w:rsidR="00CF0E2E">
        <w:rPr>
          <w:iCs/>
        </w:rPr>
        <w:t>the uselessness of</w:t>
      </w:r>
      <w:r>
        <w:rPr>
          <w:iCs/>
        </w:rPr>
        <w:t xml:space="preserve"> categoriz</w:t>
      </w:r>
      <w:r w:rsidR="00CF0E2E">
        <w:rPr>
          <w:iCs/>
        </w:rPr>
        <w:t>ing</w:t>
      </w:r>
      <w:r>
        <w:rPr>
          <w:iCs/>
        </w:rPr>
        <w:t xml:space="preserve"> epilepsy as</w:t>
      </w:r>
      <w:r w:rsidR="00CF0E2E">
        <w:rPr>
          <w:iCs/>
        </w:rPr>
        <w:t xml:space="preserve"> a</w:t>
      </w:r>
      <w:r>
        <w:rPr>
          <w:iCs/>
        </w:rPr>
        <w:t xml:space="preserve"> </w:t>
      </w:r>
      <w:r w:rsidR="001A2273">
        <w:rPr>
          <w:iCs/>
        </w:rPr>
        <w:t>sacred</w:t>
      </w:r>
      <w:r w:rsidR="00CF0E2E">
        <w:rPr>
          <w:iCs/>
        </w:rPr>
        <w:t xml:space="preserve"> disease</w:t>
      </w:r>
      <w:r>
        <w:rPr>
          <w:iCs/>
        </w:rPr>
        <w:t>, for in th</w:t>
      </w:r>
      <w:r w:rsidR="001A2273">
        <w:rPr>
          <w:iCs/>
        </w:rPr>
        <w:t>eir natural state,</w:t>
      </w:r>
      <w:r>
        <w:rPr>
          <w:iCs/>
        </w:rPr>
        <w:t xml:space="preserve"> </w:t>
      </w:r>
      <w:r w:rsidR="001A2273">
        <w:rPr>
          <w:iCs/>
        </w:rPr>
        <w:t xml:space="preserve"> ‘they [diseases] are all divine and all human.’</w:t>
      </w:r>
      <w:r w:rsidR="001A2273">
        <w:rPr>
          <w:rStyle w:val="FootnoteReference"/>
          <w:iCs/>
        </w:rPr>
        <w:footnoteReference w:id="25"/>
      </w:r>
      <w:r w:rsidR="001A2273">
        <w:rPr>
          <w:iCs/>
        </w:rPr>
        <w:t xml:space="preserve"> In this sense, while </w:t>
      </w:r>
      <w:r w:rsidR="001A2273">
        <w:rPr>
          <w:i/>
        </w:rPr>
        <w:t>The Sacred Disease</w:t>
      </w:r>
      <w:r w:rsidR="001A2273">
        <w:rPr>
          <w:iCs/>
        </w:rPr>
        <w:t xml:space="preserve"> can be </w:t>
      </w:r>
      <w:r w:rsidR="003E1D0F">
        <w:rPr>
          <w:iCs/>
        </w:rPr>
        <w:t>seen</w:t>
      </w:r>
      <w:r w:rsidR="001A2273">
        <w:rPr>
          <w:iCs/>
        </w:rPr>
        <w:t xml:space="preserve"> as a polemic against religious and divination-based healing, the text ultimately maintains the piety of the gods.</w:t>
      </w:r>
      <w:r w:rsidR="001A2273">
        <w:rPr>
          <w:rStyle w:val="FootnoteReference"/>
          <w:iCs/>
        </w:rPr>
        <w:footnoteReference w:id="26"/>
      </w:r>
      <w:r w:rsidR="001A2273">
        <w:rPr>
          <w:iCs/>
        </w:rPr>
        <w:t xml:space="preserve"> </w:t>
      </w:r>
    </w:p>
    <w:p w14:paraId="39189D4C" w14:textId="60A9115B" w:rsidR="001A2273" w:rsidRDefault="001A2273" w:rsidP="00F54888">
      <w:pPr>
        <w:ind w:firstLine="720"/>
        <w:rPr>
          <w:iCs/>
        </w:rPr>
      </w:pPr>
      <w:proofErr w:type="spellStart"/>
      <w:r>
        <w:rPr>
          <w:iCs/>
        </w:rPr>
        <w:t>Nutton</w:t>
      </w:r>
      <w:proofErr w:type="spellEnd"/>
      <w:r>
        <w:rPr>
          <w:iCs/>
        </w:rPr>
        <w:t xml:space="preserve"> hypothesizes </w:t>
      </w:r>
      <w:r>
        <w:rPr>
          <w:i/>
        </w:rPr>
        <w:t xml:space="preserve">The Sacred Disease </w:t>
      </w:r>
      <w:r>
        <w:rPr>
          <w:iCs/>
        </w:rPr>
        <w:t xml:space="preserve">is not an attack to discredit temples and shrines that use religious healing— mainly because in these </w:t>
      </w:r>
      <w:r w:rsidR="00F54888">
        <w:rPr>
          <w:iCs/>
        </w:rPr>
        <w:t>circumstances</w:t>
      </w:r>
      <w:r>
        <w:rPr>
          <w:iCs/>
        </w:rPr>
        <w:t>, the decision to heal is left to the deity.</w:t>
      </w:r>
      <w:r>
        <w:rPr>
          <w:rStyle w:val="FootnoteReference"/>
          <w:iCs/>
        </w:rPr>
        <w:footnoteReference w:id="27"/>
      </w:r>
      <w:r>
        <w:rPr>
          <w:iCs/>
        </w:rPr>
        <w:t xml:space="preserve">  Instead, he writes, the attack ‘was against those who claim to be able to drive out demons and compel the gods to do their will by means of chants and charms.’</w:t>
      </w:r>
      <w:r>
        <w:rPr>
          <w:rStyle w:val="FootnoteReference"/>
          <w:iCs/>
        </w:rPr>
        <w:footnoteReference w:id="28"/>
      </w:r>
      <w:r>
        <w:rPr>
          <w:iCs/>
        </w:rPr>
        <w:t xml:space="preserve"> In this way, the author seems to differentiate religious healing from</w:t>
      </w:r>
      <w:r w:rsidR="00547AE0">
        <w:rPr>
          <w:iCs/>
        </w:rPr>
        <w:t xml:space="preserve"> ‘magical’</w:t>
      </w:r>
      <w:r>
        <w:rPr>
          <w:iCs/>
        </w:rPr>
        <w:t xml:space="preserve"> divinatory treatments used by, what he consider</w:t>
      </w:r>
      <w:r w:rsidR="003E1D0F">
        <w:rPr>
          <w:iCs/>
        </w:rPr>
        <w:t>s</w:t>
      </w:r>
      <w:r>
        <w:rPr>
          <w:iCs/>
        </w:rPr>
        <w:t xml:space="preserve"> to be, charlatans, magicians, and quacks</w:t>
      </w:r>
      <w:r w:rsidR="00BC6C85">
        <w:rPr>
          <w:iCs/>
        </w:rPr>
        <w:t xml:space="preserve">, </w:t>
      </w:r>
      <w:r w:rsidR="00547AE0">
        <w:rPr>
          <w:iCs/>
        </w:rPr>
        <w:t xml:space="preserve">and </w:t>
      </w:r>
      <w:r w:rsidR="00BC6C85">
        <w:rPr>
          <w:iCs/>
        </w:rPr>
        <w:t>accept</w:t>
      </w:r>
      <w:r w:rsidR="00547AE0">
        <w:rPr>
          <w:iCs/>
        </w:rPr>
        <w:t xml:space="preserve">s </w:t>
      </w:r>
      <w:r w:rsidR="00BC6C85">
        <w:rPr>
          <w:iCs/>
        </w:rPr>
        <w:t>th</w:t>
      </w:r>
      <w:r w:rsidR="00CE3815">
        <w:rPr>
          <w:iCs/>
        </w:rPr>
        <w:t xml:space="preserve">at all diseases are both sacred and natural </w:t>
      </w:r>
      <w:r w:rsidR="00547AE0">
        <w:rPr>
          <w:iCs/>
        </w:rPr>
        <w:t>while</w:t>
      </w:r>
      <w:r w:rsidR="00CE3815">
        <w:rPr>
          <w:iCs/>
        </w:rPr>
        <w:t xml:space="preserve"> </w:t>
      </w:r>
      <w:r w:rsidR="003E1D0F">
        <w:rPr>
          <w:iCs/>
        </w:rPr>
        <w:t xml:space="preserve">simultaneously </w:t>
      </w:r>
      <w:r w:rsidR="00CE3815">
        <w:rPr>
          <w:iCs/>
        </w:rPr>
        <w:t xml:space="preserve">rejecting the work of those who </w:t>
      </w:r>
      <w:r w:rsidR="003E1D0F">
        <w:rPr>
          <w:iCs/>
        </w:rPr>
        <w:t xml:space="preserve">claim </w:t>
      </w:r>
      <w:r w:rsidR="003A0701">
        <w:rPr>
          <w:iCs/>
        </w:rPr>
        <w:t>the power to compel the gods</w:t>
      </w:r>
      <w:r w:rsidR="00CE3815">
        <w:rPr>
          <w:iCs/>
        </w:rPr>
        <w:t xml:space="preserve">. </w:t>
      </w:r>
      <w:r w:rsidR="003E1D0F">
        <w:rPr>
          <w:iCs/>
        </w:rPr>
        <w:t xml:space="preserve">As </w:t>
      </w:r>
      <w:proofErr w:type="spellStart"/>
      <w:r w:rsidR="003E1D0F">
        <w:rPr>
          <w:iCs/>
        </w:rPr>
        <w:t>Nutton</w:t>
      </w:r>
      <w:proofErr w:type="spellEnd"/>
      <w:r w:rsidR="003E1D0F">
        <w:rPr>
          <w:iCs/>
        </w:rPr>
        <w:t xml:space="preserve"> stated, however, in no way does this text undermine the power </w:t>
      </w:r>
      <w:r w:rsidR="00F54888">
        <w:rPr>
          <w:iCs/>
        </w:rPr>
        <w:t>inherent in</w:t>
      </w:r>
      <w:r w:rsidR="003E1D0F">
        <w:rPr>
          <w:iCs/>
        </w:rPr>
        <w:t xml:space="preserve"> the </w:t>
      </w:r>
      <w:r w:rsidR="00F54888">
        <w:rPr>
          <w:iCs/>
        </w:rPr>
        <w:t>divine</w:t>
      </w:r>
      <w:r w:rsidR="003E1D0F">
        <w:rPr>
          <w:iCs/>
        </w:rPr>
        <w:t xml:space="preserve">. Indeed, </w:t>
      </w:r>
      <w:proofErr w:type="spellStart"/>
      <w:r w:rsidR="003E1D0F">
        <w:rPr>
          <w:iCs/>
        </w:rPr>
        <w:t>Jouanna</w:t>
      </w:r>
      <w:proofErr w:type="spellEnd"/>
      <w:r w:rsidR="003E1D0F">
        <w:rPr>
          <w:iCs/>
        </w:rPr>
        <w:t xml:space="preserve"> </w:t>
      </w:r>
      <w:r w:rsidR="000C5B52">
        <w:rPr>
          <w:iCs/>
        </w:rPr>
        <w:t>affirms</w:t>
      </w:r>
      <w:r w:rsidR="003E1D0F">
        <w:rPr>
          <w:iCs/>
        </w:rPr>
        <w:t xml:space="preserve"> this </w:t>
      </w:r>
      <w:r w:rsidR="00F54888">
        <w:rPr>
          <w:iCs/>
        </w:rPr>
        <w:t>position</w:t>
      </w:r>
      <w:r w:rsidR="003E1D0F">
        <w:rPr>
          <w:iCs/>
        </w:rPr>
        <w:t xml:space="preserve">, </w:t>
      </w:r>
      <w:r w:rsidR="000C5B52">
        <w:rPr>
          <w:iCs/>
        </w:rPr>
        <w:t>warning</w:t>
      </w:r>
      <w:r w:rsidR="003E1D0F">
        <w:rPr>
          <w:iCs/>
        </w:rPr>
        <w:t>: ‘</w:t>
      </w:r>
      <w:r w:rsidR="00364047">
        <w:rPr>
          <w:iCs/>
        </w:rPr>
        <w:t>We should not infer, as is often done, that the rationalism of the Hippocratic doctors is opposed to the notion of the divine,</w:t>
      </w:r>
      <w:r w:rsidR="000A144C">
        <w:rPr>
          <w:iCs/>
        </w:rPr>
        <w:t xml:space="preserve"> </w:t>
      </w:r>
      <w:r w:rsidR="00364047">
        <w:rPr>
          <w:iCs/>
        </w:rPr>
        <w:t>or is incompatible with traditional religion.’</w:t>
      </w:r>
      <w:r w:rsidR="00364047">
        <w:rPr>
          <w:rStyle w:val="FootnoteReference"/>
          <w:iCs/>
        </w:rPr>
        <w:footnoteReference w:id="29"/>
      </w:r>
      <w:r w:rsidR="00364047">
        <w:rPr>
          <w:iCs/>
        </w:rPr>
        <w:t xml:space="preserve"> </w:t>
      </w:r>
      <w:r w:rsidR="000A144C">
        <w:rPr>
          <w:iCs/>
        </w:rPr>
        <w:t>This is emphasized by the fact that the</w:t>
      </w:r>
      <w:r w:rsidR="00F54888">
        <w:rPr>
          <w:iCs/>
        </w:rPr>
        <w:t xml:space="preserve"> writer of </w:t>
      </w:r>
      <w:r w:rsidR="00F54888">
        <w:rPr>
          <w:i/>
        </w:rPr>
        <w:t xml:space="preserve">The Sacred Disease </w:t>
      </w:r>
      <w:r w:rsidR="000A144C">
        <w:rPr>
          <w:iCs/>
        </w:rPr>
        <w:t xml:space="preserve"> critici</w:t>
      </w:r>
      <w:r w:rsidR="00F54888">
        <w:rPr>
          <w:iCs/>
        </w:rPr>
        <w:t>zes these practices based</w:t>
      </w:r>
      <w:r w:rsidR="000A144C">
        <w:rPr>
          <w:iCs/>
        </w:rPr>
        <w:t xml:space="preserve"> </w:t>
      </w:r>
      <w:r w:rsidR="00F54888">
        <w:rPr>
          <w:iCs/>
        </w:rPr>
        <w:t xml:space="preserve">on </w:t>
      </w:r>
      <w:r w:rsidR="000A144C">
        <w:rPr>
          <w:iCs/>
        </w:rPr>
        <w:t>the belief that</w:t>
      </w:r>
      <w:r w:rsidR="004C1383">
        <w:rPr>
          <w:iCs/>
        </w:rPr>
        <w:t xml:space="preserve"> </w:t>
      </w:r>
      <w:r w:rsidR="000A144C">
        <w:rPr>
          <w:iCs/>
        </w:rPr>
        <w:t xml:space="preserve"> </w:t>
      </w:r>
      <w:r w:rsidR="004C1383">
        <w:rPr>
          <w:iCs/>
        </w:rPr>
        <w:t>‘compelling’ the gods into action is impious.</w:t>
      </w:r>
      <w:r w:rsidR="004C1383">
        <w:rPr>
          <w:rStyle w:val="FootnoteReference"/>
          <w:iCs/>
        </w:rPr>
        <w:footnoteReference w:id="30"/>
      </w:r>
      <w:r w:rsidR="004C1383">
        <w:rPr>
          <w:iCs/>
        </w:rPr>
        <w:t xml:space="preserve"> T</w:t>
      </w:r>
      <w:r w:rsidR="00F54888">
        <w:rPr>
          <w:iCs/>
        </w:rPr>
        <w:t>o the author, this can be</w:t>
      </w:r>
      <w:r w:rsidR="004C1383">
        <w:rPr>
          <w:iCs/>
        </w:rPr>
        <w:t xml:space="preserve"> understood as the individual claiming </w:t>
      </w:r>
      <w:r w:rsidR="00F54888">
        <w:rPr>
          <w:iCs/>
        </w:rPr>
        <w:t>a</w:t>
      </w:r>
      <w:r w:rsidR="004C1383">
        <w:rPr>
          <w:iCs/>
        </w:rPr>
        <w:t xml:space="preserve"> power </w:t>
      </w:r>
      <w:r w:rsidR="00F54888">
        <w:rPr>
          <w:iCs/>
        </w:rPr>
        <w:t xml:space="preserve">that </w:t>
      </w:r>
      <w:r w:rsidR="004C1383">
        <w:rPr>
          <w:iCs/>
        </w:rPr>
        <w:t xml:space="preserve">supersedes those of the </w:t>
      </w:r>
      <w:r w:rsidR="00F54888">
        <w:rPr>
          <w:iCs/>
        </w:rPr>
        <w:t>divine</w:t>
      </w:r>
      <w:r w:rsidR="004C1383">
        <w:rPr>
          <w:iCs/>
        </w:rPr>
        <w:t xml:space="preserve">. </w:t>
      </w:r>
      <w:r w:rsidR="00427ED4">
        <w:rPr>
          <w:iCs/>
        </w:rPr>
        <w:t xml:space="preserve">In fact, the </w:t>
      </w:r>
      <w:r w:rsidR="00F54888">
        <w:rPr>
          <w:iCs/>
        </w:rPr>
        <w:t>writer</w:t>
      </w:r>
      <w:r w:rsidR="00427ED4">
        <w:rPr>
          <w:iCs/>
        </w:rPr>
        <w:t xml:space="preserve"> blatantly states: ‘Their</w:t>
      </w:r>
      <w:r w:rsidR="00F54888">
        <w:rPr>
          <w:iCs/>
        </w:rPr>
        <w:t xml:space="preserve"> [these practitioners’]</w:t>
      </w:r>
      <w:r w:rsidR="00427ED4">
        <w:rPr>
          <w:iCs/>
        </w:rPr>
        <w:t xml:space="preserve"> discussions show, not piety, as they think, but impiety … and what they call piety and the divine is, as I shall prove, impious and unholy.’</w:t>
      </w:r>
      <w:r w:rsidR="00427ED4">
        <w:rPr>
          <w:rStyle w:val="FootnoteReference"/>
          <w:iCs/>
        </w:rPr>
        <w:footnoteReference w:id="31"/>
      </w:r>
    </w:p>
    <w:p w14:paraId="31E5FFB8" w14:textId="744BD5E5" w:rsidR="002357C6" w:rsidRPr="002357C6" w:rsidRDefault="002357C6" w:rsidP="003D6E95">
      <w:pPr>
        <w:ind w:firstLine="720"/>
        <w:rPr>
          <w:iCs/>
        </w:rPr>
      </w:pPr>
      <w:r>
        <w:rPr>
          <w:iCs/>
        </w:rPr>
        <w:t xml:space="preserve">In </w:t>
      </w:r>
      <w:r>
        <w:rPr>
          <w:i/>
        </w:rPr>
        <w:t>Airs Waters Places</w:t>
      </w:r>
      <w:r>
        <w:rPr>
          <w:iCs/>
        </w:rPr>
        <w:t xml:space="preserve">, </w:t>
      </w:r>
      <w:r w:rsidR="00FC197B">
        <w:rPr>
          <w:iCs/>
        </w:rPr>
        <w:t>the</w:t>
      </w:r>
      <w:r>
        <w:rPr>
          <w:iCs/>
        </w:rPr>
        <w:t xml:space="preserve"> Hippocratic</w:t>
      </w:r>
      <w:r w:rsidR="00FC197B">
        <w:rPr>
          <w:iCs/>
        </w:rPr>
        <w:t xml:space="preserve"> writer</w:t>
      </w:r>
      <w:r>
        <w:rPr>
          <w:iCs/>
        </w:rPr>
        <w:t xml:space="preserve"> discusses a</w:t>
      </w:r>
      <w:r w:rsidR="003A0701">
        <w:rPr>
          <w:iCs/>
        </w:rPr>
        <w:t xml:space="preserve"> separate</w:t>
      </w:r>
      <w:r>
        <w:rPr>
          <w:iCs/>
        </w:rPr>
        <w:t xml:space="preserve"> form of sacred disease </w:t>
      </w:r>
      <w:r w:rsidR="00FC197B">
        <w:rPr>
          <w:iCs/>
        </w:rPr>
        <w:t xml:space="preserve">specifically </w:t>
      </w:r>
      <w:r>
        <w:rPr>
          <w:iCs/>
        </w:rPr>
        <w:t>affecting the Scythians.</w:t>
      </w:r>
      <w:r>
        <w:rPr>
          <w:rStyle w:val="FootnoteReference"/>
          <w:iCs/>
        </w:rPr>
        <w:footnoteReference w:id="32"/>
      </w:r>
      <w:r>
        <w:rPr>
          <w:iCs/>
        </w:rPr>
        <w:t xml:space="preserve"> </w:t>
      </w:r>
      <w:r w:rsidR="000A144C">
        <w:rPr>
          <w:iCs/>
        </w:rPr>
        <w:t>T</w:t>
      </w:r>
      <w:r w:rsidR="00903E35">
        <w:rPr>
          <w:iCs/>
        </w:rPr>
        <w:t xml:space="preserve">he </w:t>
      </w:r>
      <w:r w:rsidR="000A144C">
        <w:rPr>
          <w:iCs/>
        </w:rPr>
        <w:t>author</w:t>
      </w:r>
      <w:r w:rsidR="00FC197B">
        <w:rPr>
          <w:iCs/>
        </w:rPr>
        <w:t xml:space="preserve"> puts forth a similar notion to that found in </w:t>
      </w:r>
      <w:r w:rsidR="00FC197B">
        <w:rPr>
          <w:i/>
        </w:rPr>
        <w:t>The Sacred Disease</w:t>
      </w:r>
      <w:r w:rsidR="00FC197B">
        <w:rPr>
          <w:iCs/>
        </w:rPr>
        <w:t xml:space="preserve">, </w:t>
      </w:r>
      <w:r w:rsidR="00903E35">
        <w:rPr>
          <w:iCs/>
        </w:rPr>
        <w:t>stat</w:t>
      </w:r>
      <w:r w:rsidR="00FC197B">
        <w:rPr>
          <w:iCs/>
        </w:rPr>
        <w:t>ing</w:t>
      </w:r>
      <w:r w:rsidR="00903E35">
        <w:rPr>
          <w:iCs/>
        </w:rPr>
        <w:t xml:space="preserve">: ‘The natives put the blame on to Heaven … I too think that these diseases are divine, </w:t>
      </w:r>
      <w:r w:rsidR="00903E35">
        <w:rPr>
          <w:iCs/>
        </w:rPr>
        <w:lastRenderedPageBreak/>
        <w:t>and so are all others, no one being more divine or more human than any other.’</w:t>
      </w:r>
      <w:r w:rsidR="00903E35">
        <w:rPr>
          <w:rStyle w:val="FootnoteReference"/>
          <w:iCs/>
        </w:rPr>
        <w:footnoteReference w:id="33"/>
      </w:r>
      <w:r w:rsidR="00FC197B">
        <w:rPr>
          <w:iCs/>
        </w:rPr>
        <w:t xml:space="preserve"> </w:t>
      </w:r>
      <w:proofErr w:type="spellStart"/>
      <w:r w:rsidR="00FC197B">
        <w:rPr>
          <w:iCs/>
        </w:rPr>
        <w:t>Jouanna</w:t>
      </w:r>
      <w:proofErr w:type="spellEnd"/>
      <w:r w:rsidR="00FC197B">
        <w:rPr>
          <w:iCs/>
        </w:rPr>
        <w:t xml:space="preserve"> wisely notes that by shifting the conception of the divine from a deity figure to the cosmological forces of the universe, the author </w:t>
      </w:r>
      <w:r w:rsidR="00F54888">
        <w:rPr>
          <w:iCs/>
        </w:rPr>
        <w:t xml:space="preserve">simultaneously </w:t>
      </w:r>
      <w:r w:rsidR="00FC197B">
        <w:rPr>
          <w:iCs/>
        </w:rPr>
        <w:t xml:space="preserve">manages to maintain both </w:t>
      </w:r>
      <w:r w:rsidR="00F54888">
        <w:rPr>
          <w:iCs/>
        </w:rPr>
        <w:t xml:space="preserve">the notion of natural causation </w:t>
      </w:r>
      <w:r w:rsidR="00FC197B">
        <w:rPr>
          <w:iCs/>
        </w:rPr>
        <w:t>and the piety of the gods.</w:t>
      </w:r>
      <w:r w:rsidR="00FC197B">
        <w:rPr>
          <w:rStyle w:val="FootnoteReference"/>
          <w:iCs/>
        </w:rPr>
        <w:footnoteReference w:id="34"/>
      </w:r>
      <w:r w:rsidR="000A144C">
        <w:rPr>
          <w:iCs/>
        </w:rPr>
        <w:t xml:space="preserve"> In this way, the two concepts seem to support, rather than conflict</w:t>
      </w:r>
      <w:r w:rsidR="006A6087">
        <w:rPr>
          <w:iCs/>
        </w:rPr>
        <w:t xml:space="preserve"> </w:t>
      </w:r>
      <w:r w:rsidR="000A144C">
        <w:rPr>
          <w:iCs/>
        </w:rPr>
        <w:t>with</w:t>
      </w:r>
      <w:r w:rsidR="006A6087">
        <w:rPr>
          <w:iCs/>
        </w:rPr>
        <w:t>,</w:t>
      </w:r>
      <w:r w:rsidR="000A144C">
        <w:rPr>
          <w:iCs/>
        </w:rPr>
        <w:t xml:space="preserve"> one another. </w:t>
      </w:r>
      <w:r w:rsidR="00FC197B">
        <w:rPr>
          <w:iCs/>
        </w:rPr>
        <w:t xml:space="preserve"> </w:t>
      </w:r>
      <w:r w:rsidR="000A144C">
        <w:rPr>
          <w:iCs/>
        </w:rPr>
        <w:t xml:space="preserve">It is therefore reasonable to suggest that the relationship between religious and secular healing </w:t>
      </w:r>
      <w:r w:rsidR="006A6087">
        <w:rPr>
          <w:iCs/>
        </w:rPr>
        <w:t xml:space="preserve">in Greece </w:t>
      </w:r>
      <w:r w:rsidR="000A144C">
        <w:rPr>
          <w:iCs/>
        </w:rPr>
        <w:t xml:space="preserve">was likely more </w:t>
      </w:r>
      <w:r w:rsidR="00F54888">
        <w:rPr>
          <w:iCs/>
        </w:rPr>
        <w:t>compatible</w:t>
      </w:r>
      <w:r w:rsidR="000A144C">
        <w:rPr>
          <w:iCs/>
        </w:rPr>
        <w:t xml:space="preserve"> than </w:t>
      </w:r>
      <w:r w:rsidR="00F54888">
        <w:rPr>
          <w:iCs/>
        </w:rPr>
        <w:t>conflicting</w:t>
      </w:r>
      <w:r w:rsidR="006141B0">
        <w:rPr>
          <w:iCs/>
        </w:rPr>
        <w:t>. In fact, one may propose that the Hippocratic writers accepted the concept of divination</w:t>
      </w:r>
      <w:r w:rsidR="00F54888">
        <w:rPr>
          <w:iCs/>
        </w:rPr>
        <w:t>;</w:t>
      </w:r>
      <w:r w:rsidR="006141B0">
        <w:rPr>
          <w:iCs/>
        </w:rPr>
        <w:t xml:space="preserve"> however, in lieu of interpreting messages from an anthropomorphic </w:t>
      </w:r>
      <w:r w:rsidR="00F54888">
        <w:rPr>
          <w:iCs/>
        </w:rPr>
        <w:t>deity</w:t>
      </w:r>
      <w:r w:rsidR="006141B0">
        <w:rPr>
          <w:iCs/>
        </w:rPr>
        <w:t xml:space="preserve">, </w:t>
      </w:r>
      <w:r w:rsidR="00F54888">
        <w:rPr>
          <w:iCs/>
        </w:rPr>
        <w:t xml:space="preserve">the received their communications from the </w:t>
      </w:r>
      <w:r w:rsidR="006141B0">
        <w:rPr>
          <w:iCs/>
        </w:rPr>
        <w:t xml:space="preserve">divine nature of the universe itself.  </w:t>
      </w:r>
    </w:p>
    <w:p w14:paraId="077858A0" w14:textId="59D764A2" w:rsidR="00FC48E2" w:rsidRDefault="006C6D9B">
      <w:pPr>
        <w:rPr>
          <w:b/>
          <w:bCs/>
        </w:rPr>
      </w:pPr>
      <w:r>
        <w:rPr>
          <w:b/>
          <w:bCs/>
        </w:rPr>
        <w:t xml:space="preserve">Asclepius, the </w:t>
      </w:r>
      <w:proofErr w:type="spellStart"/>
      <w:r w:rsidRPr="006C6D9B">
        <w:rPr>
          <w:b/>
          <w:bCs/>
          <w:i/>
          <w:iCs/>
        </w:rPr>
        <w:t>Asklepieia</w:t>
      </w:r>
      <w:proofErr w:type="spellEnd"/>
      <w:r>
        <w:rPr>
          <w:b/>
          <w:bCs/>
        </w:rPr>
        <w:t xml:space="preserve"> and healing through </w:t>
      </w:r>
      <w:r w:rsidR="00273504">
        <w:rPr>
          <w:b/>
          <w:bCs/>
        </w:rPr>
        <w:t>dream</w:t>
      </w:r>
      <w:r>
        <w:rPr>
          <w:b/>
          <w:bCs/>
        </w:rPr>
        <w:t xml:space="preserve"> incubation </w:t>
      </w:r>
    </w:p>
    <w:p w14:paraId="52FBEFDC" w14:textId="66C666A1" w:rsidR="00DD140D" w:rsidRDefault="00DD7624" w:rsidP="00B15119">
      <w:pPr>
        <w:ind w:firstLine="720"/>
      </w:pPr>
      <w:proofErr w:type="spellStart"/>
      <w:r>
        <w:t>Nutton</w:t>
      </w:r>
      <w:proofErr w:type="spellEnd"/>
      <w:r>
        <w:t xml:space="preserve"> describes </w:t>
      </w:r>
      <w:r w:rsidR="002345EF">
        <w:t xml:space="preserve">Asclepius, son of Apollo, </w:t>
      </w:r>
      <w:r>
        <w:t xml:space="preserve">as </w:t>
      </w:r>
      <w:r w:rsidR="005B1389">
        <w:t xml:space="preserve"> </w:t>
      </w:r>
      <w:r w:rsidR="002345EF">
        <w:t xml:space="preserve">a ‘healing god </w:t>
      </w:r>
      <w:r w:rsidR="002345EF">
        <w:rPr>
          <w:i/>
          <w:iCs/>
        </w:rPr>
        <w:t>par excellence</w:t>
      </w:r>
      <w:r w:rsidR="002345EF">
        <w:t xml:space="preserve">’ </w:t>
      </w:r>
      <w:r w:rsidR="0051280D">
        <w:t>within the</w:t>
      </w:r>
      <w:r w:rsidR="002345EF">
        <w:t xml:space="preserve"> Greek mytholog</w:t>
      </w:r>
      <w:r w:rsidR="0051280D">
        <w:t>ical</w:t>
      </w:r>
      <w:r w:rsidR="002345EF">
        <w:t xml:space="preserve"> </w:t>
      </w:r>
      <w:r w:rsidR="0051280D">
        <w:t>pantheon</w:t>
      </w:r>
      <w:r w:rsidR="002345EF">
        <w:t>.</w:t>
      </w:r>
      <w:r w:rsidR="002345EF">
        <w:rPr>
          <w:rStyle w:val="FootnoteReference"/>
        </w:rPr>
        <w:footnoteReference w:id="35"/>
      </w:r>
      <w:r w:rsidR="002345EF">
        <w:t xml:space="preserve"> </w:t>
      </w:r>
      <w:r w:rsidR="005B1389">
        <w:t xml:space="preserve">While </w:t>
      </w:r>
      <w:r>
        <w:t>any</w:t>
      </w:r>
      <w:r w:rsidR="005B1389">
        <w:t xml:space="preserve"> Greek god could</w:t>
      </w:r>
      <w:r>
        <w:t xml:space="preserve"> technically</w:t>
      </w:r>
      <w:r w:rsidR="005B1389">
        <w:t xml:space="preserve"> be called upon to heal, Asclepius</w:t>
      </w:r>
      <w:r w:rsidR="004E0632">
        <w:t xml:space="preserve"> strictly held the role</w:t>
      </w:r>
      <w:r w:rsidR="005B1389">
        <w:t xml:space="preserve"> </w:t>
      </w:r>
      <w:r>
        <w:t>of</w:t>
      </w:r>
      <w:r w:rsidR="005B1389">
        <w:t xml:space="preserve"> a healing deity.</w:t>
      </w:r>
      <w:r w:rsidR="005B1389">
        <w:rPr>
          <w:rStyle w:val="FootnoteReference"/>
        </w:rPr>
        <w:footnoteReference w:id="36"/>
      </w:r>
      <w:r>
        <w:t xml:space="preserve"> In the late fifth century BCE, </w:t>
      </w:r>
      <w:r w:rsidR="0051280D">
        <w:t xml:space="preserve">followers of </w:t>
      </w:r>
      <w:r>
        <w:t>Asclepiu</w:t>
      </w:r>
      <w:r w:rsidR="0051280D">
        <w:t>s</w:t>
      </w:r>
      <w:r>
        <w:t xml:space="preserve"> formed </w:t>
      </w:r>
      <w:r w:rsidR="0051280D">
        <w:t xml:space="preserve">a cult, known as the cult of Asclepius, and </w:t>
      </w:r>
      <w:r w:rsidR="00B8219E">
        <w:t xml:space="preserve">later devoted healing shrines and sanctuaries to </w:t>
      </w:r>
      <w:r w:rsidR="00D71FB7">
        <w:t>this god</w:t>
      </w:r>
      <w:r w:rsidR="00B8219E">
        <w:t xml:space="preserve">. </w:t>
      </w:r>
      <w:r w:rsidR="00895321">
        <w:t>Their expansion is described as ‘striking</w:t>
      </w:r>
      <w:r w:rsidR="00CE3815">
        <w:t>,</w:t>
      </w:r>
      <w:r w:rsidR="00895321">
        <w:t>’ and these sanctuaries soon became popular healing loca</w:t>
      </w:r>
      <w:r w:rsidR="005F09E1">
        <w:t>les</w:t>
      </w:r>
      <w:r w:rsidR="00895321">
        <w:t>, amassing significant amounts of wealth.</w:t>
      </w:r>
      <w:r w:rsidR="00895321">
        <w:rPr>
          <w:rStyle w:val="FootnoteReference"/>
        </w:rPr>
        <w:footnoteReference w:id="37"/>
      </w:r>
      <w:r w:rsidR="00895321">
        <w:t xml:space="preserve"> </w:t>
      </w:r>
      <w:r w:rsidR="00B8219E">
        <w:t>The</w:t>
      </w:r>
      <w:r w:rsidR="00895321">
        <w:t>y</w:t>
      </w:r>
      <w:r w:rsidR="00B8219E">
        <w:t xml:space="preserve"> were </w:t>
      </w:r>
      <w:r w:rsidR="00CE3815">
        <w:t>known as</w:t>
      </w:r>
      <w:r w:rsidR="00B8219E">
        <w:t xml:space="preserve"> </w:t>
      </w:r>
      <w:proofErr w:type="spellStart"/>
      <w:r w:rsidR="00B8219E">
        <w:rPr>
          <w:i/>
          <w:iCs/>
        </w:rPr>
        <w:t>Asklepieia</w:t>
      </w:r>
      <w:proofErr w:type="spellEnd"/>
      <w:r>
        <w:t>. The</w:t>
      </w:r>
      <w:r w:rsidR="00B8219E">
        <w:t xml:space="preserve"> healing</w:t>
      </w:r>
      <w:r>
        <w:t xml:space="preserve"> activiti</w:t>
      </w:r>
      <w:r w:rsidR="00B8219E">
        <w:t>e</w:t>
      </w:r>
      <w:r>
        <w:t>s</w:t>
      </w:r>
      <w:r w:rsidR="00B8219E">
        <w:t xml:space="preserve"> performed in the </w:t>
      </w:r>
      <w:proofErr w:type="spellStart"/>
      <w:r w:rsidR="00895321">
        <w:rPr>
          <w:i/>
          <w:iCs/>
        </w:rPr>
        <w:t>Asklepieia</w:t>
      </w:r>
      <w:proofErr w:type="spellEnd"/>
      <w:r>
        <w:t xml:space="preserve"> </w:t>
      </w:r>
      <w:r w:rsidR="004E0632">
        <w:t>are</w:t>
      </w:r>
      <w:r>
        <w:t xml:space="preserve"> significant because, according to </w:t>
      </w:r>
      <w:proofErr w:type="spellStart"/>
      <w:r>
        <w:t>Nutton</w:t>
      </w:r>
      <w:proofErr w:type="spellEnd"/>
      <w:r>
        <w:t xml:space="preserve">, historians have described them as accurately </w:t>
      </w:r>
      <w:r w:rsidR="004E0632">
        <w:t>typifying</w:t>
      </w:r>
      <w:r>
        <w:t xml:space="preserve"> </w:t>
      </w:r>
      <w:r w:rsidR="0051280D">
        <w:t>all forms of religious healing in ancient Greece and Rome.</w:t>
      </w:r>
      <w:r w:rsidR="0051280D">
        <w:rPr>
          <w:rStyle w:val="FootnoteReference"/>
        </w:rPr>
        <w:footnoteReference w:id="38"/>
      </w:r>
      <w:r w:rsidR="0051280D">
        <w:t xml:space="preserve"> </w:t>
      </w:r>
    </w:p>
    <w:p w14:paraId="3103C5FA" w14:textId="500B06DC" w:rsidR="00895321" w:rsidRPr="005F09E1" w:rsidRDefault="004E0632">
      <w:pPr>
        <w:rPr>
          <w:color w:val="FF0000"/>
        </w:rPr>
      </w:pPr>
      <w:r>
        <w:tab/>
      </w:r>
      <w:r w:rsidR="00563E45">
        <w:t>At the</w:t>
      </w:r>
      <w:r w:rsidR="0066034A">
        <w:t xml:space="preserve"> </w:t>
      </w:r>
      <w:proofErr w:type="spellStart"/>
      <w:r w:rsidR="0066034A" w:rsidRPr="0066034A">
        <w:rPr>
          <w:i/>
          <w:iCs/>
        </w:rPr>
        <w:t>Asklepieia</w:t>
      </w:r>
      <w:proofErr w:type="spellEnd"/>
      <w:r w:rsidR="00563E45">
        <w:t xml:space="preserve">, individuals would purify themselves at a sacred spring and offer a sacrifice to the </w:t>
      </w:r>
      <w:r w:rsidR="0066034A">
        <w:t>gods</w:t>
      </w:r>
      <w:r w:rsidR="00563E45">
        <w:t>.</w:t>
      </w:r>
      <w:r w:rsidR="00563E45">
        <w:rPr>
          <w:rStyle w:val="FootnoteReference"/>
        </w:rPr>
        <w:footnoteReference w:id="39"/>
      </w:r>
      <w:r w:rsidR="00563E45">
        <w:t xml:space="preserve"> They would then dress in a white robe, undergo a second purification, and enter the </w:t>
      </w:r>
      <w:r w:rsidR="00563E45">
        <w:rPr>
          <w:i/>
          <w:iCs/>
        </w:rPr>
        <w:t>abaton</w:t>
      </w:r>
      <w:r w:rsidR="00563E45">
        <w:t xml:space="preserve"> to </w:t>
      </w:r>
      <w:r w:rsidR="0066034A">
        <w:t>begin dream incubation</w:t>
      </w:r>
      <w:r w:rsidR="00563E45">
        <w:t>.</w:t>
      </w:r>
      <w:r w:rsidR="00563E45">
        <w:rPr>
          <w:rStyle w:val="FootnoteReference"/>
        </w:rPr>
        <w:footnoteReference w:id="40"/>
      </w:r>
      <w:r w:rsidR="00563E45">
        <w:t xml:space="preserve"> The </w:t>
      </w:r>
      <w:r w:rsidR="00563E45">
        <w:rPr>
          <w:i/>
          <w:iCs/>
        </w:rPr>
        <w:t xml:space="preserve">abaton </w:t>
      </w:r>
      <w:r w:rsidR="00563E45">
        <w:t>consisted of multiple rooms where</w:t>
      </w:r>
      <w:r w:rsidR="00895321">
        <w:t xml:space="preserve"> the</w:t>
      </w:r>
      <w:r w:rsidR="00563E45">
        <w:t xml:space="preserve"> individuals would sleep in hopes of receiving a</w:t>
      </w:r>
      <w:r w:rsidR="00B360EB">
        <w:t xml:space="preserve"> vision </w:t>
      </w:r>
      <w:r w:rsidR="00563E45">
        <w:t xml:space="preserve">from </w:t>
      </w:r>
      <w:r w:rsidR="001749AA">
        <w:t xml:space="preserve">Asclepius </w:t>
      </w:r>
      <w:r w:rsidR="00563E45">
        <w:t>in their dreams.</w:t>
      </w:r>
      <w:r w:rsidR="00563E45">
        <w:rPr>
          <w:rStyle w:val="FootnoteReference"/>
        </w:rPr>
        <w:footnoteReference w:id="41"/>
      </w:r>
      <w:r w:rsidR="00563E45">
        <w:t xml:space="preserve"> </w:t>
      </w:r>
      <w:r w:rsidR="0066034A">
        <w:t xml:space="preserve">In these cases, healing was generally accomplished by one of three means: 1) </w:t>
      </w:r>
      <w:r w:rsidR="00B360EB">
        <w:t xml:space="preserve">Asclepius would directly act as a doctor </w:t>
      </w:r>
      <w:r w:rsidR="0066034A">
        <w:t>performing treatment on the individual</w:t>
      </w:r>
      <w:r w:rsidR="00D71FB7">
        <w:t>,</w:t>
      </w:r>
      <w:r w:rsidR="0066034A">
        <w:t xml:space="preserve"> 2)</w:t>
      </w:r>
      <w:r w:rsidR="00B360EB">
        <w:t xml:space="preserve"> a sacred animal would lick the wound and/or enter the person, or</w:t>
      </w:r>
      <w:r w:rsidR="0066034A">
        <w:t xml:space="preserve"> 3)</w:t>
      </w:r>
      <w:r w:rsidR="00B360EB">
        <w:t xml:space="preserve"> the</w:t>
      </w:r>
      <w:r w:rsidR="0066034A">
        <w:t xml:space="preserve"> individual</w:t>
      </w:r>
      <w:r w:rsidR="00B360EB">
        <w:t xml:space="preserve"> would receive a treatment in the form of a riddle that required interpretation.</w:t>
      </w:r>
      <w:r w:rsidR="00B360EB">
        <w:rPr>
          <w:rStyle w:val="FootnoteReference"/>
        </w:rPr>
        <w:footnoteReference w:id="42"/>
      </w:r>
      <w:r w:rsidR="00B360EB">
        <w:t xml:space="preserve"> </w:t>
      </w:r>
      <w:r w:rsidR="0066034A">
        <w:t>It should be noted that d</w:t>
      </w:r>
      <w:r w:rsidR="0049668B">
        <w:t>espite their divine source, most of the treatments</w:t>
      </w:r>
      <w:r w:rsidR="0066034A">
        <w:t xml:space="preserve"> prescribed at the </w:t>
      </w:r>
      <w:proofErr w:type="spellStart"/>
      <w:r w:rsidR="0066034A" w:rsidRPr="0066034A">
        <w:rPr>
          <w:i/>
          <w:iCs/>
        </w:rPr>
        <w:t>Asklepieia</w:t>
      </w:r>
      <w:proofErr w:type="spellEnd"/>
      <w:r w:rsidR="0049668B">
        <w:t xml:space="preserve"> aligned with those prescribed by Hippocratic doctors.</w:t>
      </w:r>
      <w:r w:rsidR="008C5B30">
        <w:rPr>
          <w:rStyle w:val="FootnoteReference"/>
        </w:rPr>
        <w:footnoteReference w:id="43"/>
      </w:r>
      <w:r w:rsidR="0049668B">
        <w:t xml:space="preserve"> </w:t>
      </w:r>
      <w:r w:rsidR="00895321" w:rsidRPr="00895321">
        <w:rPr>
          <w:color w:val="FF0000"/>
        </w:rPr>
        <w:t>I</w:t>
      </w:r>
      <w:r w:rsidR="005F09E1">
        <w:rPr>
          <w:color w:val="FF0000"/>
        </w:rPr>
        <w:t>t</w:t>
      </w:r>
      <w:r w:rsidR="00EA10B2">
        <w:rPr>
          <w:color w:val="FF0000"/>
        </w:rPr>
        <w:t xml:space="preserve"> ha</w:t>
      </w:r>
      <w:r w:rsidR="00895321" w:rsidRPr="00895321">
        <w:rPr>
          <w:color w:val="FF0000"/>
        </w:rPr>
        <w:t>s been suggested that patients</w:t>
      </w:r>
      <w:r w:rsidR="00895321">
        <w:rPr>
          <w:color w:val="FF0000"/>
        </w:rPr>
        <w:t xml:space="preserve"> may have</w:t>
      </w:r>
      <w:r w:rsidR="00895321" w:rsidRPr="00895321">
        <w:rPr>
          <w:color w:val="FF0000"/>
        </w:rPr>
        <w:t xml:space="preserve"> be</w:t>
      </w:r>
      <w:r w:rsidR="00895321">
        <w:rPr>
          <w:color w:val="FF0000"/>
        </w:rPr>
        <w:t>en</w:t>
      </w:r>
      <w:r w:rsidR="00895321" w:rsidRPr="00895321">
        <w:rPr>
          <w:color w:val="FF0000"/>
        </w:rPr>
        <w:t xml:space="preserve"> more willing to accept the same cure from a divine source</w:t>
      </w:r>
      <w:r w:rsidR="005F09E1">
        <w:rPr>
          <w:color w:val="FF0000"/>
        </w:rPr>
        <w:t xml:space="preserve"> rather</w:t>
      </w:r>
      <w:r w:rsidR="00895321" w:rsidRPr="00895321">
        <w:rPr>
          <w:color w:val="FF0000"/>
        </w:rPr>
        <w:t xml:space="preserve"> than a mortal </w:t>
      </w:r>
      <w:proofErr w:type="spellStart"/>
      <w:r w:rsidR="00895321" w:rsidRPr="00895321">
        <w:rPr>
          <w:i/>
          <w:iCs/>
          <w:color w:val="FF0000"/>
        </w:rPr>
        <w:t>iatros</w:t>
      </w:r>
      <w:proofErr w:type="spellEnd"/>
      <w:r w:rsidR="00895321" w:rsidRPr="00895321">
        <w:rPr>
          <w:i/>
          <w:iCs/>
          <w:color w:val="FF0000"/>
        </w:rPr>
        <w:t xml:space="preserve">. </w:t>
      </w:r>
      <w:r w:rsidR="005F09E1" w:rsidRPr="005F09E1">
        <w:rPr>
          <w:color w:val="000000" w:themeColor="text1"/>
        </w:rPr>
        <w:t xml:space="preserve">Once again, this demonstrates the compatible, rather than incompatible, relationship between divination, religious healing and medicine in ancient Greece. </w:t>
      </w:r>
    </w:p>
    <w:p w14:paraId="60F478B0" w14:textId="549A0440" w:rsidR="006C6D9B" w:rsidRDefault="00895321" w:rsidP="006C6D9B">
      <w:pPr>
        <w:rPr>
          <w:color w:val="000000" w:themeColor="text1"/>
        </w:rPr>
      </w:pPr>
      <w:r>
        <w:rPr>
          <w:i/>
          <w:iCs/>
          <w:color w:val="FF0000"/>
        </w:rPr>
        <w:lastRenderedPageBreak/>
        <w:tab/>
      </w:r>
      <w:r w:rsidRPr="00895321">
        <w:rPr>
          <w:color w:val="000000" w:themeColor="text1"/>
        </w:rPr>
        <w:t xml:space="preserve">Archeologists have discovered an extensive number of ‘cure inscriptions’ from the </w:t>
      </w:r>
      <w:proofErr w:type="spellStart"/>
      <w:r w:rsidRPr="00895321">
        <w:rPr>
          <w:color w:val="000000" w:themeColor="text1"/>
        </w:rPr>
        <w:t>Asklepieion</w:t>
      </w:r>
      <w:proofErr w:type="spellEnd"/>
      <w:r w:rsidRPr="00895321">
        <w:rPr>
          <w:color w:val="000000" w:themeColor="text1"/>
        </w:rPr>
        <w:t xml:space="preserve"> at Epidaurus— and despite the large collection, these inscriptions likely only represent a fraction of those that initially existed</w:t>
      </w:r>
      <w:r>
        <w:rPr>
          <w:color w:val="000000" w:themeColor="text1"/>
        </w:rPr>
        <w:t xml:space="preserve"> at the location</w:t>
      </w:r>
      <w:r w:rsidRPr="00895321">
        <w:rPr>
          <w:color w:val="000000" w:themeColor="text1"/>
        </w:rPr>
        <w:t>.</w:t>
      </w:r>
      <w:r>
        <w:rPr>
          <w:rStyle w:val="FootnoteReference"/>
          <w:color w:val="000000" w:themeColor="text1"/>
        </w:rPr>
        <w:footnoteReference w:id="44"/>
      </w:r>
      <w:r w:rsidRPr="00895321">
        <w:rPr>
          <w:color w:val="000000" w:themeColor="text1"/>
        </w:rPr>
        <w:t xml:space="preserve">  </w:t>
      </w:r>
      <w:r w:rsidR="00EC57DA">
        <w:rPr>
          <w:color w:val="000000" w:themeColor="text1"/>
        </w:rPr>
        <w:t xml:space="preserve">These inscriptions are personal testimonials from patients </w:t>
      </w:r>
      <w:r w:rsidR="005F09E1">
        <w:rPr>
          <w:color w:val="000000" w:themeColor="text1"/>
        </w:rPr>
        <w:t>describing</w:t>
      </w:r>
      <w:r w:rsidR="00EC57DA">
        <w:rPr>
          <w:color w:val="000000" w:themeColor="text1"/>
        </w:rPr>
        <w:t xml:space="preserve"> how Asclepius cured their conditions.</w:t>
      </w:r>
      <w:r w:rsidR="00EC57DA">
        <w:rPr>
          <w:rStyle w:val="FootnoteReference"/>
          <w:color w:val="000000" w:themeColor="text1"/>
        </w:rPr>
        <w:footnoteReference w:id="45"/>
      </w:r>
      <w:r w:rsidR="00EC57DA">
        <w:rPr>
          <w:color w:val="000000" w:themeColor="text1"/>
        </w:rPr>
        <w:t xml:space="preserve"> </w:t>
      </w:r>
      <w:r>
        <w:rPr>
          <w:color w:val="000000" w:themeColor="text1"/>
        </w:rPr>
        <w:t xml:space="preserve">Alongside cure inscriptions found at other </w:t>
      </w:r>
      <w:proofErr w:type="spellStart"/>
      <w:r>
        <w:rPr>
          <w:i/>
          <w:iCs/>
          <w:color w:val="000000" w:themeColor="text1"/>
        </w:rPr>
        <w:t>Asklepieia</w:t>
      </w:r>
      <w:proofErr w:type="spellEnd"/>
      <w:r>
        <w:rPr>
          <w:i/>
          <w:iCs/>
          <w:color w:val="000000" w:themeColor="text1"/>
        </w:rPr>
        <w:t>¸</w:t>
      </w:r>
      <w:r w:rsidR="00EC57DA">
        <w:rPr>
          <w:i/>
          <w:iCs/>
          <w:color w:val="000000" w:themeColor="text1"/>
        </w:rPr>
        <w:t xml:space="preserve"> </w:t>
      </w:r>
      <w:r w:rsidR="00EC57DA">
        <w:rPr>
          <w:color w:val="000000" w:themeColor="text1"/>
        </w:rPr>
        <w:t xml:space="preserve">the vast majority seem to </w:t>
      </w:r>
      <w:r w:rsidR="00356E41">
        <w:rPr>
          <w:color w:val="000000" w:themeColor="text1"/>
        </w:rPr>
        <w:t>relate to the treatment of</w:t>
      </w:r>
      <w:r>
        <w:rPr>
          <w:color w:val="000000" w:themeColor="text1"/>
        </w:rPr>
        <w:t xml:space="preserve"> chronic diseases, such as paralysis, blindness and a failure to conceive; however, this does not negate the possibility that other types of acute illnesses were also treated</w:t>
      </w:r>
      <w:r w:rsidR="00356E41">
        <w:rPr>
          <w:color w:val="000000" w:themeColor="text1"/>
        </w:rPr>
        <w:t xml:space="preserve"> through these divinatory means.</w:t>
      </w:r>
      <w:r w:rsidR="00356E41">
        <w:rPr>
          <w:rStyle w:val="FootnoteReference"/>
          <w:color w:val="000000" w:themeColor="text1"/>
        </w:rPr>
        <w:footnoteReference w:id="46"/>
      </w:r>
      <w:r w:rsidR="00356E41">
        <w:rPr>
          <w:color w:val="000000" w:themeColor="text1"/>
        </w:rPr>
        <w:t xml:space="preserve"> It should also be noted that healing through dream incubation was not limited to the cult of Asclepius, with parallels being noted to </w:t>
      </w:r>
      <w:r w:rsidR="00E406EE">
        <w:rPr>
          <w:color w:val="000000" w:themeColor="text1"/>
        </w:rPr>
        <w:t>treatments</w:t>
      </w:r>
      <w:r w:rsidR="00356E41">
        <w:rPr>
          <w:color w:val="000000" w:themeColor="text1"/>
        </w:rPr>
        <w:t xml:space="preserve"> offered at the oracle shrine of </w:t>
      </w:r>
      <w:proofErr w:type="spellStart"/>
      <w:r w:rsidR="00356E41">
        <w:rPr>
          <w:color w:val="000000" w:themeColor="text1"/>
        </w:rPr>
        <w:t>Trophonius</w:t>
      </w:r>
      <w:proofErr w:type="spellEnd"/>
      <w:r w:rsidR="00356E41">
        <w:rPr>
          <w:color w:val="000000" w:themeColor="text1"/>
        </w:rPr>
        <w:t xml:space="preserve"> at </w:t>
      </w:r>
      <w:proofErr w:type="spellStart"/>
      <w:r w:rsidR="00356E41">
        <w:rPr>
          <w:color w:val="000000" w:themeColor="text1"/>
        </w:rPr>
        <w:t>Lebadea</w:t>
      </w:r>
      <w:proofErr w:type="spellEnd"/>
      <w:r w:rsidR="00356E41">
        <w:rPr>
          <w:color w:val="000000" w:themeColor="text1"/>
        </w:rPr>
        <w:t xml:space="preserve"> and at the healing shrine of </w:t>
      </w:r>
      <w:proofErr w:type="spellStart"/>
      <w:r w:rsidR="00356E41">
        <w:rPr>
          <w:color w:val="000000" w:themeColor="text1"/>
        </w:rPr>
        <w:t>Amphiaraus</w:t>
      </w:r>
      <w:proofErr w:type="spellEnd"/>
      <w:r w:rsidR="00356E41">
        <w:rPr>
          <w:color w:val="000000" w:themeColor="text1"/>
        </w:rPr>
        <w:t xml:space="preserve"> near </w:t>
      </w:r>
      <w:proofErr w:type="spellStart"/>
      <w:r w:rsidR="00356E41">
        <w:rPr>
          <w:color w:val="000000" w:themeColor="text1"/>
        </w:rPr>
        <w:t>Oropus</w:t>
      </w:r>
      <w:proofErr w:type="spellEnd"/>
      <w:r w:rsidR="00356E41">
        <w:rPr>
          <w:color w:val="000000" w:themeColor="text1"/>
        </w:rPr>
        <w:t>.</w:t>
      </w:r>
      <w:r w:rsidR="00356E41">
        <w:rPr>
          <w:rStyle w:val="FootnoteReference"/>
          <w:color w:val="000000" w:themeColor="text1"/>
        </w:rPr>
        <w:footnoteReference w:id="47"/>
      </w:r>
      <w:r w:rsidR="00356E41">
        <w:rPr>
          <w:color w:val="000000" w:themeColor="text1"/>
        </w:rPr>
        <w:t xml:space="preserve"> </w:t>
      </w:r>
      <w:r w:rsidR="00273504">
        <w:rPr>
          <w:color w:val="000000" w:themeColor="text1"/>
        </w:rPr>
        <w:t xml:space="preserve">Reinforcing the </w:t>
      </w:r>
      <w:r w:rsidR="00AB7DDB">
        <w:rPr>
          <w:color w:val="000000" w:themeColor="text1"/>
        </w:rPr>
        <w:t xml:space="preserve">Greek </w:t>
      </w:r>
      <w:r w:rsidR="00273504">
        <w:rPr>
          <w:color w:val="000000" w:themeColor="text1"/>
        </w:rPr>
        <w:t>ubiquity of healing through dreams, Oberhelman goes so far as to state: ‘One constant for all the areas of healing in Greece from ancient times through the twentieth century has been dreams.’</w:t>
      </w:r>
      <w:r w:rsidR="00273504">
        <w:rPr>
          <w:rStyle w:val="FootnoteReference"/>
          <w:color w:val="000000" w:themeColor="text1"/>
        </w:rPr>
        <w:footnoteReference w:id="48"/>
      </w:r>
      <w:r w:rsidR="00273504">
        <w:rPr>
          <w:color w:val="000000" w:themeColor="text1"/>
        </w:rPr>
        <w:t xml:space="preserve"> </w:t>
      </w:r>
    </w:p>
    <w:p w14:paraId="5D4D6A04" w14:textId="7D9019B5" w:rsidR="00BE3ABB" w:rsidRPr="00BE3ABB" w:rsidRDefault="00BE3ABB" w:rsidP="006C6D9B">
      <w:pPr>
        <w:rPr>
          <w:b/>
          <w:bCs/>
          <w:color w:val="000000" w:themeColor="text1"/>
        </w:rPr>
      </w:pPr>
      <w:r w:rsidRPr="00BE3ABB">
        <w:rPr>
          <w:b/>
          <w:bCs/>
          <w:color w:val="000000" w:themeColor="text1"/>
        </w:rPr>
        <w:t xml:space="preserve">The Hippocratic Corpus on dreams </w:t>
      </w:r>
    </w:p>
    <w:p w14:paraId="479B4195" w14:textId="77777777" w:rsidR="00B15119" w:rsidRDefault="00E6425F" w:rsidP="006C6D9B">
      <w:pPr>
        <w:rPr>
          <w:color w:val="000000" w:themeColor="text1"/>
        </w:rPr>
      </w:pPr>
      <w:r>
        <w:rPr>
          <w:color w:val="000000" w:themeColor="text1"/>
        </w:rPr>
        <w:tab/>
        <w:t xml:space="preserve">Despite </w:t>
      </w:r>
      <w:r w:rsidR="00F73E59">
        <w:rPr>
          <w:color w:val="000000" w:themeColor="text1"/>
        </w:rPr>
        <w:t xml:space="preserve">a </w:t>
      </w:r>
      <w:r>
        <w:rPr>
          <w:color w:val="000000" w:themeColor="text1"/>
        </w:rPr>
        <w:t xml:space="preserve">focus on natural causation, the Hippocratic Corpus includes a treatise known as </w:t>
      </w:r>
      <w:r>
        <w:rPr>
          <w:i/>
          <w:iCs/>
          <w:color w:val="000000" w:themeColor="text1"/>
        </w:rPr>
        <w:t>Regimen</w:t>
      </w:r>
      <w:r w:rsidR="00A54925">
        <w:rPr>
          <w:i/>
          <w:iCs/>
          <w:color w:val="000000" w:themeColor="text1"/>
        </w:rPr>
        <w:t xml:space="preserve">, </w:t>
      </w:r>
      <w:r w:rsidR="00A54925">
        <w:rPr>
          <w:color w:val="000000" w:themeColor="text1"/>
        </w:rPr>
        <w:t xml:space="preserve">composed of four separate works. In </w:t>
      </w:r>
      <w:r w:rsidR="00A54925">
        <w:rPr>
          <w:i/>
          <w:iCs/>
          <w:color w:val="000000" w:themeColor="text1"/>
        </w:rPr>
        <w:t xml:space="preserve">Regimen </w:t>
      </w:r>
      <w:r w:rsidR="00BA77F8">
        <w:rPr>
          <w:i/>
          <w:iCs/>
          <w:color w:val="000000" w:themeColor="text1"/>
        </w:rPr>
        <w:t>I</w:t>
      </w:r>
      <w:r w:rsidR="00A54925">
        <w:rPr>
          <w:color w:val="000000" w:themeColor="text1"/>
        </w:rPr>
        <w:t>, the author states</w:t>
      </w:r>
      <w:r w:rsidR="00BA77F8">
        <w:rPr>
          <w:color w:val="000000" w:themeColor="text1"/>
        </w:rPr>
        <w:t xml:space="preserve"> </w:t>
      </w:r>
      <w:r w:rsidR="00BA77F8">
        <w:t>that</w:t>
      </w:r>
      <w:r w:rsidR="00A54925">
        <w:rPr>
          <w:color w:val="000000" w:themeColor="text1"/>
        </w:rPr>
        <w:t xml:space="preserve"> to be able to treat disease, one must first </w:t>
      </w:r>
      <w:r w:rsidR="00BA77F8">
        <w:rPr>
          <w:color w:val="000000" w:themeColor="text1"/>
        </w:rPr>
        <w:t>understand the ‘primary constitution’ of the body.</w:t>
      </w:r>
      <w:r w:rsidR="00BA77F8">
        <w:rPr>
          <w:rStyle w:val="FootnoteReference"/>
          <w:color w:val="000000" w:themeColor="text1"/>
        </w:rPr>
        <w:footnoteReference w:id="49"/>
      </w:r>
      <w:r w:rsidR="00BA77F8">
        <w:rPr>
          <w:color w:val="000000" w:themeColor="text1"/>
        </w:rPr>
        <w:t xml:space="preserve"> Because diseases gather gradually before their appearance is shown, the author puts forth the notion of </w:t>
      </w:r>
      <w:proofErr w:type="spellStart"/>
      <w:r w:rsidR="00BA77F8" w:rsidRPr="00BA77F8">
        <w:rPr>
          <w:i/>
          <w:iCs/>
          <w:color w:val="000000" w:themeColor="text1"/>
        </w:rPr>
        <w:t>prodiagn</w:t>
      </w:r>
      <w:r w:rsidR="00567C84">
        <w:rPr>
          <w:rFonts w:cstheme="minorHAnsi"/>
          <w:i/>
          <w:iCs/>
          <w:color w:val="000000" w:themeColor="text1"/>
        </w:rPr>
        <w:t>ô</w:t>
      </w:r>
      <w:r w:rsidR="00BA77F8" w:rsidRPr="00BA77F8">
        <w:rPr>
          <w:i/>
          <w:iCs/>
          <w:color w:val="000000" w:themeColor="text1"/>
        </w:rPr>
        <w:t>sis</w:t>
      </w:r>
      <w:proofErr w:type="spellEnd"/>
      <w:r w:rsidR="00BA77F8">
        <w:rPr>
          <w:color w:val="000000" w:themeColor="text1"/>
        </w:rPr>
        <w:t xml:space="preserve"> focused on diet and exercise to balance excess qualities of bodily humors</w:t>
      </w:r>
      <w:r w:rsidR="00567C84">
        <w:rPr>
          <w:color w:val="000000" w:themeColor="text1"/>
        </w:rPr>
        <w:t xml:space="preserve"> </w:t>
      </w:r>
      <w:r w:rsidR="00567C84" w:rsidRPr="00567C84">
        <w:rPr>
          <w:i/>
          <w:iCs/>
          <w:color w:val="000000" w:themeColor="text1"/>
        </w:rPr>
        <w:t>before</w:t>
      </w:r>
      <w:r w:rsidR="00567C84">
        <w:rPr>
          <w:color w:val="000000" w:themeColor="text1"/>
        </w:rPr>
        <w:t xml:space="preserve"> disease can manifest</w:t>
      </w:r>
      <w:r w:rsidR="00BA77F8">
        <w:rPr>
          <w:color w:val="000000" w:themeColor="text1"/>
        </w:rPr>
        <w:t>.</w:t>
      </w:r>
      <w:r w:rsidR="00BA77F8">
        <w:rPr>
          <w:rStyle w:val="FootnoteReference"/>
          <w:color w:val="000000" w:themeColor="text1"/>
        </w:rPr>
        <w:footnoteReference w:id="50"/>
      </w:r>
      <w:r w:rsidR="00BA77F8">
        <w:rPr>
          <w:color w:val="000000" w:themeColor="text1"/>
        </w:rPr>
        <w:t xml:space="preserve"> </w:t>
      </w:r>
      <w:r>
        <w:rPr>
          <w:i/>
          <w:iCs/>
          <w:color w:val="000000" w:themeColor="text1"/>
        </w:rPr>
        <w:t xml:space="preserve"> </w:t>
      </w:r>
      <w:r w:rsidR="00BA77F8">
        <w:rPr>
          <w:color w:val="000000" w:themeColor="text1"/>
        </w:rPr>
        <w:t xml:space="preserve">Despite this </w:t>
      </w:r>
      <w:r w:rsidR="00567C84">
        <w:rPr>
          <w:color w:val="000000" w:themeColor="text1"/>
        </w:rPr>
        <w:t>natural</w:t>
      </w:r>
      <w:r w:rsidR="00BA77F8">
        <w:rPr>
          <w:color w:val="000000" w:themeColor="text1"/>
        </w:rPr>
        <w:t xml:space="preserve"> approach to health,</w:t>
      </w:r>
      <w:r w:rsidR="008B29CF">
        <w:rPr>
          <w:color w:val="000000" w:themeColor="text1"/>
        </w:rPr>
        <w:t xml:space="preserve"> the fourth treatise of the series</w:t>
      </w:r>
      <w:r w:rsidR="00BA77F8">
        <w:rPr>
          <w:color w:val="000000" w:themeColor="text1"/>
        </w:rPr>
        <w:t xml:space="preserve"> </w:t>
      </w:r>
      <w:r w:rsidR="00BE3ABB">
        <w:rPr>
          <w:color w:val="000000" w:themeColor="text1"/>
        </w:rPr>
        <w:t>is focused on dreams and the soul, arguing that</w:t>
      </w:r>
      <w:r w:rsidR="00BA77F8">
        <w:rPr>
          <w:color w:val="000000" w:themeColor="text1"/>
        </w:rPr>
        <w:t xml:space="preserve"> t</w:t>
      </w:r>
      <w:r>
        <w:rPr>
          <w:color w:val="000000" w:themeColor="text1"/>
        </w:rPr>
        <w:t>he content of dreams is related to the state of the body</w:t>
      </w:r>
      <w:r w:rsidR="00BE3ABB">
        <w:rPr>
          <w:color w:val="000000" w:themeColor="text1"/>
        </w:rPr>
        <w:t xml:space="preserve"> with the soul as the acting mech</w:t>
      </w:r>
      <w:r w:rsidR="00B15119">
        <w:rPr>
          <w:color w:val="000000" w:themeColor="text1"/>
        </w:rPr>
        <w:t>anism</w:t>
      </w:r>
      <w:r>
        <w:rPr>
          <w:color w:val="000000" w:themeColor="text1"/>
        </w:rPr>
        <w:t>.</w:t>
      </w:r>
      <w:r>
        <w:rPr>
          <w:rStyle w:val="FootnoteReference"/>
          <w:color w:val="000000" w:themeColor="text1"/>
        </w:rPr>
        <w:footnoteReference w:id="51"/>
      </w:r>
      <w:r w:rsidR="00F2467A">
        <w:rPr>
          <w:color w:val="000000" w:themeColor="text1"/>
        </w:rPr>
        <w:t xml:space="preserve"> </w:t>
      </w:r>
    </w:p>
    <w:p w14:paraId="1DE8A5E6" w14:textId="07397920" w:rsidR="00003F3F" w:rsidRDefault="00567C84" w:rsidP="00B15119">
      <w:pPr>
        <w:ind w:firstLine="720"/>
      </w:pPr>
      <w:r>
        <w:rPr>
          <w:color w:val="000000" w:themeColor="text1"/>
        </w:rPr>
        <w:t>The</w:t>
      </w:r>
      <w:r w:rsidR="00F2467A">
        <w:rPr>
          <w:color w:val="000000" w:themeColor="text1"/>
        </w:rPr>
        <w:t xml:space="preserve"> author</w:t>
      </w:r>
      <w:r>
        <w:rPr>
          <w:color w:val="000000" w:themeColor="text1"/>
        </w:rPr>
        <w:t xml:space="preserve"> begins by</w:t>
      </w:r>
      <w:r w:rsidR="00F2467A">
        <w:rPr>
          <w:color w:val="000000" w:themeColor="text1"/>
        </w:rPr>
        <w:t xml:space="preserve"> </w:t>
      </w:r>
      <w:r>
        <w:rPr>
          <w:color w:val="000000" w:themeColor="text1"/>
        </w:rPr>
        <w:t>stating</w:t>
      </w:r>
      <w:r w:rsidR="00FA50A6">
        <w:rPr>
          <w:color w:val="000000" w:themeColor="text1"/>
        </w:rPr>
        <w:t>:</w:t>
      </w:r>
      <w:r w:rsidR="00F2467A">
        <w:rPr>
          <w:color w:val="000000" w:themeColor="text1"/>
        </w:rPr>
        <w:t xml:space="preserve"> ‘All </w:t>
      </w:r>
      <w:r w:rsidR="00FA50A6">
        <w:rPr>
          <w:color w:val="000000" w:themeColor="text1"/>
        </w:rPr>
        <w:t>functions of body and soul are performed by the soul during sleep</w:t>
      </w:r>
      <w:r w:rsidR="00F2467A">
        <w:rPr>
          <w:color w:val="000000" w:themeColor="text1"/>
        </w:rPr>
        <w:t>. Whoever, therefore</w:t>
      </w:r>
      <w:r w:rsidR="00FA50A6">
        <w:rPr>
          <w:color w:val="000000" w:themeColor="text1"/>
        </w:rPr>
        <w:t>,</w:t>
      </w:r>
      <w:r w:rsidR="00F2467A">
        <w:rPr>
          <w:color w:val="000000" w:themeColor="text1"/>
        </w:rPr>
        <w:t xml:space="preserve"> knows how to interpret these acts </w:t>
      </w:r>
      <w:r w:rsidR="00FA50A6">
        <w:rPr>
          <w:color w:val="000000" w:themeColor="text1"/>
        </w:rPr>
        <w:t>aright knows a great part of wisdom.’</w:t>
      </w:r>
      <w:r w:rsidR="00FA50A6">
        <w:rPr>
          <w:rStyle w:val="FootnoteReference"/>
          <w:color w:val="000000" w:themeColor="text1"/>
        </w:rPr>
        <w:footnoteReference w:id="52"/>
      </w:r>
      <w:r w:rsidR="00F73E59">
        <w:rPr>
          <w:color w:val="000000" w:themeColor="text1"/>
        </w:rPr>
        <w:t xml:space="preserve"> T</w:t>
      </w:r>
      <w:r w:rsidR="00AB7DDB">
        <w:rPr>
          <w:color w:val="000000" w:themeColor="text1"/>
        </w:rPr>
        <w:t>he treatise accepts that certain dreams are divine in origin and require an interpreter to discern their underlying meaning.</w:t>
      </w:r>
      <w:r w:rsidR="00AB7DDB">
        <w:rPr>
          <w:rStyle w:val="FootnoteReference"/>
          <w:color w:val="000000" w:themeColor="text1"/>
        </w:rPr>
        <w:footnoteReference w:id="53"/>
      </w:r>
      <w:r w:rsidR="00AB7DDB">
        <w:rPr>
          <w:color w:val="000000" w:themeColor="text1"/>
        </w:rPr>
        <w:t xml:space="preserve"> However, </w:t>
      </w:r>
      <w:r w:rsidR="00293251">
        <w:rPr>
          <w:color w:val="000000" w:themeColor="text1"/>
        </w:rPr>
        <w:t xml:space="preserve">when </w:t>
      </w:r>
      <w:r w:rsidR="00BE3ABB">
        <w:rPr>
          <w:color w:val="000000" w:themeColor="text1"/>
        </w:rPr>
        <w:t xml:space="preserve">certain </w:t>
      </w:r>
      <w:r w:rsidR="00293251">
        <w:rPr>
          <w:color w:val="000000" w:themeColor="text1"/>
        </w:rPr>
        <w:t>symptoms accompany unusual dreams, a patient requires more than an interpreter who will</w:t>
      </w:r>
      <w:r w:rsidR="005F09E1">
        <w:rPr>
          <w:color w:val="000000" w:themeColor="text1"/>
        </w:rPr>
        <w:t xml:space="preserve"> simply</w:t>
      </w:r>
      <w:r w:rsidR="00293251">
        <w:rPr>
          <w:color w:val="000000" w:themeColor="text1"/>
        </w:rPr>
        <w:t xml:space="preserve"> assign prayers.</w:t>
      </w:r>
      <w:r w:rsidR="0045219E">
        <w:rPr>
          <w:rStyle w:val="FootnoteReference"/>
          <w:color w:val="000000" w:themeColor="text1"/>
        </w:rPr>
        <w:footnoteReference w:id="54"/>
      </w:r>
      <w:r w:rsidR="00293251">
        <w:rPr>
          <w:color w:val="000000" w:themeColor="text1"/>
        </w:rPr>
        <w:t xml:space="preserve"> ‘Prayer indeed is good, but while calling on </w:t>
      </w:r>
      <w:r w:rsidR="00293251">
        <w:rPr>
          <w:color w:val="000000" w:themeColor="text1"/>
        </w:rPr>
        <w:lastRenderedPageBreak/>
        <w:t xml:space="preserve">the gods, a man </w:t>
      </w:r>
      <w:r w:rsidR="00293251" w:rsidRPr="006141B0">
        <w:rPr>
          <w:color w:val="000000" w:themeColor="text1"/>
        </w:rPr>
        <w:t>should himself lend</w:t>
      </w:r>
      <w:r w:rsidR="006141B0" w:rsidRPr="006141B0">
        <w:rPr>
          <w:color w:val="000000" w:themeColor="text1"/>
        </w:rPr>
        <w:t xml:space="preserve"> a hand</w:t>
      </w:r>
      <w:r w:rsidR="00293251" w:rsidRPr="006141B0">
        <w:rPr>
          <w:color w:val="000000" w:themeColor="text1"/>
        </w:rPr>
        <w:t xml:space="preserve">,” </w:t>
      </w:r>
      <w:r w:rsidR="0045219E" w:rsidRPr="006141B0">
        <w:rPr>
          <w:color w:val="000000" w:themeColor="text1"/>
        </w:rPr>
        <w:t>the</w:t>
      </w:r>
      <w:r>
        <w:rPr>
          <w:color w:val="000000" w:themeColor="text1"/>
        </w:rPr>
        <w:t xml:space="preserve"> author</w:t>
      </w:r>
      <w:r w:rsidR="00293251">
        <w:rPr>
          <w:color w:val="000000" w:themeColor="text1"/>
        </w:rPr>
        <w:t xml:space="preserve"> </w:t>
      </w:r>
      <w:r w:rsidR="0045219E">
        <w:rPr>
          <w:color w:val="000000" w:themeColor="text1"/>
        </w:rPr>
        <w:t>advise</w:t>
      </w:r>
      <w:r>
        <w:rPr>
          <w:color w:val="000000" w:themeColor="text1"/>
        </w:rPr>
        <w:t>s</w:t>
      </w:r>
      <w:r w:rsidR="00293251">
        <w:rPr>
          <w:color w:val="000000" w:themeColor="text1"/>
        </w:rPr>
        <w:t>.</w:t>
      </w:r>
      <w:r w:rsidR="00293251">
        <w:rPr>
          <w:rStyle w:val="FootnoteReference"/>
          <w:color w:val="000000" w:themeColor="text1"/>
        </w:rPr>
        <w:footnoteReference w:id="55"/>
      </w:r>
      <w:r w:rsidR="00293251">
        <w:rPr>
          <w:color w:val="000000" w:themeColor="text1"/>
        </w:rPr>
        <w:t xml:space="preserve"> </w:t>
      </w:r>
      <w:proofErr w:type="spellStart"/>
      <w:r w:rsidR="00003F3F">
        <w:rPr>
          <w:color w:val="000000" w:themeColor="text1"/>
        </w:rPr>
        <w:t>Hulskamp</w:t>
      </w:r>
      <w:proofErr w:type="spellEnd"/>
      <w:r w:rsidR="00003F3F">
        <w:rPr>
          <w:color w:val="000000" w:themeColor="text1"/>
        </w:rPr>
        <w:t xml:space="preserve"> suggests that, for the author, non-medical dream interpreters may be able to discern there exists a type of bodily imbalance</w:t>
      </w:r>
      <w:r w:rsidR="00BE3ABB">
        <w:rPr>
          <w:color w:val="000000" w:themeColor="text1"/>
        </w:rPr>
        <w:t xml:space="preserve"> af</w:t>
      </w:r>
      <w:r w:rsidR="006547F4">
        <w:rPr>
          <w:color w:val="000000" w:themeColor="text1"/>
        </w:rPr>
        <w:t>fecting</w:t>
      </w:r>
      <w:r w:rsidR="00BE3ABB">
        <w:rPr>
          <w:color w:val="000000" w:themeColor="text1"/>
        </w:rPr>
        <w:t xml:space="preserve"> </w:t>
      </w:r>
      <w:r w:rsidR="005F09E1">
        <w:rPr>
          <w:color w:val="000000" w:themeColor="text1"/>
        </w:rPr>
        <w:t>an</w:t>
      </w:r>
      <w:r w:rsidR="00BE3ABB">
        <w:rPr>
          <w:color w:val="000000" w:themeColor="text1"/>
        </w:rPr>
        <w:t xml:space="preserve"> individual</w:t>
      </w:r>
      <w:r w:rsidR="00003F3F">
        <w:t>, however they do not have the medical skil</w:t>
      </w:r>
      <w:r w:rsidR="00BE3ABB">
        <w:t>ls</w:t>
      </w:r>
      <w:r w:rsidR="00003F3F">
        <w:t xml:space="preserve"> to provide an efficient treatment. </w:t>
      </w:r>
      <w:r w:rsidR="00BE3ABB">
        <w:t>D</w:t>
      </w:r>
      <w:r w:rsidR="00003F3F">
        <w:t xml:space="preserve">reams </w:t>
      </w:r>
      <w:r w:rsidR="00BE3ABB">
        <w:t xml:space="preserve">of this type </w:t>
      </w:r>
      <w:r w:rsidR="00003F3F">
        <w:t>should</w:t>
      </w:r>
      <w:r w:rsidR="00BE3ABB">
        <w:t xml:space="preserve"> therefore</w:t>
      </w:r>
      <w:r w:rsidR="00003F3F">
        <w:t xml:space="preserve"> be relegated to the realm of </w:t>
      </w:r>
      <w:proofErr w:type="spellStart"/>
      <w:r w:rsidR="00003F3F">
        <w:rPr>
          <w:i/>
          <w:iCs/>
        </w:rPr>
        <w:t>iatros</w:t>
      </w:r>
      <w:proofErr w:type="spellEnd"/>
      <w:r w:rsidR="00003F3F">
        <w:rPr>
          <w:i/>
          <w:iCs/>
        </w:rPr>
        <w:t>.</w:t>
      </w:r>
      <w:r w:rsidR="00003F3F">
        <w:rPr>
          <w:rStyle w:val="FootnoteReference"/>
        </w:rPr>
        <w:footnoteReference w:id="56"/>
      </w:r>
    </w:p>
    <w:p w14:paraId="60B9D78E" w14:textId="03A9C56A" w:rsidR="0045219E" w:rsidRPr="00003F3F" w:rsidRDefault="00BE3ABB" w:rsidP="00003F3F">
      <w:pPr>
        <w:ind w:firstLine="720"/>
        <w:rPr>
          <w:color w:val="000000" w:themeColor="text1"/>
        </w:rPr>
      </w:pPr>
      <w:r>
        <w:t xml:space="preserve">Fitting with the theme of </w:t>
      </w:r>
      <w:r w:rsidRPr="00BE3ABB">
        <w:rPr>
          <w:i/>
          <w:iCs/>
        </w:rPr>
        <w:t>Regimen,</w:t>
      </w:r>
      <w:r>
        <w:t xml:space="preserve"> t</w:t>
      </w:r>
      <w:r w:rsidR="00003F3F" w:rsidRPr="00BE3ABB">
        <w:t>he</w:t>
      </w:r>
      <w:r w:rsidR="00003F3F">
        <w:t xml:space="preserve"> author suggests that </w:t>
      </w:r>
      <w:r w:rsidR="00567C84">
        <w:rPr>
          <w:color w:val="000000" w:themeColor="text1"/>
        </w:rPr>
        <w:t>dreams that</w:t>
      </w:r>
      <w:r w:rsidR="0045219E">
        <w:rPr>
          <w:color w:val="000000" w:themeColor="text1"/>
        </w:rPr>
        <w:t xml:space="preserve"> are ‘contrary to the acts of the day, and the</w:t>
      </w:r>
      <w:r w:rsidR="00D77C2B">
        <w:rPr>
          <w:color w:val="000000" w:themeColor="text1"/>
        </w:rPr>
        <w:softHyphen/>
      </w:r>
      <w:r w:rsidR="00D77C2B">
        <w:rPr>
          <w:color w:val="000000" w:themeColor="text1"/>
        </w:rPr>
        <w:softHyphen/>
      </w:r>
      <w:r w:rsidR="0045219E">
        <w:rPr>
          <w:color w:val="000000" w:themeColor="text1"/>
        </w:rPr>
        <w:t>re occurs about them some struggle triumph,’ are a sign of a disturbance in the body that should be addressed</w:t>
      </w:r>
      <w:r>
        <w:rPr>
          <w:color w:val="000000" w:themeColor="text1"/>
        </w:rPr>
        <w:t xml:space="preserve"> by</w:t>
      </w:r>
      <w:r w:rsidR="00003F3F">
        <w:rPr>
          <w:color w:val="000000" w:themeColor="text1"/>
        </w:rPr>
        <w:t xml:space="preserve"> inciting bodily balance via</w:t>
      </w:r>
      <w:r w:rsidR="0045219E">
        <w:rPr>
          <w:color w:val="000000" w:themeColor="text1"/>
        </w:rPr>
        <w:t xml:space="preserve"> changes </w:t>
      </w:r>
      <w:r w:rsidR="002D364A">
        <w:rPr>
          <w:color w:val="000000" w:themeColor="text1"/>
        </w:rPr>
        <w:t xml:space="preserve">to </w:t>
      </w:r>
      <w:r w:rsidR="0045219E">
        <w:rPr>
          <w:color w:val="000000" w:themeColor="text1"/>
        </w:rPr>
        <w:t>exercise and dietary regimen.</w:t>
      </w:r>
      <w:r w:rsidR="0045219E">
        <w:rPr>
          <w:rStyle w:val="FootnoteReference"/>
          <w:color w:val="000000" w:themeColor="text1"/>
        </w:rPr>
        <w:footnoteReference w:id="57"/>
      </w:r>
      <w:r w:rsidR="0045219E">
        <w:rPr>
          <w:color w:val="000000" w:themeColor="text1"/>
        </w:rPr>
        <w:t xml:space="preserve"> </w:t>
      </w:r>
      <w:r w:rsidR="00FB43EE">
        <w:rPr>
          <w:color w:val="000000" w:themeColor="text1"/>
        </w:rPr>
        <w:t>Overall, the text makes it clear that dream interpretation is an important tool to use when creating personalized treatment regimens.</w:t>
      </w:r>
      <w:r w:rsidR="00FB43EE">
        <w:rPr>
          <w:rStyle w:val="FootnoteReference"/>
          <w:color w:val="000000" w:themeColor="text1"/>
        </w:rPr>
        <w:footnoteReference w:id="58"/>
      </w:r>
      <w:r w:rsidR="00FB43EE">
        <w:rPr>
          <w:color w:val="000000" w:themeColor="text1"/>
        </w:rPr>
        <w:t xml:space="preserve"> Indeed, </w:t>
      </w:r>
      <w:proofErr w:type="spellStart"/>
      <w:r w:rsidR="00FB43EE">
        <w:rPr>
          <w:color w:val="000000" w:themeColor="text1"/>
        </w:rPr>
        <w:t>Hulskamp</w:t>
      </w:r>
      <w:proofErr w:type="spellEnd"/>
      <w:r w:rsidR="00FB43EE">
        <w:rPr>
          <w:color w:val="000000" w:themeColor="text1"/>
        </w:rPr>
        <w:t xml:space="preserve"> suggests dream interpretation </w:t>
      </w:r>
      <w:r w:rsidR="005F09E1">
        <w:rPr>
          <w:color w:val="000000" w:themeColor="text1"/>
        </w:rPr>
        <w:t>c</w:t>
      </w:r>
      <w:r w:rsidR="003A0701">
        <w:rPr>
          <w:color w:val="000000" w:themeColor="text1"/>
        </w:rPr>
        <w:t>ould</w:t>
      </w:r>
      <w:r w:rsidR="00374719">
        <w:rPr>
          <w:color w:val="000000" w:themeColor="text1"/>
        </w:rPr>
        <w:t xml:space="preserve"> be</w:t>
      </w:r>
      <w:r w:rsidR="005F09E1">
        <w:rPr>
          <w:color w:val="000000" w:themeColor="text1"/>
        </w:rPr>
        <w:t xml:space="preserve"> considered</w:t>
      </w:r>
      <w:r w:rsidR="00374719">
        <w:rPr>
          <w:color w:val="000000" w:themeColor="text1"/>
        </w:rPr>
        <w:t xml:space="preserve"> the </w:t>
      </w:r>
      <w:r w:rsidR="00FB43EE" w:rsidRPr="00B15119">
        <w:rPr>
          <w:i/>
          <w:iCs/>
          <w:color w:val="000000" w:themeColor="text1"/>
        </w:rPr>
        <w:t>best</w:t>
      </w:r>
      <w:r w:rsidR="00FB43EE">
        <w:rPr>
          <w:color w:val="000000" w:themeColor="text1"/>
        </w:rPr>
        <w:t xml:space="preserve"> method of </w:t>
      </w:r>
      <w:proofErr w:type="spellStart"/>
      <w:r w:rsidR="00B15119" w:rsidRPr="00BA77F8">
        <w:rPr>
          <w:i/>
          <w:iCs/>
          <w:color w:val="000000" w:themeColor="text1"/>
        </w:rPr>
        <w:t>prodiagn</w:t>
      </w:r>
      <w:r w:rsidR="00B15119">
        <w:rPr>
          <w:rFonts w:cstheme="minorHAnsi"/>
          <w:i/>
          <w:iCs/>
          <w:color w:val="000000" w:themeColor="text1"/>
        </w:rPr>
        <w:t>ô</w:t>
      </w:r>
      <w:r w:rsidR="00B15119" w:rsidRPr="00BA77F8">
        <w:rPr>
          <w:i/>
          <w:iCs/>
          <w:color w:val="000000" w:themeColor="text1"/>
        </w:rPr>
        <w:t>sis</w:t>
      </w:r>
      <w:proofErr w:type="spellEnd"/>
      <w:r w:rsidR="00374719">
        <w:rPr>
          <w:i/>
          <w:iCs/>
          <w:color w:val="000000" w:themeColor="text1"/>
        </w:rPr>
        <w:t>,</w:t>
      </w:r>
      <w:r w:rsidR="00B15119">
        <w:rPr>
          <w:color w:val="000000" w:themeColor="text1"/>
        </w:rPr>
        <w:t xml:space="preserve"> </w:t>
      </w:r>
      <w:r w:rsidR="00FB43EE">
        <w:rPr>
          <w:color w:val="000000" w:themeColor="text1"/>
        </w:rPr>
        <w:t xml:space="preserve">because ‘it is in a dream that the soul speak to the dreamer, as it were, and forewarns him of any impending bodily problems or </w:t>
      </w:r>
      <w:r w:rsidR="005F09E1">
        <w:rPr>
          <w:color w:val="000000" w:themeColor="text1"/>
        </w:rPr>
        <w:t>…</w:t>
      </w:r>
      <w:r w:rsidR="00FB43EE">
        <w:rPr>
          <w:color w:val="000000" w:themeColor="text1"/>
        </w:rPr>
        <w:t xml:space="preserve"> needs that have arisen.’</w:t>
      </w:r>
      <w:r w:rsidR="00FB43EE">
        <w:rPr>
          <w:rStyle w:val="FootnoteReference"/>
          <w:color w:val="000000" w:themeColor="text1"/>
        </w:rPr>
        <w:footnoteReference w:id="59"/>
      </w:r>
      <w:r w:rsidR="006141B0">
        <w:rPr>
          <w:color w:val="000000" w:themeColor="text1"/>
        </w:rPr>
        <w:t xml:space="preserve"> </w:t>
      </w:r>
      <w:r w:rsidR="004E40B5">
        <w:rPr>
          <w:color w:val="000000" w:themeColor="text1"/>
        </w:rPr>
        <w:t>In this way, both the belief in natural causation and the divine</w:t>
      </w:r>
      <w:r w:rsidR="003A0701">
        <w:rPr>
          <w:color w:val="000000" w:themeColor="text1"/>
        </w:rPr>
        <w:t xml:space="preserve"> influence</w:t>
      </w:r>
      <w:r w:rsidR="004E40B5">
        <w:rPr>
          <w:color w:val="000000" w:themeColor="text1"/>
        </w:rPr>
        <w:t xml:space="preserve"> are maintained</w:t>
      </w:r>
      <w:r w:rsidR="003A0701">
        <w:rPr>
          <w:color w:val="000000" w:themeColor="text1"/>
        </w:rPr>
        <w:t xml:space="preserve"> in the realm of medicine</w:t>
      </w:r>
      <w:r w:rsidR="004E40B5">
        <w:rPr>
          <w:color w:val="000000" w:themeColor="text1"/>
        </w:rPr>
        <w:t xml:space="preserve">, once again supporting, rather than conflicting with, one another. </w:t>
      </w:r>
    </w:p>
    <w:p w14:paraId="5A3D13E1" w14:textId="21EFB443" w:rsidR="006C6D9B" w:rsidRPr="006C6D9B" w:rsidRDefault="006C6D9B" w:rsidP="006C6D9B">
      <w:pPr>
        <w:rPr>
          <w:b/>
          <w:bCs/>
          <w:i/>
          <w:iCs/>
        </w:rPr>
      </w:pPr>
      <w:r w:rsidRPr="006C6D9B">
        <w:rPr>
          <w:b/>
          <w:bCs/>
        </w:rPr>
        <w:t xml:space="preserve">The inherent connection between Asclepius and </w:t>
      </w:r>
      <w:proofErr w:type="spellStart"/>
      <w:r w:rsidRPr="006C6D9B">
        <w:rPr>
          <w:b/>
          <w:bCs/>
          <w:i/>
          <w:iCs/>
        </w:rPr>
        <w:t>iatros</w:t>
      </w:r>
      <w:proofErr w:type="spellEnd"/>
    </w:p>
    <w:p w14:paraId="016F2352" w14:textId="497C9AA9" w:rsidR="00FA787E" w:rsidRDefault="00F90D88" w:rsidP="00B74715">
      <w:pPr>
        <w:ind w:firstLine="720"/>
      </w:pPr>
      <w:r>
        <w:t xml:space="preserve">As mentioned, as a healing deity, </w:t>
      </w:r>
      <w:r w:rsidR="00051D74">
        <w:t>Asclepius</w:t>
      </w:r>
      <w:r>
        <w:t xml:space="preserve"> ha</w:t>
      </w:r>
      <w:r w:rsidR="00F06571">
        <w:t>d</w:t>
      </w:r>
      <w:r>
        <w:t xml:space="preserve"> an</w:t>
      </w:r>
      <w:r w:rsidR="00051D74">
        <w:t xml:space="preserve"> inherent connection to Greek religion</w:t>
      </w:r>
      <w:r>
        <w:t xml:space="preserve">. However, the figure </w:t>
      </w:r>
      <w:r w:rsidR="00F06571">
        <w:t>was also strongly</w:t>
      </w:r>
      <w:r>
        <w:t xml:space="preserve"> </w:t>
      </w:r>
      <w:r w:rsidR="00F06571">
        <w:t xml:space="preserve">connected to </w:t>
      </w:r>
      <w:r>
        <w:t>Greek medicine</w:t>
      </w:r>
      <w:r w:rsidR="00F06571">
        <w:t xml:space="preserve"> as a whole</w:t>
      </w:r>
      <w:r w:rsidR="005F09E1">
        <w:t xml:space="preserve"> — t</w:t>
      </w:r>
      <w:r w:rsidR="00F06571">
        <w:t xml:space="preserve">his is </w:t>
      </w:r>
      <w:r>
        <w:t>despite being referred to, by David B. Morris, as a ‘missing name in modern medical history.’</w:t>
      </w:r>
      <w:r>
        <w:rPr>
          <w:rStyle w:val="FootnoteReference"/>
        </w:rPr>
        <w:footnoteReference w:id="60"/>
      </w:r>
      <w:r>
        <w:t xml:space="preserve"> </w:t>
      </w:r>
      <w:r w:rsidR="00051D74">
        <w:t>C</w:t>
      </w:r>
      <w:r w:rsidR="007F1530">
        <w:t xml:space="preserve">onsidered the patron saint of doctors, </w:t>
      </w:r>
      <w:r w:rsidR="00E54478">
        <w:t>Asclepius was a mortal given divine status as a result of his healing skills.</w:t>
      </w:r>
      <w:r w:rsidR="00E54478">
        <w:rPr>
          <w:rStyle w:val="FootnoteReference"/>
        </w:rPr>
        <w:footnoteReference w:id="61"/>
      </w:r>
      <w:r w:rsidR="00E54478">
        <w:t xml:space="preserve"> It is known that many Greek </w:t>
      </w:r>
      <w:proofErr w:type="spellStart"/>
      <w:r w:rsidR="00D71FB7">
        <w:rPr>
          <w:i/>
          <w:iCs/>
        </w:rPr>
        <w:t>iatros</w:t>
      </w:r>
      <w:proofErr w:type="spellEnd"/>
      <w:r w:rsidR="007F1530">
        <w:t xml:space="preserve"> would </w:t>
      </w:r>
      <w:r w:rsidR="00E54478">
        <w:t xml:space="preserve">also </w:t>
      </w:r>
      <w:r w:rsidR="007F1530">
        <w:t>claim t</w:t>
      </w:r>
      <w:r w:rsidR="00051D74">
        <w:t>o be</w:t>
      </w:r>
      <w:r w:rsidR="007F1530">
        <w:t xml:space="preserve"> descend</w:t>
      </w:r>
      <w:r w:rsidR="00051D74">
        <w:t>ants</w:t>
      </w:r>
      <w:r w:rsidR="007F1530">
        <w:t xml:space="preserve"> </w:t>
      </w:r>
      <w:r w:rsidR="00051D74">
        <w:t>of</w:t>
      </w:r>
      <w:r w:rsidR="007F1530">
        <w:t xml:space="preserve"> </w:t>
      </w:r>
      <w:r w:rsidR="006C6D9B">
        <w:t>Asclepius’s</w:t>
      </w:r>
      <w:r w:rsidR="007F1530">
        <w:t xml:space="preserve"> lineage.  In fact, Michael T. Compton notes</w:t>
      </w:r>
      <w:r w:rsidR="00E54478">
        <w:t>,</w:t>
      </w:r>
      <w:r w:rsidR="007F1530">
        <w:t xml:space="preserve"> ‘Hippocrates</w:t>
      </w:r>
      <w:r w:rsidR="00B74715">
        <w:t xml:space="preserve"> [of Cos]</w:t>
      </w:r>
      <w:r w:rsidR="007F1530">
        <w:t xml:space="preserve"> prided himself on this origin.’</w:t>
      </w:r>
      <w:r w:rsidR="007F1530">
        <w:rPr>
          <w:rStyle w:val="FootnoteReference"/>
        </w:rPr>
        <w:footnoteReference w:id="62"/>
      </w:r>
      <w:r w:rsidR="00273504">
        <w:t xml:space="preserve"> </w:t>
      </w:r>
      <w:r w:rsidR="00C17BCE">
        <w:t xml:space="preserve">The </w:t>
      </w:r>
      <w:r w:rsidR="00B74715">
        <w:t>entire area of Cos had</w:t>
      </w:r>
      <w:r w:rsidR="00E54478">
        <w:t xml:space="preserve"> </w:t>
      </w:r>
      <w:r w:rsidR="005F09E1">
        <w:t>historically also</w:t>
      </w:r>
      <w:r w:rsidR="00B74715">
        <w:t xml:space="preserve"> been linked to the family of Asclepius, later confirmed in 1956 by an inscription found at the Oracle of Delphi.</w:t>
      </w:r>
      <w:r w:rsidR="00B74715">
        <w:rPr>
          <w:rStyle w:val="FootnoteReference"/>
        </w:rPr>
        <w:footnoteReference w:id="63"/>
      </w:r>
      <w:r w:rsidR="00B74715">
        <w:t xml:space="preserve"> </w:t>
      </w:r>
    </w:p>
    <w:p w14:paraId="08315B94" w14:textId="66804B6C" w:rsidR="00F06571" w:rsidRDefault="00B74715">
      <w:r>
        <w:tab/>
        <w:t xml:space="preserve">As the patron god of healing, doctors serving the state had an ‘ancestral custom’ of making sacrifices to Asclepius and his daughter </w:t>
      </w:r>
      <w:r w:rsidR="003A0701">
        <w:t>Hygeia</w:t>
      </w:r>
      <w:r>
        <w:t xml:space="preserve"> twice a year, both for themselves and the patients they treated.</w:t>
      </w:r>
      <w:r>
        <w:rPr>
          <w:rStyle w:val="FootnoteReference"/>
        </w:rPr>
        <w:footnoteReference w:id="64"/>
      </w:r>
      <w:r>
        <w:t xml:space="preserve"> Indeed excavations at various </w:t>
      </w:r>
      <w:proofErr w:type="spellStart"/>
      <w:r>
        <w:t>Asclepian</w:t>
      </w:r>
      <w:proofErr w:type="spellEnd"/>
      <w:r>
        <w:t xml:space="preserve"> temples have revealed items such as surgical instruments, medical writing tablets, cupping flasks, and decrees in honor of physicians.</w:t>
      </w:r>
      <w:r>
        <w:rPr>
          <w:rStyle w:val="FootnoteReference"/>
        </w:rPr>
        <w:footnoteReference w:id="65"/>
      </w:r>
      <w:r>
        <w:t xml:space="preserve"> </w:t>
      </w:r>
      <w:proofErr w:type="spellStart"/>
      <w:r w:rsidR="002B4DBC">
        <w:t>Nutton</w:t>
      </w:r>
      <w:proofErr w:type="spellEnd"/>
      <w:r w:rsidR="002B4DBC">
        <w:t xml:space="preserve"> goes so far as to suggest that </w:t>
      </w:r>
      <w:r w:rsidR="009B48DF">
        <w:t>‘</w:t>
      </w:r>
      <w:r w:rsidR="002B4DBC">
        <w:t>for a doctor to reject Asclepius and his healings might also be for him to reject the very things for which medicine was thought most to stand.</w:t>
      </w:r>
      <w:r w:rsidR="009B48DF">
        <w:t>’</w:t>
      </w:r>
      <w:r w:rsidR="002B4DBC">
        <w:rPr>
          <w:rStyle w:val="FootnoteReference"/>
        </w:rPr>
        <w:footnoteReference w:id="66"/>
      </w:r>
      <w:r w:rsidR="002B4DBC">
        <w:t xml:space="preserve"> Indeed, Christos F. </w:t>
      </w:r>
      <w:proofErr w:type="spellStart"/>
      <w:r w:rsidR="002B4DBC">
        <w:t>Kleisiaris</w:t>
      </w:r>
      <w:proofErr w:type="spellEnd"/>
      <w:r w:rsidR="002B4DBC">
        <w:t xml:space="preserve">, </w:t>
      </w:r>
      <w:proofErr w:type="spellStart"/>
      <w:r w:rsidR="002B4DBC">
        <w:lastRenderedPageBreak/>
        <w:t>Chrisanthos</w:t>
      </w:r>
      <w:proofErr w:type="spellEnd"/>
      <w:r w:rsidR="002B4DBC">
        <w:t xml:space="preserve"> </w:t>
      </w:r>
      <w:proofErr w:type="spellStart"/>
      <w:r w:rsidR="002B4DBC">
        <w:t>Sfakianakis</w:t>
      </w:r>
      <w:proofErr w:type="spellEnd"/>
      <w:r w:rsidR="002B4DBC">
        <w:t xml:space="preserve">, and </w:t>
      </w:r>
      <w:proofErr w:type="spellStart"/>
      <w:r w:rsidR="002B4DBC">
        <w:t>Ioanna</w:t>
      </w:r>
      <w:proofErr w:type="spellEnd"/>
      <w:r w:rsidR="002B4DBC">
        <w:t xml:space="preserve"> V. </w:t>
      </w:r>
      <w:proofErr w:type="spellStart"/>
      <w:r w:rsidR="002B4DBC">
        <w:t>Papathanasiou</w:t>
      </w:r>
      <w:proofErr w:type="spellEnd"/>
      <w:r w:rsidR="002B4DBC">
        <w:t xml:space="preserve"> </w:t>
      </w:r>
      <w:r w:rsidR="00F06571">
        <w:t xml:space="preserve">simultaneously </w:t>
      </w:r>
      <w:r w:rsidR="002B4DBC">
        <w:t xml:space="preserve">credit both Hippocrates </w:t>
      </w:r>
      <w:r w:rsidR="002B4DBC">
        <w:rPr>
          <w:i/>
          <w:iCs/>
        </w:rPr>
        <w:t xml:space="preserve">and </w:t>
      </w:r>
      <w:r w:rsidR="002B4DBC">
        <w:t xml:space="preserve">Asclepius for focusing medical practice </w:t>
      </w:r>
      <w:r w:rsidR="00A14564">
        <w:t>on</w:t>
      </w:r>
      <w:r w:rsidR="002B4DBC">
        <w:t xml:space="preserve"> the natural approach and treatment of diseases.</w:t>
      </w:r>
      <w:r w:rsidR="002B4DBC">
        <w:rPr>
          <w:rStyle w:val="FootnoteReference"/>
        </w:rPr>
        <w:footnoteReference w:id="67"/>
      </w:r>
      <w:r w:rsidR="009B48DF">
        <w:t xml:space="preserve"> </w:t>
      </w:r>
    </w:p>
    <w:p w14:paraId="5242BDBD" w14:textId="4C462886" w:rsidR="00452A69" w:rsidRDefault="009B48DF" w:rsidP="00452A69">
      <w:pPr>
        <w:ind w:firstLine="720"/>
      </w:pPr>
      <w:r>
        <w:t xml:space="preserve">For Morris, </w:t>
      </w:r>
      <w:r w:rsidR="00A14564">
        <w:t>Hippocrates and Asclepius seem to</w:t>
      </w:r>
      <w:r>
        <w:t xml:space="preserve"> represent </w:t>
      </w:r>
      <w:r w:rsidR="00A14564">
        <w:t>two compatible</w:t>
      </w:r>
      <w:r>
        <w:t xml:space="preserve"> sides of</w:t>
      </w:r>
      <w:r w:rsidR="00A14564">
        <w:t xml:space="preserve"> </w:t>
      </w:r>
      <w:r>
        <w:t xml:space="preserve">healing, with the Hippocratic approach being centered on a materialistic, biological view of illness while the </w:t>
      </w:r>
      <w:proofErr w:type="spellStart"/>
      <w:r>
        <w:t>Asclepian</w:t>
      </w:r>
      <w:proofErr w:type="spellEnd"/>
      <w:r>
        <w:t xml:space="preserve"> approach</w:t>
      </w:r>
      <w:r w:rsidR="00A14564">
        <w:t xml:space="preserve"> </w:t>
      </w:r>
      <w:r w:rsidR="002E5D1D">
        <w:t xml:space="preserve">represented the </w:t>
      </w:r>
      <w:r>
        <w:t>religious heritage</w:t>
      </w:r>
      <w:r w:rsidR="002E5D1D">
        <w:t xml:space="preserve"> of</w:t>
      </w:r>
      <w:r>
        <w:t xml:space="preserve"> the healing arts.’</w:t>
      </w:r>
      <w:r>
        <w:rPr>
          <w:rStyle w:val="FootnoteReference"/>
        </w:rPr>
        <w:footnoteReference w:id="68"/>
      </w:r>
      <w:r w:rsidR="0010377E">
        <w:t xml:space="preserve"> </w:t>
      </w:r>
      <w:r w:rsidR="002E5D1D">
        <w:t>He suggests that, for Hippocratic doctors, there was no contradiction between ‘a body-centered medicine and a god-centered cosmos, which included Asclepius.’</w:t>
      </w:r>
      <w:r w:rsidR="002E5D1D">
        <w:rPr>
          <w:rStyle w:val="FootnoteReference"/>
        </w:rPr>
        <w:footnoteReference w:id="69"/>
      </w:r>
      <w:r w:rsidR="002E5D1D">
        <w:t xml:space="preserve"> In fact, he suggests some Hippocratic doctors may have see</w:t>
      </w:r>
      <w:r w:rsidR="00F06571">
        <w:t>n</w:t>
      </w:r>
      <w:r w:rsidR="002E5D1D">
        <w:t xml:space="preserve"> value in supporting </w:t>
      </w:r>
      <w:r w:rsidR="00F06571">
        <w:t xml:space="preserve">the </w:t>
      </w:r>
      <w:proofErr w:type="spellStart"/>
      <w:r w:rsidR="00F06571">
        <w:t>Asclepian</w:t>
      </w:r>
      <w:proofErr w:type="spellEnd"/>
      <w:r w:rsidR="002E5D1D">
        <w:t xml:space="preserve"> paradigm, having </w:t>
      </w:r>
      <w:r w:rsidR="00C3272A">
        <w:t>likely</w:t>
      </w:r>
      <w:r w:rsidR="002E5D1D">
        <w:t xml:space="preserve"> recognized that </w:t>
      </w:r>
      <w:proofErr w:type="spellStart"/>
      <w:r w:rsidR="002E5D1D">
        <w:t>Asclepian</w:t>
      </w:r>
      <w:proofErr w:type="spellEnd"/>
      <w:r w:rsidR="002E5D1D">
        <w:t xml:space="preserve"> medicine, with its giant temples, mass amounts of wealth, and pilgriming visitors, had gained institutional power within the medical sphere.</w:t>
      </w:r>
      <w:r w:rsidR="002E5D1D">
        <w:rPr>
          <w:rStyle w:val="FootnoteReference"/>
        </w:rPr>
        <w:footnoteReference w:id="70"/>
      </w:r>
      <w:r w:rsidR="002E5D1D">
        <w:t xml:space="preserve"> </w:t>
      </w:r>
    </w:p>
    <w:p w14:paraId="52CC6EC1" w14:textId="2636C3CA" w:rsidR="00976E4B" w:rsidRPr="0052544F" w:rsidRDefault="00C17BCE" w:rsidP="00E346C8">
      <w:pPr>
        <w:ind w:firstLine="720"/>
      </w:pPr>
      <w:r>
        <w:t>Indeed,</w:t>
      </w:r>
      <w:r w:rsidR="00C3272A">
        <w:t xml:space="preserve"> even in swearing the</w:t>
      </w:r>
      <w:r>
        <w:t xml:space="preserve"> </w:t>
      </w:r>
      <w:r w:rsidR="00C3272A">
        <w:t xml:space="preserve">well-known </w:t>
      </w:r>
      <w:r>
        <w:t xml:space="preserve">Hippocratic Oath, </w:t>
      </w:r>
      <w:r w:rsidR="005F09E1">
        <w:t xml:space="preserve">modern </w:t>
      </w:r>
      <w:r w:rsidR="00C3272A">
        <w:t>doctors</w:t>
      </w:r>
      <w:r w:rsidR="005F09E1">
        <w:t xml:space="preserve"> still</w:t>
      </w:r>
      <w:r w:rsidR="00C3272A">
        <w:t xml:space="preserve"> invoke Asclepius right after Apollo.</w:t>
      </w:r>
      <w:r w:rsidR="00C3272A">
        <w:rPr>
          <w:rStyle w:val="FootnoteReference"/>
        </w:rPr>
        <w:footnoteReference w:id="71"/>
      </w:r>
      <w:r w:rsidR="00C3272A">
        <w:t xml:space="preserve"> ‘I swear by Apollo Physician, by Asclepius, by Panacea and by all the gods and goddesses, making them my witness,’ </w:t>
      </w:r>
      <w:r w:rsidR="00AA27D5">
        <w:rPr>
          <w:i/>
          <w:iCs/>
        </w:rPr>
        <w:t>The Oath</w:t>
      </w:r>
      <w:r w:rsidR="00C3272A">
        <w:t xml:space="preserve"> reads.</w:t>
      </w:r>
      <w:r w:rsidR="00C3272A">
        <w:rPr>
          <w:rStyle w:val="FootnoteReference"/>
        </w:rPr>
        <w:footnoteReference w:id="72"/>
      </w:r>
      <w:r w:rsidR="00C3272A">
        <w:t xml:space="preserve">  </w:t>
      </w:r>
      <w:r w:rsidR="005F09E1">
        <w:t xml:space="preserve">In a thorough examination, </w:t>
      </w:r>
      <w:proofErr w:type="spellStart"/>
      <w:r w:rsidR="00452A69">
        <w:t>Nutton</w:t>
      </w:r>
      <w:proofErr w:type="spellEnd"/>
      <w:r w:rsidR="00452A69">
        <w:t xml:space="preserve"> even goes so far as to s</w:t>
      </w:r>
      <w:r w:rsidR="00AA27D5">
        <w:t>uggest</w:t>
      </w:r>
      <w:r w:rsidR="00452A69">
        <w:t xml:space="preserve"> that </w:t>
      </w:r>
      <w:r w:rsidR="005F09E1">
        <w:t>religion acts to ‘bind’</w:t>
      </w:r>
      <w:r w:rsidR="00452A69">
        <w:t xml:space="preserve"> the </w:t>
      </w:r>
      <w:r w:rsidR="005F09E1">
        <w:t>disorganized</w:t>
      </w:r>
      <w:r w:rsidR="00452A69">
        <w:t xml:space="preserve"> sections of The Oath together.’</w:t>
      </w:r>
      <w:r w:rsidR="00452A69">
        <w:rPr>
          <w:rStyle w:val="FootnoteReference"/>
        </w:rPr>
        <w:footnoteReference w:id="73"/>
      </w:r>
      <w:r w:rsidR="005F09E1">
        <w:t xml:space="preserve"> </w:t>
      </w:r>
      <w:r w:rsidR="00E346C8">
        <w:t xml:space="preserve">Because </w:t>
      </w:r>
      <w:r w:rsidR="005F09E1">
        <w:t xml:space="preserve">some scholars maintain </w:t>
      </w:r>
      <w:r w:rsidR="005F09E1">
        <w:rPr>
          <w:i/>
          <w:iCs/>
        </w:rPr>
        <w:t>The Oath</w:t>
      </w:r>
      <w:r w:rsidR="005F09E1">
        <w:t xml:space="preserve"> is the treatise that</w:t>
      </w:r>
      <w:r w:rsidR="00E346C8">
        <w:t xml:space="preserve"> primarily</w:t>
      </w:r>
      <w:r w:rsidR="005F09E1">
        <w:t xml:space="preserve"> defines</w:t>
      </w:r>
      <w:r w:rsidR="00E346C8">
        <w:t xml:space="preserve"> natural medicine, the blatant religious imagery within the text can initially seem surprising. However, as demonstrated, doctors in ancient Greece had a longstanding connection with both Hippocrates and Asclepius. With Hippocrates representing the natural and biological approach to medicine and Asclepius representing the erotic, sensual, and spiritual aspect of healing, together the two figures </w:t>
      </w:r>
      <w:r w:rsidR="00083733">
        <w:t xml:space="preserve">can be understood as </w:t>
      </w:r>
      <w:r w:rsidR="00E346C8">
        <w:t xml:space="preserve">representing the entire spectrum of healing experience. </w:t>
      </w:r>
      <w:r w:rsidR="00083733">
        <w:t xml:space="preserve">As with the other concepts discussed in this paper, </w:t>
      </w:r>
      <w:r w:rsidR="00E346C8">
        <w:t xml:space="preserve">these two concepts can be </w:t>
      </w:r>
      <w:r w:rsidR="00083733">
        <w:t xml:space="preserve">easily be </w:t>
      </w:r>
      <w:r w:rsidR="003A0701">
        <w:t xml:space="preserve">understood </w:t>
      </w:r>
      <w:r w:rsidR="00E346C8">
        <w:t xml:space="preserve">as supporting, rather than conflicting with, </w:t>
      </w:r>
      <w:r w:rsidR="00083733">
        <w:t>one another</w:t>
      </w:r>
      <w:r w:rsidR="00E346C8">
        <w:t xml:space="preserve">. </w:t>
      </w:r>
      <w:r w:rsidR="0052544F">
        <w:t xml:space="preserve">The criticisms of impiety launched by the author of </w:t>
      </w:r>
      <w:r w:rsidR="0052544F">
        <w:rPr>
          <w:i/>
          <w:iCs/>
        </w:rPr>
        <w:t>The Sacred Texts</w:t>
      </w:r>
      <w:r w:rsidR="0052544F">
        <w:t xml:space="preserve"> are noteworthy </w:t>
      </w:r>
      <w:proofErr w:type="gramStart"/>
      <w:r w:rsidR="0052544F">
        <w:t>in light of</w:t>
      </w:r>
      <w:proofErr w:type="gramEnd"/>
      <w:r w:rsidR="0052544F">
        <w:t xml:space="preserve"> </w:t>
      </w:r>
      <w:proofErr w:type="spellStart"/>
      <w:r w:rsidR="0052544F">
        <w:t>Nutton’s</w:t>
      </w:r>
      <w:proofErr w:type="spellEnd"/>
      <w:r w:rsidR="0052544F">
        <w:t xml:space="preserve"> powerful suggestion that together, the Hippocratic Corpus and Cult of Asclepius can be seen as a means of defining orthodoxy over an impious, magical alternative.</w:t>
      </w:r>
      <w:r w:rsidR="0052544F">
        <w:rPr>
          <w:rStyle w:val="FootnoteReference"/>
        </w:rPr>
        <w:footnoteReference w:id="74"/>
      </w:r>
      <w:r w:rsidR="0052544F">
        <w:t xml:space="preserve"> </w:t>
      </w:r>
    </w:p>
    <w:p w14:paraId="0E4A48BC" w14:textId="09A218BA" w:rsidR="00976E4B" w:rsidRPr="00083733" w:rsidRDefault="00083733">
      <w:pPr>
        <w:rPr>
          <w:b/>
          <w:bCs/>
        </w:rPr>
      </w:pPr>
      <w:r w:rsidRPr="00083733">
        <w:rPr>
          <w:b/>
          <w:bCs/>
        </w:rPr>
        <w:t xml:space="preserve">Conclusion </w:t>
      </w:r>
    </w:p>
    <w:p w14:paraId="4FBD0A06" w14:textId="531ECDC6" w:rsidR="00976E4B" w:rsidRPr="0052544F" w:rsidRDefault="00083733">
      <w:r>
        <w:t>By examining Greek medical theory via texts within the Hippocratic Corpus, as well as known medical practices, it soon becomes clear that divination, and religious healing existed in a complex relationship with Hippocratic medicine, w</w:t>
      </w:r>
      <w:r w:rsidR="003A0701">
        <w:t xml:space="preserve">ith </w:t>
      </w:r>
      <w:r>
        <w:t xml:space="preserve">both often supporting rather than conflicting with one another. </w:t>
      </w:r>
      <w:r w:rsidR="0052544F">
        <w:t xml:space="preserve">The reconceptualization of the divine present in </w:t>
      </w:r>
      <w:r w:rsidR="00C2503D">
        <w:t>Hippocratic texts</w:t>
      </w:r>
      <w:r w:rsidR="0052544F">
        <w:rPr>
          <w:i/>
          <w:iCs/>
        </w:rPr>
        <w:t xml:space="preserve"> </w:t>
      </w:r>
      <w:r w:rsidR="0052544F">
        <w:t xml:space="preserve">confirms the piety of the gods while differentiating these concepts from ‘magical’ practices. The notions of dream </w:t>
      </w:r>
      <w:proofErr w:type="spellStart"/>
      <w:r w:rsidR="0052544F" w:rsidRPr="00BA77F8">
        <w:rPr>
          <w:i/>
          <w:iCs/>
          <w:color w:val="000000" w:themeColor="text1"/>
        </w:rPr>
        <w:t>prodiagn</w:t>
      </w:r>
      <w:r w:rsidR="0052544F">
        <w:rPr>
          <w:rFonts w:cstheme="minorHAnsi"/>
          <w:i/>
          <w:iCs/>
          <w:color w:val="000000" w:themeColor="text1"/>
        </w:rPr>
        <w:t>ô</w:t>
      </w:r>
      <w:r w:rsidR="0052544F" w:rsidRPr="00BA77F8">
        <w:rPr>
          <w:i/>
          <w:iCs/>
          <w:color w:val="000000" w:themeColor="text1"/>
        </w:rPr>
        <w:t>sis</w:t>
      </w:r>
      <w:proofErr w:type="spellEnd"/>
      <w:r w:rsidR="0052544F">
        <w:t xml:space="preserve"> put forth in the Corpus and the dream incubation performed at </w:t>
      </w:r>
      <w:proofErr w:type="spellStart"/>
      <w:r w:rsidR="0052544F" w:rsidRPr="0066034A">
        <w:rPr>
          <w:i/>
          <w:iCs/>
        </w:rPr>
        <w:t>Asklepieia</w:t>
      </w:r>
      <w:proofErr w:type="spellEnd"/>
      <w:r w:rsidR="0052544F">
        <w:t xml:space="preserve"> incorporate </w:t>
      </w:r>
      <w:r w:rsidR="003A0701">
        <w:t xml:space="preserve">both </w:t>
      </w:r>
      <w:r w:rsidR="0052544F">
        <w:t>elements of divination</w:t>
      </w:r>
      <w:r w:rsidR="003A0701">
        <w:t xml:space="preserve"> and</w:t>
      </w:r>
      <w:r w:rsidR="0052544F">
        <w:t xml:space="preserve"> religious healing</w:t>
      </w:r>
      <w:r w:rsidR="003A0701">
        <w:t xml:space="preserve"> alongside</w:t>
      </w:r>
      <w:r w:rsidR="0052544F">
        <w:t xml:space="preserve"> and Hippocratic treatment </w:t>
      </w:r>
      <w:r w:rsidR="003A0701">
        <w:t>methods</w:t>
      </w:r>
      <w:r w:rsidR="0052544F">
        <w:t xml:space="preserve">. Even the legendary, contrasting figures of Hippocrates and Asclepius can easily be understood as representing the full array of healing experiences, </w:t>
      </w:r>
      <w:r w:rsidR="005D5170">
        <w:t xml:space="preserve">defining orthodoxy over magical alternatives. As such, it is reasonable to hypothesize that </w:t>
      </w:r>
      <w:r w:rsidR="005D5170">
        <w:lastRenderedPageBreak/>
        <w:t xml:space="preserve">divination and religious healing </w:t>
      </w:r>
      <w:r w:rsidR="003A0701">
        <w:t>played a significant role in ancient Greece, often supporting and working alongside Hippocratic medicine, rather than against it.</w:t>
      </w:r>
      <w:r w:rsidR="005D5170">
        <w:t xml:space="preserve"> </w:t>
      </w:r>
    </w:p>
    <w:p w14:paraId="2B847042" w14:textId="0F1C1F23" w:rsidR="00976E4B" w:rsidRDefault="00976E4B"/>
    <w:p w14:paraId="5DE94E89" w14:textId="77777777" w:rsidR="003A0701" w:rsidRDefault="003A0701" w:rsidP="003A0701">
      <w:pPr>
        <w:rPr>
          <w:b/>
          <w:bCs/>
        </w:rPr>
      </w:pPr>
      <w:r w:rsidRPr="00A426DC">
        <w:rPr>
          <w:b/>
          <w:bCs/>
        </w:rPr>
        <w:t xml:space="preserve">Primary Sources </w:t>
      </w:r>
    </w:p>
    <w:p w14:paraId="5A76D5BA" w14:textId="77777777" w:rsidR="003A0701" w:rsidRPr="003F2FDC" w:rsidRDefault="003A0701" w:rsidP="003A0701">
      <w:r>
        <w:t xml:space="preserve">Hippocrates, </w:t>
      </w:r>
      <w:r>
        <w:rPr>
          <w:i/>
          <w:iCs/>
        </w:rPr>
        <w:t>Airs Waters Places</w:t>
      </w:r>
      <w:r>
        <w:t>, trans. by W.H.S. Jones, Loeb Classical Library (Cambridge: Harvard University Press, 1923).</w:t>
      </w:r>
    </w:p>
    <w:p w14:paraId="1BF2395B" w14:textId="77777777" w:rsidR="003A0701" w:rsidRPr="004D7321" w:rsidRDefault="003A0701" w:rsidP="003A0701">
      <w:r>
        <w:t xml:space="preserve">Hippocrates of Cos, </w:t>
      </w:r>
      <w:r>
        <w:rPr>
          <w:i/>
          <w:iCs/>
        </w:rPr>
        <w:t xml:space="preserve">Regimen I, </w:t>
      </w:r>
      <w:r>
        <w:t>trans. by W.H.S. Jones, Loeb Classical Library (Cambridge: Harvard University Press, 1931)</w:t>
      </w:r>
    </w:p>
    <w:p w14:paraId="368F2A68" w14:textId="77777777" w:rsidR="003A0701" w:rsidRDefault="003A0701" w:rsidP="003A0701">
      <w:r>
        <w:t>Hippocrates of Cos</w:t>
      </w:r>
      <w:r>
        <w:rPr>
          <w:i/>
          <w:iCs/>
        </w:rPr>
        <w:t xml:space="preserve">, Regimen </w:t>
      </w:r>
      <w:r w:rsidRPr="004D7321">
        <w:rPr>
          <w:i/>
          <w:iCs/>
        </w:rPr>
        <w:t>IV</w:t>
      </w:r>
      <w:r>
        <w:t>, trans. by W.H.S. Jones, Loeb Classical Library (Cambridge: Harvard University Press, 1931)</w:t>
      </w:r>
    </w:p>
    <w:p w14:paraId="2D5AA329" w14:textId="77777777" w:rsidR="003A0701" w:rsidRDefault="003A0701" w:rsidP="003A0701">
      <w:r>
        <w:t xml:space="preserve">Hippocrates of Cos, </w:t>
      </w:r>
      <w:r>
        <w:rPr>
          <w:i/>
          <w:iCs/>
        </w:rPr>
        <w:t>The Oath</w:t>
      </w:r>
      <w:r>
        <w:t>, trans. by W.H.S. Jones, Loeb Classical Library (Cambridge: Harvard University Press, 1923)</w:t>
      </w:r>
    </w:p>
    <w:p w14:paraId="09322B66" w14:textId="77777777" w:rsidR="003A0701" w:rsidRDefault="003A0701" w:rsidP="003A0701">
      <w:r>
        <w:t xml:space="preserve">Hippocrates of Cos, </w:t>
      </w:r>
      <w:r>
        <w:rPr>
          <w:i/>
          <w:iCs/>
        </w:rPr>
        <w:t>The Sacred Disease</w:t>
      </w:r>
      <w:r>
        <w:t xml:space="preserve">, trans. by W.H.S. Jones, Loeb Classical Library (Cambridge: Harvard University Press, 1923). </w:t>
      </w:r>
    </w:p>
    <w:p w14:paraId="64B790D0" w14:textId="77777777" w:rsidR="003A0701" w:rsidRPr="00A426DC" w:rsidRDefault="003A0701" w:rsidP="003A0701">
      <w:pPr>
        <w:rPr>
          <w:b/>
          <w:bCs/>
        </w:rPr>
      </w:pPr>
      <w:r w:rsidRPr="00A426DC">
        <w:rPr>
          <w:b/>
          <w:bCs/>
        </w:rPr>
        <w:t>Secondary Sources</w:t>
      </w:r>
    </w:p>
    <w:p w14:paraId="713B7492" w14:textId="77777777" w:rsidR="003A0701" w:rsidRPr="00A25B00" w:rsidRDefault="003A0701" w:rsidP="003A0701">
      <w:proofErr w:type="spellStart"/>
      <w:r>
        <w:t>Bhasin</w:t>
      </w:r>
      <w:proofErr w:type="spellEnd"/>
      <w:r>
        <w:t xml:space="preserve">, Veena, ‘Medical Anthropology: A Review’, </w:t>
      </w:r>
      <w:r>
        <w:rPr>
          <w:i/>
          <w:iCs/>
        </w:rPr>
        <w:t>Studies on Ethno-Medicine</w:t>
      </w:r>
      <w:r>
        <w:t xml:space="preserve">, 1-1 (2017), pp. 1-20. </w:t>
      </w:r>
    </w:p>
    <w:p w14:paraId="10F3EC4B" w14:textId="77777777" w:rsidR="003A0701" w:rsidRPr="00AB7FBF" w:rsidRDefault="003A0701" w:rsidP="003A0701">
      <w:r>
        <w:t xml:space="preserve">Compton, Michael T., ‘The Union of Religion and Health in Ancient </w:t>
      </w:r>
      <w:proofErr w:type="spellStart"/>
      <w:r>
        <w:t>Asklepieia</w:t>
      </w:r>
      <w:proofErr w:type="spellEnd"/>
      <w:r>
        <w:t xml:space="preserve">’, </w:t>
      </w:r>
      <w:r>
        <w:rPr>
          <w:i/>
          <w:iCs/>
        </w:rPr>
        <w:t>Journal of Religion and Health</w:t>
      </w:r>
      <w:r>
        <w:t xml:space="preserve">, 37-4 (1998), pp. 301-312. </w:t>
      </w:r>
    </w:p>
    <w:p w14:paraId="78BCB868" w14:textId="77777777" w:rsidR="003A0701" w:rsidRDefault="003A0701" w:rsidP="003A0701">
      <w:r>
        <w:t xml:space="preserve">Harrison, Thomas, “Oracles and Divination,” in </w:t>
      </w:r>
      <w:r>
        <w:rPr>
          <w:i/>
          <w:iCs/>
        </w:rPr>
        <w:t xml:space="preserve">Divinity and History: The Religion of Herodotus </w:t>
      </w:r>
      <w:r>
        <w:t>(Oxford Scholarship Online: 2002) &lt;</w:t>
      </w:r>
      <w:r w:rsidRPr="00E62E2F">
        <w:t>https://www.oxfordscholarship.com/view/10.1093/acprof:oso/9780199253555.001.0001/acprof-9780199253555?rskey=TzUw8Z&amp;result=3</w:t>
      </w:r>
      <w:r>
        <w:t>&gt; [accessed 14 July 2019]</w:t>
      </w:r>
    </w:p>
    <w:p w14:paraId="7AFB72B3" w14:textId="77777777" w:rsidR="003A0701" w:rsidRDefault="003A0701" w:rsidP="003A0701">
      <w:proofErr w:type="spellStart"/>
      <w:r>
        <w:t>Hulskamp</w:t>
      </w:r>
      <w:proofErr w:type="spellEnd"/>
      <w:r>
        <w:t xml:space="preserve">, </w:t>
      </w:r>
      <w:proofErr w:type="spellStart"/>
      <w:r>
        <w:t>Maithe</w:t>
      </w:r>
      <w:proofErr w:type="spellEnd"/>
      <w:r>
        <w:t xml:space="preserve"> A.A., “The Value of Dream Diagnosis in the Medical Praxis of the </w:t>
      </w:r>
      <w:proofErr w:type="spellStart"/>
      <w:r>
        <w:t>Hippocratics</w:t>
      </w:r>
      <w:proofErr w:type="spellEnd"/>
      <w:r>
        <w:t xml:space="preserve"> and Galen,” in </w:t>
      </w:r>
      <w:r>
        <w:rPr>
          <w:i/>
          <w:iCs/>
        </w:rPr>
        <w:t>Dreams, Healing and Medicine in Greece</w:t>
      </w:r>
      <w:r w:rsidRPr="003A0BFA">
        <w:t>,</w:t>
      </w:r>
      <w:r>
        <w:t xml:space="preserve"> ed. by Steven M. Oberhelman, pp. 33-68 (Abingdon-on-Thames: Routledge, 2013)</w:t>
      </w:r>
    </w:p>
    <w:p w14:paraId="1B6C4639" w14:textId="77777777" w:rsidR="003A0701" w:rsidRPr="00B43F4B" w:rsidRDefault="003A0701" w:rsidP="003A0701">
      <w:proofErr w:type="spellStart"/>
      <w:r>
        <w:t>Jouanna</w:t>
      </w:r>
      <w:proofErr w:type="spellEnd"/>
      <w:r>
        <w:t xml:space="preserve">, Jacques, “Hippocrates and the Sacred,” in </w:t>
      </w:r>
      <w:r>
        <w:rPr>
          <w:i/>
          <w:iCs/>
        </w:rPr>
        <w:t>Greek Medicine from Hippocrates to Galen: Selected Papers</w:t>
      </w:r>
      <w:r>
        <w:t xml:space="preserve">, trans. by Neil Allies, ed. by Phillip van der </w:t>
      </w:r>
      <w:proofErr w:type="spellStart"/>
      <w:r>
        <w:t>Eijk</w:t>
      </w:r>
      <w:proofErr w:type="spellEnd"/>
      <w:r>
        <w:t xml:space="preserve">, pp. 97-118 (Leiden: Brill Publishers, 2012) </w:t>
      </w:r>
    </w:p>
    <w:p w14:paraId="23CEC2AA" w14:textId="77777777" w:rsidR="003A0701" w:rsidRDefault="003A0701" w:rsidP="003A0701">
      <w:proofErr w:type="spellStart"/>
      <w:r>
        <w:t>Kleisiaris</w:t>
      </w:r>
      <w:proofErr w:type="spellEnd"/>
      <w:r>
        <w:t xml:space="preserve">, Christos F., </w:t>
      </w:r>
      <w:proofErr w:type="spellStart"/>
      <w:r>
        <w:t>Sfakianakis</w:t>
      </w:r>
      <w:proofErr w:type="spellEnd"/>
      <w:r>
        <w:t xml:space="preserve">, </w:t>
      </w:r>
      <w:proofErr w:type="spellStart"/>
      <w:r>
        <w:t>Chrisanthos</w:t>
      </w:r>
      <w:proofErr w:type="spellEnd"/>
      <w:r>
        <w:t xml:space="preserve">, and </w:t>
      </w:r>
      <w:proofErr w:type="spellStart"/>
      <w:r>
        <w:t>Papahtanasiou</w:t>
      </w:r>
      <w:proofErr w:type="spellEnd"/>
      <w:r>
        <w:t xml:space="preserve">, </w:t>
      </w:r>
      <w:proofErr w:type="spellStart"/>
      <w:r>
        <w:t>Ioanna</w:t>
      </w:r>
      <w:proofErr w:type="spellEnd"/>
      <w:r>
        <w:t xml:space="preserve"> V., ‘Health care practices in ancient Greece: The Hippocratic ideal’, </w:t>
      </w:r>
      <w:r>
        <w:rPr>
          <w:i/>
          <w:iCs/>
        </w:rPr>
        <w:t>Journal of Medical Ethics and History of Medicine</w:t>
      </w:r>
      <w:r>
        <w:t xml:space="preserve">, 7-6 (2014) </w:t>
      </w:r>
      <w:r>
        <w:br/>
        <w:t>&lt;</w:t>
      </w:r>
      <w:r w:rsidRPr="00F66724">
        <w:t xml:space="preserve"> </w:t>
      </w:r>
      <w:r w:rsidRPr="000163DF">
        <w:t>https://www.ncbi.nlm.nih.gov/pmc/articles/PMC4263393/</w:t>
      </w:r>
      <w:r>
        <w:t>&gt; [accessed 14 July 2019]</w:t>
      </w:r>
    </w:p>
    <w:p w14:paraId="4E0EB1F3" w14:textId="77777777" w:rsidR="003A0701" w:rsidRPr="00FA12E9" w:rsidRDefault="003A0701" w:rsidP="003A0701">
      <w:proofErr w:type="spellStart"/>
      <w:r>
        <w:t>Magiorkinis</w:t>
      </w:r>
      <w:proofErr w:type="spellEnd"/>
      <w:r>
        <w:t xml:space="preserve">, </w:t>
      </w:r>
      <w:proofErr w:type="spellStart"/>
      <w:r>
        <w:t>Emmanouil</w:t>
      </w:r>
      <w:proofErr w:type="spellEnd"/>
      <w:r>
        <w:t xml:space="preserve">, </w:t>
      </w:r>
      <w:proofErr w:type="spellStart"/>
      <w:r>
        <w:t>Sidiropoulou</w:t>
      </w:r>
      <w:proofErr w:type="spellEnd"/>
      <w:r>
        <w:t xml:space="preserve">, </w:t>
      </w:r>
      <w:proofErr w:type="spellStart"/>
      <w:r>
        <w:t>Kalliopi</w:t>
      </w:r>
      <w:proofErr w:type="spellEnd"/>
      <w:r>
        <w:t xml:space="preserve">, and </w:t>
      </w:r>
      <w:proofErr w:type="spellStart"/>
      <w:r>
        <w:t>Diamantis</w:t>
      </w:r>
      <w:proofErr w:type="spellEnd"/>
      <w:r>
        <w:t xml:space="preserve">, </w:t>
      </w:r>
      <w:proofErr w:type="spellStart"/>
      <w:r>
        <w:t>Aristidis</w:t>
      </w:r>
      <w:proofErr w:type="spellEnd"/>
      <w:r>
        <w:t xml:space="preserve">, ‘Hallmarks in the history of epilepsy: Epilepsy in antiquity’, </w:t>
      </w:r>
      <w:r>
        <w:rPr>
          <w:i/>
          <w:iCs/>
        </w:rPr>
        <w:t>Epilepsy &amp; Behavior</w:t>
      </w:r>
      <w:r>
        <w:t>, 17 (2010), pp. 103-108.</w:t>
      </w:r>
    </w:p>
    <w:p w14:paraId="24CD87FA" w14:textId="77777777" w:rsidR="003A0701" w:rsidRPr="00A75761" w:rsidRDefault="003A0701" w:rsidP="003A0701">
      <w:r>
        <w:t xml:space="preserve">Morris, David B., ‘Un-Forgetting Asclepius: An </w:t>
      </w:r>
      <w:proofErr w:type="spellStart"/>
      <w:r>
        <w:t>Erotics</w:t>
      </w:r>
      <w:proofErr w:type="spellEnd"/>
      <w:r>
        <w:t xml:space="preserve"> of Illness’, </w:t>
      </w:r>
      <w:r>
        <w:rPr>
          <w:i/>
          <w:iCs/>
        </w:rPr>
        <w:t xml:space="preserve">New Literary History, </w:t>
      </w:r>
      <w:r>
        <w:t xml:space="preserve">38-3 (2007), pp. 419-441. </w:t>
      </w:r>
    </w:p>
    <w:p w14:paraId="7BE64D58" w14:textId="77777777" w:rsidR="003A0701" w:rsidRPr="00D122BD" w:rsidRDefault="003A0701" w:rsidP="003A0701">
      <w:proofErr w:type="spellStart"/>
      <w:r>
        <w:t>Nutton</w:t>
      </w:r>
      <w:proofErr w:type="spellEnd"/>
      <w:r>
        <w:t xml:space="preserve">, Vivian, </w:t>
      </w:r>
      <w:r>
        <w:rPr>
          <w:i/>
          <w:iCs/>
        </w:rPr>
        <w:t xml:space="preserve">Ancient Medicine </w:t>
      </w:r>
      <w:r>
        <w:t>(Abingdon-on Thames: Routledge, 2013)</w:t>
      </w:r>
    </w:p>
    <w:p w14:paraId="4D322CC4" w14:textId="77777777" w:rsidR="003A0701" w:rsidRDefault="003A0701" w:rsidP="003A0701">
      <w:r>
        <w:lastRenderedPageBreak/>
        <w:t xml:space="preserve">Oberhelman, Steven M., “Introduction: Medical Pluralism, Healing and Dreams in Greek Culture,” in </w:t>
      </w:r>
      <w:r>
        <w:rPr>
          <w:i/>
          <w:iCs/>
        </w:rPr>
        <w:t>Dreams, Healing and Medicine in Greece</w:t>
      </w:r>
      <w:r w:rsidRPr="003A0BFA">
        <w:t>,</w:t>
      </w:r>
      <w:r>
        <w:t xml:space="preserve"> ed. by Steven M. Oberhelman, pp. 1-30 (Abingdon-on-Thames: Routledge, 2013)</w:t>
      </w:r>
    </w:p>
    <w:p w14:paraId="18EC4887" w14:textId="77777777" w:rsidR="003A0701" w:rsidRPr="00220046" w:rsidRDefault="003A0701" w:rsidP="003A0701">
      <w:proofErr w:type="spellStart"/>
      <w:r>
        <w:t>Panagiotidou</w:t>
      </w:r>
      <w:proofErr w:type="spellEnd"/>
      <w:r>
        <w:t xml:space="preserve">, Olympia, ‘Religious Healing and the Asclepius Cult: A Case of Placebo Effects,’ </w:t>
      </w:r>
      <w:r>
        <w:rPr>
          <w:i/>
          <w:iCs/>
        </w:rPr>
        <w:t xml:space="preserve">Open Theology, </w:t>
      </w:r>
      <w:r>
        <w:t xml:space="preserve">9 (2016), pp. 71-91. </w:t>
      </w:r>
    </w:p>
    <w:p w14:paraId="3BA7170B" w14:textId="77777777" w:rsidR="003A0701" w:rsidRPr="006D2D01" w:rsidRDefault="003A0701" w:rsidP="003A0701">
      <w:r>
        <w:t xml:space="preserve">Steger, Florian, “Aristides, Patient of Asclepius in Pergamum,” in </w:t>
      </w:r>
      <w:r>
        <w:rPr>
          <w:i/>
          <w:iCs/>
        </w:rPr>
        <w:t>In Praise of Asclepius: Aristides, Selected Prose Hymns</w:t>
      </w:r>
      <w:r>
        <w:t xml:space="preserve">, ed. by Donald A. Russel, Michael Trapp and Karl-Heinz </w:t>
      </w:r>
      <w:proofErr w:type="spellStart"/>
      <w:r>
        <w:t>Nesselrath</w:t>
      </w:r>
      <w:proofErr w:type="spellEnd"/>
      <w:r>
        <w:t xml:space="preserve">, pp. 129-142 (Heidelberg: Mohr </w:t>
      </w:r>
      <w:proofErr w:type="spellStart"/>
      <w:r>
        <w:t>Siebeck</w:t>
      </w:r>
      <w:proofErr w:type="spellEnd"/>
      <w:r>
        <w:t xml:space="preserve">, 2016)  </w:t>
      </w:r>
    </w:p>
    <w:p w14:paraId="44E34560" w14:textId="77777777" w:rsidR="003A0701" w:rsidRDefault="003A0701"/>
    <w:p w14:paraId="515FDCAB" w14:textId="65A17E16" w:rsidR="00976E4B" w:rsidRDefault="00976E4B"/>
    <w:p w14:paraId="7F6EF664" w14:textId="5EEF69D0" w:rsidR="00976E4B" w:rsidRDefault="00976E4B"/>
    <w:p w14:paraId="21BB4AC6" w14:textId="77777777" w:rsidR="00976E4B" w:rsidRDefault="00976E4B"/>
    <w:sectPr w:rsidR="00976E4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22D55" w14:textId="77777777" w:rsidR="00BC60FA" w:rsidRDefault="00BC60FA" w:rsidP="00767FB6">
      <w:pPr>
        <w:spacing w:after="0" w:line="240" w:lineRule="auto"/>
      </w:pPr>
      <w:r>
        <w:separator/>
      </w:r>
    </w:p>
  </w:endnote>
  <w:endnote w:type="continuationSeparator" w:id="0">
    <w:p w14:paraId="71439808" w14:textId="77777777" w:rsidR="00BC60FA" w:rsidRDefault="00BC60FA" w:rsidP="00767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49914" w14:textId="77777777" w:rsidR="00BC60FA" w:rsidRDefault="00BC60FA" w:rsidP="00767FB6">
      <w:pPr>
        <w:spacing w:after="0" w:line="240" w:lineRule="auto"/>
      </w:pPr>
      <w:r>
        <w:separator/>
      </w:r>
    </w:p>
  </w:footnote>
  <w:footnote w:type="continuationSeparator" w:id="0">
    <w:p w14:paraId="6A682E95" w14:textId="77777777" w:rsidR="00BC60FA" w:rsidRDefault="00BC60FA" w:rsidP="00767FB6">
      <w:pPr>
        <w:spacing w:after="0" w:line="240" w:lineRule="auto"/>
      </w:pPr>
      <w:r>
        <w:continuationSeparator/>
      </w:r>
    </w:p>
  </w:footnote>
  <w:footnote w:id="1">
    <w:p w14:paraId="14D1F45E" w14:textId="75F4768B" w:rsidR="00763CFE" w:rsidRPr="00767FB6" w:rsidRDefault="00763CFE">
      <w:pPr>
        <w:pStyle w:val="FootnoteText"/>
      </w:pPr>
      <w:r>
        <w:rPr>
          <w:rStyle w:val="FootnoteReference"/>
        </w:rPr>
        <w:footnoteRef/>
      </w:r>
      <w:r>
        <w:t xml:space="preserve"> Christos F. </w:t>
      </w:r>
      <w:proofErr w:type="spellStart"/>
      <w:r>
        <w:t>Kleisiaris</w:t>
      </w:r>
      <w:proofErr w:type="spellEnd"/>
      <w:r>
        <w:t xml:space="preserve">, </w:t>
      </w:r>
      <w:proofErr w:type="spellStart"/>
      <w:r>
        <w:t>Chrisanthos</w:t>
      </w:r>
      <w:proofErr w:type="spellEnd"/>
      <w:r>
        <w:t xml:space="preserve"> </w:t>
      </w:r>
      <w:proofErr w:type="spellStart"/>
      <w:r>
        <w:t>Sfakianakis</w:t>
      </w:r>
      <w:proofErr w:type="spellEnd"/>
      <w:r>
        <w:t xml:space="preserve"> and </w:t>
      </w:r>
      <w:proofErr w:type="spellStart"/>
      <w:r>
        <w:t>Ioanna</w:t>
      </w:r>
      <w:proofErr w:type="spellEnd"/>
      <w:r>
        <w:t xml:space="preserve"> V. </w:t>
      </w:r>
      <w:proofErr w:type="spellStart"/>
      <w:r>
        <w:t>Papahtanasiou</w:t>
      </w:r>
      <w:proofErr w:type="spellEnd"/>
      <w:r>
        <w:t xml:space="preserve">, ‘Health care practices in ancient Greece: The Hippocratic ideal’, </w:t>
      </w:r>
      <w:r>
        <w:rPr>
          <w:i/>
          <w:iCs/>
        </w:rPr>
        <w:t>Journal of Medical Ethics and History of Medicine</w:t>
      </w:r>
      <w:r>
        <w:t xml:space="preserve">, 7-6 (2014) </w:t>
      </w:r>
      <w:r>
        <w:br/>
      </w:r>
      <w:bookmarkStart w:id="0" w:name="_Hlk13992742"/>
      <w:r>
        <w:t>&lt;</w:t>
      </w:r>
      <w:r w:rsidRPr="00F66724">
        <w:t xml:space="preserve"> </w:t>
      </w:r>
      <w:r w:rsidRPr="000163DF">
        <w:t>https://www.ncbi.nlm.nih.gov/pmc/articles/PMC4263393/</w:t>
      </w:r>
      <w:r>
        <w:t>&gt; [accessed 14 July 2019]</w:t>
      </w:r>
      <w:bookmarkEnd w:id="0"/>
      <w:r>
        <w:t xml:space="preserve">, Introduction. </w:t>
      </w:r>
    </w:p>
  </w:footnote>
  <w:footnote w:id="2">
    <w:p w14:paraId="1A11AA19" w14:textId="19C7BF02" w:rsidR="00763CFE" w:rsidRPr="00841F4C" w:rsidRDefault="00763CFE">
      <w:pPr>
        <w:pStyle w:val="FootnoteText"/>
        <w:rPr>
          <w:lang w:val="en-US"/>
        </w:rPr>
      </w:pPr>
      <w:r>
        <w:rPr>
          <w:rStyle w:val="FootnoteReference"/>
        </w:rPr>
        <w:footnoteRef/>
      </w:r>
      <w:r>
        <w:t xml:space="preserve"> </w:t>
      </w:r>
      <w:r>
        <w:rPr>
          <w:lang w:val="en-US"/>
        </w:rPr>
        <w:t xml:space="preserve">Steven M. Oberhelman, “Introduction: Medical Pluralism, Healing, and Dreams in Greek Culture,” in </w:t>
      </w:r>
      <w:r>
        <w:rPr>
          <w:i/>
          <w:iCs/>
          <w:lang w:val="en-US"/>
        </w:rPr>
        <w:t>Dreams, Healing and Medicine in Greece</w:t>
      </w:r>
      <w:r>
        <w:rPr>
          <w:lang w:val="en-US"/>
        </w:rPr>
        <w:t xml:space="preserve">, ed. by Steven M. Oberhelman (Abingdon-on-Thames: Routledge, 2013), p. 1. </w:t>
      </w:r>
    </w:p>
  </w:footnote>
  <w:footnote w:id="3">
    <w:p w14:paraId="3B33C338" w14:textId="743456E4" w:rsidR="00763CFE" w:rsidRPr="00E62E2F" w:rsidRDefault="00763CFE" w:rsidP="00AC2B05">
      <w:pPr>
        <w:pStyle w:val="FootnoteText"/>
      </w:pPr>
      <w:r>
        <w:rPr>
          <w:rStyle w:val="FootnoteReference"/>
        </w:rPr>
        <w:footnoteRef/>
      </w:r>
      <w:r>
        <w:t xml:space="preserve"> Thomas Harrison, “Oracles and Divination,” in </w:t>
      </w:r>
      <w:r>
        <w:rPr>
          <w:i/>
          <w:iCs/>
        </w:rPr>
        <w:t xml:space="preserve">Divinity and History: The Religion of Herodotus </w:t>
      </w:r>
      <w:r>
        <w:t>(Oxford Scholarship Online: 2002) &lt;</w:t>
      </w:r>
      <w:r w:rsidRPr="00E62E2F">
        <w:t>https://www.oxfordscholarship.com/view/10.1093/acprof:oso/9780199253555.001.0001/acprof-9780199253555?rskey=TzUw8Z&amp;result=3</w:t>
      </w:r>
      <w:r>
        <w:t>&gt; [accessed 14 July 2019]</w:t>
      </w:r>
    </w:p>
  </w:footnote>
  <w:footnote w:id="4">
    <w:p w14:paraId="7BCE9AF4" w14:textId="5FA2D4A3" w:rsidR="00EA10B2" w:rsidRPr="00EA10B2" w:rsidRDefault="00EA10B2">
      <w:pPr>
        <w:pStyle w:val="FootnoteText"/>
      </w:pPr>
      <w:r>
        <w:rPr>
          <w:rStyle w:val="FootnoteReference"/>
        </w:rPr>
        <w:footnoteRef/>
      </w:r>
      <w:r>
        <w:t xml:space="preserve"> Veena </w:t>
      </w:r>
      <w:proofErr w:type="spellStart"/>
      <w:r>
        <w:t>Bhasin</w:t>
      </w:r>
      <w:proofErr w:type="spellEnd"/>
      <w:r>
        <w:t xml:space="preserve">, ‘Medical Anthropology: A Review’, </w:t>
      </w:r>
      <w:r>
        <w:rPr>
          <w:i/>
          <w:iCs/>
        </w:rPr>
        <w:t>Studies on Ethno-Medicine</w:t>
      </w:r>
      <w:r>
        <w:t xml:space="preserve">, 1-1 (2017), p. 1.  </w:t>
      </w:r>
    </w:p>
  </w:footnote>
  <w:footnote w:id="5">
    <w:p w14:paraId="5BC1D44D" w14:textId="3479B018" w:rsidR="00763CFE" w:rsidRPr="00D95E44" w:rsidRDefault="00763CFE">
      <w:pPr>
        <w:pStyle w:val="FootnoteText"/>
        <w:rPr>
          <w:lang w:val="en-US"/>
        </w:rPr>
      </w:pPr>
      <w:r>
        <w:rPr>
          <w:rStyle w:val="FootnoteReference"/>
        </w:rPr>
        <w:footnoteRef/>
      </w:r>
      <w:r>
        <w:t xml:space="preserve"> </w:t>
      </w:r>
      <w:proofErr w:type="spellStart"/>
      <w:r>
        <w:rPr>
          <w:lang w:val="en-US"/>
        </w:rPr>
        <w:t>Nutton</w:t>
      </w:r>
      <w:proofErr w:type="spellEnd"/>
      <w:r>
        <w:rPr>
          <w:lang w:val="en-US"/>
        </w:rPr>
        <w:t xml:space="preserve">, </w:t>
      </w:r>
      <w:r>
        <w:rPr>
          <w:i/>
          <w:iCs/>
          <w:lang w:val="en-US"/>
        </w:rPr>
        <w:t>Ancient Medicine</w:t>
      </w:r>
      <w:r>
        <w:rPr>
          <w:lang w:val="en-US"/>
        </w:rPr>
        <w:t xml:space="preserve">, p. 86. </w:t>
      </w:r>
    </w:p>
  </w:footnote>
  <w:footnote w:id="6">
    <w:p w14:paraId="009B6379" w14:textId="3005E6B1" w:rsidR="00763CFE" w:rsidRPr="00C121A8" w:rsidRDefault="00763CFE">
      <w:pPr>
        <w:pStyle w:val="FootnoteText"/>
      </w:pPr>
      <w:r>
        <w:rPr>
          <w:rStyle w:val="FootnoteReference"/>
        </w:rPr>
        <w:footnoteRef/>
      </w:r>
      <w:r>
        <w:t xml:space="preserve"> </w:t>
      </w:r>
      <w:proofErr w:type="spellStart"/>
      <w:r>
        <w:t>Nutton</w:t>
      </w:r>
      <w:proofErr w:type="spellEnd"/>
      <w:r>
        <w:t xml:space="preserve">, </w:t>
      </w:r>
      <w:r>
        <w:rPr>
          <w:i/>
          <w:iCs/>
        </w:rPr>
        <w:t>Ancient Medicine</w:t>
      </w:r>
      <w:r>
        <w:t>, p. 68.</w:t>
      </w:r>
    </w:p>
  </w:footnote>
  <w:footnote w:id="7">
    <w:p w14:paraId="0A75AB4C" w14:textId="33EFAF0C" w:rsidR="00763CFE" w:rsidRPr="00126866" w:rsidRDefault="00763CFE">
      <w:pPr>
        <w:pStyle w:val="FootnoteText"/>
      </w:pPr>
      <w:r>
        <w:rPr>
          <w:rStyle w:val="FootnoteReference"/>
        </w:rPr>
        <w:footnoteRef/>
      </w:r>
      <w:r>
        <w:t xml:space="preserve"> </w:t>
      </w:r>
      <w:proofErr w:type="spellStart"/>
      <w:r>
        <w:t>Nutton</w:t>
      </w:r>
      <w:proofErr w:type="spellEnd"/>
      <w:r>
        <w:t xml:space="preserve">, </w:t>
      </w:r>
      <w:r>
        <w:rPr>
          <w:i/>
          <w:iCs/>
        </w:rPr>
        <w:t>Ancient Medicine</w:t>
      </w:r>
      <w:r>
        <w:t xml:space="preserve">, p. 63. </w:t>
      </w:r>
    </w:p>
  </w:footnote>
  <w:footnote w:id="8">
    <w:p w14:paraId="6D157D79" w14:textId="77777777" w:rsidR="00763CFE" w:rsidRPr="00210577" w:rsidRDefault="00763CFE" w:rsidP="00087EE2">
      <w:pPr>
        <w:pStyle w:val="FootnoteText"/>
      </w:pPr>
      <w:r>
        <w:rPr>
          <w:rStyle w:val="FootnoteReference"/>
        </w:rPr>
        <w:footnoteRef/>
      </w:r>
      <w:r>
        <w:t xml:space="preserve"> </w:t>
      </w:r>
      <w:proofErr w:type="spellStart"/>
      <w:r>
        <w:t>Nutton</w:t>
      </w:r>
      <w:proofErr w:type="spellEnd"/>
      <w:r>
        <w:t xml:space="preserve">, </w:t>
      </w:r>
      <w:r>
        <w:rPr>
          <w:i/>
          <w:iCs/>
        </w:rPr>
        <w:t>Ancient Medicine</w:t>
      </w:r>
      <w:r>
        <w:t xml:space="preserve">, p. 45. </w:t>
      </w:r>
    </w:p>
  </w:footnote>
  <w:footnote w:id="9">
    <w:p w14:paraId="3565725A" w14:textId="2C776E8F" w:rsidR="00763CFE" w:rsidRPr="007D1C36" w:rsidRDefault="00763CFE">
      <w:pPr>
        <w:pStyle w:val="FootnoteText"/>
        <w:rPr>
          <w:lang w:val="en-US"/>
        </w:rPr>
      </w:pPr>
      <w:r>
        <w:rPr>
          <w:rStyle w:val="FootnoteReference"/>
        </w:rPr>
        <w:footnoteRef/>
      </w:r>
      <w:r>
        <w:t xml:space="preserve"> </w:t>
      </w:r>
      <w:r>
        <w:rPr>
          <w:lang w:val="en-US"/>
        </w:rPr>
        <w:t xml:space="preserve">Oberhelman, Introduction, pp. 7-8. </w:t>
      </w:r>
    </w:p>
  </w:footnote>
  <w:footnote w:id="10">
    <w:p w14:paraId="6909E097" w14:textId="2E0F6ED4" w:rsidR="00763CFE" w:rsidRPr="007D1C36" w:rsidRDefault="00763CFE">
      <w:pPr>
        <w:pStyle w:val="FootnoteText"/>
        <w:rPr>
          <w:lang w:val="en-US"/>
        </w:rPr>
      </w:pPr>
      <w:r>
        <w:rPr>
          <w:rStyle w:val="FootnoteReference"/>
        </w:rPr>
        <w:footnoteRef/>
      </w:r>
      <w:r>
        <w:t xml:space="preserve"> </w:t>
      </w:r>
      <w:r>
        <w:rPr>
          <w:lang w:val="en-US"/>
        </w:rPr>
        <w:t xml:space="preserve">Oberhelman, Introduction, p. 9. </w:t>
      </w:r>
    </w:p>
  </w:footnote>
  <w:footnote w:id="11">
    <w:p w14:paraId="443A28F5" w14:textId="46594533" w:rsidR="00763CFE" w:rsidRPr="005E26ED" w:rsidRDefault="00763CFE">
      <w:pPr>
        <w:pStyle w:val="FootnoteText"/>
        <w:rPr>
          <w:lang w:val="en-US"/>
        </w:rPr>
      </w:pPr>
      <w:r>
        <w:rPr>
          <w:rStyle w:val="FootnoteReference"/>
        </w:rPr>
        <w:footnoteRef/>
      </w:r>
      <w:r>
        <w:t xml:space="preserve"> </w:t>
      </w:r>
      <w:r>
        <w:rPr>
          <w:lang w:val="en-US"/>
        </w:rPr>
        <w:t xml:space="preserve">Oberhelman, Introduction, p. 9. </w:t>
      </w:r>
    </w:p>
  </w:footnote>
  <w:footnote w:id="12">
    <w:p w14:paraId="7470C48F" w14:textId="16B61FFE" w:rsidR="00763CFE" w:rsidRPr="007D1C36" w:rsidRDefault="00763CFE">
      <w:pPr>
        <w:pStyle w:val="FootnoteText"/>
        <w:rPr>
          <w:lang w:val="en-US"/>
        </w:rPr>
      </w:pPr>
      <w:r>
        <w:rPr>
          <w:rStyle w:val="FootnoteReference"/>
        </w:rPr>
        <w:footnoteRef/>
      </w:r>
      <w:r>
        <w:t xml:space="preserve"> Oberhelman, Introduction, p. 9.</w:t>
      </w:r>
    </w:p>
  </w:footnote>
  <w:footnote w:id="13">
    <w:p w14:paraId="2C07F0B8" w14:textId="4410DB74" w:rsidR="00763CFE" w:rsidRPr="0061171B" w:rsidRDefault="00763CFE">
      <w:pPr>
        <w:pStyle w:val="FootnoteText"/>
      </w:pPr>
      <w:r>
        <w:rPr>
          <w:rStyle w:val="FootnoteReference"/>
        </w:rPr>
        <w:footnoteRef/>
      </w:r>
      <w:r>
        <w:t xml:space="preserve"> Jacques </w:t>
      </w:r>
      <w:proofErr w:type="spellStart"/>
      <w:r>
        <w:t>Jouanna</w:t>
      </w:r>
      <w:proofErr w:type="spellEnd"/>
      <w:r>
        <w:t xml:space="preserve">, “Hippocrates and the Sacred,” in </w:t>
      </w:r>
      <w:r>
        <w:rPr>
          <w:i/>
          <w:iCs/>
        </w:rPr>
        <w:t>Greek Medicine from Hippocrates to Galen: Selected Papers</w:t>
      </w:r>
      <w:r>
        <w:t xml:space="preserve">, trans. by Neil Allies, ed. by Philip van der </w:t>
      </w:r>
      <w:proofErr w:type="spellStart"/>
      <w:r>
        <w:t>Eijk</w:t>
      </w:r>
      <w:proofErr w:type="spellEnd"/>
      <w:r>
        <w:t xml:space="preserve"> (Leiden: Brill Publishers, 2012), p. 98. </w:t>
      </w:r>
    </w:p>
  </w:footnote>
  <w:footnote w:id="14">
    <w:p w14:paraId="38EC9E70" w14:textId="2568EA90" w:rsidR="00CB4C8F" w:rsidRPr="008030CD" w:rsidRDefault="00CB4C8F">
      <w:pPr>
        <w:pStyle w:val="FootnoteText"/>
      </w:pPr>
      <w:r>
        <w:rPr>
          <w:rStyle w:val="FootnoteReference"/>
        </w:rPr>
        <w:footnoteRef/>
      </w:r>
      <w:r>
        <w:t xml:space="preserve"> </w:t>
      </w:r>
      <w:proofErr w:type="spellStart"/>
      <w:r>
        <w:t>Emmanouil</w:t>
      </w:r>
      <w:proofErr w:type="spellEnd"/>
      <w:r>
        <w:t xml:space="preserve"> </w:t>
      </w:r>
      <w:proofErr w:type="spellStart"/>
      <w:r>
        <w:t>Magiorkinis</w:t>
      </w:r>
      <w:proofErr w:type="spellEnd"/>
      <w:r>
        <w:t xml:space="preserve">, </w:t>
      </w:r>
      <w:proofErr w:type="spellStart"/>
      <w:r>
        <w:t>Kalliopi</w:t>
      </w:r>
      <w:proofErr w:type="spellEnd"/>
      <w:r>
        <w:t xml:space="preserve"> </w:t>
      </w:r>
      <w:proofErr w:type="spellStart"/>
      <w:r>
        <w:t>Sidiropoulou</w:t>
      </w:r>
      <w:proofErr w:type="spellEnd"/>
      <w:r>
        <w:t xml:space="preserve">, </w:t>
      </w:r>
      <w:proofErr w:type="spellStart"/>
      <w:r>
        <w:t>Aristidis</w:t>
      </w:r>
      <w:proofErr w:type="spellEnd"/>
      <w:r>
        <w:t xml:space="preserve"> </w:t>
      </w:r>
      <w:proofErr w:type="spellStart"/>
      <w:r>
        <w:t>Diamantis</w:t>
      </w:r>
      <w:proofErr w:type="spellEnd"/>
      <w:r>
        <w:t xml:space="preserve">, ‘Hallmarks in the history of epilepsy: Epilepsy in antiquity’, </w:t>
      </w:r>
      <w:r w:rsidR="008030CD">
        <w:rPr>
          <w:i/>
          <w:iCs/>
        </w:rPr>
        <w:t>Epilepsy &amp; Behavior</w:t>
      </w:r>
      <w:r w:rsidR="008030CD">
        <w:t xml:space="preserve">, 17 (2010), p. 104. </w:t>
      </w:r>
    </w:p>
  </w:footnote>
  <w:footnote w:id="15">
    <w:p w14:paraId="54C0E557" w14:textId="0576E2A7" w:rsidR="002F0C6C" w:rsidRDefault="002F0C6C">
      <w:pPr>
        <w:pStyle w:val="FootnoteText"/>
      </w:pPr>
      <w:r>
        <w:rPr>
          <w:rStyle w:val="FootnoteReference"/>
        </w:rPr>
        <w:footnoteRef/>
      </w:r>
      <w:r>
        <w:t xml:space="preserve"> </w:t>
      </w:r>
      <w:proofErr w:type="spellStart"/>
      <w:r>
        <w:t>Magiorkinis</w:t>
      </w:r>
      <w:proofErr w:type="spellEnd"/>
      <w:r>
        <w:t xml:space="preserve"> et al., Hallmarks in the history of epilepsy, p. 104.</w:t>
      </w:r>
    </w:p>
  </w:footnote>
  <w:footnote w:id="16">
    <w:p w14:paraId="49678BBB" w14:textId="77777777" w:rsidR="002F0C6C" w:rsidRDefault="002F0C6C" w:rsidP="002F0C6C">
      <w:pPr>
        <w:pStyle w:val="FootnoteText"/>
      </w:pPr>
      <w:r>
        <w:rPr>
          <w:rStyle w:val="FootnoteReference"/>
        </w:rPr>
        <w:footnoteRef/>
      </w:r>
      <w:r>
        <w:t xml:space="preserve"> </w:t>
      </w:r>
      <w:proofErr w:type="spellStart"/>
      <w:r>
        <w:t>Magiorkinis</w:t>
      </w:r>
      <w:proofErr w:type="spellEnd"/>
      <w:r>
        <w:t xml:space="preserve"> et al., Hallmarks in the history of epilepsy, p. 104.; Hippocrates, </w:t>
      </w:r>
      <w:r>
        <w:rPr>
          <w:i/>
          <w:iCs/>
        </w:rPr>
        <w:t>The Sacred Disease</w:t>
      </w:r>
      <w:r>
        <w:t xml:space="preserve">, iv, p. 147.; </w:t>
      </w:r>
      <w:proofErr w:type="spellStart"/>
      <w:r>
        <w:t>Jouanna</w:t>
      </w:r>
      <w:proofErr w:type="spellEnd"/>
      <w:r>
        <w:t>, Hippocrates and the Sacred, p. 104</w:t>
      </w:r>
    </w:p>
  </w:footnote>
  <w:footnote w:id="17">
    <w:p w14:paraId="53682984" w14:textId="3E00A2D4" w:rsidR="00032675" w:rsidRDefault="00032675">
      <w:pPr>
        <w:pStyle w:val="FootnoteText"/>
      </w:pPr>
      <w:r>
        <w:rPr>
          <w:rStyle w:val="FootnoteReference"/>
        </w:rPr>
        <w:footnoteRef/>
      </w:r>
      <w:r>
        <w:t xml:space="preserve"> </w:t>
      </w:r>
      <w:proofErr w:type="spellStart"/>
      <w:r>
        <w:t>Magiorkinis</w:t>
      </w:r>
      <w:proofErr w:type="spellEnd"/>
      <w:r>
        <w:t xml:space="preserve"> et al., Hallmarks in the history of epilepsy, p. 104.</w:t>
      </w:r>
    </w:p>
  </w:footnote>
  <w:footnote w:id="18">
    <w:p w14:paraId="352E9E72" w14:textId="629293E9" w:rsidR="00D321A5" w:rsidRDefault="00D321A5">
      <w:pPr>
        <w:pStyle w:val="FootnoteText"/>
      </w:pPr>
      <w:r>
        <w:rPr>
          <w:rStyle w:val="FootnoteReference"/>
        </w:rPr>
        <w:footnoteRef/>
      </w:r>
      <w:r>
        <w:t xml:space="preserve"> </w:t>
      </w:r>
      <w:proofErr w:type="spellStart"/>
      <w:r>
        <w:t>Magiorkinis</w:t>
      </w:r>
      <w:proofErr w:type="spellEnd"/>
      <w:r>
        <w:t xml:space="preserve"> et al., Hallmarks in the history of epilepsy, p. 104. </w:t>
      </w:r>
    </w:p>
  </w:footnote>
  <w:footnote w:id="19">
    <w:p w14:paraId="4E23E399" w14:textId="77777777" w:rsidR="00D321A5" w:rsidRPr="00BB6C24" w:rsidRDefault="00D321A5" w:rsidP="00D321A5">
      <w:pPr>
        <w:pStyle w:val="FootnoteText"/>
      </w:pPr>
      <w:r>
        <w:rPr>
          <w:rStyle w:val="FootnoteReference"/>
        </w:rPr>
        <w:footnoteRef/>
      </w:r>
      <w:r>
        <w:t xml:space="preserve"> </w:t>
      </w:r>
      <w:bookmarkStart w:id="1" w:name="_Hlk14613825"/>
      <w:r>
        <w:t xml:space="preserve">Hippocrates of Cos, </w:t>
      </w:r>
      <w:r>
        <w:rPr>
          <w:i/>
          <w:iCs/>
        </w:rPr>
        <w:t>The Sacred Disease</w:t>
      </w:r>
      <w:r>
        <w:t xml:space="preserve">, trans. by W.H.S. Jones, Loeb Classical Library (Cambridge: Harvard University Press, 1923). </w:t>
      </w:r>
      <w:bookmarkEnd w:id="1"/>
    </w:p>
  </w:footnote>
  <w:footnote w:id="20">
    <w:p w14:paraId="5F3060B1" w14:textId="7338DFB6" w:rsidR="00D321A5" w:rsidRDefault="00D321A5">
      <w:pPr>
        <w:pStyle w:val="FootnoteText"/>
      </w:pPr>
      <w:r>
        <w:rPr>
          <w:rStyle w:val="FootnoteReference"/>
        </w:rPr>
        <w:footnoteRef/>
      </w:r>
      <w:r>
        <w:t xml:space="preserve"> </w:t>
      </w:r>
      <w:proofErr w:type="spellStart"/>
      <w:r>
        <w:t>Magiorkinis</w:t>
      </w:r>
      <w:proofErr w:type="spellEnd"/>
      <w:r>
        <w:t xml:space="preserve"> et al., Hallmarks in the history of epilepsy, p. 10</w:t>
      </w:r>
      <w:r w:rsidR="002F0C6C">
        <w:t>5</w:t>
      </w:r>
      <w:r>
        <w:t>.</w:t>
      </w:r>
    </w:p>
  </w:footnote>
  <w:footnote w:id="21">
    <w:p w14:paraId="0988ED03" w14:textId="709D50DD" w:rsidR="00763CFE" w:rsidRPr="00603BA1" w:rsidRDefault="00763CFE">
      <w:pPr>
        <w:pStyle w:val="FootnoteText"/>
      </w:pPr>
      <w:r>
        <w:rPr>
          <w:rStyle w:val="FootnoteReference"/>
        </w:rPr>
        <w:footnoteRef/>
      </w:r>
      <w:r>
        <w:t xml:space="preserve"> Hippocrates, </w:t>
      </w:r>
      <w:r>
        <w:rPr>
          <w:i/>
          <w:iCs/>
        </w:rPr>
        <w:t xml:space="preserve">The Sacred Disease, </w:t>
      </w:r>
      <w:r>
        <w:t xml:space="preserve">ii, p. 141. </w:t>
      </w:r>
    </w:p>
  </w:footnote>
  <w:footnote w:id="22">
    <w:p w14:paraId="680070AF" w14:textId="484FD353" w:rsidR="00765634" w:rsidRDefault="00765634">
      <w:pPr>
        <w:pStyle w:val="FootnoteText"/>
      </w:pPr>
      <w:r>
        <w:rPr>
          <w:rStyle w:val="FootnoteReference"/>
        </w:rPr>
        <w:footnoteRef/>
      </w:r>
      <w:r>
        <w:t xml:space="preserve"> </w:t>
      </w:r>
      <w:proofErr w:type="spellStart"/>
      <w:r>
        <w:t>Jouanna</w:t>
      </w:r>
      <w:proofErr w:type="spellEnd"/>
      <w:r>
        <w:t xml:space="preserve">, Hippocrates and the Sacred, p. 104. </w:t>
      </w:r>
    </w:p>
  </w:footnote>
  <w:footnote w:id="23">
    <w:p w14:paraId="23A6C83B" w14:textId="1641BEFC" w:rsidR="003D6E95" w:rsidRPr="003D6E95" w:rsidRDefault="003D6E95">
      <w:pPr>
        <w:pStyle w:val="FootnoteText"/>
      </w:pPr>
      <w:r>
        <w:rPr>
          <w:rStyle w:val="FootnoteReference"/>
        </w:rPr>
        <w:footnoteRef/>
      </w:r>
      <w:r>
        <w:t xml:space="preserve"> Hippocrates, </w:t>
      </w:r>
      <w:r>
        <w:rPr>
          <w:i/>
          <w:iCs/>
        </w:rPr>
        <w:t xml:space="preserve">The Sacred Disease, </w:t>
      </w:r>
      <w:r>
        <w:t xml:space="preserve">v, p. 151. </w:t>
      </w:r>
    </w:p>
  </w:footnote>
  <w:footnote w:id="24">
    <w:p w14:paraId="2AE1B43A" w14:textId="7A30FDDF" w:rsidR="003D6E95" w:rsidRPr="003D6E95" w:rsidRDefault="003D6E95">
      <w:pPr>
        <w:pStyle w:val="FootnoteText"/>
      </w:pPr>
      <w:r>
        <w:rPr>
          <w:rStyle w:val="FootnoteReference"/>
        </w:rPr>
        <w:footnoteRef/>
      </w:r>
      <w:r>
        <w:t xml:space="preserve"> Hippocrates, </w:t>
      </w:r>
      <w:r>
        <w:rPr>
          <w:i/>
          <w:iCs/>
        </w:rPr>
        <w:t>The Sacred Disease</w:t>
      </w:r>
      <w:r>
        <w:t>, xxi, p. 183.</w:t>
      </w:r>
    </w:p>
  </w:footnote>
  <w:footnote w:id="25">
    <w:p w14:paraId="5975E4DF" w14:textId="2877A1DE" w:rsidR="001A2273" w:rsidRPr="001A2273" w:rsidRDefault="001A2273">
      <w:pPr>
        <w:pStyle w:val="FootnoteText"/>
      </w:pPr>
      <w:r>
        <w:rPr>
          <w:rStyle w:val="FootnoteReference"/>
        </w:rPr>
        <w:footnoteRef/>
      </w:r>
      <w:r>
        <w:t xml:space="preserve"> Hippocrates, </w:t>
      </w:r>
      <w:r>
        <w:rPr>
          <w:i/>
          <w:iCs/>
        </w:rPr>
        <w:t>The Sacred Disease</w:t>
      </w:r>
      <w:r>
        <w:t xml:space="preserve">, xxi, p. 183. </w:t>
      </w:r>
    </w:p>
  </w:footnote>
  <w:footnote w:id="26">
    <w:p w14:paraId="3985D450" w14:textId="3179BB78" w:rsidR="001A2273" w:rsidRPr="001A2273" w:rsidRDefault="001A2273">
      <w:pPr>
        <w:pStyle w:val="FootnoteText"/>
      </w:pPr>
      <w:r>
        <w:rPr>
          <w:rStyle w:val="FootnoteReference"/>
        </w:rPr>
        <w:footnoteRef/>
      </w:r>
      <w:r>
        <w:t xml:space="preserve"> </w:t>
      </w:r>
      <w:proofErr w:type="spellStart"/>
      <w:r>
        <w:t>Nutton</w:t>
      </w:r>
      <w:proofErr w:type="spellEnd"/>
      <w:r>
        <w:t xml:space="preserve">, </w:t>
      </w:r>
      <w:r>
        <w:rPr>
          <w:i/>
          <w:iCs/>
        </w:rPr>
        <w:t xml:space="preserve">Ancient Medicine, </w:t>
      </w:r>
      <w:r>
        <w:t>p. 113.</w:t>
      </w:r>
    </w:p>
  </w:footnote>
  <w:footnote w:id="27">
    <w:p w14:paraId="5969947F" w14:textId="1D99BA00" w:rsidR="001A2273" w:rsidRPr="001A2273" w:rsidRDefault="001A2273">
      <w:pPr>
        <w:pStyle w:val="FootnoteText"/>
      </w:pPr>
      <w:r>
        <w:rPr>
          <w:rStyle w:val="FootnoteReference"/>
        </w:rPr>
        <w:footnoteRef/>
      </w:r>
      <w:r>
        <w:t xml:space="preserve"> </w:t>
      </w:r>
      <w:proofErr w:type="spellStart"/>
      <w:r>
        <w:t>Nutton</w:t>
      </w:r>
      <w:proofErr w:type="spellEnd"/>
      <w:r>
        <w:t xml:space="preserve">, </w:t>
      </w:r>
      <w:r>
        <w:rPr>
          <w:i/>
          <w:iCs/>
        </w:rPr>
        <w:t xml:space="preserve">Ancient Medicine, </w:t>
      </w:r>
      <w:r>
        <w:t xml:space="preserve">p. 113. </w:t>
      </w:r>
    </w:p>
  </w:footnote>
  <w:footnote w:id="28">
    <w:p w14:paraId="19809B09" w14:textId="2BE152E7" w:rsidR="001A2273" w:rsidRPr="001A2273" w:rsidRDefault="001A2273">
      <w:pPr>
        <w:pStyle w:val="FootnoteText"/>
      </w:pPr>
      <w:r>
        <w:rPr>
          <w:rStyle w:val="FootnoteReference"/>
        </w:rPr>
        <w:footnoteRef/>
      </w:r>
      <w:r>
        <w:t xml:space="preserve"> </w:t>
      </w:r>
      <w:proofErr w:type="spellStart"/>
      <w:r>
        <w:t>Nutton</w:t>
      </w:r>
      <w:proofErr w:type="spellEnd"/>
      <w:r>
        <w:t xml:space="preserve">, </w:t>
      </w:r>
      <w:r>
        <w:rPr>
          <w:i/>
          <w:iCs/>
        </w:rPr>
        <w:t>Ancient Medicine</w:t>
      </w:r>
      <w:r>
        <w:t xml:space="preserve">, p. 113. </w:t>
      </w:r>
    </w:p>
  </w:footnote>
  <w:footnote w:id="29">
    <w:p w14:paraId="2E19EA79" w14:textId="53358F4F" w:rsidR="00364047" w:rsidRPr="00364047" w:rsidRDefault="00364047">
      <w:pPr>
        <w:pStyle w:val="FootnoteText"/>
      </w:pPr>
      <w:r>
        <w:rPr>
          <w:rStyle w:val="FootnoteReference"/>
        </w:rPr>
        <w:footnoteRef/>
      </w:r>
      <w:r>
        <w:t xml:space="preserve"> </w:t>
      </w:r>
      <w:proofErr w:type="spellStart"/>
      <w:r>
        <w:t>Jouanna</w:t>
      </w:r>
      <w:proofErr w:type="spellEnd"/>
      <w:r>
        <w:t xml:space="preserve">, Hippocrates and the Sacred, p. 98. </w:t>
      </w:r>
    </w:p>
  </w:footnote>
  <w:footnote w:id="30">
    <w:p w14:paraId="54767C6F" w14:textId="6319B702" w:rsidR="004C1383" w:rsidRDefault="004C1383">
      <w:pPr>
        <w:pStyle w:val="FootnoteText"/>
      </w:pPr>
      <w:r>
        <w:rPr>
          <w:rStyle w:val="FootnoteReference"/>
        </w:rPr>
        <w:footnoteRef/>
      </w:r>
      <w:r>
        <w:t xml:space="preserve"> </w:t>
      </w:r>
      <w:proofErr w:type="spellStart"/>
      <w:r>
        <w:t>Jouanna</w:t>
      </w:r>
      <w:proofErr w:type="spellEnd"/>
      <w:r>
        <w:t xml:space="preserve">, Hippocrates and the Sacred, p. 108. </w:t>
      </w:r>
    </w:p>
  </w:footnote>
  <w:footnote w:id="31">
    <w:p w14:paraId="6EB6D54A" w14:textId="54B29542" w:rsidR="00427ED4" w:rsidRPr="00427ED4" w:rsidRDefault="00427ED4">
      <w:pPr>
        <w:pStyle w:val="FootnoteText"/>
      </w:pPr>
      <w:r>
        <w:rPr>
          <w:rStyle w:val="FootnoteReference"/>
        </w:rPr>
        <w:footnoteRef/>
      </w:r>
      <w:r>
        <w:t xml:space="preserve"> Hippocrates, </w:t>
      </w:r>
      <w:r>
        <w:rPr>
          <w:i/>
          <w:iCs/>
        </w:rPr>
        <w:t>The Sacred Disease</w:t>
      </w:r>
      <w:r>
        <w:t>, iii, p. 145.</w:t>
      </w:r>
    </w:p>
  </w:footnote>
  <w:footnote w:id="32">
    <w:p w14:paraId="3BD6FF33" w14:textId="21D7AA43" w:rsidR="002357C6" w:rsidRPr="002357C6" w:rsidRDefault="002357C6">
      <w:pPr>
        <w:pStyle w:val="FootnoteText"/>
      </w:pPr>
      <w:r>
        <w:rPr>
          <w:rStyle w:val="FootnoteReference"/>
        </w:rPr>
        <w:footnoteRef/>
      </w:r>
      <w:r>
        <w:t xml:space="preserve"> </w:t>
      </w:r>
      <w:bookmarkStart w:id="2" w:name="_Hlk14860096"/>
      <w:r>
        <w:t xml:space="preserve">Hippocrates, </w:t>
      </w:r>
      <w:r>
        <w:rPr>
          <w:i/>
          <w:iCs/>
        </w:rPr>
        <w:t>Airs Waters Places</w:t>
      </w:r>
      <w:r>
        <w:t>, trans. by W.H.S. Jones, Loeb Classical Library (Cambridge: Harvard University Press, 1923).</w:t>
      </w:r>
      <w:bookmarkEnd w:id="2"/>
    </w:p>
  </w:footnote>
  <w:footnote w:id="33">
    <w:p w14:paraId="344A9F81" w14:textId="7A8F5F32" w:rsidR="00903E35" w:rsidRPr="00903E35" w:rsidRDefault="00903E35">
      <w:pPr>
        <w:pStyle w:val="FootnoteText"/>
      </w:pPr>
      <w:r>
        <w:rPr>
          <w:rStyle w:val="FootnoteReference"/>
        </w:rPr>
        <w:footnoteRef/>
      </w:r>
      <w:r>
        <w:t xml:space="preserve"> Hippocrates, </w:t>
      </w:r>
      <w:r>
        <w:rPr>
          <w:i/>
          <w:iCs/>
        </w:rPr>
        <w:t>Airs Waters Places</w:t>
      </w:r>
      <w:r>
        <w:t xml:space="preserve">, xxii, p. 127. </w:t>
      </w:r>
    </w:p>
  </w:footnote>
  <w:footnote w:id="34">
    <w:p w14:paraId="754D93F8" w14:textId="24AE0938" w:rsidR="00FC197B" w:rsidRDefault="00FC197B">
      <w:pPr>
        <w:pStyle w:val="FootnoteText"/>
      </w:pPr>
      <w:r>
        <w:rPr>
          <w:rStyle w:val="FootnoteReference"/>
        </w:rPr>
        <w:footnoteRef/>
      </w:r>
      <w:r>
        <w:t xml:space="preserve"> </w:t>
      </w:r>
      <w:proofErr w:type="spellStart"/>
      <w:r>
        <w:t>Jouanna</w:t>
      </w:r>
      <w:proofErr w:type="spellEnd"/>
      <w:r>
        <w:t xml:space="preserve">, Hippocrates and the Sacred, p. 107. </w:t>
      </w:r>
    </w:p>
  </w:footnote>
  <w:footnote w:id="35">
    <w:p w14:paraId="197E3249" w14:textId="3C74F4F0" w:rsidR="00763CFE" w:rsidRPr="002345EF" w:rsidRDefault="00763CFE">
      <w:pPr>
        <w:pStyle w:val="FootnoteText"/>
        <w:rPr>
          <w:lang w:val="en-US"/>
        </w:rPr>
      </w:pPr>
      <w:r>
        <w:rPr>
          <w:rStyle w:val="FootnoteReference"/>
        </w:rPr>
        <w:footnoteRef/>
      </w:r>
      <w:r>
        <w:t xml:space="preserve"> </w:t>
      </w:r>
      <w:proofErr w:type="spellStart"/>
      <w:r>
        <w:rPr>
          <w:lang w:val="en-US"/>
        </w:rPr>
        <w:t>Nutton</w:t>
      </w:r>
      <w:proofErr w:type="spellEnd"/>
      <w:r>
        <w:rPr>
          <w:lang w:val="en-US"/>
        </w:rPr>
        <w:t xml:space="preserve">, </w:t>
      </w:r>
      <w:r>
        <w:rPr>
          <w:i/>
          <w:iCs/>
          <w:lang w:val="en-US"/>
        </w:rPr>
        <w:t>Ancient Medicine</w:t>
      </w:r>
      <w:r>
        <w:rPr>
          <w:lang w:val="en-US"/>
        </w:rPr>
        <w:t>, p. 103.</w:t>
      </w:r>
    </w:p>
  </w:footnote>
  <w:footnote w:id="36">
    <w:p w14:paraId="57DAA3C2" w14:textId="12F0AD3B" w:rsidR="00763CFE" w:rsidRPr="005B1389" w:rsidRDefault="00763CFE">
      <w:pPr>
        <w:pStyle w:val="FootnoteText"/>
        <w:rPr>
          <w:lang w:val="en-US"/>
        </w:rPr>
      </w:pPr>
      <w:r>
        <w:rPr>
          <w:rStyle w:val="FootnoteReference"/>
        </w:rPr>
        <w:footnoteRef/>
      </w:r>
      <w:r>
        <w:t xml:space="preserve"> </w:t>
      </w:r>
      <w:proofErr w:type="spellStart"/>
      <w:r>
        <w:rPr>
          <w:lang w:val="en-US"/>
        </w:rPr>
        <w:t>Nutton</w:t>
      </w:r>
      <w:proofErr w:type="spellEnd"/>
      <w:r>
        <w:rPr>
          <w:lang w:val="en-US"/>
        </w:rPr>
        <w:t xml:space="preserve">, </w:t>
      </w:r>
      <w:r>
        <w:rPr>
          <w:i/>
          <w:iCs/>
          <w:lang w:val="en-US"/>
        </w:rPr>
        <w:t xml:space="preserve">Ancient Medicine, </w:t>
      </w:r>
      <w:r>
        <w:rPr>
          <w:lang w:val="en-US"/>
        </w:rPr>
        <w:t xml:space="preserve">p. 110. </w:t>
      </w:r>
    </w:p>
  </w:footnote>
  <w:footnote w:id="37">
    <w:p w14:paraId="3357E635" w14:textId="5D099E59" w:rsidR="00763CFE" w:rsidRPr="00895321" w:rsidRDefault="00763CFE">
      <w:pPr>
        <w:pStyle w:val="FootnoteText"/>
      </w:pPr>
      <w:r>
        <w:rPr>
          <w:rStyle w:val="FootnoteReference"/>
        </w:rPr>
        <w:footnoteRef/>
      </w:r>
      <w:r>
        <w:t xml:space="preserve"> </w:t>
      </w:r>
      <w:proofErr w:type="spellStart"/>
      <w:r>
        <w:t>Nutton</w:t>
      </w:r>
      <w:proofErr w:type="spellEnd"/>
      <w:r>
        <w:t xml:space="preserve">, </w:t>
      </w:r>
      <w:r>
        <w:rPr>
          <w:i/>
          <w:iCs/>
        </w:rPr>
        <w:t xml:space="preserve">Ancient Medicine, </w:t>
      </w:r>
      <w:r>
        <w:t>p. 108.</w:t>
      </w:r>
    </w:p>
  </w:footnote>
  <w:footnote w:id="38">
    <w:p w14:paraId="2F04A34C" w14:textId="42F95EB2" w:rsidR="00763CFE" w:rsidRPr="0051280D" w:rsidRDefault="00763CFE">
      <w:pPr>
        <w:pStyle w:val="FootnoteText"/>
        <w:rPr>
          <w:lang w:val="en-US"/>
        </w:rPr>
      </w:pPr>
      <w:r>
        <w:rPr>
          <w:rStyle w:val="FootnoteReference"/>
        </w:rPr>
        <w:footnoteRef/>
      </w:r>
      <w:r>
        <w:t xml:space="preserve"> </w:t>
      </w:r>
      <w:proofErr w:type="spellStart"/>
      <w:r>
        <w:rPr>
          <w:lang w:val="en-US"/>
        </w:rPr>
        <w:t>Nutton</w:t>
      </w:r>
      <w:proofErr w:type="spellEnd"/>
      <w:r>
        <w:rPr>
          <w:lang w:val="en-US"/>
        </w:rPr>
        <w:t xml:space="preserve">, </w:t>
      </w:r>
      <w:r>
        <w:rPr>
          <w:i/>
          <w:iCs/>
          <w:lang w:val="en-US"/>
        </w:rPr>
        <w:t xml:space="preserve">Ancient Medicine, </w:t>
      </w:r>
      <w:r>
        <w:rPr>
          <w:lang w:val="en-US"/>
        </w:rPr>
        <w:t xml:space="preserve">pp. 103-104. </w:t>
      </w:r>
    </w:p>
  </w:footnote>
  <w:footnote w:id="39">
    <w:p w14:paraId="6978BB23" w14:textId="3161C940" w:rsidR="00763CFE" w:rsidRPr="000844A3" w:rsidRDefault="00763CFE">
      <w:pPr>
        <w:pStyle w:val="FootnoteText"/>
      </w:pPr>
      <w:r>
        <w:rPr>
          <w:rStyle w:val="FootnoteReference"/>
        </w:rPr>
        <w:footnoteRef/>
      </w:r>
      <w:r>
        <w:t xml:space="preserve"> </w:t>
      </w:r>
      <w:proofErr w:type="spellStart"/>
      <w:r>
        <w:rPr>
          <w:lang w:val="en-US"/>
        </w:rPr>
        <w:t>Nutton</w:t>
      </w:r>
      <w:proofErr w:type="spellEnd"/>
      <w:r>
        <w:rPr>
          <w:lang w:val="en-US"/>
        </w:rPr>
        <w:t xml:space="preserve">, </w:t>
      </w:r>
      <w:r>
        <w:rPr>
          <w:i/>
          <w:iCs/>
          <w:lang w:val="en-US"/>
        </w:rPr>
        <w:t>Ancient Medicine</w:t>
      </w:r>
      <w:r>
        <w:rPr>
          <w:lang w:val="en-US"/>
        </w:rPr>
        <w:t xml:space="preserve">, p. 109.; Florian Steger, “Aristides, Patient of Asclepius in Pergamum,” in </w:t>
      </w:r>
      <w:r>
        <w:rPr>
          <w:i/>
          <w:iCs/>
          <w:lang w:val="en-US"/>
        </w:rPr>
        <w:t>In Praise of Asclepius: Aelius Aristides, S</w:t>
      </w:r>
      <w:r>
        <w:rPr>
          <w:i/>
          <w:iCs/>
        </w:rPr>
        <w:t>elected Prose Hymns</w:t>
      </w:r>
      <w:r>
        <w:t xml:space="preserve">, ed. by Donald A. Russel, Michael Trapp and Karl-Heinz </w:t>
      </w:r>
      <w:proofErr w:type="spellStart"/>
      <w:r>
        <w:t>Nesselrath</w:t>
      </w:r>
      <w:proofErr w:type="spellEnd"/>
      <w:r>
        <w:t xml:space="preserve"> (Heidelberg: Mohr </w:t>
      </w:r>
      <w:proofErr w:type="spellStart"/>
      <w:r>
        <w:t>Siebeck</w:t>
      </w:r>
      <w:proofErr w:type="spellEnd"/>
      <w:r>
        <w:t xml:space="preserve">, 2016), pp. 133-138. </w:t>
      </w:r>
    </w:p>
  </w:footnote>
  <w:footnote w:id="40">
    <w:p w14:paraId="1105C541" w14:textId="15297CA6" w:rsidR="00763CFE" w:rsidRPr="00563E45" w:rsidRDefault="00763CFE">
      <w:pPr>
        <w:pStyle w:val="FootnoteText"/>
        <w:rPr>
          <w:lang w:val="en-US"/>
        </w:rPr>
      </w:pPr>
      <w:r>
        <w:rPr>
          <w:rStyle w:val="FootnoteReference"/>
        </w:rPr>
        <w:footnoteRef/>
      </w:r>
      <w:r>
        <w:t xml:space="preserve"> </w:t>
      </w:r>
      <w:proofErr w:type="spellStart"/>
      <w:r>
        <w:t>Nutton</w:t>
      </w:r>
      <w:proofErr w:type="spellEnd"/>
      <w:r>
        <w:t xml:space="preserve">, </w:t>
      </w:r>
      <w:r>
        <w:rPr>
          <w:i/>
          <w:iCs/>
        </w:rPr>
        <w:t xml:space="preserve">Ancient Medicine, </w:t>
      </w:r>
      <w:r>
        <w:t>p. 109.; Steger, Aristides, pp. 133-138.</w:t>
      </w:r>
    </w:p>
  </w:footnote>
  <w:footnote w:id="41">
    <w:p w14:paraId="2DF8C282" w14:textId="2CAC1180" w:rsidR="00763CFE" w:rsidRPr="00563E45" w:rsidRDefault="00763CFE">
      <w:pPr>
        <w:pStyle w:val="FootnoteText"/>
        <w:rPr>
          <w:lang w:val="en-US"/>
        </w:rPr>
      </w:pPr>
      <w:r>
        <w:rPr>
          <w:rStyle w:val="FootnoteReference"/>
        </w:rPr>
        <w:footnoteRef/>
      </w:r>
      <w:r>
        <w:t xml:space="preserve"> </w:t>
      </w:r>
      <w:proofErr w:type="spellStart"/>
      <w:r>
        <w:rPr>
          <w:lang w:val="en-US"/>
        </w:rPr>
        <w:t>Nutton</w:t>
      </w:r>
      <w:proofErr w:type="spellEnd"/>
      <w:r>
        <w:rPr>
          <w:lang w:val="en-US"/>
        </w:rPr>
        <w:t xml:space="preserve">, </w:t>
      </w:r>
      <w:r>
        <w:rPr>
          <w:i/>
          <w:iCs/>
          <w:lang w:val="en-US"/>
        </w:rPr>
        <w:t xml:space="preserve">Ancient Medicine, </w:t>
      </w:r>
      <w:r>
        <w:rPr>
          <w:lang w:val="en-US"/>
        </w:rPr>
        <w:t xml:space="preserve">p. 109.; </w:t>
      </w:r>
      <w:r>
        <w:t>Steger, Aristides, pp. 133-138.</w:t>
      </w:r>
    </w:p>
  </w:footnote>
  <w:footnote w:id="42">
    <w:p w14:paraId="5AB15422" w14:textId="0340BABA" w:rsidR="00763CFE" w:rsidRPr="00B360EB" w:rsidRDefault="00763CFE">
      <w:pPr>
        <w:pStyle w:val="FootnoteText"/>
      </w:pPr>
      <w:r>
        <w:rPr>
          <w:rStyle w:val="FootnoteReference"/>
        </w:rPr>
        <w:footnoteRef/>
      </w:r>
      <w:r>
        <w:t xml:space="preserve"> </w:t>
      </w:r>
      <w:proofErr w:type="spellStart"/>
      <w:r>
        <w:t>Nutton</w:t>
      </w:r>
      <w:proofErr w:type="spellEnd"/>
      <w:r>
        <w:t xml:space="preserve">, </w:t>
      </w:r>
      <w:r>
        <w:rPr>
          <w:i/>
          <w:iCs/>
        </w:rPr>
        <w:t xml:space="preserve">Ancient Medicine, </w:t>
      </w:r>
      <w:r>
        <w:t xml:space="preserve">p. 109. </w:t>
      </w:r>
    </w:p>
  </w:footnote>
  <w:footnote w:id="43">
    <w:p w14:paraId="3C40ED97" w14:textId="0E4A0E4C" w:rsidR="00763CFE" w:rsidRPr="008C5B30" w:rsidRDefault="00763CFE">
      <w:pPr>
        <w:pStyle w:val="FootnoteText"/>
      </w:pPr>
      <w:r>
        <w:rPr>
          <w:rStyle w:val="FootnoteReference"/>
        </w:rPr>
        <w:footnoteRef/>
      </w:r>
      <w:r>
        <w:t xml:space="preserve"> </w:t>
      </w:r>
      <w:proofErr w:type="spellStart"/>
      <w:r>
        <w:t>Nutton</w:t>
      </w:r>
      <w:proofErr w:type="spellEnd"/>
      <w:r>
        <w:t xml:space="preserve">, </w:t>
      </w:r>
      <w:r>
        <w:rPr>
          <w:i/>
          <w:iCs/>
        </w:rPr>
        <w:t xml:space="preserve">Ancient Medicine, </w:t>
      </w:r>
      <w:r>
        <w:t xml:space="preserve">p. 109. </w:t>
      </w:r>
    </w:p>
  </w:footnote>
  <w:footnote w:id="44">
    <w:p w14:paraId="645D20E8" w14:textId="339E60AA" w:rsidR="00763CFE" w:rsidRPr="00895321" w:rsidRDefault="00763CFE">
      <w:pPr>
        <w:pStyle w:val="FootnoteText"/>
      </w:pPr>
      <w:r>
        <w:rPr>
          <w:rStyle w:val="FootnoteReference"/>
        </w:rPr>
        <w:footnoteRef/>
      </w:r>
      <w:r>
        <w:t xml:space="preserve"> </w:t>
      </w:r>
      <w:proofErr w:type="spellStart"/>
      <w:r>
        <w:t>Nutton</w:t>
      </w:r>
      <w:proofErr w:type="spellEnd"/>
      <w:r>
        <w:t xml:space="preserve">, </w:t>
      </w:r>
      <w:r>
        <w:rPr>
          <w:i/>
          <w:iCs/>
        </w:rPr>
        <w:t>Ancient Medicine</w:t>
      </w:r>
      <w:r>
        <w:t xml:space="preserve">, p. 108-109. </w:t>
      </w:r>
    </w:p>
  </w:footnote>
  <w:footnote w:id="45">
    <w:p w14:paraId="22BD927B" w14:textId="5714EB5A" w:rsidR="00763CFE" w:rsidRPr="00B2559C" w:rsidRDefault="00763CFE">
      <w:pPr>
        <w:pStyle w:val="FootnoteText"/>
      </w:pPr>
      <w:r>
        <w:rPr>
          <w:rStyle w:val="FootnoteReference"/>
        </w:rPr>
        <w:footnoteRef/>
      </w:r>
      <w:r>
        <w:t xml:space="preserve"> Olympia </w:t>
      </w:r>
      <w:proofErr w:type="spellStart"/>
      <w:r>
        <w:t>Panagiotidou</w:t>
      </w:r>
      <w:proofErr w:type="spellEnd"/>
      <w:r>
        <w:t xml:space="preserve">, ‘Religious Healing and the Asclepius Cult: A Case of Placebo Effects’, </w:t>
      </w:r>
      <w:r>
        <w:rPr>
          <w:i/>
          <w:iCs/>
        </w:rPr>
        <w:t xml:space="preserve">Open Theology, </w:t>
      </w:r>
      <w:r>
        <w:t xml:space="preserve">9 (2016), p. 84.; </w:t>
      </w:r>
      <w:proofErr w:type="spellStart"/>
      <w:r>
        <w:t>Nutton</w:t>
      </w:r>
      <w:proofErr w:type="spellEnd"/>
      <w:r>
        <w:t xml:space="preserve">, </w:t>
      </w:r>
      <w:r>
        <w:rPr>
          <w:i/>
          <w:iCs/>
        </w:rPr>
        <w:t xml:space="preserve">Ancient Medicine, </w:t>
      </w:r>
      <w:r>
        <w:t>pp. 108-109.;</w:t>
      </w:r>
      <w:r w:rsidR="00FF301C">
        <w:t xml:space="preserve"> </w:t>
      </w:r>
      <w:r>
        <w:t xml:space="preserve">David B. Morris, ‘Un-Forgetting Asclepius: An </w:t>
      </w:r>
      <w:proofErr w:type="spellStart"/>
      <w:r>
        <w:t>Erotics</w:t>
      </w:r>
      <w:proofErr w:type="spellEnd"/>
      <w:r>
        <w:t xml:space="preserve"> of Illness’, </w:t>
      </w:r>
      <w:r>
        <w:rPr>
          <w:i/>
          <w:iCs/>
        </w:rPr>
        <w:t>New Literary History</w:t>
      </w:r>
      <w:r>
        <w:t>, 38-3 (2007), p. 422.</w:t>
      </w:r>
    </w:p>
  </w:footnote>
  <w:footnote w:id="46">
    <w:p w14:paraId="161B64DF" w14:textId="6980B0AF" w:rsidR="00763CFE" w:rsidRPr="00356E41" w:rsidRDefault="00763CFE">
      <w:pPr>
        <w:pStyle w:val="FootnoteText"/>
      </w:pPr>
      <w:r>
        <w:rPr>
          <w:rStyle w:val="FootnoteReference"/>
        </w:rPr>
        <w:footnoteRef/>
      </w:r>
      <w:r>
        <w:t xml:space="preserve"> </w:t>
      </w:r>
      <w:proofErr w:type="spellStart"/>
      <w:r>
        <w:t>Nutton</w:t>
      </w:r>
      <w:proofErr w:type="spellEnd"/>
      <w:r>
        <w:t xml:space="preserve">, </w:t>
      </w:r>
      <w:r>
        <w:rPr>
          <w:i/>
          <w:iCs/>
        </w:rPr>
        <w:t xml:space="preserve">Ancient Medicine, </w:t>
      </w:r>
      <w:r>
        <w:t xml:space="preserve">pp. 108-109. </w:t>
      </w:r>
    </w:p>
  </w:footnote>
  <w:footnote w:id="47">
    <w:p w14:paraId="5E880705" w14:textId="6F3A6B5A" w:rsidR="00763CFE" w:rsidRPr="00356E41" w:rsidRDefault="00763CFE">
      <w:pPr>
        <w:pStyle w:val="FootnoteText"/>
        <w:rPr>
          <w:caps/>
        </w:rPr>
      </w:pPr>
      <w:r>
        <w:rPr>
          <w:rStyle w:val="FootnoteReference"/>
        </w:rPr>
        <w:footnoteRef/>
      </w:r>
      <w:r>
        <w:t xml:space="preserve"> </w:t>
      </w:r>
      <w:proofErr w:type="spellStart"/>
      <w:r>
        <w:t>Nutton</w:t>
      </w:r>
      <w:proofErr w:type="spellEnd"/>
      <w:r>
        <w:t xml:space="preserve">, </w:t>
      </w:r>
      <w:r>
        <w:rPr>
          <w:i/>
          <w:iCs/>
        </w:rPr>
        <w:t xml:space="preserve">Ancient Medicine, </w:t>
      </w:r>
      <w:r>
        <w:t>p. 110.</w:t>
      </w:r>
    </w:p>
  </w:footnote>
  <w:footnote w:id="48">
    <w:p w14:paraId="543645F8" w14:textId="2192F957" w:rsidR="00763CFE" w:rsidRDefault="00763CFE">
      <w:pPr>
        <w:pStyle w:val="FootnoteText"/>
      </w:pPr>
      <w:r>
        <w:rPr>
          <w:rStyle w:val="FootnoteReference"/>
        </w:rPr>
        <w:footnoteRef/>
      </w:r>
      <w:r>
        <w:t xml:space="preserve"> Oberhelman, Introduction, p. 22.</w:t>
      </w:r>
    </w:p>
  </w:footnote>
  <w:footnote w:id="49">
    <w:p w14:paraId="69FD3B3F" w14:textId="2D9D7B8D" w:rsidR="00763CFE" w:rsidRPr="00BA77F8" w:rsidRDefault="00763CFE">
      <w:pPr>
        <w:pStyle w:val="FootnoteText"/>
      </w:pPr>
      <w:r>
        <w:rPr>
          <w:rStyle w:val="FootnoteReference"/>
        </w:rPr>
        <w:footnoteRef/>
      </w:r>
      <w:r>
        <w:t xml:space="preserve"> Hippocrates of Cos, </w:t>
      </w:r>
      <w:r>
        <w:rPr>
          <w:i/>
          <w:iCs/>
        </w:rPr>
        <w:t xml:space="preserve">Regimen </w:t>
      </w:r>
      <w:r>
        <w:t xml:space="preserve">I, trans. by W.H.S. Jones, Loeb Classical Library (Cambridge: Harvard University Press, 1931), ii, p. 227. </w:t>
      </w:r>
    </w:p>
  </w:footnote>
  <w:footnote w:id="50">
    <w:p w14:paraId="4E421754" w14:textId="34F3D5BC" w:rsidR="00763CFE" w:rsidRPr="00855F7D" w:rsidRDefault="00763CFE">
      <w:pPr>
        <w:pStyle w:val="FootnoteText"/>
      </w:pPr>
      <w:r>
        <w:rPr>
          <w:rStyle w:val="FootnoteReference"/>
        </w:rPr>
        <w:footnoteRef/>
      </w:r>
      <w:r>
        <w:t xml:space="preserve"> Hippocrates, </w:t>
      </w:r>
      <w:r>
        <w:rPr>
          <w:i/>
          <w:iCs/>
        </w:rPr>
        <w:t xml:space="preserve">Regimen I, ii- xii, </w:t>
      </w:r>
      <w:r>
        <w:t xml:space="preserve">pp. 227-251.; </w:t>
      </w:r>
      <w:proofErr w:type="spellStart"/>
      <w:r>
        <w:t>Maithe</w:t>
      </w:r>
      <w:proofErr w:type="spellEnd"/>
      <w:r>
        <w:t xml:space="preserve"> A.A. </w:t>
      </w:r>
      <w:proofErr w:type="spellStart"/>
      <w:r>
        <w:t>Hulskamp</w:t>
      </w:r>
      <w:proofErr w:type="spellEnd"/>
      <w:r>
        <w:t xml:space="preserve">, “The Value of Dream Diagnosis in the Medical Praxis of the </w:t>
      </w:r>
      <w:proofErr w:type="spellStart"/>
      <w:r>
        <w:t>Hippocratics</w:t>
      </w:r>
      <w:proofErr w:type="spellEnd"/>
      <w:r>
        <w:t xml:space="preserve"> and Galen,” in </w:t>
      </w:r>
      <w:r>
        <w:rPr>
          <w:i/>
          <w:iCs/>
        </w:rPr>
        <w:t>Dreams, Healing, and Medicine in Greece</w:t>
      </w:r>
      <w:r>
        <w:t xml:space="preserve">, </w:t>
      </w:r>
      <w:r>
        <w:rPr>
          <w:lang w:val="en-US"/>
        </w:rPr>
        <w:t xml:space="preserve">ed. by Steven M. Oberhelman (Abingdon-on-Thames: Routledge, 2013), p. 36. </w:t>
      </w:r>
    </w:p>
  </w:footnote>
  <w:footnote w:id="51">
    <w:p w14:paraId="19BF0119" w14:textId="68143D4F" w:rsidR="00763CFE" w:rsidRPr="009D31A3" w:rsidRDefault="00763CFE">
      <w:pPr>
        <w:pStyle w:val="FootnoteText"/>
      </w:pPr>
      <w:r>
        <w:rPr>
          <w:rStyle w:val="FootnoteReference"/>
        </w:rPr>
        <w:footnoteRef/>
      </w:r>
      <w:r>
        <w:t xml:space="preserve"> Hippocrates of Cos</w:t>
      </w:r>
      <w:r>
        <w:rPr>
          <w:i/>
          <w:iCs/>
        </w:rPr>
        <w:t xml:space="preserve">, Regimen </w:t>
      </w:r>
      <w:r w:rsidRPr="00FA50A6">
        <w:t>IV</w:t>
      </w:r>
      <w:r>
        <w:t xml:space="preserve">, trans. by W.H.S. Jones, Loeb Classical Library (Cambridge: Harvard University Press, 1931).; </w:t>
      </w:r>
      <w:proofErr w:type="spellStart"/>
      <w:r>
        <w:t>Hulskamp</w:t>
      </w:r>
      <w:proofErr w:type="spellEnd"/>
      <w:r>
        <w:t xml:space="preserve">, The Value of Dream Diagnosis, </w:t>
      </w:r>
      <w:r>
        <w:rPr>
          <w:lang w:val="en-US"/>
        </w:rPr>
        <w:t xml:space="preserve">pp. 33-34. </w:t>
      </w:r>
    </w:p>
  </w:footnote>
  <w:footnote w:id="52">
    <w:p w14:paraId="3E7139FD" w14:textId="54B218FF" w:rsidR="00763CFE" w:rsidRPr="00FA50A6" w:rsidRDefault="00763CFE">
      <w:pPr>
        <w:pStyle w:val="FootnoteText"/>
      </w:pPr>
      <w:r>
        <w:rPr>
          <w:rStyle w:val="FootnoteReference"/>
        </w:rPr>
        <w:footnoteRef/>
      </w:r>
      <w:r>
        <w:t xml:space="preserve"> Hippocrates, </w:t>
      </w:r>
      <w:r>
        <w:rPr>
          <w:i/>
          <w:iCs/>
        </w:rPr>
        <w:t>Regimen</w:t>
      </w:r>
      <w:r>
        <w:t xml:space="preserve"> </w:t>
      </w:r>
      <w:r>
        <w:rPr>
          <w:i/>
          <w:iCs/>
        </w:rPr>
        <w:t>IV</w:t>
      </w:r>
      <w:r>
        <w:t xml:space="preserve">, lxxxvi, pp. 421-423. </w:t>
      </w:r>
    </w:p>
  </w:footnote>
  <w:footnote w:id="53">
    <w:p w14:paraId="7C42E9C2" w14:textId="5632F221" w:rsidR="00763CFE" w:rsidRPr="00AB7DDB" w:rsidRDefault="00763CFE">
      <w:pPr>
        <w:pStyle w:val="FootnoteText"/>
      </w:pPr>
      <w:r>
        <w:rPr>
          <w:rStyle w:val="FootnoteReference"/>
        </w:rPr>
        <w:footnoteRef/>
      </w:r>
      <w:r>
        <w:t xml:space="preserve"> Hippocrates, </w:t>
      </w:r>
      <w:r>
        <w:rPr>
          <w:i/>
          <w:iCs/>
        </w:rPr>
        <w:t>Regimen</w:t>
      </w:r>
      <w:r>
        <w:t xml:space="preserve"> </w:t>
      </w:r>
      <w:r w:rsidRPr="00BA77F8">
        <w:rPr>
          <w:i/>
          <w:iCs/>
        </w:rPr>
        <w:t>IV</w:t>
      </w:r>
      <w:r>
        <w:t>, lxxxvii, p. 423.</w:t>
      </w:r>
    </w:p>
  </w:footnote>
  <w:footnote w:id="54">
    <w:p w14:paraId="5576C7E1" w14:textId="7B7FB753" w:rsidR="00763CFE" w:rsidRDefault="00763CFE">
      <w:pPr>
        <w:pStyle w:val="FootnoteText"/>
      </w:pPr>
      <w:r>
        <w:rPr>
          <w:rStyle w:val="FootnoteReference"/>
        </w:rPr>
        <w:footnoteRef/>
      </w:r>
      <w:r>
        <w:t xml:space="preserve"> Hippocrates, </w:t>
      </w:r>
      <w:r>
        <w:rPr>
          <w:i/>
          <w:iCs/>
        </w:rPr>
        <w:t>Regimen</w:t>
      </w:r>
      <w:r>
        <w:t xml:space="preserve"> </w:t>
      </w:r>
      <w:r w:rsidRPr="00BA77F8">
        <w:rPr>
          <w:i/>
          <w:iCs/>
        </w:rPr>
        <w:t>IV</w:t>
      </w:r>
      <w:r>
        <w:t>, lxxxvii, p. 423.</w:t>
      </w:r>
    </w:p>
  </w:footnote>
  <w:footnote w:id="55">
    <w:p w14:paraId="0B0DDDF4" w14:textId="6DA8D519" w:rsidR="00763CFE" w:rsidRPr="00293251" w:rsidRDefault="00763CFE">
      <w:pPr>
        <w:pStyle w:val="FootnoteText"/>
      </w:pPr>
      <w:r>
        <w:rPr>
          <w:rStyle w:val="FootnoteReference"/>
        </w:rPr>
        <w:footnoteRef/>
      </w:r>
      <w:r>
        <w:t xml:space="preserve"> Hippocrates, </w:t>
      </w:r>
      <w:r>
        <w:rPr>
          <w:i/>
          <w:iCs/>
        </w:rPr>
        <w:t xml:space="preserve">Regimen </w:t>
      </w:r>
      <w:r w:rsidRPr="00BA77F8">
        <w:rPr>
          <w:i/>
          <w:iCs/>
        </w:rPr>
        <w:t>IV</w:t>
      </w:r>
      <w:r>
        <w:t>, lxxxvii, p. 423.</w:t>
      </w:r>
    </w:p>
  </w:footnote>
  <w:footnote w:id="56">
    <w:p w14:paraId="7A91363E" w14:textId="3CBFA036" w:rsidR="00763CFE" w:rsidRDefault="00763CFE">
      <w:pPr>
        <w:pStyle w:val="FootnoteText"/>
      </w:pPr>
      <w:r>
        <w:rPr>
          <w:rStyle w:val="FootnoteReference"/>
        </w:rPr>
        <w:footnoteRef/>
      </w:r>
      <w:r>
        <w:t xml:space="preserve"> </w:t>
      </w:r>
      <w:proofErr w:type="spellStart"/>
      <w:r>
        <w:t>Hulskamp</w:t>
      </w:r>
      <w:proofErr w:type="spellEnd"/>
      <w:r>
        <w:t xml:space="preserve">, The Value of Dream Diagnosis, p. 38. </w:t>
      </w:r>
    </w:p>
  </w:footnote>
  <w:footnote w:id="57">
    <w:p w14:paraId="62022F4F" w14:textId="3923F24D" w:rsidR="00763CFE" w:rsidRPr="0045219E" w:rsidRDefault="00763CFE">
      <w:pPr>
        <w:pStyle w:val="FootnoteText"/>
      </w:pPr>
      <w:r>
        <w:rPr>
          <w:rStyle w:val="FootnoteReference"/>
        </w:rPr>
        <w:footnoteRef/>
      </w:r>
      <w:r>
        <w:t xml:space="preserve"> Hippocrates, </w:t>
      </w:r>
      <w:r>
        <w:rPr>
          <w:i/>
          <w:iCs/>
        </w:rPr>
        <w:t>Regimen</w:t>
      </w:r>
      <w:r>
        <w:t xml:space="preserve"> </w:t>
      </w:r>
      <w:r w:rsidRPr="00BA77F8">
        <w:rPr>
          <w:i/>
          <w:iCs/>
        </w:rPr>
        <w:t>IV</w:t>
      </w:r>
      <w:r>
        <w:t xml:space="preserve">, lxxxviii, p. 425.; </w:t>
      </w:r>
      <w:proofErr w:type="spellStart"/>
      <w:r>
        <w:t>Hulskamp</w:t>
      </w:r>
      <w:proofErr w:type="spellEnd"/>
      <w:r>
        <w:t xml:space="preserve">, The Value of Dream Diagnosis, pp. 39-40. </w:t>
      </w:r>
    </w:p>
  </w:footnote>
  <w:footnote w:id="58">
    <w:p w14:paraId="52E064CC" w14:textId="3BB0DBC4" w:rsidR="00763CFE" w:rsidRDefault="00763CFE">
      <w:pPr>
        <w:pStyle w:val="FootnoteText"/>
      </w:pPr>
      <w:r>
        <w:rPr>
          <w:rStyle w:val="FootnoteReference"/>
        </w:rPr>
        <w:footnoteRef/>
      </w:r>
      <w:r>
        <w:t xml:space="preserve"> </w:t>
      </w:r>
      <w:proofErr w:type="spellStart"/>
      <w:r>
        <w:t>Hulskamp</w:t>
      </w:r>
      <w:proofErr w:type="spellEnd"/>
      <w:r>
        <w:t xml:space="preserve">, The Value of Dream Diagnosis, p. 42. </w:t>
      </w:r>
    </w:p>
  </w:footnote>
  <w:footnote w:id="59">
    <w:p w14:paraId="7FD3A617" w14:textId="264B35FF" w:rsidR="00763CFE" w:rsidRDefault="00763CFE">
      <w:pPr>
        <w:pStyle w:val="FootnoteText"/>
      </w:pPr>
      <w:r>
        <w:rPr>
          <w:rStyle w:val="FootnoteReference"/>
        </w:rPr>
        <w:footnoteRef/>
      </w:r>
      <w:r>
        <w:t xml:space="preserve"> </w:t>
      </w:r>
      <w:proofErr w:type="spellStart"/>
      <w:r>
        <w:t>Hulskamp</w:t>
      </w:r>
      <w:proofErr w:type="spellEnd"/>
      <w:r>
        <w:t xml:space="preserve">, The Value of Dream Diagnosis, p. 42. </w:t>
      </w:r>
    </w:p>
  </w:footnote>
  <w:footnote w:id="60">
    <w:p w14:paraId="219A7037" w14:textId="103724C7" w:rsidR="00763CFE" w:rsidRPr="00F90D88" w:rsidRDefault="00763CFE">
      <w:pPr>
        <w:pStyle w:val="FootnoteText"/>
      </w:pPr>
      <w:r>
        <w:rPr>
          <w:rStyle w:val="FootnoteReference"/>
        </w:rPr>
        <w:footnoteRef/>
      </w:r>
      <w:r>
        <w:t xml:space="preserve"> Morris, Un-Forgetting Asclepius, p. 422. </w:t>
      </w:r>
    </w:p>
  </w:footnote>
  <w:footnote w:id="61">
    <w:p w14:paraId="311BE7F9" w14:textId="69EE30EF" w:rsidR="00763CFE" w:rsidRPr="00E54478" w:rsidRDefault="00763CFE">
      <w:pPr>
        <w:pStyle w:val="FootnoteText"/>
      </w:pPr>
      <w:r>
        <w:rPr>
          <w:rStyle w:val="FootnoteReference"/>
        </w:rPr>
        <w:footnoteRef/>
      </w:r>
      <w:r>
        <w:t xml:space="preserve"> </w:t>
      </w:r>
      <w:proofErr w:type="spellStart"/>
      <w:r>
        <w:t>Nutton</w:t>
      </w:r>
      <w:proofErr w:type="spellEnd"/>
      <w:r>
        <w:t xml:space="preserve">, </w:t>
      </w:r>
      <w:r>
        <w:rPr>
          <w:i/>
          <w:iCs/>
        </w:rPr>
        <w:t>Ancient Medicine</w:t>
      </w:r>
      <w:r>
        <w:t xml:space="preserve">, p. 104. </w:t>
      </w:r>
    </w:p>
  </w:footnote>
  <w:footnote w:id="62">
    <w:p w14:paraId="1D8FE694" w14:textId="32A97EE4" w:rsidR="00763CFE" w:rsidRPr="007F1530" w:rsidRDefault="00763CFE">
      <w:pPr>
        <w:pStyle w:val="FootnoteText"/>
      </w:pPr>
      <w:r>
        <w:rPr>
          <w:rStyle w:val="FootnoteReference"/>
        </w:rPr>
        <w:footnoteRef/>
      </w:r>
      <w:r>
        <w:t xml:space="preserve"> Michael T. Compton, ‘The Union of Religion and Health in Ancient </w:t>
      </w:r>
      <w:proofErr w:type="spellStart"/>
      <w:r>
        <w:t>Asklepieia</w:t>
      </w:r>
      <w:proofErr w:type="spellEnd"/>
      <w:r>
        <w:t xml:space="preserve">’, </w:t>
      </w:r>
      <w:r>
        <w:rPr>
          <w:i/>
          <w:iCs/>
        </w:rPr>
        <w:t xml:space="preserve">Journal of Religion and Health, </w:t>
      </w:r>
      <w:r>
        <w:t xml:space="preserve">37-4 (1998), p. 302. </w:t>
      </w:r>
    </w:p>
  </w:footnote>
  <w:footnote w:id="63">
    <w:p w14:paraId="0E3E7DD5" w14:textId="10AB3A92" w:rsidR="00763CFE" w:rsidRPr="00B74715" w:rsidRDefault="00763CFE">
      <w:pPr>
        <w:pStyle w:val="FootnoteText"/>
      </w:pPr>
      <w:r>
        <w:rPr>
          <w:rStyle w:val="FootnoteReference"/>
        </w:rPr>
        <w:footnoteRef/>
      </w:r>
      <w:r>
        <w:t xml:space="preserve"> </w:t>
      </w:r>
      <w:proofErr w:type="spellStart"/>
      <w:r>
        <w:t>Nutton</w:t>
      </w:r>
      <w:proofErr w:type="spellEnd"/>
      <w:r>
        <w:t xml:space="preserve">, </w:t>
      </w:r>
      <w:r>
        <w:rPr>
          <w:i/>
          <w:iCs/>
        </w:rPr>
        <w:t>Ancient Medicine</w:t>
      </w:r>
      <w:r>
        <w:t xml:space="preserve">, p. 70. </w:t>
      </w:r>
    </w:p>
  </w:footnote>
  <w:footnote w:id="64">
    <w:p w14:paraId="79CBDD75" w14:textId="5F0781BE" w:rsidR="00763CFE" w:rsidRPr="00B74715" w:rsidRDefault="00763CFE">
      <w:pPr>
        <w:pStyle w:val="FootnoteText"/>
      </w:pPr>
      <w:r>
        <w:rPr>
          <w:rStyle w:val="FootnoteReference"/>
        </w:rPr>
        <w:footnoteRef/>
      </w:r>
      <w:r>
        <w:t xml:space="preserve"> </w:t>
      </w:r>
      <w:proofErr w:type="spellStart"/>
      <w:r>
        <w:t>Nutton</w:t>
      </w:r>
      <w:proofErr w:type="spellEnd"/>
      <w:r>
        <w:t xml:space="preserve">, </w:t>
      </w:r>
      <w:r>
        <w:rPr>
          <w:i/>
          <w:iCs/>
        </w:rPr>
        <w:t>Ancient Medicine</w:t>
      </w:r>
      <w:r>
        <w:t xml:space="preserve">, p. 111. </w:t>
      </w:r>
    </w:p>
  </w:footnote>
  <w:footnote w:id="65">
    <w:p w14:paraId="5CA1737B" w14:textId="004B0E81" w:rsidR="00763CFE" w:rsidRPr="00B74715" w:rsidRDefault="00763CFE">
      <w:pPr>
        <w:pStyle w:val="FootnoteText"/>
      </w:pPr>
      <w:r>
        <w:rPr>
          <w:rStyle w:val="FootnoteReference"/>
        </w:rPr>
        <w:footnoteRef/>
      </w:r>
      <w:r>
        <w:t xml:space="preserve"> </w:t>
      </w:r>
      <w:proofErr w:type="spellStart"/>
      <w:r>
        <w:t>Nutton</w:t>
      </w:r>
      <w:proofErr w:type="spellEnd"/>
      <w:r>
        <w:t xml:space="preserve">, </w:t>
      </w:r>
      <w:r>
        <w:rPr>
          <w:i/>
          <w:iCs/>
        </w:rPr>
        <w:t xml:space="preserve">Ancient Medicine, </w:t>
      </w:r>
      <w:r>
        <w:t xml:space="preserve">p. 111. </w:t>
      </w:r>
    </w:p>
  </w:footnote>
  <w:footnote w:id="66">
    <w:p w14:paraId="19034A21" w14:textId="2717A02A" w:rsidR="00763CFE" w:rsidRPr="002B4DBC" w:rsidRDefault="00763CFE">
      <w:pPr>
        <w:pStyle w:val="FootnoteText"/>
        <w:rPr>
          <w:iCs/>
        </w:rPr>
      </w:pPr>
      <w:r>
        <w:rPr>
          <w:rStyle w:val="FootnoteReference"/>
        </w:rPr>
        <w:footnoteRef/>
      </w:r>
      <w:r>
        <w:t xml:space="preserve"> </w:t>
      </w:r>
      <w:proofErr w:type="spellStart"/>
      <w:r>
        <w:t>Nutton</w:t>
      </w:r>
      <w:proofErr w:type="spellEnd"/>
      <w:r>
        <w:t xml:space="preserve">, </w:t>
      </w:r>
      <w:r>
        <w:rPr>
          <w:i/>
          <w:iCs/>
        </w:rPr>
        <w:t>Ancient Medicine</w:t>
      </w:r>
      <w:r>
        <w:rPr>
          <w:iCs/>
        </w:rPr>
        <w:t>, p. 114.</w:t>
      </w:r>
      <w:bookmarkStart w:id="3" w:name="_GoBack"/>
      <w:bookmarkEnd w:id="3"/>
    </w:p>
  </w:footnote>
  <w:footnote w:id="67">
    <w:p w14:paraId="10CD4FD7" w14:textId="5050BB37" w:rsidR="00763CFE" w:rsidRDefault="00763CFE">
      <w:pPr>
        <w:pStyle w:val="FootnoteText"/>
      </w:pPr>
      <w:r>
        <w:rPr>
          <w:rStyle w:val="FootnoteReference"/>
        </w:rPr>
        <w:footnoteRef/>
      </w:r>
      <w:r>
        <w:t xml:space="preserve"> </w:t>
      </w:r>
      <w:proofErr w:type="spellStart"/>
      <w:r>
        <w:t>Kleisiaris</w:t>
      </w:r>
      <w:proofErr w:type="spellEnd"/>
      <w:r>
        <w:t xml:space="preserve"> et al., Health care practices in ancient Greece, Introduction. </w:t>
      </w:r>
    </w:p>
  </w:footnote>
  <w:footnote w:id="68">
    <w:p w14:paraId="1E48EE64" w14:textId="7C37D4A7" w:rsidR="00763CFE" w:rsidRDefault="00763CFE">
      <w:pPr>
        <w:pStyle w:val="FootnoteText"/>
      </w:pPr>
      <w:r>
        <w:rPr>
          <w:rStyle w:val="FootnoteReference"/>
        </w:rPr>
        <w:footnoteRef/>
      </w:r>
      <w:r>
        <w:t xml:space="preserve"> Morris, Un-Forgetting Asclepius, p. 422. </w:t>
      </w:r>
    </w:p>
  </w:footnote>
  <w:footnote w:id="69">
    <w:p w14:paraId="396FA237" w14:textId="62E8015E" w:rsidR="00763CFE" w:rsidRDefault="00763CFE">
      <w:pPr>
        <w:pStyle w:val="FootnoteText"/>
      </w:pPr>
      <w:r>
        <w:rPr>
          <w:rStyle w:val="FootnoteReference"/>
        </w:rPr>
        <w:footnoteRef/>
      </w:r>
      <w:r>
        <w:t xml:space="preserve"> Morris, Un-Forgetting Asclepius, p. 423. </w:t>
      </w:r>
    </w:p>
  </w:footnote>
  <w:footnote w:id="70">
    <w:p w14:paraId="2F9C5712" w14:textId="23D1A591" w:rsidR="00763CFE" w:rsidRDefault="00763CFE">
      <w:pPr>
        <w:pStyle w:val="FootnoteText"/>
      </w:pPr>
      <w:r>
        <w:rPr>
          <w:rStyle w:val="FootnoteReference"/>
        </w:rPr>
        <w:footnoteRef/>
      </w:r>
      <w:r>
        <w:t xml:space="preserve"> Morris, Un-Forgetting Asclepius, p. 423.</w:t>
      </w:r>
    </w:p>
  </w:footnote>
  <w:footnote w:id="71">
    <w:p w14:paraId="6F95A0E8" w14:textId="5DE5EB25" w:rsidR="00763CFE" w:rsidRPr="00C3272A" w:rsidRDefault="00763CFE">
      <w:pPr>
        <w:pStyle w:val="FootnoteText"/>
      </w:pPr>
      <w:r>
        <w:rPr>
          <w:rStyle w:val="FootnoteReference"/>
        </w:rPr>
        <w:footnoteRef/>
      </w:r>
      <w:r>
        <w:t xml:space="preserve"> Morris, Un-Forgetting Asclepius, p. 423.; </w:t>
      </w:r>
      <w:proofErr w:type="spellStart"/>
      <w:r>
        <w:t>Nutton</w:t>
      </w:r>
      <w:proofErr w:type="spellEnd"/>
      <w:r>
        <w:t xml:space="preserve">, </w:t>
      </w:r>
      <w:r>
        <w:rPr>
          <w:i/>
          <w:iCs/>
        </w:rPr>
        <w:t>Ancient Medicine</w:t>
      </w:r>
      <w:r>
        <w:t xml:space="preserve">, p. 68. </w:t>
      </w:r>
    </w:p>
  </w:footnote>
  <w:footnote w:id="72">
    <w:p w14:paraId="20D678D5" w14:textId="204C1311" w:rsidR="00763CFE" w:rsidRPr="00C3272A" w:rsidRDefault="00763CFE">
      <w:pPr>
        <w:pStyle w:val="FootnoteText"/>
      </w:pPr>
      <w:r>
        <w:rPr>
          <w:rStyle w:val="FootnoteReference"/>
        </w:rPr>
        <w:footnoteRef/>
      </w:r>
      <w:bookmarkStart w:id="4" w:name="_Hlk14612453"/>
      <w:r>
        <w:t xml:space="preserve"> Hippocrates of Cos, </w:t>
      </w:r>
      <w:r>
        <w:rPr>
          <w:i/>
          <w:iCs/>
        </w:rPr>
        <w:t>The Oath</w:t>
      </w:r>
      <w:r>
        <w:t>, trans. by W.H.S. Jones, Loeb Classical Library (Cambridge: Harvard University Press, 1923)</w:t>
      </w:r>
      <w:bookmarkEnd w:id="4"/>
      <w:r>
        <w:t xml:space="preserve">, p. 299. </w:t>
      </w:r>
    </w:p>
  </w:footnote>
  <w:footnote w:id="73">
    <w:p w14:paraId="1C9D5289" w14:textId="6471B9FA" w:rsidR="00763CFE" w:rsidRPr="00452A69" w:rsidRDefault="00763CFE">
      <w:pPr>
        <w:pStyle w:val="FootnoteText"/>
      </w:pPr>
      <w:r>
        <w:rPr>
          <w:rStyle w:val="FootnoteReference"/>
        </w:rPr>
        <w:footnoteRef/>
      </w:r>
      <w:r>
        <w:t xml:space="preserve"> </w:t>
      </w:r>
      <w:proofErr w:type="spellStart"/>
      <w:r>
        <w:t>Nutton</w:t>
      </w:r>
      <w:proofErr w:type="spellEnd"/>
      <w:r>
        <w:t xml:space="preserve">, </w:t>
      </w:r>
      <w:r>
        <w:rPr>
          <w:i/>
          <w:iCs/>
        </w:rPr>
        <w:t>Ancient Medicine</w:t>
      </w:r>
      <w:r>
        <w:t>, p. 68.</w:t>
      </w:r>
    </w:p>
  </w:footnote>
  <w:footnote w:id="74">
    <w:p w14:paraId="615F6D38" w14:textId="2439FD43" w:rsidR="0052544F" w:rsidRPr="0052544F" w:rsidRDefault="0052544F">
      <w:pPr>
        <w:pStyle w:val="FootnoteText"/>
      </w:pPr>
      <w:r>
        <w:rPr>
          <w:rStyle w:val="FootnoteReference"/>
        </w:rPr>
        <w:footnoteRef/>
      </w:r>
      <w:r>
        <w:t xml:space="preserve"> </w:t>
      </w:r>
      <w:proofErr w:type="spellStart"/>
      <w:r>
        <w:t>Nutton</w:t>
      </w:r>
      <w:proofErr w:type="spellEnd"/>
      <w:r>
        <w:t xml:space="preserve">, </w:t>
      </w:r>
      <w:r>
        <w:rPr>
          <w:i/>
          <w:iCs/>
        </w:rPr>
        <w:t>Ancient Medicine</w:t>
      </w:r>
      <w:r>
        <w:t>, p. 114.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D7B"/>
    <w:rsid w:val="00003F3F"/>
    <w:rsid w:val="000163DF"/>
    <w:rsid w:val="00032675"/>
    <w:rsid w:val="00051D74"/>
    <w:rsid w:val="00065363"/>
    <w:rsid w:val="00083733"/>
    <w:rsid w:val="000844A3"/>
    <w:rsid w:val="00087EE2"/>
    <w:rsid w:val="000902C8"/>
    <w:rsid w:val="000A144C"/>
    <w:rsid w:val="000A3A8C"/>
    <w:rsid w:val="000C352D"/>
    <w:rsid w:val="000C5B52"/>
    <w:rsid w:val="000D2183"/>
    <w:rsid w:val="0010377E"/>
    <w:rsid w:val="00126866"/>
    <w:rsid w:val="00127B3B"/>
    <w:rsid w:val="00132E83"/>
    <w:rsid w:val="00143EA3"/>
    <w:rsid w:val="00153BB4"/>
    <w:rsid w:val="00166416"/>
    <w:rsid w:val="001749AA"/>
    <w:rsid w:val="001811F3"/>
    <w:rsid w:val="0019618C"/>
    <w:rsid w:val="001A2273"/>
    <w:rsid w:val="00201709"/>
    <w:rsid w:val="00210577"/>
    <w:rsid w:val="00217919"/>
    <w:rsid w:val="002227BB"/>
    <w:rsid w:val="002345EF"/>
    <w:rsid w:val="002357C6"/>
    <w:rsid w:val="002543B9"/>
    <w:rsid w:val="00265A1F"/>
    <w:rsid w:val="00273504"/>
    <w:rsid w:val="00293251"/>
    <w:rsid w:val="002B40E0"/>
    <w:rsid w:val="002B4DBC"/>
    <w:rsid w:val="002B5410"/>
    <w:rsid w:val="002D214D"/>
    <w:rsid w:val="002D364A"/>
    <w:rsid w:val="002E5D1D"/>
    <w:rsid w:val="002F0C6C"/>
    <w:rsid w:val="00320AD2"/>
    <w:rsid w:val="003257E7"/>
    <w:rsid w:val="00331CBA"/>
    <w:rsid w:val="00356E41"/>
    <w:rsid w:val="003632C5"/>
    <w:rsid w:val="00364047"/>
    <w:rsid w:val="00370FD0"/>
    <w:rsid w:val="00374719"/>
    <w:rsid w:val="00385A04"/>
    <w:rsid w:val="003868DE"/>
    <w:rsid w:val="003A0701"/>
    <w:rsid w:val="003C3DC7"/>
    <w:rsid w:val="003D6E95"/>
    <w:rsid w:val="003E1D0F"/>
    <w:rsid w:val="003E2F2E"/>
    <w:rsid w:val="00427ED4"/>
    <w:rsid w:val="00450916"/>
    <w:rsid w:val="0045219E"/>
    <w:rsid w:val="00452A69"/>
    <w:rsid w:val="0049668B"/>
    <w:rsid w:val="004C1383"/>
    <w:rsid w:val="004D1FA5"/>
    <w:rsid w:val="004E0497"/>
    <w:rsid w:val="004E0632"/>
    <w:rsid w:val="004E40B5"/>
    <w:rsid w:val="004E6797"/>
    <w:rsid w:val="0051280D"/>
    <w:rsid w:val="0052299B"/>
    <w:rsid w:val="0052544F"/>
    <w:rsid w:val="0054499D"/>
    <w:rsid w:val="00547AE0"/>
    <w:rsid w:val="00563E45"/>
    <w:rsid w:val="00567C84"/>
    <w:rsid w:val="00590253"/>
    <w:rsid w:val="005B1389"/>
    <w:rsid w:val="005B3B8D"/>
    <w:rsid w:val="005B3BBC"/>
    <w:rsid w:val="005C3206"/>
    <w:rsid w:val="005D5170"/>
    <w:rsid w:val="005E26ED"/>
    <w:rsid w:val="005F09E1"/>
    <w:rsid w:val="005F6F6F"/>
    <w:rsid w:val="00603BA1"/>
    <w:rsid w:val="00604D5B"/>
    <w:rsid w:val="0061171B"/>
    <w:rsid w:val="006141B0"/>
    <w:rsid w:val="0063159B"/>
    <w:rsid w:val="0064296A"/>
    <w:rsid w:val="00652DE4"/>
    <w:rsid w:val="006547F4"/>
    <w:rsid w:val="0065736F"/>
    <w:rsid w:val="0066034A"/>
    <w:rsid w:val="006A6087"/>
    <w:rsid w:val="006C6D9B"/>
    <w:rsid w:val="00741315"/>
    <w:rsid w:val="00763CFE"/>
    <w:rsid w:val="00765634"/>
    <w:rsid w:val="00767FB6"/>
    <w:rsid w:val="007C12DB"/>
    <w:rsid w:val="007D1C36"/>
    <w:rsid w:val="007F1530"/>
    <w:rsid w:val="008030CD"/>
    <w:rsid w:val="00841F4C"/>
    <w:rsid w:val="0085458B"/>
    <w:rsid w:val="00855F7D"/>
    <w:rsid w:val="0088026E"/>
    <w:rsid w:val="00895321"/>
    <w:rsid w:val="008B29CF"/>
    <w:rsid w:val="008C5B30"/>
    <w:rsid w:val="00903E35"/>
    <w:rsid w:val="00976E4B"/>
    <w:rsid w:val="009B48DF"/>
    <w:rsid w:val="009D2848"/>
    <w:rsid w:val="009D31A3"/>
    <w:rsid w:val="00A14564"/>
    <w:rsid w:val="00A2623E"/>
    <w:rsid w:val="00A3594A"/>
    <w:rsid w:val="00A54925"/>
    <w:rsid w:val="00A76C0B"/>
    <w:rsid w:val="00AA27D5"/>
    <w:rsid w:val="00AB7DDB"/>
    <w:rsid w:val="00AC2B05"/>
    <w:rsid w:val="00AF1243"/>
    <w:rsid w:val="00B15119"/>
    <w:rsid w:val="00B22426"/>
    <w:rsid w:val="00B2559C"/>
    <w:rsid w:val="00B360EB"/>
    <w:rsid w:val="00B42900"/>
    <w:rsid w:val="00B74715"/>
    <w:rsid w:val="00B8219E"/>
    <w:rsid w:val="00BA77F8"/>
    <w:rsid w:val="00BB6C24"/>
    <w:rsid w:val="00BC60FA"/>
    <w:rsid w:val="00BC6467"/>
    <w:rsid w:val="00BC6C85"/>
    <w:rsid w:val="00BD767A"/>
    <w:rsid w:val="00BE3ABB"/>
    <w:rsid w:val="00C121A8"/>
    <w:rsid w:val="00C17BCE"/>
    <w:rsid w:val="00C2503D"/>
    <w:rsid w:val="00C3272A"/>
    <w:rsid w:val="00C916F6"/>
    <w:rsid w:val="00CB4C8F"/>
    <w:rsid w:val="00CB6F4A"/>
    <w:rsid w:val="00CC6BB0"/>
    <w:rsid w:val="00CE3815"/>
    <w:rsid w:val="00CF0E2E"/>
    <w:rsid w:val="00D06D7B"/>
    <w:rsid w:val="00D30C91"/>
    <w:rsid w:val="00D321A5"/>
    <w:rsid w:val="00D71FB7"/>
    <w:rsid w:val="00D77C2B"/>
    <w:rsid w:val="00D95E44"/>
    <w:rsid w:val="00DD140D"/>
    <w:rsid w:val="00DD7624"/>
    <w:rsid w:val="00DE0B57"/>
    <w:rsid w:val="00E346C8"/>
    <w:rsid w:val="00E406EE"/>
    <w:rsid w:val="00E40BFC"/>
    <w:rsid w:val="00E54478"/>
    <w:rsid w:val="00E557F2"/>
    <w:rsid w:val="00E62E2F"/>
    <w:rsid w:val="00E6425F"/>
    <w:rsid w:val="00E706EB"/>
    <w:rsid w:val="00EA10B2"/>
    <w:rsid w:val="00EA703E"/>
    <w:rsid w:val="00EC57DA"/>
    <w:rsid w:val="00F06571"/>
    <w:rsid w:val="00F16500"/>
    <w:rsid w:val="00F20EFF"/>
    <w:rsid w:val="00F2467A"/>
    <w:rsid w:val="00F368B7"/>
    <w:rsid w:val="00F4357E"/>
    <w:rsid w:val="00F54888"/>
    <w:rsid w:val="00F60F63"/>
    <w:rsid w:val="00F66724"/>
    <w:rsid w:val="00F73E59"/>
    <w:rsid w:val="00F90D88"/>
    <w:rsid w:val="00F91BF9"/>
    <w:rsid w:val="00F9249F"/>
    <w:rsid w:val="00FA50A6"/>
    <w:rsid w:val="00FA787E"/>
    <w:rsid w:val="00FB43EE"/>
    <w:rsid w:val="00FC015F"/>
    <w:rsid w:val="00FC197B"/>
    <w:rsid w:val="00FC48E2"/>
    <w:rsid w:val="00FF301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14FE00"/>
  <w15:chartTrackingRefBased/>
  <w15:docId w15:val="{C9BCC159-469A-45FB-89D3-47FB206A3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7F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7FB6"/>
    <w:rPr>
      <w:sz w:val="20"/>
      <w:szCs w:val="20"/>
    </w:rPr>
  </w:style>
  <w:style w:type="character" w:styleId="FootnoteReference">
    <w:name w:val="footnote reference"/>
    <w:basedOn w:val="DefaultParagraphFont"/>
    <w:uiPriority w:val="99"/>
    <w:semiHidden/>
    <w:unhideWhenUsed/>
    <w:rsid w:val="00767FB6"/>
    <w:rPr>
      <w:vertAlign w:val="superscript"/>
    </w:rPr>
  </w:style>
  <w:style w:type="character" w:styleId="Hyperlink">
    <w:name w:val="Hyperlink"/>
    <w:basedOn w:val="DefaultParagraphFont"/>
    <w:uiPriority w:val="99"/>
    <w:unhideWhenUsed/>
    <w:rsid w:val="00F66724"/>
    <w:rPr>
      <w:color w:val="0000FF"/>
      <w:u w:val="single"/>
    </w:rPr>
  </w:style>
  <w:style w:type="character" w:styleId="UnresolvedMention">
    <w:name w:val="Unresolved Mention"/>
    <w:basedOn w:val="DefaultParagraphFont"/>
    <w:uiPriority w:val="99"/>
    <w:semiHidden/>
    <w:unhideWhenUsed/>
    <w:rsid w:val="000163DF"/>
    <w:rPr>
      <w:color w:val="605E5C"/>
      <w:shd w:val="clear" w:color="auto" w:fill="E1DFDD"/>
    </w:rPr>
  </w:style>
  <w:style w:type="paragraph" w:styleId="BalloonText">
    <w:name w:val="Balloon Text"/>
    <w:basedOn w:val="Normal"/>
    <w:link w:val="BalloonTextChar"/>
    <w:uiPriority w:val="99"/>
    <w:semiHidden/>
    <w:unhideWhenUsed/>
    <w:rsid w:val="005128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280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2A2EAC-3201-47E9-9D63-C10E2965C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1068</TotalTime>
  <Pages>9</Pages>
  <Words>3304</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Britanie Leclair</dc:creator>
  <cp:keywords/>
  <dc:description/>
  <cp:lastModifiedBy>Britanie Leclair</cp:lastModifiedBy>
  <cp:revision>129</cp:revision>
  <cp:lastPrinted>2019-07-20T21:15:00Z</cp:lastPrinted>
  <dcterms:created xsi:type="dcterms:W3CDTF">2019-07-14T14:05:00Z</dcterms:created>
  <dcterms:modified xsi:type="dcterms:W3CDTF">2019-07-25T14:56:00Z</dcterms:modified>
</cp:coreProperties>
</file>