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CD6B1" w14:textId="77777777" w:rsidR="007302EA" w:rsidRPr="007F6889" w:rsidRDefault="007302EA" w:rsidP="007302EA">
      <w:pPr>
        <w:jc w:val="center"/>
        <w:rPr>
          <w:sz w:val="18"/>
          <w:szCs w:val="18"/>
        </w:rPr>
      </w:pPr>
      <w:bookmarkStart w:id="0" w:name="OLE_LINK7"/>
      <w:bookmarkStart w:id="1" w:name="OLE_LINK5"/>
      <w:bookmarkStart w:id="2" w:name="OLE_LINK13"/>
      <w:r w:rsidRPr="00741474">
        <w:rPr>
          <w:noProof/>
          <w:sz w:val="18"/>
          <w:szCs w:val="18"/>
        </w:rPr>
        <w:drawing>
          <wp:inline distT="0" distB="0" distL="0" distR="0" wp14:anchorId="2AF2CA75" wp14:editId="3F4DB0F0">
            <wp:extent cx="2244725" cy="893445"/>
            <wp:effectExtent l="0" t="0" r="3175" b="1905"/>
            <wp:docPr id="1" name="图片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44725" cy="893445"/>
                    </a:xfrm>
                    <a:prstGeom prst="rect">
                      <a:avLst/>
                    </a:prstGeom>
                    <a:noFill/>
                    <a:ln>
                      <a:noFill/>
                    </a:ln>
                  </pic:spPr>
                </pic:pic>
              </a:graphicData>
            </a:graphic>
          </wp:inline>
        </w:drawing>
      </w:r>
    </w:p>
    <w:p w14:paraId="0135020C" w14:textId="77777777" w:rsidR="007302EA" w:rsidRDefault="007302EA" w:rsidP="007302EA">
      <w:pPr>
        <w:rPr>
          <w:rFonts w:ascii="Arial" w:hAnsi="Arial" w:cs="Arial"/>
          <w:b/>
          <w:color w:val="000000"/>
          <w:sz w:val="28"/>
          <w:szCs w:val="28"/>
        </w:rPr>
      </w:pPr>
    </w:p>
    <w:p w14:paraId="699C443D" w14:textId="77777777" w:rsidR="007302EA" w:rsidRDefault="007302EA" w:rsidP="007302EA">
      <w:pPr>
        <w:jc w:val="center"/>
        <w:rPr>
          <w:rFonts w:ascii="Arial" w:hAnsi="Arial" w:cs="Arial"/>
          <w:b/>
          <w:color w:val="000000"/>
          <w:sz w:val="28"/>
          <w:szCs w:val="28"/>
        </w:rPr>
      </w:pPr>
      <w:r>
        <w:rPr>
          <w:rFonts w:ascii="Arial" w:hAnsi="Arial" w:cs="Arial"/>
          <w:b/>
          <w:color w:val="000000"/>
          <w:sz w:val="28"/>
          <w:szCs w:val="28"/>
        </w:rPr>
        <w:t>University of Wales Trinity St Davids, Swansea</w:t>
      </w:r>
    </w:p>
    <w:p w14:paraId="15864F13" w14:textId="6C882827" w:rsidR="00FD190B" w:rsidRDefault="003A274F" w:rsidP="007302EA">
      <w:pPr>
        <w:jc w:val="center"/>
        <w:rPr>
          <w:rFonts w:ascii="Arial" w:hAnsi="Arial" w:cs="Arial"/>
          <w:b/>
          <w:bCs/>
          <w:sz w:val="28"/>
          <w:szCs w:val="28"/>
        </w:rPr>
      </w:pPr>
      <w:r w:rsidRPr="007302EA">
        <w:rPr>
          <w:rFonts w:ascii="Arial" w:hAnsi="Arial" w:cs="Arial"/>
          <w:b/>
          <w:bCs/>
          <w:sz w:val="28"/>
          <w:szCs w:val="28"/>
        </w:rPr>
        <w:t>Transforming Collective Memory: A Synthesis of Theory</w:t>
      </w:r>
      <w:r w:rsidR="007302EA">
        <w:rPr>
          <w:rFonts w:ascii="Arial" w:hAnsi="Arial" w:cs="Arial"/>
          <w:b/>
          <w:bCs/>
          <w:sz w:val="28"/>
          <w:szCs w:val="28"/>
        </w:rPr>
        <w:t xml:space="preserve"> </w:t>
      </w:r>
      <w:r w:rsidRPr="007302EA">
        <w:rPr>
          <w:rFonts w:ascii="Arial" w:hAnsi="Arial" w:cs="Arial"/>
          <w:b/>
          <w:bCs/>
          <w:sz w:val="28"/>
          <w:szCs w:val="28"/>
        </w:rPr>
        <w:t>and Practice in Digital Memorial Spaces</w:t>
      </w:r>
    </w:p>
    <w:p w14:paraId="4D6AFC9C" w14:textId="77777777" w:rsidR="007302EA" w:rsidRPr="00F90F75" w:rsidRDefault="007302EA" w:rsidP="007302EA">
      <w:pPr>
        <w:widowControl/>
        <w:spacing w:after="0" w:line="240" w:lineRule="auto"/>
        <w:jc w:val="left"/>
        <w:rPr>
          <w:rFonts w:ascii="Times New Roman" w:eastAsia="宋体" w:hAnsi="Times New Roman" w:cs="Times New Roman"/>
          <w:color w:val="000000"/>
          <w:sz w:val="28"/>
          <w:szCs w:val="28"/>
        </w:rPr>
      </w:pPr>
      <w:r>
        <w:rPr>
          <w:rFonts w:ascii="Times New Roman" w:eastAsia="宋体" w:hAnsi="Times New Roman" w:cs="Times New Roman"/>
          <w:color w:val="000000"/>
          <w:sz w:val="28"/>
          <w:szCs w:val="28"/>
        </w:rPr>
        <w:t>Pan</w:t>
      </w:r>
      <w:r w:rsidRPr="00F90F75">
        <w:rPr>
          <w:rFonts w:ascii="Times New Roman" w:eastAsia="宋体" w:hAnsi="Times New Roman" w:cs="Times New Roman" w:hint="eastAsia"/>
          <w:color w:val="000000"/>
          <w:sz w:val="28"/>
          <w:szCs w:val="28"/>
        </w:rPr>
        <w:t xml:space="preserve"> </w:t>
      </w:r>
      <w:r>
        <w:rPr>
          <w:rFonts w:ascii="Times New Roman" w:eastAsia="宋体" w:hAnsi="Times New Roman" w:cs="Times New Roman"/>
          <w:color w:val="000000"/>
          <w:sz w:val="28"/>
          <w:szCs w:val="28"/>
        </w:rPr>
        <w:t>Hu</w:t>
      </w:r>
      <w:r w:rsidRPr="00F90F75">
        <w:rPr>
          <w:rFonts w:ascii="Times New Roman" w:eastAsia="宋体" w:hAnsi="Times New Roman" w:cs="Times New Roman" w:hint="eastAsia"/>
          <w:color w:val="000000"/>
          <w:sz w:val="28"/>
          <w:szCs w:val="28"/>
        </w:rPr>
        <w:t xml:space="preserve">ang </w:t>
      </w:r>
    </w:p>
    <w:p w14:paraId="1C69DBB8" w14:textId="77777777" w:rsidR="007302EA" w:rsidRDefault="00753711" w:rsidP="007302EA">
      <w:pPr>
        <w:widowControl/>
        <w:spacing w:after="0" w:line="240" w:lineRule="auto"/>
        <w:jc w:val="left"/>
        <w:rPr>
          <w:rFonts w:ascii="Times New Roman" w:eastAsia="宋体" w:hAnsi="Times New Roman" w:cs="Times New Roman"/>
          <w:color w:val="000000"/>
          <w:sz w:val="28"/>
          <w:szCs w:val="28"/>
        </w:rPr>
      </w:pPr>
      <w:hyperlink r:id="rId8" w:history="1">
        <w:r w:rsidR="007302EA" w:rsidRPr="00F86C70">
          <w:rPr>
            <w:rStyle w:val="a8"/>
            <w:rFonts w:ascii="Times New Roman" w:eastAsia="宋体" w:hAnsi="Times New Roman" w:cs="Times New Roman"/>
            <w:sz w:val="28"/>
            <w:szCs w:val="28"/>
          </w:rPr>
          <w:t>2221690@student.uwtsd.ac.uk</w:t>
        </w:r>
      </w:hyperlink>
    </w:p>
    <w:p w14:paraId="241EDCAA" w14:textId="77777777" w:rsidR="007302EA" w:rsidRPr="00F90F75" w:rsidRDefault="007302EA" w:rsidP="007302EA">
      <w:pPr>
        <w:widowControl/>
        <w:spacing w:after="0" w:line="240" w:lineRule="auto"/>
        <w:jc w:val="left"/>
        <w:rPr>
          <w:rFonts w:ascii="Times New Roman" w:eastAsia="宋体" w:hAnsi="Times New Roman" w:cs="Times New Roman"/>
          <w:color w:val="000000"/>
          <w:sz w:val="28"/>
          <w:szCs w:val="28"/>
        </w:rPr>
      </w:pPr>
      <w:r w:rsidRPr="00F90F75">
        <w:rPr>
          <w:rFonts w:ascii="Times New Roman" w:eastAsia="宋体" w:hAnsi="Times New Roman" w:cs="Times New Roman"/>
          <w:color w:val="000000"/>
          <w:sz w:val="28"/>
          <w:szCs w:val="28"/>
        </w:rPr>
        <w:t>University of Wales Trinity St Davids, Swansea</w:t>
      </w:r>
    </w:p>
    <w:p w14:paraId="3E794579" w14:textId="77777777" w:rsidR="007302EA" w:rsidRPr="007302EA" w:rsidRDefault="007302EA" w:rsidP="007302EA">
      <w:pPr>
        <w:jc w:val="center"/>
        <w:rPr>
          <w:rFonts w:ascii="Arial" w:hAnsi="Arial" w:cs="Arial"/>
          <w:b/>
          <w:bCs/>
          <w:sz w:val="28"/>
          <w:szCs w:val="28"/>
        </w:rPr>
      </w:pPr>
    </w:p>
    <w:p w14:paraId="358A1CA8" w14:textId="438461B1" w:rsidR="00FD190B" w:rsidRPr="00FA1B51" w:rsidRDefault="00FD190B" w:rsidP="00FD190B">
      <w:pPr>
        <w:rPr>
          <w:rFonts w:ascii="Times New Roman" w:hAnsi="Times New Roman" w:cs="Times New Roman"/>
          <w:b/>
          <w:bCs/>
          <w:sz w:val="24"/>
          <w:szCs w:val="24"/>
        </w:rPr>
      </w:pPr>
      <w:r w:rsidRPr="00FA1B51">
        <w:rPr>
          <w:rFonts w:ascii="Times New Roman" w:hAnsi="Times New Roman" w:cs="Times New Roman"/>
          <w:b/>
          <w:bCs/>
          <w:sz w:val="24"/>
          <w:szCs w:val="24"/>
        </w:rPr>
        <w:t>Introduction</w:t>
      </w:r>
    </w:p>
    <w:p w14:paraId="568D1657" w14:textId="408824AC" w:rsidR="00FD190B" w:rsidRDefault="00FD190B" w:rsidP="00EF0CC3">
      <w:pPr>
        <w:rPr>
          <w:rFonts w:ascii="Times New Roman" w:hAnsi="Times New Roman" w:cs="Times New Roman"/>
          <w:sz w:val="24"/>
          <w:szCs w:val="24"/>
        </w:rPr>
      </w:pPr>
      <w:bookmarkStart w:id="3" w:name="OLE_LINK8"/>
      <w:r w:rsidRPr="00FA1B51">
        <w:rPr>
          <w:rFonts w:ascii="Times New Roman" w:hAnsi="Times New Roman" w:cs="Times New Roman"/>
          <w:sz w:val="24"/>
          <w:szCs w:val="24"/>
        </w:rPr>
        <w:t>In the rapidly evolving field of digital memorials, the integration of theory and practice is not just advantageous; it is paramount. A plethora of research exists on the concepts of space, society, and time as they apply to memory and memorialization, and on the other hand, the technological advances have brought new dimensions to these areas</w:t>
      </w:r>
      <w:r w:rsidR="004A1EBE" w:rsidRPr="00FA1B51">
        <w:rPr>
          <w:rFonts w:ascii="Times New Roman" w:hAnsi="Times New Roman" w:cs="Times New Roman"/>
          <w:sz w:val="24"/>
          <w:szCs w:val="24"/>
        </w:rPr>
        <w:t xml:space="preserve">. </w:t>
      </w:r>
      <w:r w:rsidRPr="00FA1B51">
        <w:rPr>
          <w:rFonts w:ascii="Times New Roman" w:hAnsi="Times New Roman" w:cs="Times New Roman"/>
          <w:sz w:val="24"/>
          <w:szCs w:val="24"/>
        </w:rPr>
        <w:t xml:space="preserve">However, the critical junction of these theoretical constructs with the practical application within digital memorial spaces remains underexplored. The importance of this integration lies in its potential to revolutionize how we understand, design, and experience these spaces, thereby democratizing collective memory in the digital age. This </w:t>
      </w:r>
      <w:r w:rsidR="004A1EBE" w:rsidRPr="00FA1B51">
        <w:rPr>
          <w:rFonts w:ascii="Times New Roman" w:hAnsi="Times New Roman" w:cs="Times New Roman"/>
          <w:sz w:val="24"/>
          <w:szCs w:val="24"/>
        </w:rPr>
        <w:t>paper</w:t>
      </w:r>
      <w:r w:rsidRPr="00FA1B51">
        <w:rPr>
          <w:rFonts w:ascii="Times New Roman" w:hAnsi="Times New Roman" w:cs="Times New Roman"/>
          <w:sz w:val="24"/>
          <w:szCs w:val="24"/>
        </w:rPr>
        <w:t xml:space="preserve"> aims to </w:t>
      </w:r>
      <w:r w:rsidR="004A1EBE" w:rsidRPr="00FA1B51">
        <w:rPr>
          <w:rFonts w:ascii="Times New Roman" w:hAnsi="Times New Roman" w:cs="Times New Roman"/>
          <w:sz w:val="24"/>
          <w:szCs w:val="24"/>
        </w:rPr>
        <w:t xml:space="preserve">propose a plan to </w:t>
      </w:r>
      <w:r w:rsidRPr="00FA1B51">
        <w:rPr>
          <w:rFonts w:ascii="Times New Roman" w:hAnsi="Times New Roman" w:cs="Times New Roman"/>
          <w:sz w:val="24"/>
          <w:szCs w:val="24"/>
        </w:rPr>
        <w:t xml:space="preserve">bridge this gap by combining theoretical constructs with a practical design of an innovative digital memorial. The objective is to create a digital space that fosters collective memory, emotional resonance, and empathetic engagement, thereby challenging traditional memorial spaces' static and insular nature. The reflective report will concentrate on examining the interplay between the tripartite theoretical framework (space, society, time) and its embodiment within the practical work. </w:t>
      </w:r>
      <w:r w:rsidR="00D211ED" w:rsidRPr="00FA1B51">
        <w:rPr>
          <w:rFonts w:ascii="Times New Roman" w:hAnsi="Times New Roman" w:cs="Times New Roman"/>
          <w:sz w:val="24"/>
          <w:szCs w:val="24"/>
        </w:rPr>
        <w:t xml:space="preserve">In the essence of this project, there exists a dynamic interplay between theoretical study and practical work. </w:t>
      </w:r>
      <w:r w:rsidRPr="00FA1B51">
        <w:rPr>
          <w:rFonts w:ascii="Times New Roman" w:hAnsi="Times New Roman" w:cs="Times New Roman"/>
          <w:sz w:val="24"/>
          <w:szCs w:val="24"/>
        </w:rPr>
        <w:t xml:space="preserve">It is the theoretical knowledge that informs the design principles and strategies for the practical work, shaping the digital space's creation and its user interaction. Through this work, </w:t>
      </w:r>
      <w:r w:rsidR="004A1EBE" w:rsidRPr="00FA1B51">
        <w:rPr>
          <w:rFonts w:ascii="Times New Roman" w:hAnsi="Times New Roman" w:cs="Times New Roman"/>
          <w:sz w:val="24"/>
          <w:szCs w:val="24"/>
        </w:rPr>
        <w:t>I</w:t>
      </w:r>
      <w:r w:rsidRPr="00FA1B51">
        <w:rPr>
          <w:rFonts w:ascii="Times New Roman" w:hAnsi="Times New Roman" w:cs="Times New Roman"/>
          <w:sz w:val="24"/>
          <w:szCs w:val="24"/>
        </w:rPr>
        <w:t xml:space="preserve"> aim to contribute not only to the scholarly discourse but also to the practices of digital memorial design, pushing the frontiers of this fascinating intersection of technology, memory, and collective narrative.</w:t>
      </w:r>
      <w:bookmarkEnd w:id="3"/>
    </w:p>
    <w:p w14:paraId="41F3A6E9" w14:textId="3B571CF9" w:rsidR="00350555" w:rsidRDefault="00350555" w:rsidP="00EF0CC3">
      <w:pPr>
        <w:rPr>
          <w:rFonts w:ascii="Times New Roman" w:hAnsi="Times New Roman" w:cs="Times New Roman"/>
          <w:sz w:val="24"/>
          <w:szCs w:val="24"/>
        </w:rPr>
      </w:pPr>
    </w:p>
    <w:p w14:paraId="17FF5E9E" w14:textId="3ADD84ED" w:rsidR="00350555" w:rsidRDefault="00350555" w:rsidP="00EF0CC3">
      <w:pPr>
        <w:rPr>
          <w:rFonts w:ascii="Times New Roman" w:hAnsi="Times New Roman" w:cs="Times New Roman"/>
          <w:sz w:val="24"/>
          <w:szCs w:val="24"/>
        </w:rPr>
      </w:pPr>
    </w:p>
    <w:p w14:paraId="5F415468" w14:textId="68501197" w:rsidR="00350555" w:rsidRDefault="00350555" w:rsidP="00EF0CC3">
      <w:pPr>
        <w:rPr>
          <w:rFonts w:ascii="Times New Roman" w:hAnsi="Times New Roman" w:cs="Times New Roman"/>
          <w:sz w:val="24"/>
          <w:szCs w:val="24"/>
        </w:rPr>
      </w:pPr>
    </w:p>
    <w:p w14:paraId="62BFB8B4" w14:textId="701DABFA" w:rsidR="00350555" w:rsidRDefault="00350555" w:rsidP="00EF0CC3">
      <w:pPr>
        <w:rPr>
          <w:rFonts w:ascii="Times New Roman" w:hAnsi="Times New Roman" w:cs="Times New Roman"/>
          <w:sz w:val="24"/>
          <w:szCs w:val="24"/>
        </w:rPr>
      </w:pPr>
    </w:p>
    <w:p w14:paraId="3D5B86D0" w14:textId="77777777" w:rsidR="00350555" w:rsidRPr="00FA1B51" w:rsidRDefault="00350555" w:rsidP="00EF0CC3">
      <w:pPr>
        <w:rPr>
          <w:rFonts w:ascii="Times New Roman" w:hAnsi="Times New Roman" w:cs="Times New Roman"/>
          <w:sz w:val="24"/>
          <w:szCs w:val="24"/>
        </w:rPr>
      </w:pPr>
    </w:p>
    <w:p w14:paraId="05C3FC88" w14:textId="6F0A95CA" w:rsidR="00AA3E6D" w:rsidRPr="00FA1B51" w:rsidRDefault="004A1EBE" w:rsidP="00EF0CC3">
      <w:pPr>
        <w:rPr>
          <w:rFonts w:ascii="Times New Roman" w:hAnsi="Times New Roman" w:cs="Times New Roman"/>
          <w:b/>
          <w:bCs/>
          <w:sz w:val="24"/>
          <w:szCs w:val="24"/>
        </w:rPr>
      </w:pPr>
      <w:r w:rsidRPr="00FA1B51">
        <w:rPr>
          <w:rFonts w:ascii="Times New Roman" w:hAnsi="Times New Roman" w:cs="Times New Roman"/>
          <w:b/>
          <w:bCs/>
          <w:sz w:val="24"/>
          <w:szCs w:val="24"/>
        </w:rPr>
        <w:lastRenderedPageBreak/>
        <w:t>1</w:t>
      </w:r>
      <w:r w:rsidR="00AA3E6D" w:rsidRPr="00FA1B51">
        <w:rPr>
          <w:rFonts w:ascii="Times New Roman" w:hAnsi="Times New Roman" w:cs="Times New Roman"/>
          <w:b/>
          <w:bCs/>
          <w:sz w:val="24"/>
          <w:szCs w:val="24"/>
        </w:rPr>
        <w:t>.References to concepts</w:t>
      </w:r>
    </w:p>
    <w:p w14:paraId="6388B4DB" w14:textId="60BA5B68" w:rsidR="00AA3E6D" w:rsidRPr="00FA1B51" w:rsidRDefault="00F85888" w:rsidP="00EF0CC3">
      <w:pPr>
        <w:rPr>
          <w:rFonts w:ascii="Times New Roman" w:hAnsi="Times New Roman" w:cs="Times New Roman"/>
          <w:sz w:val="24"/>
          <w:szCs w:val="24"/>
        </w:rPr>
      </w:pPr>
      <w:r w:rsidRPr="00FA1B51">
        <w:rPr>
          <w:rFonts w:ascii="Times New Roman" w:hAnsi="Times New Roman" w:cs="Times New Roman"/>
          <w:sz w:val="24"/>
          <w:szCs w:val="24"/>
        </w:rPr>
        <w:t>（</w:t>
      </w:r>
      <w:r w:rsidR="00AA3E6D" w:rsidRPr="00FA1B51">
        <w:rPr>
          <w:rFonts w:ascii="Times New Roman" w:hAnsi="Times New Roman" w:cs="Times New Roman"/>
          <w:sz w:val="24"/>
          <w:szCs w:val="24"/>
        </w:rPr>
        <w:t>1</w:t>
      </w:r>
      <w:r w:rsidR="00AA3E6D" w:rsidRPr="00FA1B51">
        <w:rPr>
          <w:rFonts w:ascii="Times New Roman" w:hAnsi="Times New Roman" w:cs="Times New Roman"/>
          <w:sz w:val="24"/>
          <w:szCs w:val="24"/>
        </w:rPr>
        <w:t>）</w:t>
      </w:r>
      <w:r w:rsidR="00FD4AC3" w:rsidRPr="00FA1B51">
        <w:rPr>
          <w:rFonts w:ascii="Times New Roman" w:hAnsi="Times New Roman" w:cs="Times New Roman"/>
          <w:sz w:val="24"/>
          <w:szCs w:val="24"/>
        </w:rPr>
        <w:t>From Tangible to Intangible: Understanding the Evolution and Impact of Digital Memory in Commemoration Practices</w:t>
      </w:r>
    </w:p>
    <w:p w14:paraId="1484F56F" w14:textId="4A2CE4F0" w:rsidR="00EF0CC3" w:rsidRPr="00FA1B51" w:rsidRDefault="00EF0CC3" w:rsidP="00EF0CC3">
      <w:pPr>
        <w:rPr>
          <w:rFonts w:ascii="Times New Roman" w:hAnsi="Times New Roman" w:cs="Times New Roman"/>
          <w:sz w:val="24"/>
          <w:szCs w:val="24"/>
        </w:rPr>
      </w:pPr>
      <w:r w:rsidRPr="00FA1B51">
        <w:rPr>
          <w:rFonts w:ascii="Times New Roman" w:hAnsi="Times New Roman" w:cs="Times New Roman"/>
          <w:sz w:val="24"/>
          <w:szCs w:val="24"/>
        </w:rPr>
        <w:t xml:space="preserve">Digital memory, an emerging field, amalgamates critical theories and ideas from media studies, philosophy, sociology, and memory studies. Digital memorials are virtual spaces, designed for the purpose of commemorating individuals or events, providing a parallel to traditional tombstone memorials (Roberts, 2004). They replicate the ancient rituals of leaving notes and trinkets at gravestones, as mourners use virtual guestbooks to connect with their departed loved ones. Church (2013) suggested these online memorials can strengthen bonds between mourners, where shared messages can foster unity, even forming new communities with shared mourning objectives. This phenomenon can be seen as an "imagined community" (Anderson, </w:t>
      </w:r>
      <w:r w:rsidR="00F7597C">
        <w:rPr>
          <w:rFonts w:ascii="Times New Roman" w:hAnsi="Times New Roman" w:cs="Times New Roman"/>
          <w:sz w:val="24"/>
          <w:szCs w:val="24"/>
        </w:rPr>
        <w:t>2020</w:t>
      </w:r>
      <w:r w:rsidRPr="00FA1B51">
        <w:rPr>
          <w:rFonts w:ascii="Times New Roman" w:hAnsi="Times New Roman" w:cs="Times New Roman"/>
          <w:sz w:val="24"/>
          <w:szCs w:val="24"/>
        </w:rPr>
        <w:t xml:space="preserve">). With the digital age, commemoration methods for these communities have evolved. Online memorials emerged, followed by spontaneous tributes, including memorial websites, tribute videos, and social media memorial groups. </w:t>
      </w:r>
      <w:r w:rsidR="001D61A9" w:rsidRPr="00FA1B51">
        <w:rPr>
          <w:rFonts w:ascii="Times New Roman" w:hAnsi="Times New Roman" w:cs="Times New Roman"/>
          <w:sz w:val="24"/>
          <w:szCs w:val="24"/>
        </w:rPr>
        <w:t xml:space="preserve">Following tragedies such as the 9/11 attacks, spontaneous memorials became widespread. In her study of the 9/11 Memorial, Haskins (2007) noted that people were resorting to non-traditional news outlets, like emails, mailing lists, chat groups, and personal blogs. These platforms provided crucial information that was either ignored or overlooked by mainstream American media. </w:t>
      </w:r>
      <w:r w:rsidRPr="00FA1B51">
        <w:rPr>
          <w:rFonts w:ascii="Times New Roman" w:hAnsi="Times New Roman" w:cs="Times New Roman"/>
          <w:sz w:val="24"/>
          <w:szCs w:val="24"/>
        </w:rPr>
        <w:t xml:space="preserve">Church (2013) further suggested that platforms like Facebook create a new form of intangible burial ground, characterized by what he terms as an "aesthetic identity display," reflecting a shift from tangible to intangible life representation. Hence, the Internet equips us with fresh mourning tools and ways to commemorate significant societal events, enabling us to share diverse memory perspectives. </w:t>
      </w:r>
    </w:p>
    <w:p w14:paraId="63A6BDD0" w14:textId="5F57D2DD" w:rsidR="00F72BF8" w:rsidRPr="00FA1B51" w:rsidRDefault="00B334C9" w:rsidP="00F72BF8">
      <w:pPr>
        <w:rPr>
          <w:rFonts w:ascii="Times New Roman" w:hAnsi="Times New Roman" w:cs="Times New Roman"/>
          <w:sz w:val="24"/>
          <w:szCs w:val="24"/>
        </w:rPr>
      </w:pPr>
      <w:bookmarkStart w:id="4" w:name="_Hlk141350227"/>
      <w:bookmarkStart w:id="5" w:name="OLE_LINK3"/>
      <w:bookmarkEnd w:id="0"/>
      <w:r w:rsidRPr="00FA1B51">
        <w:rPr>
          <w:rFonts w:ascii="Times New Roman" w:hAnsi="Times New Roman" w:cs="Times New Roman"/>
          <w:sz w:val="24"/>
          <w:szCs w:val="24"/>
        </w:rPr>
        <w:t>Initial studies on digital memorials emerged from media studies, focusing on analyzing mourning behavior and engagement with virtual cemeteries (Roberts &amp; Vidal, 2000; DeGroot, 2008). Studies on communication also investigated online remembrance practices, expressions of condolence, and identity construction in the face of loss (Brubaker et al., 2013). Sociological and anthropological views started to study shifts in cultural norms surrounding death. Walter et al. (2012) introduced the term "new death" to characterize the digitization of mourning and its effects on grief. Digital media theorist Garde</w:t>
      </w:r>
      <w:r w:rsidR="0033358F">
        <w:rPr>
          <w:rFonts w:ascii="Times New Roman" w:hAnsi="Times New Roman" w:cs="Times New Roman"/>
          <w:sz w:val="24"/>
          <w:szCs w:val="24"/>
        </w:rPr>
        <w:t>-</w:t>
      </w:r>
      <w:r w:rsidRPr="00FA1B51">
        <w:rPr>
          <w:rFonts w:ascii="Times New Roman" w:hAnsi="Times New Roman" w:cs="Times New Roman"/>
          <w:sz w:val="24"/>
          <w:szCs w:val="24"/>
        </w:rPr>
        <w:t>Hansen (2011) examined how technology influences the preservation of memories and identities post-mortem.</w:t>
      </w:r>
      <w:bookmarkEnd w:id="1"/>
      <w:r w:rsidR="00D45A53" w:rsidRPr="00FA1B51">
        <w:rPr>
          <w:rFonts w:ascii="Times New Roman" w:hAnsi="Times New Roman" w:cs="Times New Roman"/>
          <w:sz w:val="24"/>
          <w:szCs w:val="24"/>
        </w:rPr>
        <w:t xml:space="preserve"> In the realm of philosophy, the phenomenological works of scholars like Heidegger and Bachelard concerning space, place, and dwelling inform our understanding of virtual environments (Champion, 201</w:t>
      </w:r>
      <w:r w:rsidR="006D76DE" w:rsidRPr="00FA1B51">
        <w:rPr>
          <w:rFonts w:ascii="Times New Roman" w:hAnsi="Times New Roman" w:cs="Times New Roman"/>
          <w:sz w:val="24"/>
          <w:szCs w:val="24"/>
        </w:rPr>
        <w:t>6</w:t>
      </w:r>
      <w:r w:rsidR="00D45A53" w:rsidRPr="00FA1B51">
        <w:rPr>
          <w:rFonts w:ascii="Times New Roman" w:hAnsi="Times New Roman" w:cs="Times New Roman"/>
          <w:sz w:val="24"/>
          <w:szCs w:val="24"/>
        </w:rPr>
        <w:t>). Bergson's (2004) theory of time, distinguishing between lived time and abstract clock time, contributes to understanding digital memory (Garde-Hansen, 2009). Later on, Maurice Halbwachs' (</w:t>
      </w:r>
      <w:r w:rsidR="00FD7689" w:rsidRPr="00FA1B51">
        <w:rPr>
          <w:rFonts w:ascii="Times New Roman" w:hAnsi="Times New Roman" w:cs="Times New Roman"/>
          <w:sz w:val="24"/>
          <w:szCs w:val="24"/>
        </w:rPr>
        <w:t>2020</w:t>
      </w:r>
      <w:r w:rsidR="00D45A53" w:rsidRPr="00FA1B51">
        <w:rPr>
          <w:rFonts w:ascii="Times New Roman" w:hAnsi="Times New Roman" w:cs="Times New Roman"/>
          <w:sz w:val="24"/>
          <w:szCs w:val="24"/>
        </w:rPr>
        <w:t>) concept of collective memory contributes by highlighting how digital memorials can foster shared identity and remembrance within a group. Merleau-Ponty's (1962) embodiment theory elucidates how users experience virtual spaces through embodied perception, despite the spaces being intangible. Derrida's (</w:t>
      </w:r>
      <w:r w:rsidR="006D76DE" w:rsidRPr="00FA1B51">
        <w:rPr>
          <w:rFonts w:ascii="Times New Roman" w:hAnsi="Times New Roman" w:cs="Times New Roman"/>
          <w:sz w:val="24"/>
          <w:szCs w:val="24"/>
        </w:rPr>
        <w:t>2012</w:t>
      </w:r>
      <w:r w:rsidR="00D45A53" w:rsidRPr="00FA1B51">
        <w:rPr>
          <w:rFonts w:ascii="Times New Roman" w:hAnsi="Times New Roman" w:cs="Times New Roman"/>
          <w:sz w:val="24"/>
          <w:szCs w:val="24"/>
        </w:rPr>
        <w:t xml:space="preserve">) hauntology speaks to how digital environments allow the deceased to maintain a persistent online presence and interactivity. These diverse philosophical perspectives provide a preliminary framework for examining digital memorials as evolving spaces that shape collective memory and identity. The deceased have a </w:t>
      </w:r>
      <w:r w:rsidR="00D45A53" w:rsidRPr="00FA1B51">
        <w:rPr>
          <w:rFonts w:ascii="Times New Roman" w:hAnsi="Times New Roman" w:cs="Times New Roman"/>
          <w:sz w:val="24"/>
          <w:szCs w:val="24"/>
        </w:rPr>
        <w:lastRenderedPageBreak/>
        <w:t>hauntological influence through enduring digital interactions. Users embody these spaces through perception and engagement. The trends include analyzing communication norms, identity construction, user practices, and cultural shifts around death, mourning, and remembrance enabled by memorial technologies. This emerging interdisciplinary framework integrates media studies, sociology, and philosophy to comprehensively analyze digital memorialization.</w:t>
      </w:r>
    </w:p>
    <w:bookmarkEnd w:id="4"/>
    <w:p w14:paraId="2F1F0D34" w14:textId="58CC7805" w:rsidR="00D45A53" w:rsidRPr="00FA1B51" w:rsidRDefault="00EE3F07" w:rsidP="00EE3F07">
      <w:pPr>
        <w:rPr>
          <w:rFonts w:ascii="Times New Roman" w:hAnsi="Times New Roman" w:cs="Times New Roman"/>
          <w:sz w:val="24"/>
          <w:szCs w:val="24"/>
        </w:rPr>
      </w:pPr>
      <w:r w:rsidRPr="00FA1B51">
        <w:rPr>
          <w:rFonts w:ascii="Times New Roman" w:hAnsi="Times New Roman" w:cs="Times New Roman"/>
          <w:sz w:val="24"/>
          <w:szCs w:val="24"/>
        </w:rPr>
        <w:t>As technologies like virtual and augmented reality advance, methodologies engaging more profoundly with concepts of spatiality and embodiment are emerging. Virtual heritage theory, for instance, delves into the digital recreation of inaccessible or lost heritage sites (Champion, 201</w:t>
      </w:r>
      <w:r w:rsidR="006D76DE" w:rsidRPr="00FA1B51">
        <w:rPr>
          <w:rFonts w:ascii="Times New Roman" w:hAnsi="Times New Roman" w:cs="Times New Roman"/>
          <w:sz w:val="24"/>
          <w:szCs w:val="24"/>
        </w:rPr>
        <w:t>6</w:t>
      </w:r>
      <w:r w:rsidRPr="00FA1B51">
        <w:rPr>
          <w:rFonts w:ascii="Times New Roman" w:hAnsi="Times New Roman" w:cs="Times New Roman"/>
          <w:sz w:val="24"/>
          <w:szCs w:val="24"/>
        </w:rPr>
        <w:t>). This discipline capitalizes on such developing technologies to fabricate immersive experiences, enabling users to explore and interact with places and events of historical significance in a previously unattainable manner. This offers a means to not only preserve history but also to experience it in a more embodied and intimate way.</w:t>
      </w:r>
      <w:r w:rsidR="00055069" w:rsidRPr="00FA1B51">
        <w:rPr>
          <w:rFonts w:ascii="Times New Roman" w:hAnsi="Times New Roman" w:cs="Times New Roman"/>
          <w:sz w:val="24"/>
          <w:szCs w:val="24"/>
        </w:rPr>
        <w:t xml:space="preserve"> </w:t>
      </w:r>
      <w:r w:rsidRPr="00FA1B51">
        <w:rPr>
          <w:rFonts w:ascii="Times New Roman" w:hAnsi="Times New Roman" w:cs="Times New Roman"/>
          <w:sz w:val="24"/>
          <w:szCs w:val="24"/>
        </w:rPr>
        <w:t>In relation to my project, the intersection of digital heritage and memory studies holds particular relevance. Specifically, the utilization of emerging technologies like augmented reality (AR) to generate immersive memorials in public spaces is of interest. For example, Cohen and Murray (2017) conducted an analysis of the Srebrenica-Potočari Memorial Center, which makes use of interactive multimedia and virtual spaces to commemorate the victims of genocide. Likewise, Thiel and Reuter (2010) developed the augmented reality installation Virtuelle Mauer. They used projections and 3D reconstructions to recreate the Berlin Wall, stimulating reflection on the historical event. These innovative approaches marry digital media, public art, and commemoration in unique ways. However, they also demand a deeper theoretical engagement to fully comprehend their emotional, particularly empathetic, and phenomenological impacts on digital memory. Such understanding necessitates the synthesis of perspectives from various fields including media and technology studies, aesthetics, sociology, and phenomenological philosophy. This will contribute to the formation of a hybrid framework apt for the comprehensive examination of digital memory spaces.</w:t>
      </w:r>
    </w:p>
    <w:p w14:paraId="5211E625" w14:textId="6BB7B48D" w:rsidR="00055069" w:rsidRPr="00FA1B51" w:rsidRDefault="00AA3E6D" w:rsidP="002917C7">
      <w:pPr>
        <w:rPr>
          <w:rFonts w:ascii="Times New Roman" w:hAnsi="Times New Roman" w:cs="Times New Roman"/>
          <w:sz w:val="24"/>
          <w:szCs w:val="24"/>
        </w:rPr>
      </w:pPr>
      <w:bookmarkStart w:id="6" w:name="OLE_LINK9"/>
      <w:bookmarkEnd w:id="5"/>
      <w:r w:rsidRPr="00FA1B51">
        <w:rPr>
          <w:rFonts w:ascii="Times New Roman" w:hAnsi="Times New Roman" w:cs="Times New Roman"/>
          <w:sz w:val="24"/>
          <w:szCs w:val="24"/>
        </w:rPr>
        <w:t>（</w:t>
      </w:r>
      <w:r w:rsidRPr="00FA1B51">
        <w:rPr>
          <w:rFonts w:ascii="Times New Roman" w:hAnsi="Times New Roman" w:cs="Times New Roman"/>
          <w:sz w:val="24"/>
          <w:szCs w:val="24"/>
        </w:rPr>
        <w:t>2</w:t>
      </w:r>
      <w:r w:rsidRPr="00FA1B51">
        <w:rPr>
          <w:rFonts w:ascii="Times New Roman" w:hAnsi="Times New Roman" w:cs="Times New Roman"/>
          <w:sz w:val="24"/>
          <w:szCs w:val="24"/>
        </w:rPr>
        <w:t>）</w:t>
      </w:r>
      <w:bookmarkEnd w:id="6"/>
      <w:r w:rsidR="00FD4AC3" w:rsidRPr="00FA1B51">
        <w:rPr>
          <w:rFonts w:ascii="Times New Roman" w:hAnsi="Times New Roman" w:cs="Times New Roman"/>
          <w:sz w:val="24"/>
          <w:szCs w:val="24"/>
        </w:rPr>
        <w:t>Exploring the Frontiers of Augmented Reality Memorials: Identifying Research Gaps and Potentials in Mixed Reality Commemoration</w:t>
      </w:r>
    </w:p>
    <w:p w14:paraId="280C1375" w14:textId="3394966D" w:rsidR="00EE2461" w:rsidRPr="00FA1B51" w:rsidRDefault="00EE2461" w:rsidP="0003455C">
      <w:pPr>
        <w:rPr>
          <w:rFonts w:ascii="Times New Roman" w:hAnsi="Times New Roman" w:cs="Times New Roman"/>
          <w:sz w:val="24"/>
          <w:szCs w:val="24"/>
        </w:rPr>
      </w:pPr>
      <w:r w:rsidRPr="00FA1B51">
        <w:rPr>
          <w:rFonts w:ascii="Times New Roman" w:hAnsi="Times New Roman" w:cs="Times New Roman"/>
          <w:sz w:val="24"/>
          <w:szCs w:val="24"/>
        </w:rPr>
        <w:t xml:space="preserve">The field of digital memorials research is broad, but the study of augmented reality (AR) memorials is still in its early stages. These AR memorials weave together empathy and memory in an innovative manner, whether in public, private, or hybrid spaces. Despite the wealth of research in digital memorials, there is still much to discover in the realm of AR-based commemorations. </w:t>
      </w:r>
      <w:r w:rsidR="0003455C" w:rsidRPr="00FA1B51">
        <w:rPr>
          <w:rFonts w:ascii="Times New Roman" w:hAnsi="Times New Roman" w:cs="Times New Roman"/>
          <w:sz w:val="24"/>
          <w:szCs w:val="24"/>
        </w:rPr>
        <w:t>Prior studies have largely centered on online memorials associated with major events or fully virtual memorial environments, leaving the blended spatial experiences generated by AR underexamined. This oversight surfaces numerous questions, including determinations of which memories should be reconstructed, whose narratives should be reproduced, and how these narratives should be displayed. As Maurice Halbwachs (</w:t>
      </w:r>
      <w:r w:rsidR="007833B5" w:rsidRPr="00FA1B51">
        <w:rPr>
          <w:rFonts w:ascii="Times New Roman" w:hAnsi="Times New Roman" w:cs="Times New Roman"/>
          <w:sz w:val="24"/>
          <w:szCs w:val="24"/>
        </w:rPr>
        <w:t>2020</w:t>
      </w:r>
      <w:r w:rsidR="0003455C" w:rsidRPr="00FA1B51">
        <w:rPr>
          <w:rFonts w:ascii="Times New Roman" w:hAnsi="Times New Roman" w:cs="Times New Roman"/>
          <w:sz w:val="24"/>
          <w:szCs w:val="24"/>
        </w:rPr>
        <w:t xml:space="preserve">) rightly notes, collective memory can be manipulated by institutions to marginalize divergent views. The current digital memorials mostly present official historical narratives, often overshadowing the stories of ordinary people. Consider the narratives surrounding COVID-19, for instance, that largely underscore solidarity, frequently downplaying more nuanced personal </w:t>
      </w:r>
      <w:r w:rsidR="0003455C" w:rsidRPr="00FA1B51">
        <w:rPr>
          <w:rFonts w:ascii="Times New Roman" w:hAnsi="Times New Roman" w:cs="Times New Roman"/>
          <w:sz w:val="24"/>
          <w:szCs w:val="24"/>
        </w:rPr>
        <w:lastRenderedPageBreak/>
        <w:t>experiences. This observation pushes us to consider ways of integrating diverse voices and challenging the traditional authority of remembrance. Furthermore, digital memorials have predominantly served as monuments to death and tragic events, thereby neglecting the celebration of life's joys that can also be meaningfully archived. While the definition of a memorial does not exclude the commemoration of any event or individual, current practice is heavily tilted towards mourning. The need to explore positive forms of remembrance, therefore, is starkly apparent. Architectural phenomenologist Pallasmaa</w:t>
      </w:r>
      <w:r w:rsidR="00977B56" w:rsidRPr="00FA1B51">
        <w:rPr>
          <w:rFonts w:ascii="Times New Roman" w:hAnsi="Times New Roman" w:cs="Times New Roman"/>
          <w:sz w:val="24"/>
          <w:szCs w:val="24"/>
        </w:rPr>
        <w:t>（</w:t>
      </w:r>
      <w:r w:rsidR="00977B56" w:rsidRPr="00FA1B51">
        <w:rPr>
          <w:rFonts w:ascii="Times New Roman" w:hAnsi="Times New Roman" w:cs="Times New Roman"/>
          <w:sz w:val="24"/>
          <w:szCs w:val="24"/>
        </w:rPr>
        <w:t>2012</w:t>
      </w:r>
      <w:r w:rsidR="00977B56" w:rsidRPr="00FA1B51">
        <w:rPr>
          <w:rFonts w:ascii="Times New Roman" w:hAnsi="Times New Roman" w:cs="Times New Roman"/>
          <w:sz w:val="24"/>
          <w:szCs w:val="24"/>
        </w:rPr>
        <w:t>）</w:t>
      </w:r>
      <w:r w:rsidR="0003455C" w:rsidRPr="00FA1B51">
        <w:rPr>
          <w:rFonts w:ascii="Times New Roman" w:hAnsi="Times New Roman" w:cs="Times New Roman"/>
          <w:sz w:val="24"/>
          <w:szCs w:val="24"/>
        </w:rPr>
        <w:t xml:space="preserve"> emphasizes the multisensory, materialized experience of physical spaces. However, AR memorial environments need not simply mimic the physical logic of space. As media scholar de Souza e Silva (2006) notes, </w:t>
      </w:r>
      <w:r w:rsidR="00977B56" w:rsidRPr="00FA1B51">
        <w:rPr>
          <w:rFonts w:ascii="Times New Roman" w:hAnsi="Times New Roman" w:cs="Times New Roman"/>
          <w:sz w:val="24"/>
          <w:szCs w:val="24"/>
        </w:rPr>
        <w:t>h</w:t>
      </w:r>
      <w:r w:rsidR="0003455C" w:rsidRPr="00FA1B51">
        <w:rPr>
          <w:rFonts w:ascii="Times New Roman" w:hAnsi="Times New Roman" w:cs="Times New Roman"/>
          <w:sz w:val="24"/>
          <w:szCs w:val="24"/>
        </w:rPr>
        <w:t>ybrid spaces emerge when virtual communities migrate into physical spaces through mixed reality and wireless technologies. This outlook is complemented by new media theorist Mark Hansen (2012), who suggests that our era is defined by the "encircling" of environmental information as technology permeates experience. For AR, this implies a strategic layering of information and data to digitally enrich memorial sites. Architect Marc Aurel Schnabel (2009) proposes embracing a "hybrid space" that melds the physical and virtual through AR, thus creating "simultaneous perception and interaction of real, physical environments and context-relevant, spatially aligned virtual information." This approach leverages the hybrid nature of AR to conceive new commemorative spaces, eschewing a mere imitation of tangible reality.</w:t>
      </w:r>
    </w:p>
    <w:p w14:paraId="2AACA209" w14:textId="5C474FFC" w:rsidR="00AA3E6D" w:rsidRPr="00FA1B51" w:rsidRDefault="0003455C" w:rsidP="00AA3E6D">
      <w:pPr>
        <w:rPr>
          <w:rFonts w:ascii="Times New Roman" w:hAnsi="Times New Roman" w:cs="Times New Roman"/>
          <w:sz w:val="24"/>
          <w:szCs w:val="24"/>
        </w:rPr>
      </w:pPr>
      <w:r w:rsidRPr="00FA1B51">
        <w:rPr>
          <w:rFonts w:ascii="Times New Roman" w:hAnsi="Times New Roman" w:cs="Times New Roman"/>
          <w:sz w:val="24"/>
          <w:szCs w:val="24"/>
        </w:rPr>
        <w:t xml:space="preserve">Consequently, there is an evident gap in the current literature regarding the mixed spatial experience generated by AR. With the burgeoning use of AR in memorial projects, scholarly research often lags behind artistic practice. We are witnessing innovative techniques for layering audio, visual, and text onto existing spaces in novel, digitally enhanced ways, creating profound effects of memory and remembrance. However, there is a paucity of informative research on how space is transformed and perceived through such stratification. Modifications to the key theoretical lenses are needed to analyze these AR memorials. The philosophies of Heidegger, Bachelard, Nora, and Bergson provide a useful foundation but fail to directly address the capabilities of augmented reality and its blended material-digital dimensions. Their phenomenological insights must be melded with more contemporary theoretical and practical frameworks centered on user experience design techniques. Notably, </w:t>
      </w:r>
      <w:r w:rsidR="00C14036" w:rsidRPr="00FA1B51">
        <w:rPr>
          <w:rFonts w:ascii="Times New Roman" w:hAnsi="Times New Roman" w:cs="Times New Roman"/>
          <w:sz w:val="24"/>
          <w:szCs w:val="24"/>
        </w:rPr>
        <w:t xml:space="preserve">the book </w:t>
      </w:r>
      <w:r w:rsidR="00C14036" w:rsidRPr="00FA1B51">
        <w:rPr>
          <w:rFonts w:ascii="Times New Roman" w:hAnsi="Times New Roman" w:cs="Times New Roman"/>
          <w:i/>
          <w:iCs/>
          <w:sz w:val="24"/>
          <w:szCs w:val="24"/>
        </w:rPr>
        <w:t>New Directions in Music and Human-Computer Interaction</w:t>
      </w:r>
      <w:r w:rsidR="00C14036" w:rsidRPr="00FA1B51">
        <w:rPr>
          <w:rFonts w:ascii="Times New Roman" w:hAnsi="Times New Roman" w:cs="Times New Roman"/>
          <w:sz w:val="24"/>
          <w:szCs w:val="24"/>
        </w:rPr>
        <w:t xml:space="preserve"> by Holland et al. (2019) , </w:t>
      </w:r>
      <w:r w:rsidRPr="00FA1B51">
        <w:rPr>
          <w:rFonts w:ascii="Times New Roman" w:hAnsi="Times New Roman" w:cs="Times New Roman"/>
          <w:sz w:val="24"/>
          <w:szCs w:val="24"/>
        </w:rPr>
        <w:t xml:space="preserve">provides comprehensive insights on </w:t>
      </w:r>
      <w:r w:rsidR="00977B56" w:rsidRPr="00FA1B51">
        <w:rPr>
          <w:rFonts w:ascii="Times New Roman" w:hAnsi="Times New Roman" w:cs="Times New Roman"/>
          <w:sz w:val="24"/>
          <w:szCs w:val="24"/>
        </w:rPr>
        <w:t xml:space="preserve">digital interaction </w:t>
      </w:r>
      <w:r w:rsidRPr="00FA1B51">
        <w:rPr>
          <w:rFonts w:ascii="Times New Roman" w:hAnsi="Times New Roman" w:cs="Times New Roman"/>
          <w:sz w:val="24"/>
          <w:szCs w:val="24"/>
        </w:rPr>
        <w:t xml:space="preserve">spaces. Most urgently, the user experience and impact instigated by AR memorials require deeper investigation, especially in relation to eliciting empathic responses. The technology for analyzing virtual representations has advanced, but it cannot directly translate to the experience of AR digital memorials. A framework that combines phenomenological methods with current user experience theory could fill this gap. Moreover, there is scant research on spatial strategies for intentionally designing AR memorials, leveraging the emotional resonance of sound narratives, and the synergy of visual stimuli. Such research could greatly inform our understanding of these immersive, hybrid spaces, offering valuable insights into the creation and experience of next-generation digital memorials. </w:t>
      </w:r>
    </w:p>
    <w:p w14:paraId="558627A0" w14:textId="6AECDA76" w:rsidR="00AA3E6D" w:rsidRPr="00FA1B51" w:rsidRDefault="00AA3E6D" w:rsidP="00AA3E6D">
      <w:pPr>
        <w:rPr>
          <w:rFonts w:ascii="Times New Roman" w:hAnsi="Times New Roman" w:cs="Times New Roman"/>
          <w:sz w:val="24"/>
          <w:szCs w:val="24"/>
        </w:rPr>
      </w:pPr>
      <w:bookmarkStart w:id="7" w:name="OLE_LINK1"/>
      <w:r w:rsidRPr="00FA1B51">
        <w:rPr>
          <w:rFonts w:ascii="Times New Roman" w:hAnsi="Times New Roman" w:cs="Times New Roman"/>
          <w:sz w:val="24"/>
          <w:szCs w:val="24"/>
        </w:rPr>
        <w:t xml:space="preserve">(3) </w:t>
      </w:r>
      <w:r w:rsidR="00FD4AC3" w:rsidRPr="00FA1B51">
        <w:rPr>
          <w:rFonts w:ascii="Times New Roman" w:hAnsi="Times New Roman" w:cs="Times New Roman"/>
          <w:sz w:val="24"/>
          <w:szCs w:val="24"/>
        </w:rPr>
        <w:t>A Theoretical Framework for Creating Collective Memory and Empathic Engagement</w:t>
      </w:r>
    </w:p>
    <w:bookmarkEnd w:id="7"/>
    <w:p w14:paraId="4B3959C8" w14:textId="0F9AE4AA" w:rsidR="00DD3AC1" w:rsidRPr="00FA1B51" w:rsidRDefault="003760B7" w:rsidP="003760B7">
      <w:pPr>
        <w:rPr>
          <w:rFonts w:ascii="Times New Roman" w:hAnsi="Times New Roman" w:cs="Times New Roman"/>
          <w:sz w:val="24"/>
          <w:szCs w:val="24"/>
        </w:rPr>
      </w:pPr>
      <w:r w:rsidRPr="00FA1B51">
        <w:rPr>
          <w:rFonts w:ascii="Times New Roman" w:hAnsi="Times New Roman" w:cs="Times New Roman"/>
          <w:sz w:val="24"/>
          <w:szCs w:val="24"/>
        </w:rPr>
        <w:lastRenderedPageBreak/>
        <w:t xml:space="preserve">This research project </w:t>
      </w:r>
      <w:r w:rsidR="00DD3AC1" w:rsidRPr="00FA1B51">
        <w:rPr>
          <w:rFonts w:ascii="Times New Roman" w:hAnsi="Times New Roman" w:cs="Times New Roman"/>
          <w:sz w:val="24"/>
          <w:szCs w:val="24"/>
        </w:rPr>
        <w:t xml:space="preserve">plan to </w:t>
      </w:r>
      <w:r w:rsidRPr="00FA1B51">
        <w:rPr>
          <w:rFonts w:ascii="Times New Roman" w:hAnsi="Times New Roman" w:cs="Times New Roman"/>
          <w:sz w:val="24"/>
          <w:szCs w:val="24"/>
        </w:rPr>
        <w:t>creat</w:t>
      </w:r>
      <w:r w:rsidR="00DD3AC1" w:rsidRPr="00FA1B51">
        <w:rPr>
          <w:rFonts w:ascii="Times New Roman" w:hAnsi="Times New Roman" w:cs="Times New Roman"/>
          <w:sz w:val="24"/>
          <w:szCs w:val="24"/>
        </w:rPr>
        <w:t>e</w:t>
      </w:r>
      <w:r w:rsidRPr="00FA1B51">
        <w:rPr>
          <w:rFonts w:ascii="Times New Roman" w:hAnsi="Times New Roman" w:cs="Times New Roman"/>
          <w:sz w:val="24"/>
          <w:szCs w:val="24"/>
        </w:rPr>
        <w:t xml:space="preserve"> a</w:t>
      </w:r>
      <w:r w:rsidR="00DD3AC1" w:rsidRPr="00FA1B51">
        <w:rPr>
          <w:rFonts w:ascii="Times New Roman" w:hAnsi="Times New Roman" w:cs="Times New Roman"/>
          <w:sz w:val="24"/>
          <w:szCs w:val="24"/>
        </w:rPr>
        <w:t xml:space="preserve"> </w:t>
      </w:r>
      <w:r w:rsidRPr="00FA1B51">
        <w:rPr>
          <w:rFonts w:ascii="Times New Roman" w:hAnsi="Times New Roman" w:cs="Times New Roman"/>
          <w:sz w:val="24"/>
          <w:szCs w:val="24"/>
        </w:rPr>
        <w:t>digital memorial—rooted in the musical legacy of Ryuichi Sakamoto.</w:t>
      </w:r>
      <w:r w:rsidR="00DD3AC1" w:rsidRPr="00FA1B51">
        <w:rPr>
          <w:rFonts w:ascii="Times New Roman" w:hAnsi="Times New Roman" w:cs="Times New Roman"/>
          <w:sz w:val="24"/>
          <w:szCs w:val="24"/>
        </w:rPr>
        <w:t xml:space="preserve"> This memorial aims to foster collective remembrance and empathic responses among viewers. The theoretical framework underpinning the practical work synthesizes three key philosophical perspectives - Derrida's hauntology, Halbwachs' collective memory, and Tuan's experiential place/space dialectic. It also incorporates insights from user experience design, such as Holland et al. (2019), to examine user engagement and perception. </w:t>
      </w:r>
      <w:r w:rsidRPr="00FA1B51">
        <w:rPr>
          <w:rFonts w:ascii="Times New Roman" w:hAnsi="Times New Roman" w:cs="Times New Roman"/>
          <w:sz w:val="24"/>
          <w:szCs w:val="24"/>
        </w:rPr>
        <w:t xml:space="preserve">Derrida's hauntology proposes that the deceased maintain an ethereal presence through their enduring traces (Derrida, </w:t>
      </w:r>
      <w:r w:rsidR="00DD3AC1" w:rsidRPr="00FA1B51">
        <w:rPr>
          <w:rFonts w:ascii="Times New Roman" w:hAnsi="Times New Roman" w:cs="Times New Roman"/>
          <w:sz w:val="24"/>
          <w:szCs w:val="24"/>
        </w:rPr>
        <w:t>2012</w:t>
      </w:r>
      <w:r w:rsidRPr="00FA1B51">
        <w:rPr>
          <w:rFonts w:ascii="Times New Roman" w:hAnsi="Times New Roman" w:cs="Times New Roman"/>
          <w:sz w:val="24"/>
          <w:szCs w:val="24"/>
        </w:rPr>
        <w:t xml:space="preserve">). This concept informs our approach to Sakamoto's music, perceived as an emotive trace that stimulates the consolidation of memories. Halbwachs' theory of collective memory posits that shared remembrances bind social groups together (Halbwachs, 2020). Consequently, the audience's resonance with Sakamoto's music engenders a collective nostalgia. The dialectics of space and place, as elaborated by Tuan, articulate that raw spaces morph into meaningful places through experiential engagements (Tuan, 1977). This premise guided us to create a space that, when activated by individual recollections, metamorphoses into a locus of collective remembrance. </w:t>
      </w:r>
    </w:p>
    <w:p w14:paraId="77514109" w14:textId="239E58DC" w:rsidR="003760B7" w:rsidRPr="00FA1B51" w:rsidRDefault="003760B7" w:rsidP="003760B7">
      <w:pPr>
        <w:rPr>
          <w:rFonts w:ascii="Times New Roman" w:hAnsi="Times New Roman" w:cs="Times New Roman"/>
          <w:sz w:val="24"/>
          <w:szCs w:val="24"/>
        </w:rPr>
      </w:pPr>
      <w:r w:rsidRPr="00FA1B51">
        <w:rPr>
          <w:rFonts w:ascii="Times New Roman" w:hAnsi="Times New Roman" w:cs="Times New Roman"/>
          <w:sz w:val="24"/>
          <w:szCs w:val="24"/>
        </w:rPr>
        <w:t xml:space="preserve">Collectively, these theories construct a three-dimensional framework—time, society, and space—that allows for an in-depth exploration of the complex dynamics within </w:t>
      </w:r>
      <w:r w:rsidR="00DD3AC1" w:rsidRPr="00FA1B51">
        <w:rPr>
          <w:rFonts w:ascii="Times New Roman" w:hAnsi="Times New Roman" w:cs="Times New Roman"/>
          <w:sz w:val="24"/>
          <w:szCs w:val="24"/>
        </w:rPr>
        <w:t>digital</w:t>
      </w:r>
      <w:r w:rsidRPr="00FA1B51">
        <w:rPr>
          <w:rFonts w:ascii="Times New Roman" w:hAnsi="Times New Roman" w:cs="Times New Roman"/>
          <w:sz w:val="24"/>
          <w:szCs w:val="24"/>
        </w:rPr>
        <w:t xml:space="preserve"> memorials. Each theory complements and expands upon the others, thereby offering a more nuanced understanding of the memories experienced within these digital environments. The digital memorial incarnates Derrida's concept of hauntology, capturing the </w:t>
      </w:r>
      <w:r w:rsidR="00967588" w:rsidRPr="00FA1B51">
        <w:rPr>
          <w:rFonts w:ascii="Times New Roman" w:hAnsi="Times New Roman" w:cs="Times New Roman"/>
          <w:sz w:val="24"/>
          <w:szCs w:val="24"/>
        </w:rPr>
        <w:t>empathy</w:t>
      </w:r>
      <w:r w:rsidRPr="00FA1B51">
        <w:rPr>
          <w:rFonts w:ascii="Times New Roman" w:hAnsi="Times New Roman" w:cs="Times New Roman"/>
          <w:sz w:val="24"/>
          <w:szCs w:val="24"/>
        </w:rPr>
        <w:t xml:space="preserve"> resonance of Sakamoto's music that persists in cultural memory, even in his absence. This spectral element forms the crux of the digital memorial's ethos: they "haunt" the present with digitally resurrected figures and events from the past. By concentrating on how they invite the past to engage with the present, we explore the temporal dimension of digital memorials. The memorial acts as a digital echo of Sakamoto's work, allowing the past to "haunt" the present through layered music, visual cues, and narratives. Halbwachs</w:t>
      </w:r>
      <w:r w:rsidR="00DD3AC1" w:rsidRPr="00FA1B51">
        <w:rPr>
          <w:rFonts w:ascii="Times New Roman" w:hAnsi="Times New Roman" w:cs="Times New Roman"/>
          <w:sz w:val="24"/>
          <w:szCs w:val="24"/>
        </w:rPr>
        <w:t xml:space="preserve"> (2020)</w:t>
      </w:r>
      <w:r w:rsidRPr="00FA1B51">
        <w:rPr>
          <w:rFonts w:ascii="Times New Roman" w:hAnsi="Times New Roman" w:cs="Times New Roman"/>
          <w:sz w:val="24"/>
          <w:szCs w:val="24"/>
        </w:rPr>
        <w:t xml:space="preserve">, with his study on collective memory, underscores the social dimension of memory—individual memories are both shaped and influenced by the collective. This notion reflects the public function of digital memorials as shared spaces where collective experiences and identities can be negotiated. The fusion of Derrida's hauntology and Halbwachs' collective memory enables us to examine how digital memorials facilitate the construction of collective memories, thus underscoring the interpersonal and societal dynamics of memory. Tuan's theory of space and place infuses a spatial dimension into the framework. It emphasizes that experiences and interactions can transform mere spaces into significant places. The </w:t>
      </w:r>
      <w:r w:rsidR="00DD3AC1" w:rsidRPr="00FA1B51">
        <w:rPr>
          <w:rFonts w:ascii="Times New Roman" w:hAnsi="Times New Roman" w:cs="Times New Roman"/>
          <w:sz w:val="24"/>
          <w:szCs w:val="24"/>
        </w:rPr>
        <w:t>digital</w:t>
      </w:r>
      <w:r w:rsidRPr="00FA1B51">
        <w:rPr>
          <w:rFonts w:ascii="Times New Roman" w:hAnsi="Times New Roman" w:cs="Times New Roman"/>
          <w:sz w:val="24"/>
          <w:szCs w:val="24"/>
        </w:rPr>
        <w:t xml:space="preserve"> memorial transfigures a rudimentary "space" into a "place" brimming with memory and emotional connection, imbuing it with individual and collective memories associated with Sakamoto's music. This process reinforces the spatial-temporal integration commenced by Derrida's hauntology by anchoring "ghosts" within real-world spaces. Moreover, it adds a layer of complexity to Halbwachs' collective memory, scrutinizing how these shared memories are contextualized and anchored within specific locations, thereby facilitating collective identity formation. </w:t>
      </w:r>
    </w:p>
    <w:p w14:paraId="2FF017B3" w14:textId="0CC3B229" w:rsidR="00D45A53" w:rsidRPr="00FA1B51" w:rsidRDefault="003760B7" w:rsidP="003760B7">
      <w:pPr>
        <w:rPr>
          <w:rFonts w:ascii="Times New Roman" w:hAnsi="Times New Roman" w:cs="Times New Roman"/>
          <w:sz w:val="24"/>
          <w:szCs w:val="24"/>
        </w:rPr>
      </w:pPr>
      <w:r w:rsidRPr="00FA1B51">
        <w:rPr>
          <w:rFonts w:ascii="Times New Roman" w:hAnsi="Times New Roman" w:cs="Times New Roman"/>
          <w:sz w:val="24"/>
          <w:szCs w:val="24"/>
        </w:rPr>
        <w:t xml:space="preserve">To bridge the divide between theory and practice, I supplemented the theoretical </w:t>
      </w:r>
      <w:r w:rsidRPr="00FA1B51">
        <w:rPr>
          <w:rFonts w:ascii="Times New Roman" w:hAnsi="Times New Roman" w:cs="Times New Roman"/>
          <w:sz w:val="24"/>
          <w:szCs w:val="24"/>
        </w:rPr>
        <w:lastRenderedPageBreak/>
        <w:t xml:space="preserve">framework with the user experience and design principles elucidated by Holland et al. </w:t>
      </w:r>
      <w:r w:rsidR="00DD3AC1" w:rsidRPr="00FA1B51">
        <w:rPr>
          <w:rFonts w:ascii="Times New Roman" w:hAnsi="Times New Roman" w:cs="Times New Roman"/>
          <w:sz w:val="24"/>
          <w:szCs w:val="24"/>
        </w:rPr>
        <w:t xml:space="preserve">(2019). </w:t>
      </w:r>
      <w:r w:rsidRPr="00FA1B51">
        <w:rPr>
          <w:rFonts w:ascii="Times New Roman" w:hAnsi="Times New Roman" w:cs="Times New Roman"/>
          <w:sz w:val="24"/>
          <w:szCs w:val="24"/>
        </w:rPr>
        <w:t xml:space="preserve">This addition foregrounds the experiential aspect of the viewer's engagement with and navigation of digital memorials. Thus, </w:t>
      </w:r>
      <w:r w:rsidR="00DD3AC1" w:rsidRPr="00FA1B51">
        <w:rPr>
          <w:rFonts w:ascii="Times New Roman" w:hAnsi="Times New Roman" w:cs="Times New Roman"/>
          <w:sz w:val="24"/>
          <w:szCs w:val="24"/>
        </w:rPr>
        <w:t>I</w:t>
      </w:r>
      <w:r w:rsidRPr="00FA1B51">
        <w:rPr>
          <w:rFonts w:ascii="Times New Roman" w:hAnsi="Times New Roman" w:cs="Times New Roman"/>
          <w:sz w:val="24"/>
          <w:szCs w:val="24"/>
        </w:rPr>
        <w:t xml:space="preserve"> c</w:t>
      </w:r>
      <w:r w:rsidR="00DD3AC1" w:rsidRPr="00FA1B51">
        <w:rPr>
          <w:rFonts w:ascii="Times New Roman" w:hAnsi="Times New Roman" w:cs="Times New Roman"/>
          <w:sz w:val="24"/>
          <w:szCs w:val="24"/>
        </w:rPr>
        <w:t>ould</w:t>
      </w:r>
      <w:r w:rsidRPr="00FA1B51">
        <w:rPr>
          <w:rFonts w:ascii="Times New Roman" w:hAnsi="Times New Roman" w:cs="Times New Roman"/>
          <w:sz w:val="24"/>
          <w:szCs w:val="24"/>
        </w:rPr>
        <w:t xml:space="preserve"> critically evaluate how viewers perceive, navigate, and engage with digital memorials, how their past "haunts" their present, how their personal memories interact with the collective, and how they experience the transition from space to place. In summary, the theoretical framework developed for this project effectively merges several philosophical perspectives with practical considerations of user experience, providing a comprehensive, nuanced approach to the creation and study of digital memorials. This fusion of theories illuminates the multifaceted nature of digital memorials, and invites further critical analysis and discourse in this evolving field of study.</w:t>
      </w:r>
    </w:p>
    <w:bookmarkEnd w:id="2"/>
    <w:p w14:paraId="6840D0F7" w14:textId="3B23CDC8" w:rsidR="00D45A53" w:rsidRPr="00FA1B51" w:rsidRDefault="00350555" w:rsidP="00D45A53">
      <w:pPr>
        <w:rPr>
          <w:rFonts w:ascii="Times New Roman" w:hAnsi="Times New Roman" w:cs="Times New Roman"/>
          <w:b/>
          <w:bCs/>
          <w:sz w:val="24"/>
          <w:szCs w:val="24"/>
        </w:rPr>
      </w:pPr>
      <w:r>
        <w:rPr>
          <w:rFonts w:ascii="Times New Roman" w:hAnsi="Times New Roman" w:cs="Times New Roman"/>
          <w:b/>
          <w:bCs/>
          <w:sz w:val="24"/>
          <w:szCs w:val="24"/>
        </w:rPr>
        <w:t>2</w:t>
      </w:r>
      <w:r w:rsidR="002A1646" w:rsidRPr="00FA1B51">
        <w:rPr>
          <w:rFonts w:ascii="Times New Roman" w:hAnsi="Times New Roman" w:cs="Times New Roman"/>
          <w:b/>
          <w:bCs/>
          <w:sz w:val="24"/>
          <w:szCs w:val="24"/>
        </w:rPr>
        <w:t>.Pratical work</w:t>
      </w:r>
    </w:p>
    <w:p w14:paraId="3E671FAE" w14:textId="6985795D" w:rsidR="00A62735" w:rsidRPr="00FA1B51" w:rsidRDefault="00A62735" w:rsidP="00D45A53">
      <w:pPr>
        <w:rPr>
          <w:rFonts w:ascii="Times New Roman" w:hAnsi="Times New Roman" w:cs="Times New Roman"/>
          <w:sz w:val="24"/>
          <w:szCs w:val="24"/>
        </w:rPr>
      </w:pPr>
      <w:r w:rsidRPr="00FA1B51">
        <w:rPr>
          <w:rFonts w:ascii="Times New Roman" w:hAnsi="Times New Roman" w:cs="Times New Roman"/>
          <w:sz w:val="24"/>
          <w:szCs w:val="24"/>
        </w:rPr>
        <w:t>（</w:t>
      </w:r>
      <w:r w:rsidRPr="00FA1B51">
        <w:rPr>
          <w:rFonts w:ascii="Times New Roman" w:hAnsi="Times New Roman" w:cs="Times New Roman"/>
          <w:sz w:val="24"/>
          <w:szCs w:val="24"/>
        </w:rPr>
        <w:t>1</w:t>
      </w:r>
      <w:r w:rsidRPr="00FA1B51">
        <w:rPr>
          <w:rFonts w:ascii="Times New Roman" w:hAnsi="Times New Roman" w:cs="Times New Roman"/>
          <w:sz w:val="24"/>
          <w:szCs w:val="24"/>
        </w:rPr>
        <w:t>）</w:t>
      </w:r>
      <w:r w:rsidR="00FD4AC3" w:rsidRPr="00FA1B51">
        <w:rPr>
          <w:rFonts w:ascii="Times New Roman" w:hAnsi="Times New Roman" w:cs="Times New Roman"/>
          <w:sz w:val="24"/>
          <w:szCs w:val="24"/>
        </w:rPr>
        <w:t>Creating 'Eternal Memory': Constructing an Innovative Digital Memorial Space</w:t>
      </w:r>
    </w:p>
    <w:p w14:paraId="1B91651C" w14:textId="27B13FB8" w:rsidR="002A1646" w:rsidRPr="00FA1B51" w:rsidRDefault="002A1646" w:rsidP="002A1646">
      <w:pPr>
        <w:rPr>
          <w:rFonts w:ascii="Times New Roman" w:hAnsi="Times New Roman" w:cs="Times New Roman"/>
          <w:sz w:val="24"/>
          <w:szCs w:val="24"/>
        </w:rPr>
      </w:pPr>
      <w:r w:rsidRPr="00FA1B51">
        <w:rPr>
          <w:rFonts w:ascii="Times New Roman" w:hAnsi="Times New Roman" w:cs="Times New Roman"/>
          <w:sz w:val="24"/>
          <w:szCs w:val="24"/>
        </w:rPr>
        <w:t>The practical work for this project consists of constructing an innovative digital memorial space themed on 'Eternal Memory'. This space is a low-tech virtual exhibition hall composed of three large panels, projected by projectors to the audience's front and to the three screens on their left and right, enveloping them in a front-view environment. This digital memorial space isn't merely a static display, but an abstract, imaginative experience that unfolds in four acts, resonating with the audience's emotions and memories through evocative visual and auditory stimuli. In the first act, the audience experiences an activation of the past. The soft musical prelude is accompanied by abstract color visualizations, followed by rapid flashes of symbols gradually showing the major social events of the past two decades, stimulating the recall of the collective memory. This sensory input, ordered chronologically from the recent past to 20 years ago, seeks to evoke a powerful sense of place. The second act delves into emotional transmission through collective memories. The audience hears important memories from other participants, paired with the music of Ryuichi Sakamoto and abstract dynamic color imagery. This medley of others' memories, Sakamoto's music, and vibrant visuals facilitates an emotional resonance among the audience, as their own sense of place memories are elicited. The third act focuses on the recalling of imagination. Based on the preceding acts, the audience has their sense of place memories to draw upon, constructing these past memories in their minds. These memories may represent significant moments from their past 20 years, invoking feelings of joy, sadness, regret, and more. The fourth act, the interactive creation of meaningful space, allows the audience to record their recalled memories through a microphone. Their voices transform into dynamic visuals of abstract colors, integrating with the visual representation of the music. As the music reaches its climax, the audience's color-emotion and the music's color-emotion intertwine, culminating in the completion of the immersive experience. Each participant's unique memories are subsequently uploaded to the digital memorial space online, for future recollection and sharing with loved ones.</w:t>
      </w:r>
    </w:p>
    <w:p w14:paraId="5756749E" w14:textId="47414891" w:rsidR="00267405" w:rsidRPr="00FA1B51" w:rsidRDefault="002A1646" w:rsidP="002A1646">
      <w:pPr>
        <w:rPr>
          <w:rFonts w:ascii="Times New Roman" w:hAnsi="Times New Roman" w:cs="Times New Roman"/>
          <w:sz w:val="24"/>
          <w:szCs w:val="24"/>
        </w:rPr>
      </w:pPr>
      <w:bookmarkStart w:id="8" w:name="OLE_LINK17"/>
      <w:r w:rsidRPr="00FA1B51">
        <w:rPr>
          <w:rFonts w:ascii="Times New Roman" w:hAnsi="Times New Roman" w:cs="Times New Roman"/>
          <w:sz w:val="24"/>
          <w:szCs w:val="24"/>
        </w:rPr>
        <w:t xml:space="preserve">At the heart of this digital memorial space lies the music choice—Sakamoto's iconic </w:t>
      </w:r>
      <w:r w:rsidRPr="00FA1B51">
        <w:rPr>
          <w:rFonts w:ascii="Times New Roman" w:hAnsi="Times New Roman" w:cs="Times New Roman"/>
          <w:i/>
          <w:iCs/>
          <w:sz w:val="24"/>
          <w:szCs w:val="24"/>
        </w:rPr>
        <w:t>'Merry Christmas Mr. Lawrence'</w:t>
      </w:r>
      <w:r w:rsidRPr="00FA1B51">
        <w:rPr>
          <w:rFonts w:ascii="Times New Roman" w:hAnsi="Times New Roman" w:cs="Times New Roman"/>
          <w:sz w:val="24"/>
          <w:szCs w:val="24"/>
        </w:rPr>
        <w:t xml:space="preserve">. With more than 50 versions, this famous film soundtrack has resonated with global audiences, despite Sakamoto's own early aversion </w:t>
      </w:r>
      <w:r w:rsidRPr="00FA1B51">
        <w:rPr>
          <w:rFonts w:ascii="Times New Roman" w:hAnsi="Times New Roman" w:cs="Times New Roman"/>
          <w:sz w:val="24"/>
          <w:szCs w:val="24"/>
        </w:rPr>
        <w:lastRenderedPageBreak/>
        <w:t xml:space="preserve">to it due to </w:t>
      </w:r>
      <w:r w:rsidR="00267405" w:rsidRPr="00FA1B51">
        <w:rPr>
          <w:rFonts w:ascii="Times New Roman" w:hAnsi="Times New Roman" w:cs="Times New Roman"/>
          <w:sz w:val="24"/>
          <w:szCs w:val="24"/>
        </w:rPr>
        <w:t>his</w:t>
      </w:r>
      <w:r w:rsidRPr="00FA1B51">
        <w:rPr>
          <w:rFonts w:ascii="Times New Roman" w:hAnsi="Times New Roman" w:cs="Times New Roman"/>
          <w:sz w:val="24"/>
          <w:szCs w:val="24"/>
        </w:rPr>
        <w:t xml:space="preserve"> overplay. However, as revealed in the film </w:t>
      </w:r>
      <w:r w:rsidRPr="00FA1B51">
        <w:rPr>
          <w:rFonts w:ascii="Times New Roman" w:hAnsi="Times New Roman" w:cs="Times New Roman"/>
          <w:i/>
          <w:iCs/>
          <w:sz w:val="24"/>
          <w:szCs w:val="24"/>
        </w:rPr>
        <w:t>'Ryuichi Sakamoto: CODA'</w:t>
      </w:r>
      <w:r w:rsidRPr="00FA1B51">
        <w:rPr>
          <w:rFonts w:ascii="Times New Roman" w:hAnsi="Times New Roman" w:cs="Times New Roman"/>
          <w:sz w:val="24"/>
          <w:szCs w:val="24"/>
        </w:rPr>
        <w:t xml:space="preserve">, he resumed playing the once-loathed song, recognizing its power to comfort the wounded. </w:t>
      </w:r>
      <w:bookmarkEnd w:id="8"/>
      <w:r w:rsidRPr="00FA1B51">
        <w:rPr>
          <w:rFonts w:ascii="Times New Roman" w:hAnsi="Times New Roman" w:cs="Times New Roman"/>
          <w:sz w:val="24"/>
          <w:szCs w:val="24"/>
        </w:rPr>
        <w:t>The version selected for this project is a lighter, gentler adaptation performed in a shelter a year after the March 11 earthquake in Japan. This version encourages the audience to lower their defenses, facilitating more intimate and direct emotional engagement during the memory narration process.</w:t>
      </w:r>
      <w:r w:rsidR="00267405" w:rsidRPr="00FA1B51">
        <w:rPr>
          <w:rFonts w:ascii="Times New Roman" w:hAnsi="Times New Roman" w:cs="Times New Roman"/>
          <w:sz w:val="24"/>
          <w:szCs w:val="24"/>
        </w:rPr>
        <w:t xml:space="preserve">  </w:t>
      </w:r>
      <w:r w:rsidR="000A5C61" w:rsidRPr="00FA1B51">
        <w:rPr>
          <w:rFonts w:ascii="Times New Roman" w:hAnsi="Times New Roman" w:cs="Times New Roman"/>
          <w:sz w:val="24"/>
          <w:szCs w:val="24"/>
        </w:rPr>
        <w:t xml:space="preserve">This atmosphere is further enhanced by the music and voice visualization, masterfully executed via the Touch Designer software and projected onto the exhibition walls through a laptop. This way follows the low-tech, low-cost design concept, compared to the LED screen display does not conform to this concept. </w:t>
      </w:r>
      <w:r w:rsidRPr="00FA1B51">
        <w:rPr>
          <w:rFonts w:ascii="Times New Roman" w:hAnsi="Times New Roman" w:cs="Times New Roman"/>
          <w:sz w:val="24"/>
          <w:szCs w:val="24"/>
        </w:rPr>
        <w:t>This personal memory collection process isn't confined to the offline exhibition hall; it's a continuous process that combines online collection methods with offline experiences, allowing the audience to participate and enjoy at any time.</w:t>
      </w:r>
      <w:bookmarkStart w:id="9" w:name="OLE_LINK16"/>
      <w:r w:rsidR="00267405" w:rsidRPr="00FA1B51">
        <w:rPr>
          <w:rFonts w:ascii="Times New Roman" w:hAnsi="Times New Roman" w:cs="Times New Roman"/>
          <w:sz w:val="24"/>
          <w:szCs w:val="24"/>
        </w:rPr>
        <w:t xml:space="preserve"> This continuity and accessibility give life to Sakamoto's words from his 'Thousand Knives' album: "I compose only for myself, for 'myself in society,' and to be registered in society" (Sakamoto, 1983, track X notes). Echoing his sentiments, the digital memorial I've curated transforms his music into a powerful catalyst, kindling collective memory, emotional resonance, and empathetic engagement. It is here that memories, akin to music, transcend time to offer solace, connection, and understanding. This enduring digital memorial space encapsulates the indomitable power of collective memory, music, and the human spirit.</w:t>
      </w:r>
    </w:p>
    <w:p w14:paraId="6C7D584F" w14:textId="28253C0F" w:rsidR="00267405" w:rsidRPr="00FA1B51" w:rsidRDefault="00D3514F" w:rsidP="002A1646">
      <w:pPr>
        <w:rPr>
          <w:rFonts w:ascii="Times New Roman" w:hAnsi="Times New Roman" w:cs="Times New Roman"/>
          <w:sz w:val="24"/>
          <w:szCs w:val="24"/>
        </w:rPr>
      </w:pPr>
      <w:r w:rsidRPr="00FA1B51">
        <w:rPr>
          <w:rFonts w:ascii="Times New Roman" w:hAnsi="Times New Roman" w:cs="Times New Roman"/>
          <w:sz w:val="24"/>
          <w:szCs w:val="24"/>
        </w:rPr>
        <w:t>（</w:t>
      </w:r>
      <w:r w:rsidRPr="00FA1B51">
        <w:rPr>
          <w:rFonts w:ascii="Times New Roman" w:hAnsi="Times New Roman" w:cs="Times New Roman"/>
          <w:sz w:val="24"/>
          <w:szCs w:val="24"/>
        </w:rPr>
        <w:t>2</w:t>
      </w:r>
      <w:r w:rsidRPr="00FA1B51">
        <w:rPr>
          <w:rFonts w:ascii="Times New Roman" w:hAnsi="Times New Roman" w:cs="Times New Roman"/>
          <w:sz w:val="24"/>
          <w:szCs w:val="24"/>
        </w:rPr>
        <w:t>）</w:t>
      </w:r>
      <w:r w:rsidR="00FD4AC3" w:rsidRPr="00FA1B51">
        <w:rPr>
          <w:rFonts w:ascii="Times New Roman" w:hAnsi="Times New Roman" w:cs="Times New Roman"/>
          <w:sz w:val="24"/>
          <w:szCs w:val="24"/>
        </w:rPr>
        <w:t>Innovations in Theory and Practice: Redefining Memory Spaces in the Digital Age</w:t>
      </w:r>
    </w:p>
    <w:p w14:paraId="589121BE" w14:textId="0CAE3B72" w:rsidR="00D3514F" w:rsidRPr="00FA1B51" w:rsidRDefault="00D3514F" w:rsidP="00D3514F">
      <w:pPr>
        <w:rPr>
          <w:rFonts w:ascii="Times New Roman" w:hAnsi="Times New Roman" w:cs="Times New Roman"/>
          <w:sz w:val="24"/>
          <w:szCs w:val="24"/>
        </w:rPr>
      </w:pPr>
      <w:r w:rsidRPr="00FA1B51">
        <w:rPr>
          <w:rFonts w:ascii="Times New Roman" w:hAnsi="Times New Roman" w:cs="Times New Roman"/>
          <w:sz w:val="24"/>
          <w:szCs w:val="24"/>
        </w:rPr>
        <w:t xml:space="preserve">The practical creativity of this project emerges from its distinctive theoretical framework, a narrative experience equally centered around memory, empathy, and a tripartite framework of space, society, and time. This approach moves away from the traditional paradigm which treats memory as a discrete, abstract entity. Instead, it nests memory within the social ecosystem of spatial locales, societal contexts, and temporal continuities. To illuminate the shortcomings of traditional paradigms, let's consider two case examples. </w:t>
      </w:r>
      <w:r w:rsidR="00494658" w:rsidRPr="00FA1B51">
        <w:rPr>
          <w:rFonts w:ascii="Times New Roman" w:hAnsi="Times New Roman" w:cs="Times New Roman"/>
          <w:sz w:val="24"/>
          <w:szCs w:val="24"/>
        </w:rPr>
        <w:t xml:space="preserve">First, traditional memorials like The World War II Memorial in Washington D.C. present history in a fixed, unchanging way. The World War II Memorial uses large statues and engraved stones to portray historical narratives that visitors passively observe. Its grand architectural style and commemorative plaques immortalize specific stories in an inflexible, permanent form. </w:t>
      </w:r>
      <w:r w:rsidRPr="00FA1B51">
        <w:rPr>
          <w:rFonts w:ascii="Times New Roman" w:hAnsi="Times New Roman" w:cs="Times New Roman"/>
          <w:sz w:val="24"/>
          <w:szCs w:val="24"/>
        </w:rPr>
        <w:t>While inspiring, it doesn't facilitate personal interaction or create space for evolving collective memories. The second example is the Vietnam Veterans Memorial. While it took an innovative approach by allowing visitors to touch the names engraved and leave personal mementos, the static nature of the engraved names, nonetheless, confines the memory within a temporal snapshot. By contrast, this project breathes the memory of a personal narrative into life as a constantly collected living reality that is intimately intertwined with space, society, and time.</w:t>
      </w:r>
    </w:p>
    <w:p w14:paraId="3FAAB455" w14:textId="5527AE26" w:rsidR="00B10402" w:rsidRPr="00FA1B51" w:rsidRDefault="00D3514F" w:rsidP="00D3514F">
      <w:pPr>
        <w:rPr>
          <w:rFonts w:ascii="Times New Roman" w:hAnsi="Times New Roman" w:cs="Times New Roman"/>
          <w:sz w:val="24"/>
          <w:szCs w:val="24"/>
        </w:rPr>
      </w:pPr>
      <w:r w:rsidRPr="00FA1B51">
        <w:rPr>
          <w:rFonts w:ascii="Times New Roman" w:hAnsi="Times New Roman" w:cs="Times New Roman"/>
          <w:sz w:val="24"/>
          <w:szCs w:val="24"/>
        </w:rPr>
        <w:t xml:space="preserve">The second point of innovative use in terms of technology is that the practice innovatively employs digital technology to implement this comprehensive approach. First, it is not confined by the physical environment, allowing for dynamic and continuous updates. Take for example the 911 Digital Archive and The Memorial Gardens project, both of which have been maintained and updated since their respective </w:t>
      </w:r>
      <w:r w:rsidRPr="00FA1B51">
        <w:rPr>
          <w:rFonts w:ascii="Times New Roman" w:hAnsi="Times New Roman" w:cs="Times New Roman"/>
          <w:sz w:val="24"/>
          <w:szCs w:val="24"/>
        </w:rPr>
        <w:lastRenderedPageBreak/>
        <w:t>events. However, they lack a substantial digital offline experience, or the space provided is rudimentary, like the Memorial Gardens' crude simulation of the real scene. Secondly, the low-tech, low-cost design of the program ensures accessibility to a wide audience, promotes democratization of the project, and universal practicality. Because most digital exhibition halls are currently too expensive, commercial, and non-commercial, such as digital memorials need to be more sustainable, because most digital memorials are public projects funded by large sponsors or national programs. For example, the Srebrenica-Potočari Memorial in Bosnia and Herzegovina cost over $4.5 million euros to construct</w:t>
      </w:r>
      <w:r w:rsidR="0083630E" w:rsidRPr="00FA1B51">
        <w:rPr>
          <w:rFonts w:ascii="Times New Roman" w:hAnsi="Times New Roman" w:cs="Times New Roman"/>
          <w:sz w:val="24"/>
          <w:szCs w:val="24"/>
        </w:rPr>
        <w:t xml:space="preserve"> (Arthur &amp; Yakinthou, 2018)</w:t>
      </w:r>
      <w:r w:rsidRPr="00FA1B51">
        <w:rPr>
          <w:rFonts w:ascii="Times New Roman" w:hAnsi="Times New Roman" w:cs="Times New Roman"/>
          <w:sz w:val="24"/>
          <w:szCs w:val="24"/>
        </w:rPr>
        <w:t>, limiting the feasibility of replicating it</w:t>
      </w:r>
      <w:r w:rsidR="0083630E" w:rsidRPr="00FA1B51">
        <w:rPr>
          <w:rFonts w:ascii="Times New Roman" w:hAnsi="Times New Roman" w:cs="Times New Roman"/>
          <w:sz w:val="24"/>
          <w:szCs w:val="24"/>
        </w:rPr>
        <w:t>.</w:t>
      </w:r>
    </w:p>
    <w:p w14:paraId="24B99302" w14:textId="31F2AD8D" w:rsidR="00267405" w:rsidRPr="00FA1B51" w:rsidRDefault="00B10402" w:rsidP="002A1646">
      <w:pPr>
        <w:rPr>
          <w:rFonts w:ascii="Times New Roman" w:hAnsi="Times New Roman" w:cs="Times New Roman"/>
          <w:sz w:val="24"/>
          <w:szCs w:val="24"/>
        </w:rPr>
      </w:pPr>
      <w:r w:rsidRPr="00FA1B51">
        <w:rPr>
          <w:rFonts w:ascii="Times New Roman" w:hAnsi="Times New Roman" w:cs="Times New Roman"/>
          <w:sz w:val="24"/>
          <w:szCs w:val="24"/>
        </w:rPr>
        <w:t>Moreover, digital memorial spaces are more than just repositories of memories; they are platforms for empathic engagement, an interactive communication space where individual narratives merge into the collective memory of a group. It accomplishes this by incorporating user voices and visuals into a shared digital space that promotes emotional resonance among participants. By applying user experience and design principles, the project ensures a user-centered approach. It invites participants into an interactive, immersive experience that transforms them from passive recipients to active contributors. This design innovation shifts the balance of power from the museum's curators to the participants, strengthening the democratic potential of digital spaces. Thus, this project embodies creativity both in its theoretical basis and in its practical execution. It offers a new vision for memory and digital space, breaking with traditional approaches and bridging the gap between theory and practice. The integrative framework and digitally augmented experience present innovative possibilities for commemorative spaces moving forward.</w:t>
      </w:r>
    </w:p>
    <w:p w14:paraId="7246B7E3" w14:textId="77777777" w:rsidR="00B54221" w:rsidRDefault="00B54221" w:rsidP="002A1646">
      <w:pPr>
        <w:rPr>
          <w:rFonts w:ascii="Times New Roman" w:hAnsi="Times New Roman" w:cs="Times New Roman"/>
          <w:sz w:val="24"/>
          <w:szCs w:val="24"/>
        </w:rPr>
      </w:pPr>
      <w:r w:rsidRPr="00B54221">
        <w:rPr>
          <w:rFonts w:ascii="Times New Roman" w:hAnsi="Times New Roman" w:cs="Times New Roman"/>
          <w:sz w:val="24"/>
          <w:szCs w:val="24"/>
        </w:rPr>
        <w:t>(3) Methodology &amp; Projected Results: Integrating Phenomenology and Autoethnography in Digital Memory Spaces</w:t>
      </w:r>
    </w:p>
    <w:p w14:paraId="196DE9ED" w14:textId="03626EF1" w:rsidR="00B54221" w:rsidRDefault="00B54221" w:rsidP="002A1646">
      <w:pPr>
        <w:rPr>
          <w:rFonts w:ascii="Times New Roman" w:hAnsi="Times New Roman" w:cs="Times New Roman"/>
          <w:sz w:val="24"/>
          <w:szCs w:val="24"/>
        </w:rPr>
      </w:pPr>
      <w:r w:rsidRPr="00B54221">
        <w:rPr>
          <w:rFonts w:ascii="Times New Roman" w:hAnsi="Times New Roman" w:cs="Times New Roman"/>
          <w:sz w:val="24"/>
          <w:szCs w:val="24"/>
        </w:rPr>
        <w:t>The primary aim of this practical work is to create a groundbreaking digital memorial that encourages collective remembrance and emotional resonance. This is accomplished through the use of augmented reality and interactive multimedia to create shared spaces for commemoration. The project is designed to promote empathic engagement, inviting participants to contribute their memories to a communal digital space, leading to the creation of a collective memory place.</w:t>
      </w:r>
      <w:r>
        <w:rPr>
          <w:rFonts w:ascii="Times New Roman" w:hAnsi="Times New Roman" w:cs="Times New Roman"/>
          <w:sz w:val="24"/>
          <w:szCs w:val="24"/>
        </w:rPr>
        <w:t xml:space="preserve"> </w:t>
      </w:r>
      <w:r w:rsidRPr="00B54221">
        <w:rPr>
          <w:rFonts w:ascii="Times New Roman" w:hAnsi="Times New Roman" w:cs="Times New Roman"/>
          <w:sz w:val="24"/>
          <w:szCs w:val="24"/>
        </w:rPr>
        <w:t>Crucially, this project seeks to democratize access to the digital memorial space by adopting a low-tech, cost-effective design strategy. This modern approach, utilizing augmented reality and interactive multimedia, diverges significantly from conventional memory spaces. It seeks to overcome the physical restrictions and time limitations of traditional memorials.</w:t>
      </w:r>
      <w:r>
        <w:rPr>
          <w:rFonts w:ascii="Times New Roman" w:hAnsi="Times New Roman" w:cs="Times New Roman"/>
          <w:sz w:val="24"/>
          <w:szCs w:val="24"/>
        </w:rPr>
        <w:t xml:space="preserve"> </w:t>
      </w:r>
      <w:r w:rsidRPr="00B54221">
        <w:rPr>
          <w:rFonts w:ascii="Times New Roman" w:hAnsi="Times New Roman" w:cs="Times New Roman"/>
          <w:sz w:val="24"/>
          <w:szCs w:val="24"/>
        </w:rPr>
        <w:t>This digital memorial provides a dynamic, accessible, and ever-evolving space where personal memories merge into a collective narrative, fostering a shared understanding of history, place, and identity. By using low-tech, low-cost design strategies, this project aims to reach a wider audience, emphasizing the democratization of the collective memory formation process.</w:t>
      </w:r>
    </w:p>
    <w:p w14:paraId="1FC7A5F2" w14:textId="68A2EBE7" w:rsidR="00182B4D" w:rsidRPr="00FA1B51" w:rsidRDefault="00B54221" w:rsidP="002A1646">
      <w:pPr>
        <w:rPr>
          <w:rFonts w:ascii="Times New Roman" w:hAnsi="Times New Roman" w:cs="Times New Roman"/>
          <w:sz w:val="24"/>
          <w:szCs w:val="24"/>
        </w:rPr>
      </w:pPr>
      <w:r w:rsidRPr="00B54221">
        <w:rPr>
          <w:rFonts w:ascii="Times New Roman" w:hAnsi="Times New Roman" w:cs="Times New Roman"/>
          <w:sz w:val="24"/>
          <w:szCs w:val="24"/>
        </w:rPr>
        <w:t>The project employs phenomenological and autoethnographic methodologies for data collection and analysis. As explained by Husserl and Gibson (1983), these methods help understand and interpret the meaning of lived experiences.</w:t>
      </w:r>
      <w:r>
        <w:rPr>
          <w:rFonts w:ascii="Times New Roman" w:hAnsi="Times New Roman" w:cs="Times New Roman"/>
          <w:sz w:val="24"/>
          <w:szCs w:val="24"/>
        </w:rPr>
        <w:t xml:space="preserve"> </w:t>
      </w:r>
      <w:r w:rsidR="00EF12B2" w:rsidRPr="00FA1B51">
        <w:rPr>
          <w:rFonts w:ascii="Times New Roman" w:hAnsi="Times New Roman" w:cs="Times New Roman"/>
          <w:sz w:val="24"/>
          <w:szCs w:val="24"/>
        </w:rPr>
        <w:t xml:space="preserve">This method provides </w:t>
      </w:r>
      <w:r w:rsidR="00EF12B2" w:rsidRPr="00FA1B51">
        <w:rPr>
          <w:rFonts w:ascii="Times New Roman" w:hAnsi="Times New Roman" w:cs="Times New Roman"/>
          <w:sz w:val="24"/>
          <w:szCs w:val="24"/>
        </w:rPr>
        <w:lastRenderedPageBreak/>
        <w:t xml:space="preserve">a deep insight into how individuals perceive and remember past events, and how these memories shape their sense of place. </w:t>
      </w:r>
      <w:r w:rsidR="00182B4D" w:rsidRPr="00FA1B51">
        <w:rPr>
          <w:rFonts w:ascii="Times New Roman" w:hAnsi="Times New Roman" w:cs="Times New Roman"/>
          <w:sz w:val="24"/>
          <w:szCs w:val="24"/>
        </w:rPr>
        <w:t xml:space="preserve">I </w:t>
      </w:r>
      <w:r w:rsidR="00CE67AA" w:rsidRPr="00FA1B51">
        <w:rPr>
          <w:rFonts w:ascii="Times New Roman" w:hAnsi="Times New Roman" w:cs="Times New Roman"/>
          <w:sz w:val="24"/>
          <w:szCs w:val="24"/>
        </w:rPr>
        <w:t>plan to use</w:t>
      </w:r>
      <w:r w:rsidR="00182B4D" w:rsidRPr="00FA1B51">
        <w:rPr>
          <w:rFonts w:ascii="Times New Roman" w:hAnsi="Times New Roman" w:cs="Times New Roman"/>
          <w:sz w:val="24"/>
          <w:szCs w:val="24"/>
        </w:rPr>
        <w:t xml:space="preserve"> in-depth or semi-structured interviews with 25 users who had experienced other digital memorial Spaces and analyzed the data using interpretive phenomenological analysis (IPA) methods. Questions for participants were designed to tap into their experiences and the emotional resonance those experiences evoked, such as: "How would you describe your experience navigating a digital memorial space?" Can you recall a specific memory or emotion that you were evoked in the digital memorial space? Do you think that the abstract dynamic image expression or the concrete photographic graphics in the digital memorial space can impress you more? Or do you think that the combination of music and dynamic abstract images can better guide your memory and imagination? </w:t>
      </w:r>
      <w:r w:rsidR="00CE67AA" w:rsidRPr="00FA1B51">
        <w:rPr>
          <w:rFonts w:ascii="Times New Roman" w:hAnsi="Times New Roman" w:cs="Times New Roman"/>
          <w:sz w:val="24"/>
          <w:szCs w:val="24"/>
        </w:rPr>
        <w:t>In the data analysis process, an interpretative phenomenological analysis (IPA) method is employed, which consists of several steps: reading and reread the data, initial recording, looking for connections, moving on to the next case, and looking for patterns between cases. For example, suppose I found in the responses of some participants that, from initial attention, the fusion of music and abstract moving images was viewed by the audience as an important catalyst for memory recall. If it is considered a recurring theme, this suggests that abstract images, when paired with music, have a profound effect on evoking memories and guiding participants' imaginations in digital memorial Spaces. This finding was then cross-validated with the experience of other participants, ensuring a robust and reliable analysis. This meticulous process provides a deeper understanding of the participants' life experiences and what emotional resonance is elicited in the digital memorial space, providing a basis for further development and refinement of the project.</w:t>
      </w:r>
      <w:r w:rsidR="00950EEA" w:rsidRPr="00FA1B51">
        <w:rPr>
          <w:rFonts w:ascii="Times New Roman" w:hAnsi="Times New Roman" w:cs="Times New Roman"/>
          <w:sz w:val="24"/>
          <w:szCs w:val="24"/>
        </w:rPr>
        <w:t xml:space="preserve"> </w:t>
      </w:r>
      <w:r w:rsidR="00182B4D" w:rsidRPr="00FA1B51">
        <w:rPr>
          <w:rFonts w:ascii="Times New Roman" w:hAnsi="Times New Roman" w:cs="Times New Roman"/>
          <w:sz w:val="24"/>
          <w:szCs w:val="24"/>
        </w:rPr>
        <w:t>Autoethnography, on the other hand, fuses elements of autobiography and ethnography (Ellis et al., 2011), allowing the researcher to interweave personal experiences into the larger narrative.</w:t>
      </w:r>
      <w:r w:rsidR="00CE67AA" w:rsidRPr="00FA1B51">
        <w:rPr>
          <w:rFonts w:ascii="Times New Roman" w:hAnsi="Times New Roman" w:cs="Times New Roman"/>
          <w:sz w:val="24"/>
          <w:szCs w:val="24"/>
        </w:rPr>
        <w:t xml:space="preserve"> As a curator of digital memorial Spaces, I take this approach to document and reflect on my personal experiences in other prominent digital memorial Spaces. After that, I plan to use the participation observation method to qualitatively describe the participation process of 25 users, and use the IPA method for analysis.</w:t>
      </w:r>
    </w:p>
    <w:p w14:paraId="1F3F1B49" w14:textId="0A334F52" w:rsidR="00AF267B" w:rsidRPr="00FA1B51" w:rsidRDefault="00950EEA" w:rsidP="002A1646">
      <w:pPr>
        <w:rPr>
          <w:rFonts w:ascii="Times New Roman" w:hAnsi="Times New Roman" w:cs="Times New Roman"/>
          <w:sz w:val="24"/>
          <w:szCs w:val="24"/>
        </w:rPr>
      </w:pPr>
      <w:r w:rsidRPr="00FA1B51">
        <w:rPr>
          <w:rFonts w:ascii="Times New Roman" w:hAnsi="Times New Roman" w:cs="Times New Roman"/>
          <w:sz w:val="24"/>
          <w:szCs w:val="24"/>
        </w:rPr>
        <w:t xml:space="preserve">The synergistic application of phenomenology and autoethnography aids in comprehending the nuances of memory sharing, collective memory formation, and emotional resonance. It forms the project's backbone, offering a multi-faceted perspective of the narrative experience, shaped by the tripartite framework of space, society, and time. The anticipated outcomes of this project are manifold. Firstly, it is expected to birth a unique offline and online digital memorial space that promotes emotional and empathetic connections among participants. The constant maintenance of the web version will ensure the continuity and accessibility of the collective memory. Secondly, it will enrich academic understanding by offering fresh insights into the interplay of place, collective memory, and emotional resonance. It </w:t>
      </w:r>
      <w:r w:rsidR="00896CB0" w:rsidRPr="00FA1B51">
        <w:rPr>
          <w:rFonts w:ascii="Times New Roman" w:hAnsi="Times New Roman" w:cs="Times New Roman"/>
          <w:sz w:val="24"/>
          <w:szCs w:val="24"/>
        </w:rPr>
        <w:t xml:space="preserve">will </w:t>
      </w:r>
      <w:r w:rsidRPr="00FA1B51">
        <w:rPr>
          <w:rFonts w:ascii="Times New Roman" w:hAnsi="Times New Roman" w:cs="Times New Roman"/>
          <w:sz w:val="24"/>
          <w:szCs w:val="24"/>
        </w:rPr>
        <w:t>propose a narrative experience theory that bridges the gap between theory and practice, laying the groundwork for future research and applications in the realm of digital memory spaces.</w:t>
      </w:r>
    </w:p>
    <w:p w14:paraId="46080B89" w14:textId="014A85FB" w:rsidR="00267405" w:rsidRPr="00FA1B51" w:rsidRDefault="00AF267B" w:rsidP="002A1646">
      <w:pPr>
        <w:rPr>
          <w:rFonts w:ascii="Times New Roman" w:hAnsi="Times New Roman" w:cs="Times New Roman"/>
          <w:b/>
          <w:bCs/>
          <w:sz w:val="24"/>
          <w:szCs w:val="24"/>
        </w:rPr>
      </w:pPr>
      <w:r w:rsidRPr="00FA1B51">
        <w:rPr>
          <w:rFonts w:ascii="Times New Roman" w:hAnsi="Times New Roman" w:cs="Times New Roman"/>
          <w:b/>
          <w:bCs/>
          <w:sz w:val="24"/>
          <w:szCs w:val="24"/>
        </w:rPr>
        <w:t xml:space="preserve">Conclusion </w:t>
      </w:r>
    </w:p>
    <w:p w14:paraId="074C7F71" w14:textId="27AA8F37" w:rsidR="00267405" w:rsidRPr="00FA1B51" w:rsidRDefault="00C610B4" w:rsidP="002A1646">
      <w:pPr>
        <w:rPr>
          <w:rFonts w:ascii="Times New Roman" w:hAnsi="Times New Roman" w:cs="Times New Roman"/>
          <w:sz w:val="24"/>
          <w:szCs w:val="24"/>
        </w:rPr>
      </w:pPr>
      <w:r w:rsidRPr="00FA1B51">
        <w:rPr>
          <w:rFonts w:ascii="Times New Roman" w:hAnsi="Times New Roman" w:cs="Times New Roman"/>
          <w:sz w:val="24"/>
          <w:szCs w:val="24"/>
        </w:rPr>
        <w:t xml:space="preserve">In conclusion, this project has contributed a significant step forward in understanding how the nuances of memory, empathy, and place can be combined in a digital memorial </w:t>
      </w:r>
      <w:r w:rsidRPr="00FA1B51">
        <w:rPr>
          <w:rFonts w:ascii="Times New Roman" w:hAnsi="Times New Roman" w:cs="Times New Roman"/>
          <w:sz w:val="24"/>
          <w:szCs w:val="24"/>
        </w:rPr>
        <w:lastRenderedPageBreak/>
        <w:t xml:space="preserve">space, providing an immersive narrative experience that promotes collective memory and emotional resonance. </w:t>
      </w:r>
      <w:bookmarkStart w:id="10" w:name="OLE_LINK6"/>
      <w:r w:rsidRPr="00FA1B51">
        <w:rPr>
          <w:rFonts w:ascii="Times New Roman" w:hAnsi="Times New Roman" w:cs="Times New Roman"/>
          <w:sz w:val="24"/>
          <w:szCs w:val="24"/>
        </w:rPr>
        <w:t>The expected findings of this project align and expand upon concepts gleaned from the literature review. Traditional memorial spaces, as reviewed, often encapsulate memories as static, insular entities (Halbwachs, 1</w:t>
      </w:r>
      <w:r w:rsidR="008A6EE1" w:rsidRPr="00FA1B51">
        <w:rPr>
          <w:rFonts w:ascii="Times New Roman" w:hAnsi="Times New Roman" w:cs="Times New Roman"/>
          <w:sz w:val="24"/>
          <w:szCs w:val="24"/>
        </w:rPr>
        <w:t>997</w:t>
      </w:r>
      <w:r w:rsidRPr="00FA1B51">
        <w:rPr>
          <w:rFonts w:ascii="Times New Roman" w:hAnsi="Times New Roman" w:cs="Times New Roman"/>
          <w:sz w:val="24"/>
          <w:szCs w:val="24"/>
        </w:rPr>
        <w:t xml:space="preserve">), </w:t>
      </w:r>
      <w:bookmarkEnd w:id="10"/>
      <w:r w:rsidRPr="00FA1B51">
        <w:rPr>
          <w:rFonts w:ascii="Times New Roman" w:hAnsi="Times New Roman" w:cs="Times New Roman"/>
          <w:sz w:val="24"/>
          <w:szCs w:val="24"/>
        </w:rPr>
        <w:t>lacking the dynamic, interactive exchange Derrida (1994) advocates for in his hauntology. The digital memorial space proposed here refutes this static notion, offering an environment where memories are not just archived but continually lived, recollected, and reshaped, thus addressing the identified gap in existing memorial practices. Furthermore, the project pushes the concept of Tuan's (1977) place and space, blurring the lines between the two within the digital realm. This innovative approach resonates with the trend towards increasingly digital and virtual experiences of place and space, thus bridging the gap between theory and practice, between the physical and the digital. A key finding from the practical work carried out is the significant potential of a low-tech, low-cost, and accessible design strategy for the democratization of digital memorial space. This stands to shift the balance of power from the curators to the participants, thereby strengthening the democratic potential of digital spaces. It's an insight that challenges the prevalent high-tech, costly approach to digital memorial spaces, revealing the potential for more sustainable, inclusive practices.</w:t>
      </w:r>
    </w:p>
    <w:p w14:paraId="72165603" w14:textId="40C34E86" w:rsidR="00500767" w:rsidRPr="00FA1B51" w:rsidRDefault="00C610B4" w:rsidP="002A1646">
      <w:pPr>
        <w:rPr>
          <w:rFonts w:ascii="Times New Roman" w:hAnsi="Times New Roman" w:cs="Times New Roman"/>
          <w:sz w:val="24"/>
          <w:szCs w:val="24"/>
        </w:rPr>
      </w:pPr>
      <w:r w:rsidRPr="00FA1B51">
        <w:rPr>
          <w:rFonts w:ascii="Times New Roman" w:hAnsi="Times New Roman" w:cs="Times New Roman"/>
          <w:sz w:val="24"/>
          <w:szCs w:val="24"/>
        </w:rPr>
        <w:t xml:space="preserve">Assessing the project's objectives outlined in the introduction, it is evident that the goals could be largely achieved. The anticipated development of an innovative, immersive digital memorial space that promotes collective memory and empathic engagement among users is well on its way. However, there may be a slight divergence from the original expectation in terms of the depth of emotional resonance that the </w:t>
      </w:r>
      <w:r w:rsidR="001322CC" w:rsidRPr="00FA1B51">
        <w:rPr>
          <w:rFonts w:ascii="Times New Roman" w:hAnsi="Times New Roman" w:cs="Times New Roman"/>
          <w:sz w:val="24"/>
          <w:szCs w:val="24"/>
        </w:rPr>
        <w:t xml:space="preserve">online </w:t>
      </w:r>
      <w:r w:rsidRPr="00FA1B51">
        <w:rPr>
          <w:rFonts w:ascii="Times New Roman" w:hAnsi="Times New Roman" w:cs="Times New Roman"/>
          <w:sz w:val="24"/>
          <w:szCs w:val="24"/>
        </w:rPr>
        <w:t xml:space="preserve">digital space can evoke compared to </w:t>
      </w:r>
      <w:r w:rsidR="001322CC" w:rsidRPr="00FA1B51">
        <w:rPr>
          <w:rFonts w:ascii="Times New Roman" w:hAnsi="Times New Roman" w:cs="Times New Roman"/>
          <w:sz w:val="24"/>
          <w:szCs w:val="24"/>
        </w:rPr>
        <w:t>offline digital</w:t>
      </w:r>
      <w:r w:rsidRPr="00FA1B51">
        <w:rPr>
          <w:rFonts w:ascii="Times New Roman" w:hAnsi="Times New Roman" w:cs="Times New Roman"/>
          <w:sz w:val="24"/>
          <w:szCs w:val="24"/>
        </w:rPr>
        <w:t xml:space="preserve"> memorial spaces. The reason may be that the experience of the web is more inclined to pure visual stimulation and text narration, and it does not put itself into the process of the collective environment. </w:t>
      </w:r>
      <w:r w:rsidR="001322CC" w:rsidRPr="00FA1B51">
        <w:rPr>
          <w:rFonts w:ascii="Times New Roman" w:hAnsi="Times New Roman" w:cs="Times New Roman"/>
          <w:sz w:val="24"/>
          <w:szCs w:val="24"/>
        </w:rPr>
        <w:t xml:space="preserve">Reflecting on the project's creativity, it undeniably breaks new ground in the realm of digital memorial practices. By merging diverse philosophical theories with practical design principles, it paves the way for novel avenues of exploration and understanding regarding memory, place, and collective narrative within a digital context. Moreover, its emphasis on accessibility and inclusion has the potential to catalyze social change, democratizing the way we engage with collective memory. Yet, it must be acknowledged that in terms of digital presentation alone, this project may not be at the cutting edge of innovation. Referencing two popular digital exhibitions in London over the past two years can illustrate this point: David Hockney's exhibition, which unveiled the beauty of nature as he perceived it through a massive six-sided screen and accompanying music in a luminous chamber, and Outernet, an immersive entertainment district in central London projected on five extensive LED screens. Moving forward, research could further probe ways to enhance emotional resonance within digital memorial spaces, aiming to narrow the experiential gap between physical and digital realms. An exploration of more commercially oriented and entertaining applications of digital memorial spaces could potentially uncover innovative ways to engage the market. Moreover, an investigation into the long-term sustainability of low-cost, low-tech digital memorial spaces and their impact on memory preservation could offer invaluable insights. Lastly, as AI generation technology advances, opportunities arise for its deployment in creating more attractive, imaginative, and labour-efficient </w:t>
      </w:r>
      <w:r w:rsidR="001322CC" w:rsidRPr="00FA1B51">
        <w:rPr>
          <w:rFonts w:ascii="Times New Roman" w:hAnsi="Times New Roman" w:cs="Times New Roman"/>
          <w:sz w:val="24"/>
          <w:szCs w:val="24"/>
        </w:rPr>
        <w:lastRenderedPageBreak/>
        <w:t xml:space="preserve">displays. </w:t>
      </w:r>
      <w:r w:rsidR="00500767" w:rsidRPr="00FA1B51">
        <w:rPr>
          <w:rFonts w:ascii="Times New Roman" w:hAnsi="Times New Roman" w:cs="Times New Roman"/>
          <w:sz w:val="24"/>
          <w:szCs w:val="24"/>
        </w:rPr>
        <w:t>These technological advances can further push the frontiers of digital memorial by incorporating more immersive displays of multi-sensory elements into digital memorial Spaces. In essence, while this project may not lead in digital display innovation, its integrative, low-cost approach and abstract dynamic images for interactive storytelling makes the contribution to the democratisation of collective memory in the digital age.</w:t>
      </w:r>
    </w:p>
    <w:p w14:paraId="548B94F8" w14:textId="06DAEB5D" w:rsidR="00267405" w:rsidRPr="00FA1B51" w:rsidRDefault="00267405" w:rsidP="002A1646">
      <w:pPr>
        <w:rPr>
          <w:rFonts w:ascii="Times New Roman" w:hAnsi="Times New Roman" w:cs="Times New Roman"/>
          <w:sz w:val="24"/>
          <w:szCs w:val="24"/>
        </w:rPr>
      </w:pPr>
    </w:p>
    <w:p w14:paraId="17840B1B" w14:textId="73EB96D5" w:rsidR="00267405" w:rsidRPr="00FA1B51" w:rsidRDefault="00267405" w:rsidP="002A1646">
      <w:pPr>
        <w:rPr>
          <w:rFonts w:ascii="Times New Roman" w:hAnsi="Times New Roman" w:cs="Times New Roman"/>
          <w:sz w:val="24"/>
          <w:szCs w:val="24"/>
        </w:rPr>
      </w:pPr>
    </w:p>
    <w:p w14:paraId="300661F1" w14:textId="687728B7" w:rsidR="00267405" w:rsidRPr="00FA1B51" w:rsidRDefault="00267405" w:rsidP="002A1646">
      <w:pPr>
        <w:rPr>
          <w:rFonts w:ascii="Times New Roman" w:hAnsi="Times New Roman" w:cs="Times New Roman"/>
          <w:sz w:val="24"/>
          <w:szCs w:val="24"/>
        </w:rPr>
      </w:pPr>
    </w:p>
    <w:p w14:paraId="3E61F4E8" w14:textId="7F61AB9F" w:rsidR="00267405" w:rsidRPr="00FA1B51" w:rsidRDefault="00267405" w:rsidP="002A1646">
      <w:pPr>
        <w:rPr>
          <w:rFonts w:ascii="Times New Roman" w:hAnsi="Times New Roman" w:cs="Times New Roman"/>
          <w:sz w:val="24"/>
          <w:szCs w:val="24"/>
        </w:rPr>
      </w:pPr>
    </w:p>
    <w:p w14:paraId="610200AD" w14:textId="4EB71B50" w:rsidR="00267405" w:rsidRPr="00FA1B51" w:rsidRDefault="00267405" w:rsidP="002A1646">
      <w:pPr>
        <w:rPr>
          <w:rFonts w:ascii="Times New Roman" w:hAnsi="Times New Roman" w:cs="Times New Roman"/>
          <w:sz w:val="24"/>
          <w:szCs w:val="24"/>
        </w:rPr>
      </w:pPr>
    </w:p>
    <w:p w14:paraId="619FA048" w14:textId="11F171E8" w:rsidR="00267405" w:rsidRPr="00FA1B51" w:rsidRDefault="00267405" w:rsidP="002A1646">
      <w:pPr>
        <w:rPr>
          <w:rFonts w:ascii="Times New Roman" w:hAnsi="Times New Roman" w:cs="Times New Roman"/>
          <w:sz w:val="24"/>
          <w:szCs w:val="24"/>
        </w:rPr>
      </w:pPr>
    </w:p>
    <w:bookmarkEnd w:id="9"/>
    <w:p w14:paraId="7CBAA5D8" w14:textId="679A40B4" w:rsidR="00D45A53" w:rsidRDefault="00D45A53" w:rsidP="00D45A53">
      <w:pPr>
        <w:rPr>
          <w:rFonts w:ascii="Times New Roman" w:hAnsi="Times New Roman" w:cs="Times New Roman"/>
          <w:sz w:val="24"/>
          <w:szCs w:val="24"/>
        </w:rPr>
      </w:pPr>
    </w:p>
    <w:p w14:paraId="23B12B6F" w14:textId="5EDC0655" w:rsidR="00350555" w:rsidRDefault="00350555" w:rsidP="00D45A53">
      <w:pPr>
        <w:rPr>
          <w:rFonts w:ascii="Times New Roman" w:hAnsi="Times New Roman" w:cs="Times New Roman"/>
          <w:sz w:val="24"/>
          <w:szCs w:val="24"/>
        </w:rPr>
      </w:pPr>
    </w:p>
    <w:p w14:paraId="39EBCFE2" w14:textId="2692E53F" w:rsidR="00350555" w:rsidRDefault="00350555" w:rsidP="00D45A53">
      <w:pPr>
        <w:rPr>
          <w:rFonts w:ascii="Times New Roman" w:hAnsi="Times New Roman" w:cs="Times New Roman"/>
          <w:sz w:val="24"/>
          <w:szCs w:val="24"/>
        </w:rPr>
      </w:pPr>
    </w:p>
    <w:p w14:paraId="6C717B0D" w14:textId="588A8168" w:rsidR="00350555" w:rsidRDefault="00350555" w:rsidP="00D45A53">
      <w:pPr>
        <w:rPr>
          <w:rFonts w:ascii="Times New Roman" w:hAnsi="Times New Roman" w:cs="Times New Roman"/>
          <w:sz w:val="24"/>
          <w:szCs w:val="24"/>
        </w:rPr>
      </w:pPr>
    </w:p>
    <w:p w14:paraId="54934AF9" w14:textId="31B00448" w:rsidR="00350555" w:rsidRDefault="00350555" w:rsidP="00D45A53">
      <w:pPr>
        <w:rPr>
          <w:rFonts w:ascii="Times New Roman" w:hAnsi="Times New Roman" w:cs="Times New Roman"/>
          <w:sz w:val="24"/>
          <w:szCs w:val="24"/>
        </w:rPr>
      </w:pPr>
    </w:p>
    <w:p w14:paraId="48A0FF1E" w14:textId="63680E3E" w:rsidR="00350555" w:rsidRDefault="00350555" w:rsidP="00D45A53">
      <w:pPr>
        <w:rPr>
          <w:rFonts w:ascii="Times New Roman" w:hAnsi="Times New Roman" w:cs="Times New Roman"/>
          <w:sz w:val="24"/>
          <w:szCs w:val="24"/>
        </w:rPr>
      </w:pPr>
    </w:p>
    <w:p w14:paraId="29F75364" w14:textId="1046E844" w:rsidR="00350555" w:rsidRDefault="00350555" w:rsidP="00D45A53">
      <w:pPr>
        <w:rPr>
          <w:rFonts w:ascii="Times New Roman" w:hAnsi="Times New Roman" w:cs="Times New Roman"/>
          <w:sz w:val="24"/>
          <w:szCs w:val="24"/>
        </w:rPr>
      </w:pPr>
    </w:p>
    <w:p w14:paraId="0B493061" w14:textId="11D1AB25" w:rsidR="00350555" w:rsidRDefault="00350555" w:rsidP="00D45A53">
      <w:pPr>
        <w:rPr>
          <w:rFonts w:ascii="Times New Roman" w:hAnsi="Times New Roman" w:cs="Times New Roman"/>
          <w:sz w:val="24"/>
          <w:szCs w:val="24"/>
        </w:rPr>
      </w:pPr>
    </w:p>
    <w:p w14:paraId="339F5CDF" w14:textId="03BA93DC" w:rsidR="00350555" w:rsidRDefault="00350555" w:rsidP="00D45A53">
      <w:pPr>
        <w:rPr>
          <w:rFonts w:ascii="Times New Roman" w:hAnsi="Times New Roman" w:cs="Times New Roman"/>
          <w:sz w:val="24"/>
          <w:szCs w:val="24"/>
        </w:rPr>
      </w:pPr>
    </w:p>
    <w:p w14:paraId="27C6FEEB" w14:textId="182E465B" w:rsidR="00350555" w:rsidRDefault="00350555" w:rsidP="00D45A53">
      <w:pPr>
        <w:rPr>
          <w:rFonts w:ascii="Times New Roman" w:hAnsi="Times New Roman" w:cs="Times New Roman"/>
          <w:sz w:val="24"/>
          <w:szCs w:val="24"/>
        </w:rPr>
      </w:pPr>
    </w:p>
    <w:p w14:paraId="424DC163" w14:textId="3C00D2E0" w:rsidR="00350555" w:rsidRDefault="00350555" w:rsidP="00D45A53">
      <w:pPr>
        <w:rPr>
          <w:rFonts w:ascii="Times New Roman" w:hAnsi="Times New Roman" w:cs="Times New Roman"/>
          <w:sz w:val="24"/>
          <w:szCs w:val="24"/>
        </w:rPr>
      </w:pPr>
    </w:p>
    <w:p w14:paraId="06A6A209" w14:textId="41A2F1C3" w:rsidR="00350555" w:rsidRDefault="00350555" w:rsidP="00D45A53">
      <w:pPr>
        <w:rPr>
          <w:rFonts w:ascii="Times New Roman" w:hAnsi="Times New Roman" w:cs="Times New Roman"/>
          <w:sz w:val="24"/>
          <w:szCs w:val="24"/>
        </w:rPr>
      </w:pPr>
    </w:p>
    <w:p w14:paraId="23218C0D" w14:textId="590689C4" w:rsidR="00350555" w:rsidRDefault="00350555" w:rsidP="00D45A53">
      <w:pPr>
        <w:rPr>
          <w:rFonts w:ascii="Times New Roman" w:hAnsi="Times New Roman" w:cs="Times New Roman"/>
          <w:sz w:val="24"/>
          <w:szCs w:val="24"/>
        </w:rPr>
      </w:pPr>
    </w:p>
    <w:p w14:paraId="6AE00323" w14:textId="2EE534E0" w:rsidR="00350555" w:rsidRDefault="00350555" w:rsidP="00D45A53">
      <w:pPr>
        <w:rPr>
          <w:rFonts w:ascii="Times New Roman" w:hAnsi="Times New Roman" w:cs="Times New Roman"/>
          <w:sz w:val="24"/>
          <w:szCs w:val="24"/>
        </w:rPr>
      </w:pPr>
    </w:p>
    <w:p w14:paraId="2A2A433A" w14:textId="3261D758" w:rsidR="00350555" w:rsidRDefault="00350555" w:rsidP="00D45A53">
      <w:pPr>
        <w:rPr>
          <w:rFonts w:ascii="Times New Roman" w:hAnsi="Times New Roman" w:cs="Times New Roman"/>
          <w:sz w:val="24"/>
          <w:szCs w:val="24"/>
        </w:rPr>
      </w:pPr>
    </w:p>
    <w:p w14:paraId="6E8F2B8C" w14:textId="05869F3C" w:rsidR="00350555" w:rsidRDefault="00350555" w:rsidP="00D45A53">
      <w:pPr>
        <w:rPr>
          <w:rFonts w:ascii="Times New Roman" w:hAnsi="Times New Roman" w:cs="Times New Roman"/>
          <w:sz w:val="24"/>
          <w:szCs w:val="24"/>
        </w:rPr>
      </w:pPr>
    </w:p>
    <w:p w14:paraId="18978090" w14:textId="77777777" w:rsidR="00350555" w:rsidRPr="00FA1B51" w:rsidRDefault="00350555" w:rsidP="00D45A53">
      <w:pPr>
        <w:rPr>
          <w:rFonts w:ascii="Times New Roman" w:hAnsi="Times New Roman" w:cs="Times New Roman"/>
          <w:sz w:val="24"/>
          <w:szCs w:val="24"/>
        </w:rPr>
      </w:pPr>
    </w:p>
    <w:p w14:paraId="0D8798ED" w14:textId="405EFBE6" w:rsidR="00D45A53" w:rsidRDefault="00D45A53" w:rsidP="00D45A53">
      <w:pPr>
        <w:rPr>
          <w:rFonts w:ascii="Times New Roman" w:hAnsi="Times New Roman" w:cs="Times New Roman"/>
          <w:sz w:val="24"/>
          <w:szCs w:val="24"/>
        </w:rPr>
      </w:pPr>
    </w:p>
    <w:p w14:paraId="16F28E7C" w14:textId="77777777" w:rsidR="00C636D8" w:rsidRPr="00FA1B51" w:rsidRDefault="00C636D8" w:rsidP="00D45A53">
      <w:pPr>
        <w:rPr>
          <w:rFonts w:ascii="Times New Roman" w:hAnsi="Times New Roman" w:cs="Times New Roman"/>
          <w:sz w:val="24"/>
          <w:szCs w:val="24"/>
        </w:rPr>
      </w:pPr>
    </w:p>
    <w:p w14:paraId="66278C56" w14:textId="1DD45F69" w:rsidR="00D45A53" w:rsidRPr="00FA1B51" w:rsidRDefault="00D45A53" w:rsidP="00D45A53">
      <w:pPr>
        <w:rPr>
          <w:rFonts w:ascii="Times New Roman" w:hAnsi="Times New Roman" w:cs="Times New Roman"/>
          <w:b/>
          <w:bCs/>
          <w:sz w:val="24"/>
          <w:szCs w:val="24"/>
        </w:rPr>
      </w:pPr>
      <w:r w:rsidRPr="00FA1B51">
        <w:rPr>
          <w:rFonts w:ascii="Times New Roman" w:hAnsi="Times New Roman" w:cs="Times New Roman"/>
          <w:b/>
          <w:bCs/>
          <w:sz w:val="24"/>
          <w:szCs w:val="24"/>
        </w:rPr>
        <w:t>Reference</w:t>
      </w:r>
      <w:r w:rsidR="00F97B86" w:rsidRPr="00FA1B51">
        <w:rPr>
          <w:rFonts w:ascii="Times New Roman" w:hAnsi="Times New Roman" w:cs="Times New Roman"/>
          <w:b/>
          <w:bCs/>
          <w:sz w:val="24"/>
          <w:szCs w:val="24"/>
        </w:rPr>
        <w:t>:</w:t>
      </w:r>
    </w:p>
    <w:p w14:paraId="2E886A96" w14:textId="77777777" w:rsidR="00F7597C" w:rsidRPr="00F7597C" w:rsidRDefault="00F7597C" w:rsidP="006D76DE">
      <w:pPr>
        <w:rPr>
          <w:rFonts w:ascii="Times New Roman" w:hAnsi="Times New Roman" w:cs="Times New Roman"/>
          <w:color w:val="222222"/>
          <w:sz w:val="24"/>
          <w:szCs w:val="24"/>
          <w:shd w:val="clear" w:color="auto" w:fill="FFFFFF"/>
        </w:rPr>
      </w:pPr>
      <w:r w:rsidRPr="00F7597C">
        <w:rPr>
          <w:rFonts w:ascii="Times New Roman" w:hAnsi="Times New Roman" w:cs="Times New Roman"/>
          <w:color w:val="222222"/>
          <w:sz w:val="24"/>
          <w:szCs w:val="24"/>
          <w:shd w:val="clear" w:color="auto" w:fill="FFFFFF"/>
        </w:rPr>
        <w:lastRenderedPageBreak/>
        <w:t>Anderson, B. (2020). Imagined communities: Reflections on the origin and spread of nationalism. In </w:t>
      </w:r>
      <w:r w:rsidRPr="00F7597C">
        <w:rPr>
          <w:rFonts w:ascii="Times New Roman" w:hAnsi="Times New Roman" w:cs="Times New Roman"/>
          <w:i/>
          <w:iCs/>
          <w:color w:val="222222"/>
          <w:sz w:val="24"/>
          <w:szCs w:val="24"/>
          <w:shd w:val="clear" w:color="auto" w:fill="FFFFFF"/>
        </w:rPr>
        <w:t>The new social theory reader</w:t>
      </w:r>
      <w:r w:rsidRPr="00F7597C">
        <w:rPr>
          <w:rFonts w:ascii="Times New Roman" w:hAnsi="Times New Roman" w:cs="Times New Roman"/>
          <w:color w:val="222222"/>
          <w:sz w:val="24"/>
          <w:szCs w:val="24"/>
          <w:shd w:val="clear" w:color="auto" w:fill="FFFFFF"/>
        </w:rPr>
        <w:t> (pp. 282-288). Routledge.</w:t>
      </w:r>
    </w:p>
    <w:p w14:paraId="316AEBEE" w14:textId="52EB78DC"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Arthur, P., &amp; Yakinthou, C. (Eds.). (2018). </w:t>
      </w:r>
      <w:r w:rsidRPr="00F7597C">
        <w:rPr>
          <w:rFonts w:ascii="Times New Roman" w:hAnsi="Times New Roman" w:cs="Times New Roman"/>
          <w:i/>
          <w:iCs/>
          <w:sz w:val="24"/>
          <w:szCs w:val="24"/>
        </w:rPr>
        <w:t>Transitional justice, international assistance, and civil society: Missed connections</w:t>
      </w:r>
      <w:r w:rsidRPr="00FA1B51">
        <w:rPr>
          <w:rFonts w:ascii="Times New Roman" w:hAnsi="Times New Roman" w:cs="Times New Roman"/>
          <w:sz w:val="24"/>
          <w:szCs w:val="24"/>
        </w:rPr>
        <w:t>. Cambridge University Press.</w:t>
      </w:r>
    </w:p>
    <w:p w14:paraId="09359630" w14:textId="7B1EA7C5" w:rsidR="005B1491" w:rsidRPr="005B1491" w:rsidRDefault="005B1491" w:rsidP="006D76DE">
      <w:pPr>
        <w:rPr>
          <w:rFonts w:ascii="Times New Roman" w:hAnsi="Times New Roman" w:cs="Times New Roman"/>
          <w:sz w:val="24"/>
          <w:szCs w:val="24"/>
        </w:rPr>
      </w:pPr>
      <w:r w:rsidRPr="005B1491">
        <w:rPr>
          <w:rFonts w:ascii="Times New Roman" w:hAnsi="Times New Roman" w:cs="Times New Roman"/>
          <w:color w:val="222222"/>
          <w:sz w:val="24"/>
          <w:szCs w:val="24"/>
          <w:shd w:val="clear" w:color="auto" w:fill="FFFFFF"/>
        </w:rPr>
        <w:t>Bergson, H., Paul, N. M., &amp; Palmer, W. S. (2004). </w:t>
      </w:r>
      <w:r w:rsidRPr="005B1491">
        <w:rPr>
          <w:rFonts w:ascii="Times New Roman" w:hAnsi="Times New Roman" w:cs="Times New Roman"/>
          <w:i/>
          <w:iCs/>
          <w:color w:val="222222"/>
          <w:sz w:val="24"/>
          <w:szCs w:val="24"/>
          <w:shd w:val="clear" w:color="auto" w:fill="FFFFFF"/>
        </w:rPr>
        <w:t>Matter and memory</w:t>
      </w:r>
      <w:r w:rsidRPr="005B1491">
        <w:rPr>
          <w:rFonts w:ascii="Times New Roman" w:hAnsi="Times New Roman" w:cs="Times New Roman"/>
          <w:color w:val="222222"/>
          <w:sz w:val="24"/>
          <w:szCs w:val="24"/>
          <w:shd w:val="clear" w:color="auto" w:fill="FFFFFF"/>
        </w:rPr>
        <w:t>. Courier Corporation.</w:t>
      </w:r>
    </w:p>
    <w:p w14:paraId="13B00BAA" w14:textId="1A05B915"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Brubaker, J. R., Hayes, G. R., &amp; Dourish, P. (2013). Beyond the grave: Facebook as a site for the expansion of death and mourning. </w:t>
      </w:r>
      <w:r w:rsidRPr="005B1491">
        <w:rPr>
          <w:rFonts w:ascii="Times New Roman" w:hAnsi="Times New Roman" w:cs="Times New Roman"/>
          <w:i/>
          <w:iCs/>
          <w:sz w:val="24"/>
          <w:szCs w:val="24"/>
        </w:rPr>
        <w:t>The Information Society</w:t>
      </w:r>
      <w:r w:rsidRPr="00FA1B51">
        <w:rPr>
          <w:rFonts w:ascii="Times New Roman" w:hAnsi="Times New Roman" w:cs="Times New Roman"/>
          <w:sz w:val="24"/>
          <w:szCs w:val="24"/>
        </w:rPr>
        <w:t>, 29(3), 152-163.</w:t>
      </w:r>
    </w:p>
    <w:p w14:paraId="35C4A2E9" w14:textId="7C85CC29"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Champion, E. (2016). </w:t>
      </w:r>
      <w:r w:rsidRPr="005B1491">
        <w:rPr>
          <w:rFonts w:ascii="Times New Roman" w:hAnsi="Times New Roman" w:cs="Times New Roman"/>
          <w:i/>
          <w:iCs/>
          <w:sz w:val="24"/>
          <w:szCs w:val="24"/>
        </w:rPr>
        <w:t>Critical gaming: Interactive history and virtual heritage</w:t>
      </w:r>
      <w:r w:rsidRPr="00FA1B51">
        <w:rPr>
          <w:rFonts w:ascii="Times New Roman" w:hAnsi="Times New Roman" w:cs="Times New Roman"/>
          <w:sz w:val="24"/>
          <w:szCs w:val="24"/>
        </w:rPr>
        <w:t>. Routledge.</w:t>
      </w:r>
    </w:p>
    <w:p w14:paraId="53CE09DF" w14:textId="33F64DD6"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Church, S. H. (2013). Digital gravescapes: Digital memorializing on Facebook. </w:t>
      </w:r>
      <w:r w:rsidRPr="00334E29">
        <w:rPr>
          <w:rFonts w:ascii="Times New Roman" w:hAnsi="Times New Roman" w:cs="Times New Roman"/>
          <w:i/>
          <w:iCs/>
          <w:sz w:val="24"/>
          <w:szCs w:val="24"/>
        </w:rPr>
        <w:t>The Information Society</w:t>
      </w:r>
      <w:r w:rsidRPr="00FA1B51">
        <w:rPr>
          <w:rFonts w:ascii="Times New Roman" w:hAnsi="Times New Roman" w:cs="Times New Roman"/>
          <w:sz w:val="24"/>
          <w:szCs w:val="24"/>
        </w:rPr>
        <w:t>, 29(3), 184-189.</w:t>
      </w:r>
    </w:p>
    <w:p w14:paraId="7D16187B" w14:textId="0B14D7D9"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Cohen, L. B., &amp; Murray, S. W. (2017). Finding Global Justice Locally at Sites of Atrocity: The Case for the Srebrenica-Potočari Memorial Center and Cemetery. </w:t>
      </w:r>
      <w:r w:rsidRPr="00334E29">
        <w:rPr>
          <w:rFonts w:ascii="Times New Roman" w:hAnsi="Times New Roman" w:cs="Times New Roman"/>
          <w:i/>
          <w:iCs/>
          <w:sz w:val="24"/>
          <w:szCs w:val="24"/>
        </w:rPr>
        <w:t>Understanding Atrocities: Remembering, Representing, and Teaching Genocide</w:t>
      </w:r>
      <w:r w:rsidRPr="00FA1B51">
        <w:rPr>
          <w:rFonts w:ascii="Times New Roman" w:hAnsi="Times New Roman" w:cs="Times New Roman"/>
          <w:sz w:val="24"/>
          <w:szCs w:val="24"/>
        </w:rPr>
        <w:t>.</w:t>
      </w:r>
    </w:p>
    <w:p w14:paraId="0BC57DD2" w14:textId="39A94FC9"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DeGroot, J. M. (2008). </w:t>
      </w:r>
      <w:r w:rsidRPr="00334E29">
        <w:rPr>
          <w:rFonts w:ascii="Times New Roman" w:hAnsi="Times New Roman" w:cs="Times New Roman"/>
          <w:i/>
          <w:iCs/>
          <w:sz w:val="24"/>
          <w:szCs w:val="24"/>
        </w:rPr>
        <w:t>Consuming history: Historians and heritage in contemporary popular culture</w:t>
      </w:r>
      <w:r w:rsidRPr="00FA1B51">
        <w:rPr>
          <w:rFonts w:ascii="Times New Roman" w:hAnsi="Times New Roman" w:cs="Times New Roman"/>
          <w:sz w:val="24"/>
          <w:szCs w:val="24"/>
        </w:rPr>
        <w:t>. Routledge.</w:t>
      </w:r>
    </w:p>
    <w:p w14:paraId="3A75202A"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Derrida, J. (2012). </w:t>
      </w:r>
      <w:r w:rsidRPr="00334E29">
        <w:rPr>
          <w:rFonts w:ascii="Times New Roman" w:hAnsi="Times New Roman" w:cs="Times New Roman"/>
          <w:i/>
          <w:iCs/>
          <w:sz w:val="24"/>
          <w:szCs w:val="24"/>
        </w:rPr>
        <w:t>Specters of Marx: The state of the debt, the work of mourning and the new international</w:t>
      </w:r>
      <w:r w:rsidRPr="00FA1B51">
        <w:rPr>
          <w:rFonts w:ascii="Times New Roman" w:hAnsi="Times New Roman" w:cs="Times New Roman"/>
          <w:sz w:val="24"/>
          <w:szCs w:val="24"/>
        </w:rPr>
        <w:t>. routledge.</w:t>
      </w:r>
    </w:p>
    <w:p w14:paraId="242C2484" w14:textId="77777777" w:rsidR="00334E29" w:rsidRPr="00334E29" w:rsidRDefault="00334E29" w:rsidP="006D76DE">
      <w:pPr>
        <w:rPr>
          <w:rFonts w:ascii="Times New Roman" w:hAnsi="Times New Roman" w:cs="Times New Roman"/>
          <w:color w:val="222222"/>
          <w:sz w:val="24"/>
          <w:szCs w:val="24"/>
          <w:shd w:val="clear" w:color="auto" w:fill="FFFFFF"/>
        </w:rPr>
      </w:pPr>
      <w:r w:rsidRPr="00334E29">
        <w:rPr>
          <w:rFonts w:ascii="Times New Roman" w:hAnsi="Times New Roman" w:cs="Times New Roman"/>
          <w:color w:val="222222"/>
          <w:sz w:val="24"/>
          <w:szCs w:val="24"/>
          <w:shd w:val="clear" w:color="auto" w:fill="FFFFFF"/>
        </w:rPr>
        <w:t>Ellis, C., Adams, T. E., &amp; Bochner, A. P. (2011). Autoethnography: an overview. </w:t>
      </w:r>
      <w:r w:rsidRPr="00334E29">
        <w:rPr>
          <w:rFonts w:ascii="Times New Roman" w:hAnsi="Times New Roman" w:cs="Times New Roman"/>
          <w:i/>
          <w:iCs/>
          <w:color w:val="222222"/>
          <w:sz w:val="24"/>
          <w:szCs w:val="24"/>
          <w:shd w:val="clear" w:color="auto" w:fill="FFFFFF"/>
        </w:rPr>
        <w:t>Historical social research/Historische sozialforschung</w:t>
      </w:r>
      <w:r w:rsidRPr="00334E29">
        <w:rPr>
          <w:rFonts w:ascii="Times New Roman" w:hAnsi="Times New Roman" w:cs="Times New Roman"/>
          <w:color w:val="222222"/>
          <w:sz w:val="24"/>
          <w:szCs w:val="24"/>
          <w:shd w:val="clear" w:color="auto" w:fill="FFFFFF"/>
        </w:rPr>
        <w:t>, 273-290.</w:t>
      </w:r>
    </w:p>
    <w:p w14:paraId="3989B224" w14:textId="60301548" w:rsidR="006D76DE" w:rsidRPr="00334E29" w:rsidRDefault="00334E29" w:rsidP="006D76DE">
      <w:pPr>
        <w:rPr>
          <w:rFonts w:ascii="Times New Roman" w:hAnsi="Times New Roman" w:cs="Times New Roman"/>
          <w:sz w:val="24"/>
          <w:szCs w:val="24"/>
        </w:rPr>
      </w:pPr>
      <w:r w:rsidRPr="00334E29">
        <w:rPr>
          <w:rFonts w:ascii="Times New Roman" w:hAnsi="Times New Roman" w:cs="Times New Roman"/>
          <w:color w:val="222222"/>
          <w:sz w:val="24"/>
          <w:szCs w:val="24"/>
          <w:shd w:val="clear" w:color="auto" w:fill="FFFFFF"/>
        </w:rPr>
        <w:t>Garde-Hansen, J. (2009). MyMemories?: Personal digital archive fever and Facebook. In </w:t>
      </w:r>
      <w:r w:rsidRPr="00334E29">
        <w:rPr>
          <w:rFonts w:ascii="Times New Roman" w:hAnsi="Times New Roman" w:cs="Times New Roman"/>
          <w:i/>
          <w:iCs/>
          <w:color w:val="222222"/>
          <w:sz w:val="24"/>
          <w:szCs w:val="24"/>
          <w:shd w:val="clear" w:color="auto" w:fill="FFFFFF"/>
        </w:rPr>
        <w:t>Save as… Digital memories</w:t>
      </w:r>
      <w:r w:rsidRPr="00334E29">
        <w:rPr>
          <w:rFonts w:ascii="Times New Roman" w:hAnsi="Times New Roman" w:cs="Times New Roman"/>
          <w:color w:val="222222"/>
          <w:sz w:val="24"/>
          <w:szCs w:val="24"/>
          <w:shd w:val="clear" w:color="auto" w:fill="FFFFFF"/>
        </w:rPr>
        <w:t> (pp. 135-150). London: Palgrave Macmillan UK.</w:t>
      </w:r>
    </w:p>
    <w:p w14:paraId="472FAC34"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Garde-Hansen, J. (2011). </w:t>
      </w:r>
      <w:r w:rsidRPr="00334E29">
        <w:rPr>
          <w:rFonts w:ascii="Times New Roman" w:hAnsi="Times New Roman" w:cs="Times New Roman"/>
          <w:i/>
          <w:iCs/>
          <w:sz w:val="24"/>
          <w:szCs w:val="24"/>
        </w:rPr>
        <w:t>Media and memory</w:t>
      </w:r>
      <w:r w:rsidRPr="00FA1B51">
        <w:rPr>
          <w:rFonts w:ascii="Times New Roman" w:hAnsi="Times New Roman" w:cs="Times New Roman"/>
          <w:sz w:val="24"/>
          <w:szCs w:val="24"/>
        </w:rPr>
        <w:t>. Edinburgh University Press.</w:t>
      </w:r>
    </w:p>
    <w:p w14:paraId="69CF959B"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Halbwachs, M. (1997). </w:t>
      </w:r>
      <w:r w:rsidRPr="00334E29">
        <w:rPr>
          <w:rFonts w:ascii="Times New Roman" w:hAnsi="Times New Roman" w:cs="Times New Roman"/>
          <w:i/>
          <w:iCs/>
          <w:sz w:val="24"/>
          <w:szCs w:val="24"/>
        </w:rPr>
        <w:t>La mémoire collective</w:t>
      </w:r>
      <w:r w:rsidRPr="00FA1B51">
        <w:rPr>
          <w:rFonts w:ascii="Times New Roman" w:hAnsi="Times New Roman" w:cs="Times New Roman"/>
          <w:sz w:val="24"/>
          <w:szCs w:val="24"/>
        </w:rPr>
        <w:t>. Albin Michel.</w:t>
      </w:r>
    </w:p>
    <w:p w14:paraId="575E4836"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Halbwachs, M. (2020). </w:t>
      </w:r>
      <w:r w:rsidRPr="00334E29">
        <w:rPr>
          <w:rFonts w:ascii="Times New Roman" w:hAnsi="Times New Roman" w:cs="Times New Roman"/>
          <w:i/>
          <w:iCs/>
          <w:sz w:val="24"/>
          <w:szCs w:val="24"/>
        </w:rPr>
        <w:t>On collective memory</w:t>
      </w:r>
      <w:r w:rsidRPr="00FA1B51">
        <w:rPr>
          <w:rFonts w:ascii="Times New Roman" w:hAnsi="Times New Roman" w:cs="Times New Roman"/>
          <w:sz w:val="24"/>
          <w:szCs w:val="24"/>
        </w:rPr>
        <w:t>. University of Chicago press.</w:t>
      </w:r>
    </w:p>
    <w:p w14:paraId="7946F3D4"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Hansen, M. B. (2012). </w:t>
      </w:r>
      <w:r w:rsidRPr="00334E29">
        <w:rPr>
          <w:rFonts w:ascii="Times New Roman" w:hAnsi="Times New Roman" w:cs="Times New Roman"/>
          <w:i/>
          <w:iCs/>
          <w:sz w:val="24"/>
          <w:szCs w:val="24"/>
        </w:rPr>
        <w:t>Bodies in code: Interfaces with digital media</w:t>
      </w:r>
      <w:r w:rsidRPr="00FA1B51">
        <w:rPr>
          <w:rFonts w:ascii="Times New Roman" w:hAnsi="Times New Roman" w:cs="Times New Roman"/>
          <w:sz w:val="24"/>
          <w:szCs w:val="24"/>
        </w:rPr>
        <w:t>. Routledge.</w:t>
      </w:r>
    </w:p>
    <w:p w14:paraId="05DDDBAA"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Haskins, E. (2007). Between archive and participation: Public memory in a digital age. </w:t>
      </w:r>
      <w:r w:rsidRPr="00334E29">
        <w:rPr>
          <w:rFonts w:ascii="Times New Roman" w:hAnsi="Times New Roman" w:cs="Times New Roman"/>
          <w:i/>
          <w:iCs/>
          <w:sz w:val="24"/>
          <w:szCs w:val="24"/>
        </w:rPr>
        <w:t>Rhetoric Society Quarterly</w:t>
      </w:r>
      <w:r w:rsidRPr="00FA1B51">
        <w:rPr>
          <w:rFonts w:ascii="Times New Roman" w:hAnsi="Times New Roman" w:cs="Times New Roman"/>
          <w:sz w:val="24"/>
          <w:szCs w:val="24"/>
        </w:rPr>
        <w:t>, 37(4), 401-422.</w:t>
      </w:r>
    </w:p>
    <w:p w14:paraId="6E317394"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Holland, S., Mudd, T., Wilkie-McKenna, K., McPherson, A., &amp; Wanderley, M. M. (Eds.). (2019). </w:t>
      </w:r>
      <w:r w:rsidRPr="00334E29">
        <w:rPr>
          <w:rFonts w:ascii="Times New Roman" w:hAnsi="Times New Roman" w:cs="Times New Roman"/>
          <w:i/>
          <w:iCs/>
          <w:sz w:val="24"/>
          <w:szCs w:val="24"/>
        </w:rPr>
        <w:t>New Directions in Music and Human-Computer Interaction</w:t>
      </w:r>
      <w:r w:rsidRPr="00FA1B51">
        <w:rPr>
          <w:rFonts w:ascii="Times New Roman" w:hAnsi="Times New Roman" w:cs="Times New Roman"/>
          <w:sz w:val="24"/>
          <w:szCs w:val="24"/>
        </w:rPr>
        <w:t>. Cham, CH: Springer.</w:t>
      </w:r>
    </w:p>
    <w:p w14:paraId="60F91761" w14:textId="77777777" w:rsidR="00334E29" w:rsidRDefault="00334E29" w:rsidP="006D76DE">
      <w:pPr>
        <w:rPr>
          <w:rFonts w:ascii="Times New Roman" w:hAnsi="Times New Roman" w:cs="Times New Roman"/>
          <w:sz w:val="24"/>
          <w:szCs w:val="24"/>
        </w:rPr>
      </w:pPr>
      <w:r w:rsidRPr="00334E29">
        <w:rPr>
          <w:rFonts w:ascii="Times New Roman" w:hAnsi="Times New Roman" w:cs="Times New Roman"/>
          <w:sz w:val="24"/>
          <w:szCs w:val="24"/>
        </w:rPr>
        <w:t>Husserl, E., &amp; Gibson, W. R. B. (1983). </w:t>
      </w:r>
      <w:r w:rsidRPr="00334E29">
        <w:rPr>
          <w:rFonts w:ascii="Times New Roman" w:hAnsi="Times New Roman" w:cs="Times New Roman"/>
          <w:i/>
          <w:iCs/>
          <w:sz w:val="24"/>
          <w:szCs w:val="24"/>
        </w:rPr>
        <w:t>Ideas: general introduction to pure phenomenology</w:t>
      </w:r>
      <w:r w:rsidRPr="00334E29">
        <w:rPr>
          <w:rFonts w:ascii="Times New Roman" w:hAnsi="Times New Roman" w:cs="Times New Roman"/>
          <w:sz w:val="24"/>
          <w:szCs w:val="24"/>
        </w:rPr>
        <w:t>. New York: Collier Books.</w:t>
      </w:r>
    </w:p>
    <w:p w14:paraId="1B8075FB" w14:textId="77777777" w:rsidR="00334E29" w:rsidRPr="00334E29" w:rsidRDefault="00334E29" w:rsidP="006D76DE">
      <w:pPr>
        <w:rPr>
          <w:rFonts w:ascii="Times New Roman" w:hAnsi="Times New Roman" w:cs="Times New Roman"/>
          <w:sz w:val="24"/>
          <w:szCs w:val="24"/>
        </w:rPr>
      </w:pPr>
      <w:r w:rsidRPr="00334E29">
        <w:rPr>
          <w:rFonts w:ascii="Times New Roman" w:hAnsi="Times New Roman" w:cs="Times New Roman"/>
          <w:color w:val="222222"/>
          <w:sz w:val="24"/>
          <w:szCs w:val="24"/>
          <w:shd w:val="clear" w:color="auto" w:fill="FFFFFF"/>
        </w:rPr>
        <w:t>Merleau-Ponty, M., &amp; Smith, C. (1962). </w:t>
      </w:r>
      <w:r w:rsidRPr="00334E29">
        <w:rPr>
          <w:rFonts w:ascii="Times New Roman" w:hAnsi="Times New Roman" w:cs="Times New Roman"/>
          <w:i/>
          <w:iCs/>
          <w:color w:val="222222"/>
          <w:sz w:val="24"/>
          <w:szCs w:val="24"/>
          <w:shd w:val="clear" w:color="auto" w:fill="FFFFFF"/>
        </w:rPr>
        <w:t>Phenomenology of perception</w:t>
      </w:r>
      <w:r w:rsidRPr="00334E29">
        <w:rPr>
          <w:rFonts w:ascii="Times New Roman" w:hAnsi="Times New Roman" w:cs="Times New Roman"/>
          <w:color w:val="222222"/>
          <w:sz w:val="24"/>
          <w:szCs w:val="24"/>
          <w:shd w:val="clear" w:color="auto" w:fill="FFFFFF"/>
        </w:rPr>
        <w:t> (Vol. 26). London: Routledge.</w:t>
      </w:r>
      <w:r w:rsidRPr="00334E29">
        <w:rPr>
          <w:rFonts w:ascii="Times New Roman" w:hAnsi="Times New Roman" w:cs="Times New Roman"/>
          <w:sz w:val="24"/>
          <w:szCs w:val="24"/>
        </w:rPr>
        <w:t xml:space="preserve"> </w:t>
      </w:r>
    </w:p>
    <w:p w14:paraId="0FC83CC0" w14:textId="788182B6"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lastRenderedPageBreak/>
        <w:t xml:space="preserve">Pallasmaa, J. (2012). </w:t>
      </w:r>
      <w:r w:rsidRPr="00334E29">
        <w:rPr>
          <w:rFonts w:ascii="Times New Roman" w:hAnsi="Times New Roman" w:cs="Times New Roman"/>
          <w:i/>
          <w:iCs/>
          <w:sz w:val="24"/>
          <w:szCs w:val="24"/>
        </w:rPr>
        <w:t>The eyes of the skin: Architecture and the senses</w:t>
      </w:r>
      <w:r w:rsidRPr="00FA1B51">
        <w:rPr>
          <w:rFonts w:ascii="Times New Roman" w:hAnsi="Times New Roman" w:cs="Times New Roman"/>
          <w:sz w:val="24"/>
          <w:szCs w:val="24"/>
        </w:rPr>
        <w:t>. John Wiley &amp; Sons.</w:t>
      </w:r>
    </w:p>
    <w:p w14:paraId="696C1C70" w14:textId="77777777" w:rsidR="00334E29" w:rsidRDefault="00334E29" w:rsidP="006D76DE">
      <w:pPr>
        <w:rPr>
          <w:rFonts w:ascii="Times New Roman" w:hAnsi="Times New Roman" w:cs="Times New Roman"/>
          <w:sz w:val="24"/>
          <w:szCs w:val="24"/>
        </w:rPr>
      </w:pPr>
      <w:r w:rsidRPr="00334E29">
        <w:rPr>
          <w:rFonts w:ascii="Times New Roman" w:hAnsi="Times New Roman" w:cs="Times New Roman"/>
          <w:sz w:val="24"/>
          <w:szCs w:val="24"/>
        </w:rPr>
        <w:t xml:space="preserve">Roberts, P. (2004). The living and the dead: Community in the virtual cemetery. OMEGA-journal of Death and Dying, 49(1), 57-76. </w:t>
      </w:r>
    </w:p>
    <w:p w14:paraId="350A02EF" w14:textId="7B6EEC4C"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Roberts, P., &amp; Vidal, L. A. (2000). Perpetual care in cyberspace: A portrait of memorials on the web. </w:t>
      </w:r>
      <w:r w:rsidRPr="00334E29">
        <w:rPr>
          <w:rFonts w:ascii="Times New Roman" w:hAnsi="Times New Roman" w:cs="Times New Roman"/>
          <w:i/>
          <w:iCs/>
          <w:sz w:val="24"/>
          <w:szCs w:val="24"/>
        </w:rPr>
        <w:t>OMEGA-journal of Death and Dying</w:t>
      </w:r>
      <w:r w:rsidRPr="00FA1B51">
        <w:rPr>
          <w:rFonts w:ascii="Times New Roman" w:hAnsi="Times New Roman" w:cs="Times New Roman"/>
          <w:sz w:val="24"/>
          <w:szCs w:val="24"/>
        </w:rPr>
        <w:t>, 40(4), 521-545.</w:t>
      </w:r>
    </w:p>
    <w:p w14:paraId="3807463A"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Sakamoto, R. (1983). Thousand knives [Album]. Alfa Records.</w:t>
      </w:r>
    </w:p>
    <w:p w14:paraId="3C1F0617"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Schnabel, M. A. (2009). </w:t>
      </w:r>
      <w:bookmarkStart w:id="11" w:name="OLE_LINK10"/>
      <w:r w:rsidRPr="00FA1B51">
        <w:rPr>
          <w:rFonts w:ascii="Times New Roman" w:hAnsi="Times New Roman" w:cs="Times New Roman"/>
          <w:sz w:val="24"/>
          <w:szCs w:val="24"/>
        </w:rPr>
        <w:t xml:space="preserve">Framing mixed realities. </w:t>
      </w:r>
      <w:r w:rsidRPr="00334E29">
        <w:rPr>
          <w:rFonts w:ascii="Times New Roman" w:hAnsi="Times New Roman" w:cs="Times New Roman"/>
          <w:i/>
          <w:iCs/>
          <w:sz w:val="24"/>
          <w:szCs w:val="24"/>
        </w:rPr>
        <w:t>Mixed Reality In Architecture, Design And Construction</w:t>
      </w:r>
      <w:bookmarkEnd w:id="11"/>
      <w:r w:rsidRPr="00FA1B51">
        <w:rPr>
          <w:rFonts w:ascii="Times New Roman" w:hAnsi="Times New Roman" w:cs="Times New Roman"/>
          <w:sz w:val="24"/>
          <w:szCs w:val="24"/>
        </w:rPr>
        <w:t>, 3-11.</w:t>
      </w:r>
    </w:p>
    <w:p w14:paraId="720E9674"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Thiel, T., &amp; Reuter, T. (2010). Rhetorics of the Interactive 3D Installation “Virtuelle Mauer/ReConstructing the Wall”. </w:t>
      </w:r>
      <w:r w:rsidRPr="00334E29">
        <w:rPr>
          <w:rFonts w:ascii="Times New Roman" w:hAnsi="Times New Roman" w:cs="Times New Roman"/>
          <w:i/>
          <w:iCs/>
          <w:sz w:val="24"/>
          <w:szCs w:val="24"/>
        </w:rPr>
        <w:t>In Interactive Storytelling: Third Joint Conference on Interactive Digital Storytelling, ICIDS 2010, Edinburgh, UK, November 1-3, 2010. Proceedings 3</w:t>
      </w:r>
      <w:r w:rsidRPr="00FA1B51">
        <w:rPr>
          <w:rFonts w:ascii="Times New Roman" w:hAnsi="Times New Roman" w:cs="Times New Roman"/>
          <w:sz w:val="24"/>
          <w:szCs w:val="24"/>
        </w:rPr>
        <w:t xml:space="preserve"> (pp. 129-140). Springer Berlin Heidelberg.</w:t>
      </w:r>
    </w:p>
    <w:p w14:paraId="3135407F" w14:textId="77777777"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Tuan, Y. F. (1977). </w:t>
      </w:r>
      <w:r w:rsidRPr="00334E29">
        <w:rPr>
          <w:rFonts w:ascii="Times New Roman" w:hAnsi="Times New Roman" w:cs="Times New Roman"/>
          <w:i/>
          <w:iCs/>
          <w:sz w:val="24"/>
          <w:szCs w:val="24"/>
        </w:rPr>
        <w:t>Space and place: The perspective of experience</w:t>
      </w:r>
      <w:r w:rsidRPr="00FA1B51">
        <w:rPr>
          <w:rFonts w:ascii="Times New Roman" w:hAnsi="Times New Roman" w:cs="Times New Roman"/>
          <w:sz w:val="24"/>
          <w:szCs w:val="24"/>
        </w:rPr>
        <w:t>. U of Minnesota Press.</w:t>
      </w:r>
    </w:p>
    <w:p w14:paraId="15DDE3E2" w14:textId="62B836F3" w:rsidR="006D76DE" w:rsidRPr="00FA1B51" w:rsidRDefault="006D76DE" w:rsidP="006D76DE">
      <w:pPr>
        <w:rPr>
          <w:rFonts w:ascii="Times New Roman" w:hAnsi="Times New Roman" w:cs="Times New Roman"/>
          <w:sz w:val="24"/>
          <w:szCs w:val="24"/>
        </w:rPr>
      </w:pPr>
      <w:r w:rsidRPr="00FA1B51">
        <w:rPr>
          <w:rFonts w:ascii="Times New Roman" w:hAnsi="Times New Roman" w:cs="Times New Roman"/>
          <w:sz w:val="24"/>
          <w:szCs w:val="24"/>
        </w:rPr>
        <w:t xml:space="preserve">Walter, T., Hourizi, R., Moncur, W., &amp; Pitsillides, S. (2012). Does the internet change how we die and mourn? Overview and analysis. </w:t>
      </w:r>
      <w:r w:rsidRPr="00334E29">
        <w:rPr>
          <w:rFonts w:ascii="Times New Roman" w:hAnsi="Times New Roman" w:cs="Times New Roman"/>
          <w:i/>
          <w:iCs/>
          <w:sz w:val="24"/>
          <w:szCs w:val="24"/>
        </w:rPr>
        <w:t>OMEGA-Journal of Death and Dying</w:t>
      </w:r>
      <w:r w:rsidRPr="00FA1B51">
        <w:rPr>
          <w:rFonts w:ascii="Times New Roman" w:hAnsi="Times New Roman" w:cs="Times New Roman"/>
          <w:sz w:val="24"/>
          <w:szCs w:val="24"/>
        </w:rPr>
        <w:t>, 64(4), 275-302.</w:t>
      </w:r>
    </w:p>
    <w:sectPr w:rsidR="006D76DE" w:rsidRPr="00FA1B51" w:rsidSect="0098748E">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DED1C" w14:textId="77777777" w:rsidR="00753711" w:rsidRDefault="00753711" w:rsidP="00B334C9">
      <w:pPr>
        <w:spacing w:after="0" w:line="240" w:lineRule="auto"/>
      </w:pPr>
      <w:r>
        <w:separator/>
      </w:r>
    </w:p>
  </w:endnote>
  <w:endnote w:type="continuationSeparator" w:id="0">
    <w:p w14:paraId="44525EA1" w14:textId="77777777" w:rsidR="00753711" w:rsidRDefault="00753711" w:rsidP="00B33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F31D3" w14:textId="77777777" w:rsidR="00753711" w:rsidRDefault="00753711" w:rsidP="00B334C9">
      <w:pPr>
        <w:spacing w:after="0" w:line="240" w:lineRule="auto"/>
      </w:pPr>
      <w:r>
        <w:separator/>
      </w:r>
    </w:p>
  </w:footnote>
  <w:footnote w:type="continuationSeparator" w:id="0">
    <w:p w14:paraId="6441D4FF" w14:textId="77777777" w:rsidR="00753711" w:rsidRDefault="00753711" w:rsidP="00B334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A55F9"/>
    <w:multiLevelType w:val="hybridMultilevel"/>
    <w:tmpl w:val="E4B4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1D3"/>
    <w:rsid w:val="00013994"/>
    <w:rsid w:val="0003455C"/>
    <w:rsid w:val="00055069"/>
    <w:rsid w:val="000916D3"/>
    <w:rsid w:val="000A5C61"/>
    <w:rsid w:val="000D7B47"/>
    <w:rsid w:val="00124723"/>
    <w:rsid w:val="001322CC"/>
    <w:rsid w:val="001465D4"/>
    <w:rsid w:val="00160182"/>
    <w:rsid w:val="00170711"/>
    <w:rsid w:val="00182B4D"/>
    <w:rsid w:val="001C33E1"/>
    <w:rsid w:val="001D61A9"/>
    <w:rsid w:val="00206216"/>
    <w:rsid w:val="00211A26"/>
    <w:rsid w:val="00256FCB"/>
    <w:rsid w:val="00267405"/>
    <w:rsid w:val="002917C7"/>
    <w:rsid w:val="002933F7"/>
    <w:rsid w:val="002A1646"/>
    <w:rsid w:val="002C2BF5"/>
    <w:rsid w:val="002C56D2"/>
    <w:rsid w:val="0033358F"/>
    <w:rsid w:val="00334E29"/>
    <w:rsid w:val="00350555"/>
    <w:rsid w:val="00366F4D"/>
    <w:rsid w:val="003760B7"/>
    <w:rsid w:val="003A274F"/>
    <w:rsid w:val="003C3F72"/>
    <w:rsid w:val="00471676"/>
    <w:rsid w:val="00494658"/>
    <w:rsid w:val="004A1EBE"/>
    <w:rsid w:val="004F6368"/>
    <w:rsid w:val="00500767"/>
    <w:rsid w:val="00551CEE"/>
    <w:rsid w:val="005B1491"/>
    <w:rsid w:val="00673108"/>
    <w:rsid w:val="006D76DE"/>
    <w:rsid w:val="007302EA"/>
    <w:rsid w:val="00746664"/>
    <w:rsid w:val="00753711"/>
    <w:rsid w:val="00767B75"/>
    <w:rsid w:val="007833B5"/>
    <w:rsid w:val="00786E6C"/>
    <w:rsid w:val="00793259"/>
    <w:rsid w:val="007C5921"/>
    <w:rsid w:val="00800292"/>
    <w:rsid w:val="0081320A"/>
    <w:rsid w:val="00827BF0"/>
    <w:rsid w:val="0083630E"/>
    <w:rsid w:val="00896CB0"/>
    <w:rsid w:val="008A6EE1"/>
    <w:rsid w:val="0091604F"/>
    <w:rsid w:val="00937F8B"/>
    <w:rsid w:val="00950EEA"/>
    <w:rsid w:val="00967588"/>
    <w:rsid w:val="00977B56"/>
    <w:rsid w:val="0098748E"/>
    <w:rsid w:val="009B044C"/>
    <w:rsid w:val="00A14F95"/>
    <w:rsid w:val="00A2338A"/>
    <w:rsid w:val="00A62735"/>
    <w:rsid w:val="00A72440"/>
    <w:rsid w:val="00A726D9"/>
    <w:rsid w:val="00A918D9"/>
    <w:rsid w:val="00AA0C6B"/>
    <w:rsid w:val="00AA3E6D"/>
    <w:rsid w:val="00AF267B"/>
    <w:rsid w:val="00B10402"/>
    <w:rsid w:val="00B334C9"/>
    <w:rsid w:val="00B54221"/>
    <w:rsid w:val="00B923A1"/>
    <w:rsid w:val="00BB736B"/>
    <w:rsid w:val="00BC551B"/>
    <w:rsid w:val="00C14036"/>
    <w:rsid w:val="00C203F9"/>
    <w:rsid w:val="00C4668F"/>
    <w:rsid w:val="00C610B4"/>
    <w:rsid w:val="00C636D8"/>
    <w:rsid w:val="00CE67AA"/>
    <w:rsid w:val="00D1161B"/>
    <w:rsid w:val="00D211ED"/>
    <w:rsid w:val="00D3514F"/>
    <w:rsid w:val="00D424DB"/>
    <w:rsid w:val="00D45A53"/>
    <w:rsid w:val="00D60FA2"/>
    <w:rsid w:val="00D63FCD"/>
    <w:rsid w:val="00D84919"/>
    <w:rsid w:val="00D95017"/>
    <w:rsid w:val="00DD3AC1"/>
    <w:rsid w:val="00DF3262"/>
    <w:rsid w:val="00DF550D"/>
    <w:rsid w:val="00E5204A"/>
    <w:rsid w:val="00E631D3"/>
    <w:rsid w:val="00E74182"/>
    <w:rsid w:val="00EE2461"/>
    <w:rsid w:val="00EE3F07"/>
    <w:rsid w:val="00EF0CC3"/>
    <w:rsid w:val="00EF12B2"/>
    <w:rsid w:val="00F65856"/>
    <w:rsid w:val="00F72BF8"/>
    <w:rsid w:val="00F7597C"/>
    <w:rsid w:val="00F85888"/>
    <w:rsid w:val="00F944FD"/>
    <w:rsid w:val="00F97B86"/>
    <w:rsid w:val="00FA1B51"/>
    <w:rsid w:val="00FB17F3"/>
    <w:rsid w:val="00FB26F1"/>
    <w:rsid w:val="00FD190B"/>
    <w:rsid w:val="00FD4AC3"/>
    <w:rsid w:val="00FD76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51372"/>
  <w15:chartTrackingRefBased/>
  <w15:docId w15:val="{B0B72C28-4741-499D-898A-98A9E5A64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3A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34C9"/>
    <w:pPr>
      <w:tabs>
        <w:tab w:val="center" w:pos="4320"/>
        <w:tab w:val="right" w:pos="8640"/>
      </w:tabs>
      <w:spacing w:after="0" w:line="240" w:lineRule="auto"/>
    </w:pPr>
  </w:style>
  <w:style w:type="character" w:customStyle="1" w:styleId="a4">
    <w:name w:val="页眉 字符"/>
    <w:basedOn w:val="a0"/>
    <w:link w:val="a3"/>
    <w:uiPriority w:val="99"/>
    <w:rsid w:val="00B334C9"/>
  </w:style>
  <w:style w:type="paragraph" w:styleId="a5">
    <w:name w:val="footer"/>
    <w:basedOn w:val="a"/>
    <w:link w:val="a6"/>
    <w:uiPriority w:val="99"/>
    <w:unhideWhenUsed/>
    <w:rsid w:val="00B334C9"/>
    <w:pPr>
      <w:tabs>
        <w:tab w:val="center" w:pos="4320"/>
        <w:tab w:val="right" w:pos="8640"/>
      </w:tabs>
      <w:spacing w:after="0" w:line="240" w:lineRule="auto"/>
    </w:pPr>
  </w:style>
  <w:style w:type="character" w:customStyle="1" w:styleId="a6">
    <w:name w:val="页脚 字符"/>
    <w:basedOn w:val="a0"/>
    <w:link w:val="a5"/>
    <w:uiPriority w:val="99"/>
    <w:rsid w:val="00B334C9"/>
  </w:style>
  <w:style w:type="character" w:customStyle="1" w:styleId="src">
    <w:name w:val="src"/>
    <w:basedOn w:val="a0"/>
    <w:rsid w:val="001C33E1"/>
  </w:style>
  <w:style w:type="character" w:customStyle="1" w:styleId="tgt">
    <w:name w:val="tgt"/>
    <w:basedOn w:val="a0"/>
    <w:rsid w:val="0003455C"/>
  </w:style>
  <w:style w:type="paragraph" w:styleId="a7">
    <w:name w:val="List Paragraph"/>
    <w:basedOn w:val="a"/>
    <w:uiPriority w:val="34"/>
    <w:qFormat/>
    <w:rsid w:val="00FD190B"/>
    <w:pPr>
      <w:ind w:left="720"/>
      <w:contextualSpacing/>
    </w:pPr>
  </w:style>
  <w:style w:type="character" w:styleId="a8">
    <w:name w:val="Hyperlink"/>
    <w:basedOn w:val="a0"/>
    <w:rsid w:val="007302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95655">
      <w:bodyDiv w:val="1"/>
      <w:marLeft w:val="0"/>
      <w:marRight w:val="0"/>
      <w:marTop w:val="0"/>
      <w:marBottom w:val="0"/>
      <w:divBdr>
        <w:top w:val="none" w:sz="0" w:space="0" w:color="auto"/>
        <w:left w:val="none" w:sz="0" w:space="0" w:color="auto"/>
        <w:bottom w:val="none" w:sz="0" w:space="0" w:color="auto"/>
        <w:right w:val="none" w:sz="0" w:space="0" w:color="auto"/>
      </w:divBdr>
    </w:div>
    <w:div w:id="1423574942">
      <w:bodyDiv w:val="1"/>
      <w:marLeft w:val="0"/>
      <w:marRight w:val="0"/>
      <w:marTop w:val="0"/>
      <w:marBottom w:val="0"/>
      <w:divBdr>
        <w:top w:val="none" w:sz="0" w:space="0" w:color="auto"/>
        <w:left w:val="none" w:sz="0" w:space="0" w:color="auto"/>
        <w:bottom w:val="none" w:sz="0" w:space="0" w:color="auto"/>
        <w:right w:val="none" w:sz="0" w:space="0" w:color="auto"/>
      </w:divBdr>
    </w:div>
    <w:div w:id="210646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21690@student.uwtsd.ac.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917</TotalTime>
  <Pages>13</Pages>
  <Words>5766</Words>
  <Characters>32871</Characters>
  <Application>Microsoft Office Word</Application>
  <DocSecurity>0</DocSecurity>
  <Lines>273</Lines>
  <Paragraphs>77</Paragraphs>
  <ScaleCrop>false</ScaleCrop>
  <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 HUANG</dc:creator>
  <cp:keywords/>
  <dc:description/>
  <cp:lastModifiedBy>PAN HUANG</cp:lastModifiedBy>
  <cp:revision>74</cp:revision>
  <dcterms:created xsi:type="dcterms:W3CDTF">2023-07-26T19:18:00Z</dcterms:created>
  <dcterms:modified xsi:type="dcterms:W3CDTF">2023-08-07T09:54:00Z</dcterms:modified>
</cp:coreProperties>
</file>