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53776" w14:textId="77777777" w:rsidR="00CD0675" w:rsidRDefault="00CD0675" w:rsidP="00CD0675">
      <w:pPr>
        <w:rPr>
          <w:b/>
          <w:sz w:val="24"/>
          <w:szCs w:val="24"/>
        </w:rPr>
      </w:pPr>
    </w:p>
    <w:p w14:paraId="0EF984DF" w14:textId="02707E04" w:rsidR="000D0BB6" w:rsidRPr="00321D3E" w:rsidRDefault="00337FEF" w:rsidP="00EE5BC3">
      <w:pPr>
        <w:jc w:val="center"/>
        <w:rPr>
          <w:b/>
          <w:sz w:val="24"/>
          <w:szCs w:val="24"/>
        </w:rPr>
      </w:pPr>
      <w:r w:rsidRPr="00321D3E">
        <w:rPr>
          <w:b/>
          <w:sz w:val="24"/>
          <w:szCs w:val="24"/>
        </w:rPr>
        <w:t>Task 4</w:t>
      </w:r>
    </w:p>
    <w:p w14:paraId="156B2346" w14:textId="77777777" w:rsidR="00002C7A" w:rsidRPr="00EE5BC3" w:rsidRDefault="00002C7A" w:rsidP="00EE5BC3">
      <w:pPr>
        <w:jc w:val="center"/>
        <w:rPr>
          <w:b/>
          <w:sz w:val="28"/>
          <w:szCs w:val="28"/>
        </w:rPr>
      </w:pPr>
    </w:p>
    <w:p w14:paraId="6D6C0186" w14:textId="73B069FC" w:rsidR="000D0BB6" w:rsidRPr="0002098F" w:rsidRDefault="00002C7A" w:rsidP="00B7660F">
      <w:pPr>
        <w:jc w:val="center"/>
        <w:rPr>
          <w:rFonts w:asciiTheme="minorHAnsi" w:hAnsiTheme="minorHAnsi" w:cstheme="minorHAnsi"/>
          <w:b/>
          <w:sz w:val="24"/>
          <w:szCs w:val="24"/>
        </w:rPr>
      </w:pPr>
      <w:r w:rsidRPr="0002098F">
        <w:rPr>
          <w:rFonts w:asciiTheme="minorHAnsi" w:hAnsiTheme="minorHAnsi" w:cstheme="minorHAnsi"/>
          <w:b/>
          <w:sz w:val="24"/>
          <w:szCs w:val="24"/>
        </w:rPr>
        <w:t>Safeguarding</w:t>
      </w:r>
      <w:r w:rsidR="005F64AA" w:rsidRPr="0002098F">
        <w:rPr>
          <w:rFonts w:asciiTheme="minorHAnsi" w:hAnsiTheme="minorHAnsi" w:cstheme="minorHAnsi"/>
          <w:b/>
          <w:sz w:val="24"/>
          <w:szCs w:val="24"/>
        </w:rPr>
        <w:t xml:space="preserve"> in an area which is not your main area of work</w:t>
      </w:r>
    </w:p>
    <w:p w14:paraId="7A8069C4" w14:textId="77777777" w:rsidR="00633165" w:rsidRPr="0002098F" w:rsidRDefault="00633165" w:rsidP="0002098F">
      <w:pPr>
        <w:ind w:left="360" w:hanging="360"/>
        <w:jc w:val="both"/>
        <w:rPr>
          <w:rFonts w:asciiTheme="minorHAnsi" w:hAnsiTheme="minorHAnsi" w:cstheme="minorHAnsi"/>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5A545C" w:rsidRPr="0002098F" w14:paraId="152141E6" w14:textId="77777777" w:rsidTr="00F76EDB">
        <w:tc>
          <w:tcPr>
            <w:tcW w:w="10343" w:type="dxa"/>
            <w:shd w:val="clear" w:color="auto" w:fill="auto"/>
          </w:tcPr>
          <w:p w14:paraId="2B66890D" w14:textId="56A37C4F" w:rsidR="00337FEF" w:rsidRPr="0002098F" w:rsidRDefault="00337FEF" w:rsidP="0002098F">
            <w:pPr>
              <w:jc w:val="both"/>
              <w:rPr>
                <w:rFonts w:asciiTheme="minorHAnsi" w:hAnsiTheme="minorHAnsi" w:cstheme="minorHAnsi"/>
                <w:b/>
                <w:sz w:val="24"/>
                <w:szCs w:val="24"/>
              </w:rPr>
            </w:pPr>
            <w:r w:rsidRPr="0002098F">
              <w:rPr>
                <w:rFonts w:asciiTheme="minorHAnsi" w:hAnsiTheme="minorHAnsi" w:cstheme="minorHAnsi"/>
                <w:b/>
                <w:sz w:val="24"/>
                <w:szCs w:val="24"/>
              </w:rPr>
              <w:t>Question</w:t>
            </w:r>
            <w:r w:rsidR="00FC0334" w:rsidRPr="0002098F">
              <w:rPr>
                <w:rFonts w:asciiTheme="minorHAnsi" w:hAnsiTheme="minorHAnsi" w:cstheme="minorHAnsi"/>
                <w:b/>
                <w:sz w:val="24"/>
                <w:szCs w:val="24"/>
              </w:rPr>
              <w:t xml:space="preserve"> a</w:t>
            </w:r>
            <w:r w:rsidR="007A628F" w:rsidRPr="0002098F">
              <w:rPr>
                <w:rFonts w:asciiTheme="minorHAnsi" w:hAnsiTheme="minorHAnsi" w:cstheme="minorHAnsi"/>
                <w:b/>
                <w:sz w:val="24"/>
                <w:szCs w:val="24"/>
              </w:rPr>
              <w:t>:</w:t>
            </w:r>
          </w:p>
          <w:p w14:paraId="17A49383" w14:textId="77777777" w:rsidR="008B28E7" w:rsidRPr="0002098F" w:rsidRDefault="00BB7FD2" w:rsidP="0002098F">
            <w:pPr>
              <w:jc w:val="both"/>
              <w:rPr>
                <w:rFonts w:asciiTheme="minorHAnsi" w:hAnsiTheme="minorHAnsi" w:cstheme="minorHAnsi"/>
                <w:sz w:val="24"/>
                <w:szCs w:val="24"/>
              </w:rPr>
            </w:pPr>
            <w:r w:rsidRPr="0002098F">
              <w:rPr>
                <w:rFonts w:asciiTheme="minorHAnsi" w:hAnsiTheme="minorHAnsi" w:cstheme="minorHAnsi"/>
                <w:sz w:val="24"/>
                <w:szCs w:val="24"/>
              </w:rPr>
              <w:t xml:space="preserve">In an area </w:t>
            </w:r>
            <w:r w:rsidRPr="0002098F">
              <w:rPr>
                <w:rFonts w:asciiTheme="minorHAnsi" w:hAnsiTheme="minorHAnsi" w:cstheme="minorHAnsi"/>
                <w:b/>
                <w:sz w:val="24"/>
                <w:szCs w:val="24"/>
              </w:rPr>
              <w:t xml:space="preserve">that is not your </w:t>
            </w:r>
            <w:proofErr w:type="gramStart"/>
            <w:r w:rsidRPr="0002098F">
              <w:rPr>
                <w:rFonts w:asciiTheme="minorHAnsi" w:hAnsiTheme="minorHAnsi" w:cstheme="minorHAnsi"/>
                <w:b/>
                <w:sz w:val="24"/>
                <w:szCs w:val="24"/>
              </w:rPr>
              <w:t>main focus</w:t>
            </w:r>
            <w:proofErr w:type="gramEnd"/>
            <w:r w:rsidRPr="0002098F">
              <w:rPr>
                <w:rFonts w:asciiTheme="minorHAnsi" w:hAnsiTheme="minorHAnsi" w:cstheme="minorHAnsi"/>
                <w:b/>
                <w:sz w:val="24"/>
                <w:szCs w:val="24"/>
              </w:rPr>
              <w:t xml:space="preserve"> of work </w:t>
            </w:r>
            <w:r w:rsidRPr="0002098F">
              <w:rPr>
                <w:rFonts w:asciiTheme="minorHAnsi" w:hAnsiTheme="minorHAnsi" w:cstheme="minorHAnsi"/>
                <w:sz w:val="24"/>
                <w:szCs w:val="24"/>
              </w:rPr>
              <w:t xml:space="preserve">(see guidance above), </w:t>
            </w:r>
            <w:r w:rsidR="0002440E" w:rsidRPr="0002098F">
              <w:rPr>
                <w:rFonts w:asciiTheme="minorHAnsi" w:hAnsiTheme="minorHAnsi" w:cstheme="minorHAnsi"/>
                <w:sz w:val="24"/>
                <w:szCs w:val="24"/>
              </w:rPr>
              <w:t>explain</w:t>
            </w:r>
            <w:r w:rsidR="008340BA" w:rsidRPr="0002098F">
              <w:rPr>
                <w:rFonts w:asciiTheme="minorHAnsi" w:hAnsiTheme="minorHAnsi" w:cstheme="minorHAnsi"/>
                <w:sz w:val="24"/>
                <w:szCs w:val="24"/>
              </w:rPr>
              <w:t xml:space="preserve"> </w:t>
            </w:r>
            <w:r w:rsidR="00DA22EC" w:rsidRPr="0002098F">
              <w:rPr>
                <w:rFonts w:asciiTheme="minorHAnsi" w:hAnsiTheme="minorHAnsi" w:cstheme="minorHAnsi"/>
                <w:sz w:val="24"/>
                <w:szCs w:val="24"/>
              </w:rPr>
              <w:t>the</w:t>
            </w:r>
            <w:r w:rsidR="005A545C" w:rsidRPr="0002098F">
              <w:rPr>
                <w:rFonts w:asciiTheme="minorHAnsi" w:hAnsiTheme="minorHAnsi" w:cstheme="minorHAnsi"/>
                <w:sz w:val="24"/>
                <w:szCs w:val="24"/>
              </w:rPr>
              <w:t xml:space="preserve"> relevant </w:t>
            </w:r>
            <w:r w:rsidRPr="0002098F">
              <w:rPr>
                <w:rFonts w:asciiTheme="minorHAnsi" w:hAnsiTheme="minorHAnsi" w:cstheme="minorHAnsi"/>
                <w:sz w:val="24"/>
                <w:szCs w:val="24"/>
              </w:rPr>
              <w:t xml:space="preserve">legislation, </w:t>
            </w:r>
            <w:r w:rsidR="0002440E" w:rsidRPr="0002098F">
              <w:rPr>
                <w:rFonts w:asciiTheme="minorHAnsi" w:hAnsiTheme="minorHAnsi" w:cstheme="minorHAnsi"/>
                <w:sz w:val="24"/>
                <w:szCs w:val="24"/>
              </w:rPr>
              <w:t>and</w:t>
            </w:r>
            <w:r w:rsidR="008340BA" w:rsidRPr="0002098F">
              <w:rPr>
                <w:rFonts w:asciiTheme="minorHAnsi" w:hAnsiTheme="minorHAnsi" w:cstheme="minorHAnsi"/>
                <w:sz w:val="24"/>
                <w:szCs w:val="24"/>
              </w:rPr>
              <w:t xml:space="preserve"> the </w:t>
            </w:r>
            <w:r w:rsidR="005A545C" w:rsidRPr="0002098F">
              <w:rPr>
                <w:rFonts w:asciiTheme="minorHAnsi" w:hAnsiTheme="minorHAnsi" w:cstheme="minorHAnsi"/>
                <w:sz w:val="24"/>
                <w:szCs w:val="24"/>
              </w:rPr>
              <w:t>national, local and organisational policies and procedures</w:t>
            </w:r>
            <w:r w:rsidRPr="0002098F">
              <w:rPr>
                <w:rFonts w:asciiTheme="minorHAnsi" w:hAnsiTheme="minorHAnsi" w:cstheme="minorHAnsi"/>
                <w:sz w:val="24"/>
                <w:szCs w:val="24"/>
              </w:rPr>
              <w:t xml:space="preserve"> for safeguarding. </w:t>
            </w:r>
          </w:p>
          <w:p w14:paraId="1FBBCFA0" w14:textId="77777777" w:rsidR="006108C9" w:rsidRPr="0002098F" w:rsidRDefault="006108C9" w:rsidP="0002098F">
            <w:pPr>
              <w:jc w:val="both"/>
              <w:rPr>
                <w:rFonts w:asciiTheme="minorHAnsi" w:hAnsiTheme="minorHAnsi" w:cstheme="minorHAnsi"/>
                <w:sz w:val="24"/>
                <w:szCs w:val="24"/>
              </w:rPr>
            </w:pPr>
          </w:p>
          <w:p w14:paraId="4FF8EBF3" w14:textId="7DAD53E2" w:rsidR="005A545C" w:rsidRPr="0002098F" w:rsidRDefault="005414F4" w:rsidP="0002098F">
            <w:pPr>
              <w:jc w:val="both"/>
              <w:rPr>
                <w:rFonts w:asciiTheme="minorHAnsi" w:hAnsiTheme="minorHAnsi" w:cstheme="minorHAnsi"/>
                <w:sz w:val="24"/>
                <w:szCs w:val="24"/>
              </w:rPr>
            </w:pPr>
            <w:r w:rsidRPr="0002098F">
              <w:rPr>
                <w:rFonts w:asciiTheme="minorHAnsi" w:hAnsiTheme="minorHAnsi" w:cstheme="minorHAnsi"/>
                <w:i/>
                <w:sz w:val="24"/>
                <w:szCs w:val="24"/>
              </w:rPr>
              <w:t>5</w:t>
            </w:r>
            <w:r w:rsidR="00DA22EC" w:rsidRPr="0002098F">
              <w:rPr>
                <w:rFonts w:asciiTheme="minorHAnsi" w:hAnsiTheme="minorHAnsi" w:cstheme="minorHAnsi"/>
                <w:i/>
                <w:sz w:val="24"/>
                <w:szCs w:val="24"/>
              </w:rPr>
              <w:t>00 words</w:t>
            </w:r>
            <w:r w:rsidR="00DA22EC" w:rsidRPr="0002098F">
              <w:rPr>
                <w:rFonts w:asciiTheme="minorHAnsi" w:hAnsiTheme="minorHAnsi" w:cstheme="minorHAnsi"/>
                <w:sz w:val="24"/>
                <w:szCs w:val="24"/>
              </w:rPr>
              <w:t xml:space="preserve"> </w:t>
            </w:r>
            <w:r w:rsidR="008B28E7" w:rsidRPr="0002098F">
              <w:rPr>
                <w:rFonts w:asciiTheme="minorHAnsi" w:hAnsiTheme="minorHAnsi" w:cstheme="minorHAnsi"/>
                <w:sz w:val="24"/>
                <w:szCs w:val="24"/>
              </w:rPr>
              <w:t>(+/- 10%: include your actual word count at the end of each section)</w:t>
            </w:r>
            <w:r w:rsidR="007A628F" w:rsidRPr="0002098F">
              <w:rPr>
                <w:rFonts w:asciiTheme="minorHAnsi" w:hAnsiTheme="minorHAnsi" w:cstheme="minorHAnsi"/>
                <w:sz w:val="24"/>
                <w:szCs w:val="24"/>
              </w:rPr>
              <w:t>.</w:t>
            </w:r>
          </w:p>
          <w:p w14:paraId="04B3DE3F" w14:textId="77777777" w:rsidR="00F018C4" w:rsidRPr="0002098F" w:rsidRDefault="00F018C4" w:rsidP="0002098F">
            <w:pPr>
              <w:jc w:val="both"/>
              <w:rPr>
                <w:rFonts w:asciiTheme="minorHAnsi" w:hAnsiTheme="minorHAnsi" w:cstheme="minorHAnsi"/>
                <w:sz w:val="24"/>
                <w:szCs w:val="24"/>
              </w:rPr>
            </w:pPr>
          </w:p>
          <w:p w14:paraId="105426EA" w14:textId="77777777" w:rsidR="0002098F" w:rsidRDefault="0002098F" w:rsidP="0002098F">
            <w:pPr>
              <w:jc w:val="both"/>
              <w:rPr>
                <w:rFonts w:asciiTheme="minorHAnsi" w:hAnsiTheme="minorHAnsi" w:cstheme="minorHAnsi"/>
                <w:b/>
                <w:bCs/>
                <w:i/>
                <w:iCs/>
                <w:color w:val="auto"/>
                <w:sz w:val="24"/>
                <w:szCs w:val="24"/>
              </w:rPr>
            </w:pPr>
            <w:r w:rsidRPr="00F76EDB">
              <w:rPr>
                <w:rFonts w:asciiTheme="minorHAnsi" w:hAnsiTheme="minorHAnsi" w:cstheme="minorHAnsi"/>
                <w:b/>
                <w:bCs/>
                <w:i/>
                <w:iCs/>
                <w:color w:val="auto"/>
                <w:sz w:val="24"/>
                <w:szCs w:val="24"/>
              </w:rPr>
              <w:t>Task 4 A: Safeguarding Policies and Procedures</w:t>
            </w:r>
          </w:p>
          <w:p w14:paraId="35ECDD67" w14:textId="77777777" w:rsidR="00F76EDB" w:rsidRPr="00F76EDB" w:rsidRDefault="00F76EDB" w:rsidP="0002098F">
            <w:pPr>
              <w:jc w:val="both"/>
              <w:rPr>
                <w:rFonts w:asciiTheme="minorHAnsi" w:hAnsiTheme="minorHAnsi" w:cstheme="minorHAnsi"/>
                <w:b/>
                <w:bCs/>
                <w:i/>
                <w:iCs/>
                <w:color w:val="auto"/>
                <w:sz w:val="24"/>
                <w:szCs w:val="24"/>
              </w:rPr>
            </w:pPr>
          </w:p>
          <w:p w14:paraId="076591E3" w14:textId="59BBDAC5" w:rsidR="0002098F" w:rsidRPr="0002098F" w:rsidRDefault="0002098F" w:rsidP="0002098F">
            <w:pPr>
              <w:jc w:val="both"/>
              <w:rPr>
                <w:rFonts w:asciiTheme="minorHAnsi" w:hAnsiTheme="minorHAnsi" w:cstheme="minorHAnsi"/>
                <w:sz w:val="24"/>
                <w:szCs w:val="24"/>
              </w:rPr>
            </w:pPr>
            <w:r w:rsidRPr="0002098F">
              <w:rPr>
                <w:rFonts w:asciiTheme="minorHAnsi" w:hAnsiTheme="minorHAnsi" w:cstheme="minorHAnsi"/>
                <w:sz w:val="24"/>
                <w:szCs w:val="24"/>
              </w:rPr>
              <w:t xml:space="preserve">A child at risk is defined as a child undergoing or </w:t>
            </w:r>
            <w:r w:rsidR="00C545B0">
              <w:rPr>
                <w:rFonts w:asciiTheme="minorHAnsi" w:hAnsiTheme="minorHAnsi" w:cstheme="minorHAnsi"/>
                <w:sz w:val="24"/>
                <w:szCs w:val="24"/>
              </w:rPr>
              <w:t>prone</w:t>
            </w:r>
            <w:r w:rsidRPr="0002098F">
              <w:rPr>
                <w:rFonts w:asciiTheme="minorHAnsi" w:hAnsiTheme="minorHAnsi" w:cstheme="minorHAnsi"/>
                <w:sz w:val="24"/>
                <w:szCs w:val="24"/>
              </w:rPr>
              <w:t xml:space="preserve"> to abuse, neglect, or </w:t>
            </w:r>
            <w:r w:rsidR="003D68C7">
              <w:rPr>
                <w:rFonts w:asciiTheme="minorHAnsi" w:hAnsiTheme="minorHAnsi" w:cstheme="minorHAnsi"/>
                <w:sz w:val="24"/>
                <w:szCs w:val="24"/>
              </w:rPr>
              <w:t xml:space="preserve">significant </w:t>
            </w:r>
            <w:r w:rsidRPr="0002098F">
              <w:rPr>
                <w:rFonts w:asciiTheme="minorHAnsi" w:hAnsiTheme="minorHAnsi" w:cstheme="minorHAnsi"/>
                <w:sz w:val="24"/>
                <w:szCs w:val="24"/>
              </w:rPr>
              <w:t>harm</w:t>
            </w:r>
            <w:bookmarkStart w:id="0" w:name="_Hlk179039846"/>
            <w:r w:rsidRPr="0002098F">
              <w:rPr>
                <w:rFonts w:asciiTheme="minorHAnsi" w:hAnsiTheme="minorHAnsi" w:cstheme="minorHAnsi"/>
                <w:sz w:val="24"/>
                <w:szCs w:val="24"/>
              </w:rPr>
              <w:t xml:space="preserve"> </w:t>
            </w:r>
            <w:r w:rsidR="00BD2D3B">
              <w:rPr>
                <w:rFonts w:asciiTheme="minorHAnsi" w:hAnsiTheme="minorHAnsi" w:cstheme="minorHAnsi"/>
                <w:sz w:val="24"/>
                <w:szCs w:val="24"/>
              </w:rPr>
              <w:t>according to</w:t>
            </w:r>
            <w:r w:rsidRPr="0002098F">
              <w:rPr>
                <w:rFonts w:asciiTheme="minorHAnsi" w:hAnsiTheme="minorHAnsi" w:cstheme="minorHAnsi"/>
                <w:sz w:val="24"/>
                <w:szCs w:val="24"/>
              </w:rPr>
              <w:t xml:space="preserve"> </w:t>
            </w:r>
            <w:r w:rsidRPr="0002098F">
              <w:rPr>
                <w:rFonts w:asciiTheme="minorHAnsi" w:hAnsiTheme="minorHAnsi" w:cstheme="minorHAnsi"/>
                <w:i/>
                <w:iCs/>
                <w:sz w:val="24"/>
                <w:szCs w:val="24"/>
              </w:rPr>
              <w:t xml:space="preserve">Social Services and Wellbeing (Wales) Act 2014. </w:t>
            </w:r>
            <w:r w:rsidRPr="0002098F">
              <w:rPr>
                <w:rFonts w:asciiTheme="minorHAnsi" w:hAnsiTheme="minorHAnsi" w:cstheme="minorHAnsi"/>
                <w:sz w:val="24"/>
                <w:szCs w:val="24"/>
              </w:rPr>
              <w:t xml:space="preserve"> </w:t>
            </w:r>
            <w:bookmarkEnd w:id="0"/>
            <w:r w:rsidRPr="0002098F">
              <w:rPr>
                <w:rFonts w:asciiTheme="minorHAnsi" w:hAnsiTheme="minorHAnsi" w:cstheme="minorHAnsi"/>
                <w:sz w:val="24"/>
                <w:szCs w:val="24"/>
              </w:rPr>
              <w:t>It</w:t>
            </w:r>
            <w:r w:rsidR="00EA5F77">
              <w:rPr>
                <w:rFonts w:asciiTheme="minorHAnsi" w:hAnsiTheme="minorHAnsi" w:cstheme="minorHAnsi"/>
                <w:sz w:val="24"/>
                <w:szCs w:val="24"/>
              </w:rPr>
              <w:t xml:space="preserve">s </w:t>
            </w:r>
            <w:r w:rsidRPr="0002098F">
              <w:rPr>
                <w:rFonts w:asciiTheme="minorHAnsi" w:hAnsiTheme="minorHAnsi" w:cstheme="minorHAnsi"/>
                <w:sz w:val="24"/>
                <w:szCs w:val="24"/>
              </w:rPr>
              <w:t>core principles prompted the Local Authority (LA) to form various teams. There are Early Help Hubs: for Early Intervention</w:t>
            </w:r>
            <w:r w:rsidRPr="0002098F">
              <w:rPr>
                <w:rFonts w:asciiTheme="minorHAnsi" w:hAnsiTheme="minorHAnsi" w:cstheme="minorHAnsi"/>
                <w:b/>
                <w:bCs/>
                <w:i/>
                <w:iCs/>
                <w:sz w:val="24"/>
                <w:szCs w:val="24"/>
              </w:rPr>
              <w:t xml:space="preserve"> </w:t>
            </w:r>
            <w:r w:rsidRPr="0002098F">
              <w:rPr>
                <w:rFonts w:asciiTheme="minorHAnsi" w:hAnsiTheme="minorHAnsi" w:cstheme="minorHAnsi"/>
                <w:sz w:val="24"/>
                <w:szCs w:val="24"/>
              </w:rPr>
              <w:t>to prevent</w:t>
            </w:r>
            <w:r w:rsidRPr="0002098F">
              <w:rPr>
                <w:rFonts w:asciiTheme="minorHAnsi" w:hAnsiTheme="minorHAnsi" w:cstheme="minorHAnsi"/>
                <w:b/>
                <w:bCs/>
                <w:sz w:val="24"/>
                <w:szCs w:val="24"/>
              </w:rPr>
              <w:t xml:space="preserve"> </w:t>
            </w:r>
            <w:r w:rsidRPr="0002098F">
              <w:rPr>
                <w:rFonts w:asciiTheme="minorHAnsi" w:hAnsiTheme="minorHAnsi" w:cstheme="minorHAnsi"/>
                <w:sz w:val="24"/>
                <w:szCs w:val="24"/>
              </w:rPr>
              <w:t>harm</w:t>
            </w:r>
            <w:r w:rsidRPr="0002098F">
              <w:rPr>
                <w:rFonts w:asciiTheme="minorHAnsi" w:hAnsiTheme="minorHAnsi" w:cstheme="minorHAnsi"/>
                <w:b/>
                <w:bCs/>
                <w:i/>
                <w:iCs/>
                <w:sz w:val="24"/>
                <w:szCs w:val="24"/>
              </w:rPr>
              <w:t xml:space="preserve"> </w:t>
            </w:r>
            <w:r w:rsidRPr="0002098F">
              <w:rPr>
                <w:rFonts w:asciiTheme="minorHAnsi" w:hAnsiTheme="minorHAnsi" w:cstheme="minorHAnsi"/>
                <w:sz w:val="24"/>
                <w:szCs w:val="24"/>
              </w:rPr>
              <w:t>before it happens</w:t>
            </w:r>
            <w:r w:rsidRPr="0002098F">
              <w:rPr>
                <w:rFonts w:asciiTheme="minorHAnsi" w:hAnsiTheme="minorHAnsi" w:cstheme="minorHAnsi"/>
                <w:b/>
                <w:bCs/>
                <w:i/>
                <w:iCs/>
                <w:sz w:val="24"/>
                <w:szCs w:val="24"/>
              </w:rPr>
              <w:t xml:space="preserve"> </w:t>
            </w:r>
            <w:r w:rsidRPr="0002098F">
              <w:rPr>
                <w:rFonts w:asciiTheme="minorHAnsi" w:hAnsiTheme="minorHAnsi" w:cstheme="minorHAnsi"/>
                <w:sz w:val="24"/>
                <w:szCs w:val="24"/>
              </w:rPr>
              <w:t>and Family Well-being Team: works in Partnership with multi-agencies focused on children’s developmental needs</w:t>
            </w:r>
            <w:bookmarkStart w:id="1" w:name="_Hlk173708501"/>
            <w:r w:rsidRPr="0002098F">
              <w:rPr>
                <w:rFonts w:asciiTheme="minorHAnsi" w:hAnsiTheme="minorHAnsi" w:cstheme="minorHAnsi"/>
                <w:sz w:val="24"/>
                <w:szCs w:val="24"/>
              </w:rPr>
              <w:t xml:space="preserve">. </w:t>
            </w:r>
            <w:bookmarkEnd w:id="1"/>
            <w:r w:rsidRPr="0002098F">
              <w:rPr>
                <w:rFonts w:asciiTheme="minorHAnsi" w:hAnsiTheme="minorHAnsi" w:cstheme="minorHAnsi"/>
                <w:sz w:val="24"/>
                <w:szCs w:val="24"/>
              </w:rPr>
              <w:t xml:space="preserve">The </w:t>
            </w:r>
            <w:r w:rsidR="00365752">
              <w:rPr>
                <w:rFonts w:asciiTheme="minorHAnsi" w:hAnsiTheme="minorHAnsi" w:cstheme="minorHAnsi"/>
                <w:sz w:val="24"/>
                <w:szCs w:val="24"/>
              </w:rPr>
              <w:t>Local Authority (</w:t>
            </w:r>
            <w:r w:rsidRPr="0002098F">
              <w:rPr>
                <w:rFonts w:asciiTheme="minorHAnsi" w:hAnsiTheme="minorHAnsi" w:cstheme="minorHAnsi"/>
                <w:sz w:val="24"/>
                <w:szCs w:val="24"/>
              </w:rPr>
              <w:t>LA</w:t>
            </w:r>
            <w:r w:rsidR="00D42272">
              <w:rPr>
                <w:rFonts w:asciiTheme="minorHAnsi" w:hAnsiTheme="minorHAnsi" w:cstheme="minorHAnsi"/>
                <w:sz w:val="24"/>
                <w:szCs w:val="24"/>
              </w:rPr>
              <w:t>)</w:t>
            </w:r>
            <w:r w:rsidRPr="0002098F">
              <w:rPr>
                <w:rFonts w:asciiTheme="minorHAnsi" w:hAnsiTheme="minorHAnsi" w:cstheme="minorHAnsi"/>
                <w:sz w:val="24"/>
                <w:szCs w:val="24"/>
              </w:rPr>
              <w:t xml:space="preserve"> takes a Person-Centred Approach focused on </w:t>
            </w:r>
            <w:r w:rsidR="003176D1">
              <w:rPr>
                <w:rFonts w:asciiTheme="minorHAnsi" w:hAnsiTheme="minorHAnsi" w:cstheme="minorHAnsi"/>
                <w:sz w:val="24"/>
                <w:szCs w:val="24"/>
              </w:rPr>
              <w:t>c</w:t>
            </w:r>
            <w:r w:rsidRPr="0002098F">
              <w:rPr>
                <w:rFonts w:asciiTheme="minorHAnsi" w:hAnsiTheme="minorHAnsi" w:cstheme="minorHAnsi"/>
                <w:sz w:val="24"/>
                <w:szCs w:val="24"/>
              </w:rPr>
              <w:t>o-production</w:t>
            </w:r>
            <w:r w:rsidRPr="0002098F">
              <w:rPr>
                <w:rFonts w:asciiTheme="minorHAnsi" w:hAnsiTheme="minorHAnsi" w:cstheme="minorHAnsi"/>
                <w:i/>
                <w:iCs/>
                <w:sz w:val="24"/>
                <w:szCs w:val="24"/>
              </w:rPr>
              <w:t xml:space="preserve"> </w:t>
            </w:r>
            <w:r w:rsidRPr="0002098F">
              <w:rPr>
                <w:rFonts w:asciiTheme="minorHAnsi" w:hAnsiTheme="minorHAnsi" w:cstheme="minorHAnsi"/>
                <w:sz w:val="24"/>
                <w:szCs w:val="24"/>
              </w:rPr>
              <w:t>to ensure children have</w:t>
            </w:r>
            <w:r w:rsidRPr="0002098F">
              <w:rPr>
                <w:rFonts w:asciiTheme="minorHAnsi" w:hAnsiTheme="minorHAnsi" w:cstheme="minorHAnsi"/>
                <w:b/>
                <w:bCs/>
                <w:i/>
                <w:iCs/>
                <w:sz w:val="24"/>
                <w:szCs w:val="24"/>
              </w:rPr>
              <w:t xml:space="preserve"> </w:t>
            </w:r>
            <w:r w:rsidR="002A183C" w:rsidRPr="002A183C">
              <w:rPr>
                <w:rFonts w:asciiTheme="minorHAnsi" w:hAnsiTheme="minorHAnsi" w:cstheme="minorHAnsi"/>
                <w:sz w:val="24"/>
                <w:szCs w:val="24"/>
              </w:rPr>
              <w:t>a say</w:t>
            </w:r>
            <w:r w:rsidRPr="0002098F">
              <w:rPr>
                <w:rFonts w:asciiTheme="minorHAnsi" w:hAnsiTheme="minorHAnsi" w:cstheme="minorHAnsi"/>
                <w:i/>
                <w:iCs/>
                <w:sz w:val="24"/>
                <w:szCs w:val="24"/>
              </w:rPr>
              <w:t xml:space="preserve"> </w:t>
            </w:r>
            <w:r w:rsidRPr="0002098F">
              <w:rPr>
                <w:rFonts w:asciiTheme="minorHAnsi" w:hAnsiTheme="minorHAnsi" w:cstheme="minorHAnsi"/>
                <w:sz w:val="24"/>
                <w:szCs w:val="24"/>
              </w:rPr>
              <w:t xml:space="preserve">over service provision </w:t>
            </w:r>
            <w:r w:rsidR="0054635E">
              <w:rPr>
                <w:rFonts w:asciiTheme="minorHAnsi" w:hAnsiTheme="minorHAnsi" w:cstheme="minorHAnsi"/>
                <w:sz w:val="24"/>
                <w:szCs w:val="24"/>
              </w:rPr>
              <w:t xml:space="preserve">as per </w:t>
            </w:r>
            <w:r w:rsidRPr="0002098F">
              <w:rPr>
                <w:rFonts w:asciiTheme="minorHAnsi" w:hAnsiTheme="minorHAnsi" w:cstheme="minorHAnsi"/>
                <w:sz w:val="24"/>
                <w:szCs w:val="24"/>
              </w:rPr>
              <w:t xml:space="preserve">Social Care Wales [SCW], (2017).  </w:t>
            </w:r>
          </w:p>
          <w:p w14:paraId="5E9A71C0" w14:textId="77777777" w:rsidR="0002098F" w:rsidRPr="0002098F" w:rsidRDefault="0002098F" w:rsidP="0002098F">
            <w:pPr>
              <w:jc w:val="both"/>
              <w:rPr>
                <w:rFonts w:asciiTheme="minorHAnsi" w:hAnsiTheme="minorHAnsi" w:cstheme="minorHAnsi"/>
                <w:sz w:val="24"/>
                <w:szCs w:val="24"/>
              </w:rPr>
            </w:pPr>
            <w:r w:rsidRPr="0002098F">
              <w:rPr>
                <w:rFonts w:asciiTheme="minorHAnsi" w:hAnsiTheme="minorHAnsi" w:cstheme="minorHAnsi"/>
                <w:b/>
                <w:bCs/>
                <w:color w:val="00B0F0"/>
                <w:sz w:val="24"/>
                <w:szCs w:val="24"/>
              </w:rPr>
              <w:t xml:space="preserve"> </w:t>
            </w:r>
          </w:p>
          <w:p w14:paraId="660ACD1B" w14:textId="2061D910" w:rsidR="0002098F" w:rsidRPr="0002098F" w:rsidRDefault="0002098F" w:rsidP="0002098F">
            <w:pPr>
              <w:jc w:val="both"/>
              <w:rPr>
                <w:rFonts w:asciiTheme="minorHAnsi" w:hAnsiTheme="minorHAnsi" w:cstheme="minorHAnsi"/>
                <w:sz w:val="24"/>
                <w:szCs w:val="24"/>
              </w:rPr>
            </w:pPr>
            <w:r w:rsidRPr="0002098F">
              <w:rPr>
                <w:rFonts w:asciiTheme="minorHAnsi" w:hAnsiTheme="minorHAnsi" w:cstheme="minorHAnsi"/>
                <w:sz w:val="24"/>
                <w:szCs w:val="24"/>
              </w:rPr>
              <w:t xml:space="preserve">The Safeguarding Board was formed to promote Wales Safeguarding Procedures, (2019) which offer advice, training, practice reviews and adopt a Welsh context approach </w:t>
            </w:r>
            <w:r w:rsidR="00F15B30">
              <w:rPr>
                <w:rFonts w:asciiTheme="minorHAnsi" w:hAnsiTheme="minorHAnsi" w:cstheme="minorHAnsi"/>
                <w:sz w:val="24"/>
                <w:szCs w:val="24"/>
              </w:rPr>
              <w:t>as per</w:t>
            </w:r>
            <w:r w:rsidRPr="0002098F">
              <w:rPr>
                <w:rFonts w:asciiTheme="minorHAnsi" w:hAnsiTheme="minorHAnsi" w:cstheme="minorHAnsi"/>
                <w:sz w:val="24"/>
                <w:szCs w:val="24"/>
              </w:rPr>
              <w:t xml:space="preserve"> </w:t>
            </w:r>
            <w:r w:rsidRPr="0002098F">
              <w:rPr>
                <w:rFonts w:asciiTheme="minorHAnsi" w:hAnsiTheme="minorHAnsi" w:cstheme="minorHAnsi"/>
                <w:i/>
                <w:iCs/>
                <w:sz w:val="24"/>
                <w:szCs w:val="24"/>
              </w:rPr>
              <w:t xml:space="preserve">Welsh Language (Wales) Measure 2011. </w:t>
            </w:r>
            <w:r w:rsidRPr="0002098F">
              <w:rPr>
                <w:rFonts w:asciiTheme="minorHAnsi" w:hAnsiTheme="minorHAnsi" w:cstheme="minorHAnsi"/>
                <w:sz w:val="24"/>
                <w:szCs w:val="24"/>
              </w:rPr>
              <w:t xml:space="preserve">The National Society for the Prevention of Cruelty to Children [NSPCC], (2023) responds promptly to </w:t>
            </w:r>
            <w:r w:rsidR="00185829">
              <w:rPr>
                <w:rFonts w:asciiTheme="minorHAnsi" w:hAnsiTheme="minorHAnsi" w:cstheme="minorHAnsi"/>
                <w:sz w:val="24"/>
                <w:szCs w:val="24"/>
              </w:rPr>
              <w:t xml:space="preserve">children </w:t>
            </w:r>
            <w:r w:rsidRPr="0002098F">
              <w:rPr>
                <w:rFonts w:asciiTheme="minorHAnsi" w:hAnsiTheme="minorHAnsi" w:cstheme="minorHAnsi"/>
                <w:sz w:val="24"/>
                <w:szCs w:val="24"/>
              </w:rPr>
              <w:t xml:space="preserve">safeguarding concerns. The LA dubs safeguarding children as everybody’s business and duty to report together with the need to recognise and respond to abuse in line with the obligation set out in sections 126-130 of </w:t>
            </w:r>
            <w:r w:rsidRPr="0002098F">
              <w:rPr>
                <w:rFonts w:asciiTheme="minorHAnsi" w:hAnsiTheme="minorHAnsi" w:cstheme="minorHAnsi"/>
                <w:i/>
                <w:iCs/>
                <w:sz w:val="24"/>
                <w:szCs w:val="24"/>
              </w:rPr>
              <w:t>Social Services and Wellbeing (Wales) Act 2014.</w:t>
            </w:r>
            <w:r w:rsidRPr="0002098F">
              <w:rPr>
                <w:rFonts w:asciiTheme="minorHAnsi" w:hAnsiTheme="minorHAnsi" w:cstheme="minorHAnsi"/>
                <w:sz w:val="24"/>
                <w:szCs w:val="24"/>
              </w:rPr>
              <w:t xml:space="preserve"> Most importantly, practitioners identify indicators of </w:t>
            </w:r>
            <w:r w:rsidR="00281A07">
              <w:rPr>
                <w:rFonts w:asciiTheme="minorHAnsi" w:hAnsiTheme="minorHAnsi" w:cstheme="minorHAnsi"/>
                <w:sz w:val="24"/>
                <w:szCs w:val="24"/>
              </w:rPr>
              <w:t>children</w:t>
            </w:r>
            <w:r w:rsidRPr="0002098F">
              <w:rPr>
                <w:rFonts w:asciiTheme="minorHAnsi" w:hAnsiTheme="minorHAnsi" w:cstheme="minorHAnsi"/>
                <w:sz w:val="24"/>
                <w:szCs w:val="24"/>
              </w:rPr>
              <w:t xml:space="preserve"> at risk based on what they hear, smell or see. The [NSPCC], (2023) affirms that a child at risk exhibits signs of distrusting adults including concealing injuries. Physical abuse relates to intentionally inflicting harm not limited to hitting</w:t>
            </w:r>
            <w:r w:rsidR="00EC1B96">
              <w:rPr>
                <w:rFonts w:asciiTheme="minorHAnsi" w:hAnsiTheme="minorHAnsi" w:cstheme="minorHAnsi"/>
                <w:sz w:val="24"/>
                <w:szCs w:val="24"/>
              </w:rPr>
              <w:t>,</w:t>
            </w:r>
            <w:r w:rsidRPr="0002098F">
              <w:rPr>
                <w:rFonts w:asciiTheme="minorHAnsi" w:hAnsiTheme="minorHAnsi" w:cstheme="minorHAnsi"/>
                <w:sz w:val="24"/>
                <w:szCs w:val="24"/>
              </w:rPr>
              <w:t xml:space="preserve"> cutting</w:t>
            </w:r>
            <w:r w:rsidR="00213421">
              <w:rPr>
                <w:rFonts w:asciiTheme="minorHAnsi" w:hAnsiTheme="minorHAnsi" w:cstheme="minorHAnsi"/>
                <w:sz w:val="24"/>
                <w:szCs w:val="24"/>
              </w:rPr>
              <w:t xml:space="preserve">, </w:t>
            </w:r>
            <w:r w:rsidRPr="0002098F">
              <w:rPr>
                <w:rFonts w:asciiTheme="minorHAnsi" w:hAnsiTheme="minorHAnsi" w:cstheme="minorHAnsi"/>
                <w:sz w:val="24"/>
                <w:szCs w:val="24"/>
              </w:rPr>
              <w:t xml:space="preserve">burning which initiated </w:t>
            </w:r>
            <w:bookmarkStart w:id="2" w:name="_Hlk174687655"/>
            <w:r w:rsidRPr="0002098F">
              <w:rPr>
                <w:rFonts w:asciiTheme="minorHAnsi" w:hAnsiTheme="minorHAnsi" w:cstheme="minorHAnsi"/>
                <w:i/>
                <w:iCs/>
                <w:sz w:val="24"/>
                <w:szCs w:val="24"/>
              </w:rPr>
              <w:t xml:space="preserve">Abolition of Defence of Reasonable Punishment </w:t>
            </w:r>
            <w:bookmarkEnd w:id="2"/>
            <w:r w:rsidRPr="0002098F">
              <w:rPr>
                <w:rFonts w:asciiTheme="minorHAnsi" w:hAnsiTheme="minorHAnsi" w:cstheme="minorHAnsi"/>
                <w:i/>
                <w:iCs/>
                <w:sz w:val="24"/>
                <w:szCs w:val="24"/>
              </w:rPr>
              <w:t>(Wales) Act 2020</w:t>
            </w:r>
            <w:r w:rsidRPr="0002098F">
              <w:rPr>
                <w:rFonts w:asciiTheme="minorHAnsi" w:hAnsiTheme="minorHAnsi" w:cstheme="minorHAnsi"/>
                <w:sz w:val="24"/>
                <w:szCs w:val="24"/>
              </w:rPr>
              <w:t xml:space="preserve">. Wales Safeguarding Procedures, (2019) state </w:t>
            </w:r>
            <w:r w:rsidR="008479CE">
              <w:rPr>
                <w:rFonts w:asciiTheme="minorHAnsi" w:hAnsiTheme="minorHAnsi" w:cstheme="minorHAnsi"/>
                <w:sz w:val="24"/>
                <w:szCs w:val="24"/>
              </w:rPr>
              <w:t xml:space="preserve">that </w:t>
            </w:r>
            <w:r w:rsidRPr="0002098F">
              <w:rPr>
                <w:rFonts w:asciiTheme="minorHAnsi" w:hAnsiTheme="minorHAnsi" w:cstheme="minorHAnsi"/>
                <w:sz w:val="24"/>
                <w:szCs w:val="24"/>
              </w:rPr>
              <w:t xml:space="preserve">types of abuse </w:t>
            </w:r>
            <w:r w:rsidR="0075047A" w:rsidRPr="0002098F">
              <w:rPr>
                <w:rFonts w:asciiTheme="minorHAnsi" w:hAnsiTheme="minorHAnsi" w:cstheme="minorHAnsi"/>
                <w:sz w:val="24"/>
                <w:szCs w:val="24"/>
              </w:rPr>
              <w:t>are</w:t>
            </w:r>
            <w:r w:rsidRPr="0002098F">
              <w:rPr>
                <w:rFonts w:asciiTheme="minorHAnsi" w:hAnsiTheme="minorHAnsi" w:cstheme="minorHAnsi"/>
                <w:sz w:val="24"/>
                <w:szCs w:val="24"/>
              </w:rPr>
              <w:t xml:space="preserve"> non-exhaustive </w:t>
            </w:r>
            <w:r w:rsidR="00BD23AC">
              <w:rPr>
                <w:rFonts w:asciiTheme="minorHAnsi" w:hAnsiTheme="minorHAnsi" w:cstheme="minorHAnsi"/>
                <w:sz w:val="24"/>
                <w:szCs w:val="24"/>
              </w:rPr>
              <w:t>which</w:t>
            </w:r>
            <w:r w:rsidRPr="0002098F">
              <w:rPr>
                <w:rFonts w:asciiTheme="minorHAnsi" w:hAnsiTheme="minorHAnsi" w:cstheme="minorHAnsi"/>
                <w:sz w:val="24"/>
                <w:szCs w:val="24"/>
              </w:rPr>
              <w:t xml:space="preserve"> includes neglect, trafficking, domestic violence, financial, psychological, sexual, physical or emotional abuse. The indicators are also not limited to non-explanatory injuries, bruising</w:t>
            </w:r>
            <w:r w:rsidR="007B4FF1">
              <w:rPr>
                <w:rFonts w:asciiTheme="minorHAnsi" w:hAnsiTheme="minorHAnsi" w:cstheme="minorHAnsi"/>
                <w:sz w:val="24"/>
                <w:szCs w:val="24"/>
              </w:rPr>
              <w:t xml:space="preserve"> </w:t>
            </w:r>
            <w:r w:rsidRPr="0002098F">
              <w:rPr>
                <w:rFonts w:asciiTheme="minorHAnsi" w:hAnsiTheme="minorHAnsi" w:cstheme="minorHAnsi"/>
                <w:sz w:val="24"/>
                <w:szCs w:val="24"/>
              </w:rPr>
              <w:t>or unexplained falls [SCIE], 2024).</w:t>
            </w:r>
          </w:p>
          <w:p w14:paraId="476B7666" w14:textId="77777777" w:rsidR="0002098F" w:rsidRPr="0002098F" w:rsidRDefault="0002098F" w:rsidP="0002098F">
            <w:pPr>
              <w:jc w:val="both"/>
              <w:rPr>
                <w:rFonts w:asciiTheme="minorHAnsi" w:hAnsiTheme="minorHAnsi" w:cstheme="minorHAnsi"/>
                <w:sz w:val="24"/>
                <w:szCs w:val="24"/>
              </w:rPr>
            </w:pPr>
          </w:p>
          <w:p w14:paraId="00AA0EFC" w14:textId="365C26C6" w:rsidR="0002098F" w:rsidRPr="0002098F" w:rsidRDefault="002A183C" w:rsidP="0002098F">
            <w:pPr>
              <w:jc w:val="both"/>
              <w:rPr>
                <w:rFonts w:asciiTheme="minorHAnsi" w:hAnsiTheme="minorHAnsi" w:cstheme="minorHAnsi"/>
                <w:sz w:val="24"/>
                <w:szCs w:val="24"/>
              </w:rPr>
            </w:pPr>
            <w:r>
              <w:rPr>
                <w:rFonts w:asciiTheme="minorHAnsi" w:hAnsiTheme="minorHAnsi" w:cstheme="minorHAnsi"/>
                <w:sz w:val="24"/>
                <w:szCs w:val="24"/>
              </w:rPr>
              <w:t>T</w:t>
            </w:r>
            <w:r w:rsidR="0002098F" w:rsidRPr="0002098F">
              <w:rPr>
                <w:rFonts w:asciiTheme="minorHAnsi" w:hAnsiTheme="minorHAnsi" w:cstheme="minorHAnsi"/>
                <w:sz w:val="24"/>
                <w:szCs w:val="24"/>
              </w:rPr>
              <w:t xml:space="preserve">here are other pertinent legal frameworks, policies and procedures for safeguarding children. A Child Commissioner Wales, (2022) was appointed to champion the legal framework to promote and protect children’s rights. Wales Safeguarding Procedures, (2019) sets out child abuse and neglect, characterising the inability to undertake parenting responsibilities to meet a child’s developmental needs (Gray, 2001). Chapter 47 of the </w:t>
            </w:r>
            <w:r w:rsidR="0002098F" w:rsidRPr="0002098F">
              <w:rPr>
                <w:rFonts w:asciiTheme="minorHAnsi" w:hAnsiTheme="minorHAnsi" w:cstheme="minorHAnsi"/>
                <w:i/>
                <w:iCs/>
                <w:sz w:val="24"/>
                <w:szCs w:val="24"/>
              </w:rPr>
              <w:t>Children Act 1989</w:t>
            </w:r>
            <w:r w:rsidR="0002098F" w:rsidRPr="0002098F">
              <w:rPr>
                <w:rFonts w:asciiTheme="minorHAnsi" w:hAnsiTheme="minorHAnsi" w:cstheme="minorHAnsi"/>
                <w:sz w:val="24"/>
                <w:szCs w:val="24"/>
              </w:rPr>
              <w:t xml:space="preserve"> declares the LA's responsibility to investigate suspicion of significant harm. Proportionate information is gathered sufficiently to inform decision-making.</w:t>
            </w:r>
            <w:r w:rsidR="0002098F" w:rsidRPr="0002098F">
              <w:rPr>
                <w:rFonts w:asciiTheme="minorHAnsi" w:hAnsiTheme="minorHAnsi" w:cstheme="minorHAnsi"/>
                <w:color w:val="37394C"/>
                <w:sz w:val="24"/>
                <w:szCs w:val="24"/>
                <w:shd w:val="clear" w:color="auto" w:fill="FFFFFF"/>
              </w:rPr>
              <w:t xml:space="preserve"> </w:t>
            </w:r>
            <w:r w:rsidR="0002098F" w:rsidRPr="0002098F">
              <w:rPr>
                <w:rFonts w:asciiTheme="minorHAnsi" w:hAnsiTheme="minorHAnsi" w:cstheme="minorHAnsi"/>
                <w:sz w:val="24"/>
                <w:szCs w:val="24"/>
              </w:rPr>
              <w:t xml:space="preserve">Reamer, </w:t>
            </w:r>
            <w:r>
              <w:rPr>
                <w:rFonts w:asciiTheme="minorHAnsi" w:hAnsiTheme="minorHAnsi" w:cstheme="minorHAnsi"/>
                <w:sz w:val="24"/>
                <w:szCs w:val="24"/>
              </w:rPr>
              <w:t>(</w:t>
            </w:r>
            <w:r w:rsidR="0002098F" w:rsidRPr="0002098F">
              <w:rPr>
                <w:rFonts w:asciiTheme="minorHAnsi" w:hAnsiTheme="minorHAnsi" w:cstheme="minorHAnsi"/>
                <w:sz w:val="24"/>
                <w:szCs w:val="24"/>
              </w:rPr>
              <w:t xml:space="preserve">2016) states that this mirrors Kantian’s philosophy of deontology anything that entails clear set of rules so as the Universal Declaration of Human Rights [UDHR], (1948). </w:t>
            </w:r>
          </w:p>
          <w:p w14:paraId="170D8A8E" w14:textId="77777777" w:rsidR="0002098F" w:rsidRPr="0002098F" w:rsidRDefault="0002098F" w:rsidP="0002098F">
            <w:pPr>
              <w:jc w:val="both"/>
              <w:rPr>
                <w:rFonts w:asciiTheme="minorHAnsi" w:hAnsiTheme="minorHAnsi" w:cstheme="minorHAnsi"/>
                <w:sz w:val="24"/>
                <w:szCs w:val="24"/>
              </w:rPr>
            </w:pPr>
          </w:p>
          <w:p w14:paraId="7D89151E" w14:textId="77A7D606" w:rsidR="0002098F" w:rsidRPr="0002098F" w:rsidRDefault="0002098F" w:rsidP="0002098F">
            <w:pPr>
              <w:jc w:val="both"/>
              <w:rPr>
                <w:rFonts w:asciiTheme="minorHAnsi" w:hAnsiTheme="minorHAnsi" w:cstheme="minorHAnsi"/>
                <w:sz w:val="24"/>
                <w:szCs w:val="24"/>
              </w:rPr>
            </w:pPr>
            <w:r w:rsidRPr="0002098F">
              <w:rPr>
                <w:rFonts w:asciiTheme="minorHAnsi" w:hAnsiTheme="minorHAnsi" w:cstheme="minorHAnsi"/>
                <w:sz w:val="24"/>
                <w:szCs w:val="24"/>
              </w:rPr>
              <w:t>The LA’s Contextual, Missing, Exploited &amp; Trafficked Team (CMET) was set up to take a contextual approach to safeguarding. A Child Disability Team works with moderate to severe disabilities of children</w:t>
            </w:r>
            <w:r w:rsidR="00F76EDB">
              <w:rPr>
                <w:rFonts w:asciiTheme="minorHAnsi" w:hAnsiTheme="minorHAnsi" w:cstheme="minorHAnsi"/>
                <w:sz w:val="24"/>
                <w:szCs w:val="24"/>
              </w:rPr>
              <w:t>.</w:t>
            </w:r>
            <w:r w:rsidRPr="0002098F">
              <w:rPr>
                <w:rFonts w:asciiTheme="minorHAnsi" w:hAnsiTheme="minorHAnsi" w:cstheme="minorHAnsi"/>
                <w:sz w:val="24"/>
                <w:szCs w:val="24"/>
              </w:rPr>
              <w:t xml:space="preserve"> Additionally, another Looked After Children team was formed which sought to identify interventions as per Part 6 of </w:t>
            </w:r>
            <w:r w:rsidRPr="0002098F">
              <w:rPr>
                <w:rFonts w:asciiTheme="minorHAnsi" w:hAnsiTheme="minorHAnsi" w:cstheme="minorHAnsi"/>
                <w:i/>
                <w:iCs/>
                <w:sz w:val="24"/>
                <w:szCs w:val="24"/>
              </w:rPr>
              <w:t>Social Services and Well-being (Wales) Act 2014</w:t>
            </w:r>
            <w:r w:rsidRPr="0002098F">
              <w:rPr>
                <w:rFonts w:asciiTheme="minorHAnsi" w:hAnsiTheme="minorHAnsi" w:cstheme="minorHAnsi"/>
                <w:sz w:val="24"/>
                <w:szCs w:val="24"/>
              </w:rPr>
              <w:t xml:space="preserve"> and Article 19 of the United Nations Convention Rights of Children </w:t>
            </w:r>
            <w:bookmarkStart w:id="3" w:name="_Hlk175597349"/>
            <w:r w:rsidRPr="0002098F">
              <w:rPr>
                <w:rFonts w:asciiTheme="minorHAnsi" w:hAnsiTheme="minorHAnsi" w:cstheme="minorHAnsi"/>
                <w:sz w:val="24"/>
                <w:szCs w:val="24"/>
              </w:rPr>
              <w:t>[UNCRC], (1989</w:t>
            </w:r>
            <w:bookmarkEnd w:id="3"/>
            <w:r w:rsidRPr="0002098F">
              <w:rPr>
                <w:rFonts w:asciiTheme="minorHAnsi" w:hAnsiTheme="minorHAnsi" w:cstheme="minorHAnsi"/>
                <w:sz w:val="24"/>
                <w:szCs w:val="24"/>
              </w:rPr>
              <w:t xml:space="preserve">). It promotes equality and Anti-Discriminatory Practice </w:t>
            </w:r>
            <w:r w:rsidRPr="0002098F">
              <w:rPr>
                <w:rFonts w:asciiTheme="minorHAnsi" w:hAnsiTheme="minorHAnsi" w:cstheme="minorHAnsi"/>
                <w:sz w:val="24"/>
                <w:szCs w:val="24"/>
              </w:rPr>
              <w:lastRenderedPageBreak/>
              <w:t xml:space="preserve">enshrined in the </w:t>
            </w:r>
            <w:r w:rsidRPr="0002098F">
              <w:rPr>
                <w:rFonts w:asciiTheme="minorHAnsi" w:hAnsiTheme="minorHAnsi" w:cstheme="minorHAnsi"/>
                <w:i/>
                <w:iCs/>
                <w:sz w:val="24"/>
                <w:szCs w:val="24"/>
              </w:rPr>
              <w:t>Equality Act, 2010</w:t>
            </w:r>
            <w:r w:rsidRPr="0002098F">
              <w:rPr>
                <w:rFonts w:asciiTheme="minorHAnsi" w:hAnsiTheme="minorHAnsi" w:cstheme="minorHAnsi"/>
                <w:sz w:val="24"/>
                <w:szCs w:val="24"/>
              </w:rPr>
              <w:t xml:space="preserve">. The LA established a Domestic Abuse hub that works collaboratively with the police to curb gender-based </w:t>
            </w:r>
            <w:r w:rsidRPr="0002098F">
              <w:rPr>
                <w:rFonts w:asciiTheme="minorHAnsi" w:hAnsiTheme="minorHAnsi" w:cstheme="minorHAnsi"/>
                <w:i/>
                <w:iCs/>
                <w:sz w:val="24"/>
                <w:szCs w:val="24"/>
              </w:rPr>
              <w:t>Violence Against Women Domestic Abuse and Sexual Violence 2015</w:t>
            </w:r>
            <w:r w:rsidRPr="0002098F">
              <w:rPr>
                <w:rFonts w:asciiTheme="minorHAnsi" w:hAnsiTheme="minorHAnsi" w:cstheme="minorHAnsi"/>
                <w:sz w:val="24"/>
                <w:szCs w:val="24"/>
              </w:rPr>
              <w:t xml:space="preserve"> resulting in Adverse Childhood Experiences. </w:t>
            </w:r>
            <w:r w:rsidRPr="0002098F">
              <w:rPr>
                <w:rFonts w:asciiTheme="minorHAnsi" w:hAnsiTheme="minorHAnsi" w:cstheme="minorHAnsi"/>
                <w:i/>
                <w:iCs/>
                <w:sz w:val="24"/>
                <w:szCs w:val="24"/>
              </w:rPr>
              <w:t>Female Genital Mutilation Act 2003</w:t>
            </w:r>
            <w:r w:rsidRPr="0002098F">
              <w:rPr>
                <w:rFonts w:asciiTheme="minorHAnsi" w:hAnsiTheme="minorHAnsi" w:cstheme="minorHAnsi"/>
                <w:sz w:val="24"/>
                <w:szCs w:val="24"/>
              </w:rPr>
              <w:t xml:space="preserve"> stipulates </w:t>
            </w:r>
            <w:r w:rsidR="005764DD">
              <w:rPr>
                <w:rFonts w:asciiTheme="minorHAnsi" w:hAnsiTheme="minorHAnsi" w:cstheme="minorHAnsi"/>
                <w:sz w:val="24"/>
                <w:szCs w:val="24"/>
              </w:rPr>
              <w:t>the</w:t>
            </w:r>
            <w:r w:rsidR="008623C2">
              <w:rPr>
                <w:rFonts w:asciiTheme="minorHAnsi" w:hAnsiTheme="minorHAnsi" w:cstheme="minorHAnsi"/>
                <w:sz w:val="24"/>
                <w:szCs w:val="24"/>
              </w:rPr>
              <w:t xml:space="preserve"> </w:t>
            </w:r>
            <w:r w:rsidRPr="0002098F">
              <w:rPr>
                <w:rFonts w:asciiTheme="minorHAnsi" w:hAnsiTheme="minorHAnsi" w:cstheme="minorHAnsi"/>
                <w:sz w:val="24"/>
                <w:szCs w:val="24"/>
              </w:rPr>
              <w:t xml:space="preserve">illegal intentional practice to cut off parts of female genitals for purposes that are not medically approved. </w:t>
            </w:r>
          </w:p>
          <w:p w14:paraId="0EFC19B3" w14:textId="77777777" w:rsidR="0002098F" w:rsidRPr="0002098F" w:rsidRDefault="0002098F" w:rsidP="0002098F">
            <w:pPr>
              <w:jc w:val="both"/>
              <w:rPr>
                <w:rFonts w:asciiTheme="minorHAnsi" w:hAnsiTheme="minorHAnsi" w:cstheme="minorHAnsi"/>
                <w:i/>
                <w:iCs/>
                <w:color w:val="00B050"/>
                <w:sz w:val="24"/>
                <w:szCs w:val="24"/>
              </w:rPr>
            </w:pPr>
          </w:p>
          <w:p w14:paraId="5848F3B8" w14:textId="614611E2" w:rsidR="0002098F" w:rsidRPr="00892C10" w:rsidRDefault="0002098F" w:rsidP="0002098F">
            <w:pPr>
              <w:jc w:val="both"/>
              <w:rPr>
                <w:rFonts w:asciiTheme="minorHAnsi" w:hAnsiTheme="minorHAnsi" w:cstheme="minorHAnsi"/>
                <w:b/>
                <w:bCs/>
                <w:i/>
                <w:iCs/>
                <w:color w:val="auto"/>
                <w:sz w:val="24"/>
                <w:szCs w:val="24"/>
              </w:rPr>
            </w:pPr>
            <w:r w:rsidRPr="00892C10">
              <w:rPr>
                <w:rFonts w:asciiTheme="minorHAnsi" w:hAnsiTheme="minorHAnsi" w:cstheme="minorHAnsi"/>
                <w:b/>
                <w:bCs/>
                <w:i/>
                <w:iCs/>
                <w:color w:val="auto"/>
                <w:sz w:val="24"/>
                <w:szCs w:val="24"/>
              </w:rPr>
              <w:t xml:space="preserve">(Word Count </w:t>
            </w:r>
            <w:r w:rsidR="00892C10" w:rsidRPr="00892C10">
              <w:rPr>
                <w:rFonts w:asciiTheme="minorHAnsi" w:hAnsiTheme="minorHAnsi" w:cstheme="minorHAnsi"/>
                <w:b/>
                <w:bCs/>
                <w:i/>
                <w:iCs/>
                <w:color w:val="auto"/>
                <w:sz w:val="24"/>
                <w:szCs w:val="24"/>
              </w:rPr>
              <w:t>5</w:t>
            </w:r>
            <w:r w:rsidR="00E64290">
              <w:rPr>
                <w:rFonts w:asciiTheme="minorHAnsi" w:hAnsiTheme="minorHAnsi" w:cstheme="minorHAnsi"/>
                <w:b/>
                <w:bCs/>
                <w:i/>
                <w:iCs/>
                <w:color w:val="auto"/>
                <w:sz w:val="24"/>
                <w:szCs w:val="24"/>
              </w:rPr>
              <w:t>28</w:t>
            </w:r>
            <w:r w:rsidRPr="00892C10">
              <w:rPr>
                <w:rFonts w:asciiTheme="minorHAnsi" w:hAnsiTheme="minorHAnsi" w:cstheme="minorHAnsi"/>
                <w:b/>
                <w:bCs/>
                <w:i/>
                <w:iCs/>
                <w:color w:val="auto"/>
                <w:sz w:val="24"/>
                <w:szCs w:val="24"/>
              </w:rPr>
              <w:t>)</w:t>
            </w:r>
            <w:bookmarkStart w:id="4" w:name="Task4B"/>
          </w:p>
          <w:p w14:paraId="01BAAC0B" w14:textId="77777777" w:rsidR="0002098F" w:rsidRPr="0002098F" w:rsidRDefault="0002098F" w:rsidP="0002098F">
            <w:pPr>
              <w:jc w:val="both"/>
              <w:rPr>
                <w:rFonts w:asciiTheme="minorHAnsi" w:hAnsiTheme="minorHAnsi" w:cstheme="minorHAnsi"/>
                <w:b/>
                <w:bCs/>
                <w:i/>
                <w:iCs/>
                <w:color w:val="00B0F0"/>
                <w:sz w:val="24"/>
                <w:szCs w:val="24"/>
              </w:rPr>
            </w:pPr>
          </w:p>
          <w:p w14:paraId="50C2C4A0" w14:textId="53A1FE0C" w:rsidR="0002098F" w:rsidRDefault="0002098F" w:rsidP="0002098F">
            <w:pPr>
              <w:jc w:val="both"/>
              <w:rPr>
                <w:rFonts w:asciiTheme="minorHAnsi" w:hAnsiTheme="minorHAnsi" w:cstheme="minorHAnsi"/>
                <w:b/>
                <w:bCs/>
                <w:i/>
                <w:iCs/>
                <w:color w:val="auto"/>
                <w:sz w:val="24"/>
                <w:szCs w:val="24"/>
              </w:rPr>
            </w:pPr>
            <w:r w:rsidRPr="00F76EDB">
              <w:rPr>
                <w:rFonts w:asciiTheme="minorHAnsi" w:hAnsiTheme="minorHAnsi" w:cstheme="minorHAnsi"/>
                <w:b/>
                <w:bCs/>
                <w:i/>
                <w:iCs/>
                <w:color w:val="auto"/>
                <w:sz w:val="24"/>
                <w:szCs w:val="24"/>
              </w:rPr>
              <w:t>Task 4 B: Safeguarding adults and children</w:t>
            </w:r>
            <w:bookmarkEnd w:id="4"/>
            <w:r w:rsidRPr="00F76EDB">
              <w:rPr>
                <w:rFonts w:asciiTheme="minorHAnsi" w:hAnsiTheme="minorHAnsi" w:cstheme="minorHAnsi"/>
                <w:b/>
                <w:bCs/>
                <w:i/>
                <w:iCs/>
                <w:color w:val="auto"/>
                <w:sz w:val="24"/>
                <w:szCs w:val="24"/>
              </w:rPr>
              <w:t>- The difference</w:t>
            </w:r>
          </w:p>
          <w:p w14:paraId="3CC92DF4" w14:textId="77777777" w:rsidR="00F76EDB" w:rsidRPr="00F76EDB" w:rsidRDefault="00F76EDB" w:rsidP="0002098F">
            <w:pPr>
              <w:jc w:val="both"/>
              <w:rPr>
                <w:rFonts w:asciiTheme="minorHAnsi" w:hAnsiTheme="minorHAnsi" w:cstheme="minorHAnsi"/>
                <w:b/>
                <w:bCs/>
                <w:i/>
                <w:iCs/>
                <w:color w:val="auto"/>
                <w:sz w:val="24"/>
                <w:szCs w:val="24"/>
              </w:rPr>
            </w:pPr>
          </w:p>
          <w:p w14:paraId="1296A36F" w14:textId="6C9BF70F" w:rsidR="0002098F" w:rsidRPr="0002098F" w:rsidRDefault="0002098F" w:rsidP="0002098F">
            <w:pPr>
              <w:tabs>
                <w:tab w:val="left" w:pos="4580"/>
              </w:tabs>
              <w:jc w:val="both"/>
              <w:rPr>
                <w:rFonts w:asciiTheme="minorHAnsi" w:hAnsiTheme="minorHAnsi" w:cstheme="minorHAnsi"/>
                <w:sz w:val="24"/>
                <w:szCs w:val="24"/>
              </w:rPr>
            </w:pPr>
            <w:r w:rsidRPr="0002098F">
              <w:rPr>
                <w:rFonts w:asciiTheme="minorHAnsi" w:hAnsiTheme="minorHAnsi" w:cstheme="minorHAnsi"/>
                <w:sz w:val="24"/>
                <w:szCs w:val="24"/>
              </w:rPr>
              <w:t xml:space="preserve">When I first entered the social work profession, I assumed that there was no difference between child and adult safeguarding, but the experience I have had working as a social worker has led me to identify that differences exist and the reasons why. According to literature child safeguarding is done for </w:t>
            </w:r>
            <w:proofErr w:type="gramStart"/>
            <w:r w:rsidRPr="0002098F">
              <w:rPr>
                <w:rFonts w:asciiTheme="minorHAnsi" w:hAnsiTheme="minorHAnsi" w:cstheme="minorHAnsi"/>
                <w:sz w:val="24"/>
                <w:szCs w:val="24"/>
              </w:rPr>
              <w:t>a number of</w:t>
            </w:r>
            <w:proofErr w:type="gramEnd"/>
            <w:r w:rsidRPr="0002098F">
              <w:rPr>
                <w:rFonts w:asciiTheme="minorHAnsi" w:hAnsiTheme="minorHAnsi" w:cstheme="minorHAnsi"/>
                <w:sz w:val="24"/>
                <w:szCs w:val="24"/>
              </w:rPr>
              <w:t xml:space="preserve"> reasons which include protection from abuse and maltreatment, protection from harm that may interfere with their development, and ensuring that they get the best possible opportunities to have the best outcomes in life (Megele, 2017).  In addition,</w:t>
            </w:r>
            <w:r w:rsidR="00A40390">
              <w:rPr>
                <w:rFonts w:asciiTheme="minorHAnsi" w:hAnsiTheme="minorHAnsi" w:cstheme="minorHAnsi"/>
                <w:sz w:val="24"/>
                <w:szCs w:val="24"/>
              </w:rPr>
              <w:t xml:space="preserve"> s</w:t>
            </w:r>
            <w:r w:rsidRPr="0002098F">
              <w:rPr>
                <w:rFonts w:asciiTheme="minorHAnsi" w:hAnsiTheme="minorHAnsi" w:cstheme="minorHAnsi"/>
                <w:sz w:val="24"/>
                <w:szCs w:val="24"/>
              </w:rPr>
              <w:t xml:space="preserve">afeguarding </w:t>
            </w:r>
            <w:r w:rsidR="006F039F">
              <w:rPr>
                <w:rFonts w:asciiTheme="minorHAnsi" w:hAnsiTheme="minorHAnsi" w:cstheme="minorHAnsi"/>
                <w:sz w:val="24"/>
                <w:szCs w:val="24"/>
              </w:rPr>
              <w:t xml:space="preserve">is </w:t>
            </w:r>
            <w:r w:rsidR="0064352F">
              <w:rPr>
                <w:rFonts w:asciiTheme="minorHAnsi" w:hAnsiTheme="minorHAnsi" w:cstheme="minorHAnsi"/>
                <w:sz w:val="24"/>
                <w:szCs w:val="24"/>
              </w:rPr>
              <w:t xml:space="preserve">at the </w:t>
            </w:r>
            <w:r w:rsidR="00A56C4E">
              <w:rPr>
                <w:rFonts w:asciiTheme="minorHAnsi" w:hAnsiTheme="minorHAnsi" w:cstheme="minorHAnsi"/>
                <w:sz w:val="24"/>
                <w:szCs w:val="24"/>
              </w:rPr>
              <w:t>centre</w:t>
            </w:r>
            <w:r w:rsidR="0064352F">
              <w:rPr>
                <w:rFonts w:asciiTheme="minorHAnsi" w:hAnsiTheme="minorHAnsi" w:cstheme="minorHAnsi"/>
                <w:sz w:val="24"/>
                <w:szCs w:val="24"/>
              </w:rPr>
              <w:t xml:space="preserve"> </w:t>
            </w:r>
            <w:r w:rsidR="00A40390">
              <w:rPr>
                <w:rFonts w:asciiTheme="minorHAnsi" w:hAnsiTheme="minorHAnsi" w:cstheme="minorHAnsi"/>
                <w:sz w:val="24"/>
                <w:szCs w:val="24"/>
              </w:rPr>
              <w:t>of</w:t>
            </w:r>
            <w:r w:rsidR="0094644A">
              <w:rPr>
                <w:rFonts w:asciiTheme="minorHAnsi" w:hAnsiTheme="minorHAnsi" w:cstheme="minorHAnsi"/>
                <w:sz w:val="24"/>
                <w:szCs w:val="24"/>
              </w:rPr>
              <w:t xml:space="preserve"> the</w:t>
            </w:r>
            <w:r w:rsidR="0064352F">
              <w:rPr>
                <w:rFonts w:asciiTheme="minorHAnsi" w:hAnsiTheme="minorHAnsi" w:cstheme="minorHAnsi"/>
                <w:sz w:val="24"/>
                <w:szCs w:val="24"/>
              </w:rPr>
              <w:t xml:space="preserve"> </w:t>
            </w:r>
            <w:r w:rsidR="0094644A">
              <w:rPr>
                <w:rFonts w:asciiTheme="minorHAnsi" w:hAnsiTheme="minorHAnsi" w:cstheme="minorHAnsi"/>
                <w:sz w:val="24"/>
                <w:szCs w:val="24"/>
              </w:rPr>
              <w:t>child ‘</w:t>
            </w:r>
            <w:r w:rsidR="004C3154">
              <w:rPr>
                <w:rFonts w:asciiTheme="minorHAnsi" w:hAnsiTheme="minorHAnsi" w:cstheme="minorHAnsi"/>
                <w:sz w:val="24"/>
                <w:szCs w:val="24"/>
              </w:rPr>
              <w:t xml:space="preserve">s triangle of needs which </w:t>
            </w:r>
            <w:r w:rsidRPr="0002098F">
              <w:rPr>
                <w:rFonts w:asciiTheme="minorHAnsi" w:hAnsiTheme="minorHAnsi" w:cstheme="minorHAnsi"/>
                <w:sz w:val="24"/>
                <w:szCs w:val="24"/>
              </w:rPr>
              <w:t>ensures that the child is raised in a</w:t>
            </w:r>
            <w:r w:rsidR="00ED5087">
              <w:rPr>
                <w:rFonts w:asciiTheme="minorHAnsi" w:hAnsiTheme="minorHAnsi" w:cstheme="minorHAnsi"/>
                <w:sz w:val="24"/>
                <w:szCs w:val="24"/>
              </w:rPr>
              <w:t xml:space="preserve"> family</w:t>
            </w:r>
            <w:r w:rsidR="00101A41">
              <w:rPr>
                <w:rFonts w:asciiTheme="minorHAnsi" w:hAnsiTheme="minorHAnsi" w:cstheme="minorHAnsi"/>
                <w:sz w:val="24"/>
                <w:szCs w:val="24"/>
              </w:rPr>
              <w:t xml:space="preserve"> or</w:t>
            </w:r>
            <w:r w:rsidRPr="0002098F">
              <w:rPr>
                <w:rFonts w:asciiTheme="minorHAnsi" w:hAnsiTheme="minorHAnsi" w:cstheme="minorHAnsi"/>
                <w:sz w:val="24"/>
                <w:szCs w:val="24"/>
              </w:rPr>
              <w:t xml:space="preserve"> environment that is safe underpinned by </w:t>
            </w:r>
            <w:r w:rsidR="00BE565A">
              <w:rPr>
                <w:rFonts w:asciiTheme="minorHAnsi" w:hAnsiTheme="minorHAnsi" w:cstheme="minorHAnsi"/>
                <w:sz w:val="24"/>
                <w:szCs w:val="24"/>
              </w:rPr>
              <w:t>e</w:t>
            </w:r>
            <w:r w:rsidRPr="0002098F">
              <w:rPr>
                <w:rFonts w:asciiTheme="minorHAnsi" w:hAnsiTheme="minorHAnsi" w:cstheme="minorHAnsi"/>
                <w:sz w:val="24"/>
                <w:szCs w:val="24"/>
              </w:rPr>
              <w:t xml:space="preserve">ffective care </w:t>
            </w:r>
            <w:r w:rsidR="006015F8">
              <w:rPr>
                <w:rFonts w:asciiTheme="minorHAnsi" w:hAnsiTheme="minorHAnsi" w:cstheme="minorHAnsi"/>
                <w:sz w:val="24"/>
                <w:szCs w:val="24"/>
              </w:rPr>
              <w:t>to</w:t>
            </w:r>
            <w:r w:rsidR="00A56C4E">
              <w:rPr>
                <w:rFonts w:asciiTheme="minorHAnsi" w:hAnsiTheme="minorHAnsi" w:cstheme="minorHAnsi"/>
                <w:sz w:val="24"/>
                <w:szCs w:val="24"/>
              </w:rPr>
              <w:t xml:space="preserve"> develop</w:t>
            </w:r>
            <w:r w:rsidR="00F54543">
              <w:rPr>
                <w:rFonts w:asciiTheme="minorHAnsi" w:hAnsiTheme="minorHAnsi" w:cstheme="minorHAnsi"/>
                <w:sz w:val="24"/>
                <w:szCs w:val="24"/>
              </w:rPr>
              <w:t xml:space="preserve"> to their full </w:t>
            </w:r>
            <w:r w:rsidR="002F053A">
              <w:rPr>
                <w:rFonts w:asciiTheme="minorHAnsi" w:hAnsiTheme="minorHAnsi" w:cstheme="minorHAnsi"/>
                <w:sz w:val="24"/>
                <w:szCs w:val="24"/>
              </w:rPr>
              <w:t>potential</w:t>
            </w:r>
            <w:r w:rsidR="00FB0C1E">
              <w:rPr>
                <w:rFonts w:asciiTheme="minorHAnsi" w:hAnsiTheme="minorHAnsi" w:cstheme="minorHAnsi"/>
                <w:sz w:val="24"/>
                <w:szCs w:val="24"/>
              </w:rPr>
              <w:t xml:space="preserve"> </w:t>
            </w:r>
            <w:r w:rsidRPr="0002098F">
              <w:rPr>
                <w:rFonts w:asciiTheme="minorHAnsi" w:hAnsiTheme="minorHAnsi" w:cstheme="minorHAnsi"/>
                <w:sz w:val="24"/>
                <w:szCs w:val="24"/>
              </w:rPr>
              <w:t>(Megele, 2017).  This differs from adult safeguarding where the goal is to protect the right to live free from abuse and neglect, reduce the risk of harm or abuse</w:t>
            </w:r>
            <w:r w:rsidR="00D91732">
              <w:rPr>
                <w:rFonts w:asciiTheme="minorHAnsi" w:hAnsiTheme="minorHAnsi" w:cstheme="minorHAnsi"/>
                <w:sz w:val="24"/>
                <w:szCs w:val="24"/>
              </w:rPr>
              <w:t xml:space="preserve"> to </w:t>
            </w:r>
            <w:r w:rsidRPr="0002098F">
              <w:rPr>
                <w:rFonts w:asciiTheme="minorHAnsi" w:hAnsiTheme="minorHAnsi" w:cstheme="minorHAnsi"/>
                <w:sz w:val="24"/>
                <w:szCs w:val="24"/>
              </w:rPr>
              <w:t>ensure that the individual is provided with access to resolution, recovery, and supported to make choices and have voice and control over services provided (Starns, 2019).</w:t>
            </w:r>
          </w:p>
          <w:p w14:paraId="38089857" w14:textId="77777777" w:rsidR="0002098F" w:rsidRPr="0002098F" w:rsidRDefault="0002098F" w:rsidP="0002098F">
            <w:pPr>
              <w:tabs>
                <w:tab w:val="left" w:pos="4580"/>
              </w:tabs>
              <w:jc w:val="both"/>
              <w:rPr>
                <w:rFonts w:asciiTheme="minorHAnsi" w:hAnsiTheme="minorHAnsi" w:cstheme="minorHAnsi"/>
                <w:sz w:val="24"/>
                <w:szCs w:val="24"/>
              </w:rPr>
            </w:pPr>
          </w:p>
          <w:p w14:paraId="3CC9123B" w14:textId="55A60105" w:rsidR="0002098F" w:rsidRPr="0002098F" w:rsidRDefault="0002098F" w:rsidP="0002098F">
            <w:pPr>
              <w:tabs>
                <w:tab w:val="left" w:pos="4580"/>
              </w:tabs>
              <w:jc w:val="both"/>
              <w:rPr>
                <w:rFonts w:asciiTheme="minorHAnsi" w:eastAsia="Calibri" w:hAnsiTheme="minorHAnsi" w:cstheme="minorHAnsi"/>
                <w:sz w:val="24"/>
                <w:szCs w:val="24"/>
                <w:lang w:val="en"/>
              </w:rPr>
            </w:pPr>
            <w:r w:rsidRPr="0002098F">
              <w:rPr>
                <w:rFonts w:asciiTheme="minorHAnsi" w:hAnsiTheme="minorHAnsi" w:cstheme="minorHAnsi"/>
                <w:sz w:val="24"/>
                <w:szCs w:val="24"/>
              </w:rPr>
              <w:t>Reflecting on these differences, I have come to have an understanding why there are differences when it comes to the aims of the safeguarding and this is necessary because, although, some organisations support both children and adults, these face different set of issues, the terms and definitions used are different, and the reporting of procedures are also different. In addition, I have come to recognise this difference under legislation and policy with adult care stemming from adult care law reform through devolution according to Law Commission, (2011)</w:t>
            </w:r>
            <w:r w:rsidRPr="0002098F">
              <w:rPr>
                <w:rFonts w:asciiTheme="minorHAnsi" w:hAnsiTheme="minorHAnsi" w:cstheme="minorHAnsi"/>
                <w:color w:val="FF0000"/>
                <w:sz w:val="24"/>
                <w:szCs w:val="24"/>
              </w:rPr>
              <w:t xml:space="preserve"> </w:t>
            </w:r>
            <w:r w:rsidRPr="0002098F">
              <w:rPr>
                <w:rFonts w:asciiTheme="minorHAnsi" w:hAnsiTheme="minorHAnsi" w:cstheme="minorHAnsi"/>
                <w:sz w:val="24"/>
                <w:szCs w:val="24"/>
              </w:rPr>
              <w:t xml:space="preserve">and children being underpinned by </w:t>
            </w:r>
            <w:r w:rsidRPr="0002098F">
              <w:rPr>
                <w:rFonts w:asciiTheme="minorHAnsi" w:eastAsia="Calibri" w:hAnsiTheme="minorHAnsi" w:cstheme="minorHAnsi"/>
                <w:i/>
                <w:iCs/>
                <w:sz w:val="24"/>
                <w:szCs w:val="24"/>
                <w:lang w:val="en"/>
              </w:rPr>
              <w:t>Child Act 1989</w:t>
            </w:r>
            <w:r w:rsidRPr="0002098F">
              <w:rPr>
                <w:rFonts w:asciiTheme="minorHAnsi" w:eastAsia="Calibri" w:hAnsiTheme="minorHAnsi" w:cstheme="minorHAnsi"/>
                <w:sz w:val="24"/>
                <w:szCs w:val="24"/>
                <w:lang w:val="en"/>
              </w:rPr>
              <w:t xml:space="preserve">. Both child and adult care law are now enveloped in the </w:t>
            </w:r>
            <w:r w:rsidRPr="0002098F">
              <w:rPr>
                <w:rFonts w:asciiTheme="minorHAnsi" w:eastAsia="Calibri" w:hAnsiTheme="minorHAnsi" w:cstheme="minorHAnsi"/>
                <w:i/>
                <w:iCs/>
                <w:sz w:val="24"/>
                <w:szCs w:val="24"/>
                <w:lang w:val="en"/>
              </w:rPr>
              <w:t xml:space="preserve">Social Services and Well-being (Wales) Act 2014. </w:t>
            </w:r>
            <w:r w:rsidRPr="0002098F">
              <w:rPr>
                <w:rFonts w:asciiTheme="minorHAnsi" w:eastAsia="Calibri" w:hAnsiTheme="minorHAnsi" w:cstheme="minorHAnsi"/>
                <w:sz w:val="24"/>
                <w:szCs w:val="24"/>
                <w:lang w:val="en"/>
              </w:rPr>
              <w:t xml:space="preserve">The other reason between child and adult </w:t>
            </w:r>
            <w:r w:rsidR="00F76EDB" w:rsidRPr="0002098F">
              <w:rPr>
                <w:rFonts w:asciiTheme="minorHAnsi" w:eastAsia="Calibri" w:hAnsiTheme="minorHAnsi" w:cstheme="minorHAnsi"/>
                <w:sz w:val="24"/>
                <w:szCs w:val="24"/>
                <w:lang w:val="en"/>
              </w:rPr>
              <w:t>care is</w:t>
            </w:r>
            <w:r w:rsidRPr="0002098F">
              <w:rPr>
                <w:rFonts w:asciiTheme="minorHAnsi" w:eastAsia="Calibri" w:hAnsiTheme="minorHAnsi" w:cstheme="minorHAnsi"/>
                <w:sz w:val="24"/>
                <w:szCs w:val="24"/>
                <w:lang w:val="en"/>
              </w:rPr>
              <w:t xml:space="preserve"> that </w:t>
            </w:r>
            <w:r w:rsidR="005B1424">
              <w:rPr>
                <w:rFonts w:asciiTheme="minorHAnsi" w:eastAsia="Calibri" w:hAnsiTheme="minorHAnsi" w:cstheme="minorHAnsi"/>
                <w:sz w:val="24"/>
                <w:szCs w:val="24"/>
                <w:lang w:val="en"/>
              </w:rPr>
              <w:t>child and family</w:t>
            </w:r>
            <w:r w:rsidR="00602DD0">
              <w:rPr>
                <w:rFonts w:asciiTheme="minorHAnsi" w:eastAsia="Calibri" w:hAnsiTheme="minorHAnsi" w:cstheme="minorHAnsi"/>
                <w:sz w:val="24"/>
                <w:szCs w:val="24"/>
                <w:lang w:val="en"/>
              </w:rPr>
              <w:t xml:space="preserve"> </w:t>
            </w:r>
            <w:r w:rsidRPr="0002098F">
              <w:rPr>
                <w:rFonts w:asciiTheme="minorHAnsi" w:eastAsia="Calibri" w:hAnsiTheme="minorHAnsi" w:cstheme="minorHAnsi"/>
                <w:sz w:val="24"/>
                <w:szCs w:val="24"/>
                <w:lang w:val="en"/>
              </w:rPr>
              <w:t>social workers</w:t>
            </w:r>
            <w:r w:rsidR="00602DD0">
              <w:rPr>
                <w:rFonts w:asciiTheme="minorHAnsi" w:eastAsia="Calibri" w:hAnsiTheme="minorHAnsi" w:cstheme="minorHAnsi"/>
                <w:sz w:val="24"/>
                <w:szCs w:val="24"/>
                <w:lang w:val="en"/>
              </w:rPr>
              <w:t xml:space="preserve"> </w:t>
            </w:r>
            <w:r w:rsidRPr="0002098F">
              <w:rPr>
                <w:rFonts w:asciiTheme="minorHAnsi" w:eastAsia="Calibri" w:hAnsiTheme="minorHAnsi" w:cstheme="minorHAnsi"/>
                <w:sz w:val="24"/>
                <w:szCs w:val="24"/>
                <w:lang w:val="en"/>
              </w:rPr>
              <w:t xml:space="preserve">get doors slammed in front of their face because parents believe social workers are just there to take children away </w:t>
            </w:r>
            <w:r w:rsidR="00602DD0">
              <w:rPr>
                <w:rFonts w:asciiTheme="minorHAnsi" w:eastAsia="Calibri" w:hAnsiTheme="minorHAnsi" w:cstheme="minorHAnsi"/>
                <w:sz w:val="24"/>
                <w:szCs w:val="24"/>
                <w:lang w:val="en"/>
              </w:rPr>
              <w:t xml:space="preserve">their children </w:t>
            </w:r>
            <w:r w:rsidRPr="0002098F">
              <w:rPr>
                <w:rFonts w:asciiTheme="minorHAnsi" w:eastAsia="Calibri" w:hAnsiTheme="minorHAnsi" w:cstheme="minorHAnsi"/>
                <w:sz w:val="24"/>
                <w:szCs w:val="24"/>
                <w:lang w:val="en"/>
              </w:rPr>
              <w:t xml:space="preserve">during home visit but in adults care </w:t>
            </w:r>
            <w:r w:rsidR="00B31724">
              <w:rPr>
                <w:rFonts w:asciiTheme="minorHAnsi" w:eastAsia="Calibri" w:hAnsiTheme="minorHAnsi" w:cstheme="minorHAnsi"/>
                <w:sz w:val="24"/>
                <w:szCs w:val="24"/>
                <w:lang w:val="en"/>
              </w:rPr>
              <w:t>service users</w:t>
            </w:r>
            <w:r w:rsidRPr="0002098F">
              <w:rPr>
                <w:rFonts w:asciiTheme="minorHAnsi" w:eastAsia="Calibri" w:hAnsiTheme="minorHAnsi" w:cstheme="minorHAnsi"/>
                <w:sz w:val="24"/>
                <w:szCs w:val="24"/>
                <w:lang w:val="en"/>
              </w:rPr>
              <w:t xml:space="preserve"> are very welcoming because they need service provision.</w:t>
            </w:r>
          </w:p>
          <w:p w14:paraId="08CD25FF" w14:textId="77777777" w:rsidR="0002098F" w:rsidRPr="0002098F" w:rsidRDefault="0002098F" w:rsidP="0002098F">
            <w:pPr>
              <w:tabs>
                <w:tab w:val="left" w:pos="4580"/>
              </w:tabs>
              <w:jc w:val="both"/>
              <w:rPr>
                <w:rFonts w:asciiTheme="minorHAnsi" w:eastAsia="Calibri" w:hAnsiTheme="minorHAnsi" w:cstheme="minorHAnsi"/>
                <w:sz w:val="24"/>
                <w:szCs w:val="24"/>
                <w:lang w:val="en"/>
              </w:rPr>
            </w:pPr>
          </w:p>
          <w:p w14:paraId="04D74BE4" w14:textId="39DE75F3" w:rsidR="0002098F" w:rsidRDefault="0002098F" w:rsidP="0002098F">
            <w:pPr>
              <w:tabs>
                <w:tab w:val="left" w:pos="4580"/>
              </w:tabs>
              <w:jc w:val="both"/>
              <w:rPr>
                <w:rFonts w:asciiTheme="minorHAnsi" w:eastAsia="Calibri" w:hAnsiTheme="minorHAnsi" w:cstheme="minorHAnsi"/>
                <w:sz w:val="24"/>
                <w:szCs w:val="24"/>
                <w:lang w:val="en"/>
              </w:rPr>
            </w:pPr>
            <w:r w:rsidRPr="0002098F">
              <w:rPr>
                <w:rFonts w:asciiTheme="minorHAnsi" w:eastAsia="Calibri" w:hAnsiTheme="minorHAnsi" w:cstheme="minorHAnsi"/>
                <w:sz w:val="24"/>
                <w:szCs w:val="24"/>
                <w:lang w:val="en"/>
              </w:rPr>
              <w:t xml:space="preserve">Reflecting further on this I comprehend that adult safeguarding is more underpinned by the right to self-determination, and this is about adults making a choice of whether to act or not to act at all to protect themselves, and the law can only intervene in more serious cases.  This choice is not available in children safeguarding as the responsibility to act is not up to the child but to authorities as guided by provisions of the </w:t>
            </w:r>
            <w:r w:rsidRPr="0002098F">
              <w:rPr>
                <w:rFonts w:asciiTheme="minorHAnsi" w:eastAsia="Calibri" w:hAnsiTheme="minorHAnsi" w:cstheme="minorHAnsi"/>
                <w:i/>
                <w:iCs/>
                <w:sz w:val="24"/>
                <w:szCs w:val="24"/>
                <w:lang w:val="en"/>
              </w:rPr>
              <w:t>child act 1989</w:t>
            </w:r>
            <w:r w:rsidRPr="0002098F">
              <w:rPr>
                <w:rFonts w:asciiTheme="minorHAnsi" w:eastAsia="Calibri" w:hAnsiTheme="minorHAnsi" w:cstheme="minorHAnsi"/>
                <w:sz w:val="24"/>
                <w:szCs w:val="24"/>
                <w:lang w:val="en"/>
              </w:rPr>
              <w:t xml:space="preserve"> especially section 47 that requires authorities to act where there is reasonable belief or cause to investigate any issues of child abuse, neglect, or harm. However, it is important to indicate that I also understand th</w:t>
            </w:r>
            <w:r w:rsidR="00073812">
              <w:rPr>
                <w:rFonts w:asciiTheme="minorHAnsi" w:eastAsia="Calibri" w:hAnsiTheme="minorHAnsi" w:cstheme="minorHAnsi"/>
                <w:sz w:val="24"/>
                <w:szCs w:val="24"/>
                <w:lang w:val="en"/>
              </w:rPr>
              <w:t>e</w:t>
            </w:r>
            <w:r w:rsidRPr="0002098F">
              <w:rPr>
                <w:rFonts w:asciiTheme="minorHAnsi" w:eastAsia="Calibri" w:hAnsiTheme="minorHAnsi" w:cstheme="minorHAnsi"/>
                <w:sz w:val="24"/>
                <w:szCs w:val="24"/>
                <w:lang w:val="en"/>
              </w:rPr>
              <w:t xml:space="preserve"> protection provided by the </w:t>
            </w:r>
            <w:r w:rsidRPr="0002098F">
              <w:rPr>
                <w:rFonts w:asciiTheme="minorHAnsi" w:eastAsia="Calibri" w:hAnsiTheme="minorHAnsi" w:cstheme="minorHAnsi"/>
                <w:i/>
                <w:iCs/>
                <w:sz w:val="24"/>
                <w:szCs w:val="24"/>
                <w:lang w:val="en"/>
              </w:rPr>
              <w:t>Mental Capacity Act 2005</w:t>
            </w:r>
            <w:r w:rsidRPr="0002098F">
              <w:rPr>
                <w:rFonts w:asciiTheme="minorHAnsi" w:eastAsia="Calibri" w:hAnsiTheme="minorHAnsi" w:cstheme="minorHAnsi"/>
                <w:sz w:val="24"/>
                <w:szCs w:val="24"/>
                <w:lang w:val="en"/>
              </w:rPr>
              <w:t xml:space="preserve"> which require capacity </w:t>
            </w:r>
            <w:r w:rsidR="00073812" w:rsidRPr="0002098F">
              <w:rPr>
                <w:rFonts w:asciiTheme="minorHAnsi" w:eastAsia="Calibri" w:hAnsiTheme="minorHAnsi" w:cstheme="minorHAnsi"/>
                <w:sz w:val="24"/>
                <w:szCs w:val="24"/>
                <w:lang w:val="en"/>
              </w:rPr>
              <w:t>assessm</w:t>
            </w:r>
            <w:r w:rsidR="00073812">
              <w:rPr>
                <w:rFonts w:asciiTheme="minorHAnsi" w:eastAsia="Calibri" w:hAnsiTheme="minorHAnsi" w:cstheme="minorHAnsi"/>
                <w:sz w:val="24"/>
                <w:szCs w:val="24"/>
                <w:lang w:val="en"/>
              </w:rPr>
              <w:t>ents</w:t>
            </w:r>
            <w:r w:rsidRPr="0002098F">
              <w:rPr>
                <w:rFonts w:asciiTheme="minorHAnsi" w:eastAsia="Calibri" w:hAnsiTheme="minorHAnsi" w:cstheme="minorHAnsi"/>
                <w:sz w:val="24"/>
                <w:szCs w:val="24"/>
                <w:lang w:val="en"/>
              </w:rPr>
              <w:t xml:space="preserve"> to act in the best interest of an adult. An adult who lacks capacity does not have the explicit self-determination right.   </w:t>
            </w:r>
          </w:p>
          <w:p w14:paraId="37555EE5" w14:textId="77777777" w:rsidR="00F152D3" w:rsidRPr="0090255B" w:rsidRDefault="00F152D3" w:rsidP="0002098F">
            <w:pPr>
              <w:tabs>
                <w:tab w:val="left" w:pos="4580"/>
              </w:tabs>
              <w:jc w:val="both"/>
              <w:rPr>
                <w:rFonts w:asciiTheme="minorHAnsi" w:eastAsia="Calibri" w:hAnsiTheme="minorHAnsi" w:cstheme="minorHAnsi"/>
                <w:sz w:val="24"/>
                <w:szCs w:val="24"/>
                <w:lang w:val="en"/>
              </w:rPr>
            </w:pPr>
          </w:p>
          <w:p w14:paraId="77FB1DAE" w14:textId="2CF05D16" w:rsidR="00CD0675" w:rsidRPr="0090255B" w:rsidRDefault="00F76EDB" w:rsidP="0002098F">
            <w:pPr>
              <w:jc w:val="both"/>
              <w:rPr>
                <w:rFonts w:asciiTheme="minorHAnsi" w:hAnsiTheme="minorHAnsi" w:cstheme="minorHAnsi"/>
                <w:i/>
                <w:iCs/>
                <w:sz w:val="24"/>
                <w:szCs w:val="24"/>
              </w:rPr>
            </w:pPr>
            <w:r w:rsidRPr="0090255B">
              <w:rPr>
                <w:rFonts w:asciiTheme="minorHAnsi" w:hAnsiTheme="minorHAnsi" w:cstheme="minorHAnsi"/>
                <w:b/>
                <w:bCs/>
                <w:i/>
                <w:iCs/>
                <w:sz w:val="24"/>
                <w:szCs w:val="24"/>
              </w:rPr>
              <w:t>(</w:t>
            </w:r>
            <w:r w:rsidR="0002098F" w:rsidRPr="0090255B">
              <w:rPr>
                <w:rFonts w:asciiTheme="minorHAnsi" w:hAnsiTheme="minorHAnsi" w:cstheme="minorHAnsi"/>
                <w:b/>
                <w:bCs/>
                <w:i/>
                <w:iCs/>
                <w:sz w:val="24"/>
                <w:szCs w:val="24"/>
              </w:rPr>
              <w:t xml:space="preserve">Word Count </w:t>
            </w:r>
            <w:r w:rsidR="006C356C" w:rsidRPr="0090255B">
              <w:rPr>
                <w:rFonts w:asciiTheme="minorHAnsi" w:hAnsiTheme="minorHAnsi" w:cstheme="minorHAnsi"/>
                <w:b/>
                <w:bCs/>
                <w:i/>
                <w:iCs/>
                <w:sz w:val="24"/>
                <w:szCs w:val="24"/>
              </w:rPr>
              <w:t>50</w:t>
            </w:r>
            <w:r w:rsidR="00714B12">
              <w:rPr>
                <w:rFonts w:asciiTheme="minorHAnsi" w:hAnsiTheme="minorHAnsi" w:cstheme="minorHAnsi"/>
                <w:b/>
                <w:bCs/>
                <w:i/>
                <w:iCs/>
                <w:sz w:val="24"/>
                <w:szCs w:val="24"/>
              </w:rPr>
              <w:t>8</w:t>
            </w:r>
            <w:r w:rsidRPr="0090255B">
              <w:rPr>
                <w:rFonts w:asciiTheme="minorHAnsi" w:hAnsiTheme="minorHAnsi" w:cstheme="minorHAnsi"/>
                <w:b/>
                <w:bCs/>
                <w:i/>
                <w:iCs/>
                <w:sz w:val="24"/>
                <w:szCs w:val="24"/>
              </w:rPr>
              <w:t>)</w:t>
            </w:r>
          </w:p>
          <w:p w14:paraId="03BD6D93" w14:textId="0A4D6056" w:rsidR="00892C10" w:rsidRPr="0002098F" w:rsidRDefault="00892C10" w:rsidP="00F76EDB">
            <w:pPr>
              <w:jc w:val="both"/>
              <w:rPr>
                <w:rFonts w:asciiTheme="minorHAnsi" w:hAnsiTheme="minorHAnsi" w:cstheme="minorHAnsi"/>
                <w:b/>
                <w:sz w:val="24"/>
                <w:szCs w:val="24"/>
              </w:rPr>
            </w:pPr>
          </w:p>
        </w:tc>
      </w:tr>
    </w:tbl>
    <w:p w14:paraId="4E2DD6D2" w14:textId="6FFF62EB" w:rsidR="00281CB7" w:rsidRPr="00281CB7" w:rsidRDefault="00281CB7" w:rsidP="00281CB7">
      <w:pPr>
        <w:tabs>
          <w:tab w:val="left" w:pos="3134"/>
        </w:tabs>
        <w:rPr>
          <w:sz w:val="24"/>
          <w:szCs w:val="24"/>
        </w:rPr>
      </w:pPr>
    </w:p>
    <w:sectPr w:rsidR="00281CB7" w:rsidRPr="00281CB7" w:rsidSect="00F152D3">
      <w:footerReference w:type="default" r:id="rId10"/>
      <w:pgSz w:w="12240" w:h="15840"/>
      <w:pgMar w:top="142" w:right="616" w:bottom="1440" w:left="1080" w:header="720" w:footer="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527FC" w14:textId="77777777" w:rsidR="00DD33BE" w:rsidRDefault="00DD33BE">
      <w:r>
        <w:separator/>
      </w:r>
    </w:p>
  </w:endnote>
  <w:endnote w:type="continuationSeparator" w:id="0">
    <w:p w14:paraId="0AE976F5" w14:textId="77777777" w:rsidR="00DD33BE" w:rsidRDefault="00DD3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9A162" w14:textId="4BC92FEF" w:rsidR="00076215" w:rsidRPr="00281CB7" w:rsidRDefault="00076215" w:rsidP="00076215">
    <w:pPr>
      <w:spacing w:after="200" w:line="276" w:lineRule="auto"/>
      <w:rPr>
        <w:sz w:val="18"/>
        <w:szCs w:val="18"/>
      </w:rPr>
    </w:pPr>
    <w:r>
      <w:rPr>
        <w:rFonts w:eastAsia="Calibri" w:cstheme="minorHAnsi"/>
        <w:b/>
        <w:sz w:val="18"/>
        <w:szCs w:val="18"/>
      </w:rPr>
      <w:t xml:space="preserve"> </w:t>
    </w:r>
    <w:r w:rsidR="00281CB7" w:rsidRPr="00281CB7">
      <w:rPr>
        <w:rFonts w:eastAsia="Calibri" w:cstheme="minorHAnsi"/>
        <w:b/>
        <w:sz w:val="18"/>
        <w:szCs w:val="18"/>
      </w:rPr>
      <w:t xml:space="preserve">Graduate Certificate in Consolidation of Social Work Practice Cohort 22 </w:t>
    </w:r>
    <w:r w:rsidR="00281CB7" w:rsidRPr="00281CB7">
      <w:rPr>
        <w:rFonts w:eastAsia="Calibri" w:cstheme="minorHAnsi"/>
        <w:bCs/>
        <w:sz w:val="18"/>
        <w:szCs w:val="18"/>
      </w:rPr>
      <w:t>(</w:t>
    </w:r>
    <w:r w:rsidR="00281CB7" w:rsidRPr="00281CB7">
      <w:rPr>
        <w:bCs/>
        <w:sz w:val="18"/>
        <w:szCs w:val="18"/>
      </w:rPr>
      <w:t>1908273.</w:t>
    </w:r>
    <w:r w:rsidR="00281CB7" w:rsidRPr="00281CB7">
      <w:rPr>
        <w:sz w:val="18"/>
        <w:szCs w:val="18"/>
      </w:rPr>
      <w:t xml:space="preserve"> Anywhere Chisango).</w:t>
    </w:r>
    <w:r w:rsidRPr="00281CB7">
      <w:rPr>
        <w:rFonts w:eastAsia="Calibri" w:cstheme="minorHAnsi"/>
        <w:b/>
        <w:sz w:val="18"/>
        <w:szCs w:val="18"/>
      </w:rPr>
      <w:t xml:space="preserve">    </w:t>
    </w:r>
    <w:r w:rsidRPr="00281CB7">
      <w:rPr>
        <w:sz w:val="18"/>
        <w:szCs w:val="18"/>
      </w:rPr>
      <w:fldChar w:fldCharType="begin"/>
    </w:r>
    <w:r w:rsidRPr="00281CB7">
      <w:rPr>
        <w:sz w:val="18"/>
        <w:szCs w:val="18"/>
      </w:rPr>
      <w:instrText xml:space="preserve"> PAGE   \* MERGEFORMAT </w:instrText>
    </w:r>
    <w:r w:rsidRPr="00281CB7">
      <w:rPr>
        <w:sz w:val="18"/>
        <w:szCs w:val="18"/>
      </w:rPr>
      <w:fldChar w:fldCharType="separate"/>
    </w:r>
    <w:r w:rsidRPr="00281CB7">
      <w:rPr>
        <w:sz w:val="18"/>
        <w:szCs w:val="18"/>
      </w:rPr>
      <w:t>18</w:t>
    </w:r>
    <w:r w:rsidRPr="00281CB7">
      <w:rPr>
        <w:noProof/>
        <w:sz w:val="18"/>
        <w:szCs w:val="18"/>
      </w:rPr>
      <w:fldChar w:fldCharType="end"/>
    </w:r>
  </w:p>
  <w:p w14:paraId="4FA3DEAF" w14:textId="10CEAE02" w:rsidR="00A5656A" w:rsidRDefault="00A5656A">
    <w:pPr>
      <w:pStyle w:val="Footer"/>
      <w:jc w:val="right"/>
    </w:pP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76749" w14:textId="77777777" w:rsidR="00DD33BE" w:rsidRDefault="00DD33BE">
      <w:r>
        <w:separator/>
      </w:r>
    </w:p>
  </w:footnote>
  <w:footnote w:type="continuationSeparator" w:id="0">
    <w:p w14:paraId="66C6AF7E" w14:textId="77777777" w:rsidR="00DD33BE" w:rsidRDefault="00DD33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98F"/>
    <w:rsid w:val="00020EEC"/>
    <w:rsid w:val="0002440E"/>
    <w:rsid w:val="0002759A"/>
    <w:rsid w:val="00027B1F"/>
    <w:rsid w:val="0003088B"/>
    <w:rsid w:val="000325D9"/>
    <w:rsid w:val="000372B2"/>
    <w:rsid w:val="0004079F"/>
    <w:rsid w:val="00043543"/>
    <w:rsid w:val="00044BAA"/>
    <w:rsid w:val="00045B87"/>
    <w:rsid w:val="00045C07"/>
    <w:rsid w:val="00045C40"/>
    <w:rsid w:val="00046861"/>
    <w:rsid w:val="00054A07"/>
    <w:rsid w:val="00055D43"/>
    <w:rsid w:val="00056FAC"/>
    <w:rsid w:val="00057751"/>
    <w:rsid w:val="00062E39"/>
    <w:rsid w:val="00064063"/>
    <w:rsid w:val="0006581A"/>
    <w:rsid w:val="00073812"/>
    <w:rsid w:val="00074461"/>
    <w:rsid w:val="00076215"/>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052"/>
    <w:rsid w:val="000A4240"/>
    <w:rsid w:val="000A4597"/>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A41"/>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2F4"/>
    <w:rsid w:val="00164832"/>
    <w:rsid w:val="00171418"/>
    <w:rsid w:val="001772BF"/>
    <w:rsid w:val="001772DE"/>
    <w:rsid w:val="00185829"/>
    <w:rsid w:val="00191577"/>
    <w:rsid w:val="0019260B"/>
    <w:rsid w:val="0019496C"/>
    <w:rsid w:val="001961CF"/>
    <w:rsid w:val="001A59BB"/>
    <w:rsid w:val="001A607E"/>
    <w:rsid w:val="001A6A51"/>
    <w:rsid w:val="001A6D1E"/>
    <w:rsid w:val="001A79C4"/>
    <w:rsid w:val="001B331A"/>
    <w:rsid w:val="001C0237"/>
    <w:rsid w:val="001C0E74"/>
    <w:rsid w:val="001C45BD"/>
    <w:rsid w:val="001C4DB8"/>
    <w:rsid w:val="001C50B8"/>
    <w:rsid w:val="001D229F"/>
    <w:rsid w:val="001E2EB6"/>
    <w:rsid w:val="001E7BB6"/>
    <w:rsid w:val="001F4552"/>
    <w:rsid w:val="002019EB"/>
    <w:rsid w:val="00204B58"/>
    <w:rsid w:val="00205051"/>
    <w:rsid w:val="00211F65"/>
    <w:rsid w:val="00213421"/>
    <w:rsid w:val="00214047"/>
    <w:rsid w:val="00216563"/>
    <w:rsid w:val="0021792F"/>
    <w:rsid w:val="00220CDD"/>
    <w:rsid w:val="00220D06"/>
    <w:rsid w:val="002246A0"/>
    <w:rsid w:val="00230439"/>
    <w:rsid w:val="00230721"/>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1A07"/>
    <w:rsid w:val="00281CB7"/>
    <w:rsid w:val="00291ADD"/>
    <w:rsid w:val="002920DF"/>
    <w:rsid w:val="00292F3D"/>
    <w:rsid w:val="00295CA1"/>
    <w:rsid w:val="002A0E51"/>
    <w:rsid w:val="002A183C"/>
    <w:rsid w:val="002A1A44"/>
    <w:rsid w:val="002A291A"/>
    <w:rsid w:val="002A2C54"/>
    <w:rsid w:val="002A4E2E"/>
    <w:rsid w:val="002A5604"/>
    <w:rsid w:val="002B1701"/>
    <w:rsid w:val="002B23C3"/>
    <w:rsid w:val="002B443A"/>
    <w:rsid w:val="002B5B35"/>
    <w:rsid w:val="002B7AEE"/>
    <w:rsid w:val="002C14B0"/>
    <w:rsid w:val="002C2536"/>
    <w:rsid w:val="002C256A"/>
    <w:rsid w:val="002C3031"/>
    <w:rsid w:val="002C4233"/>
    <w:rsid w:val="002C496D"/>
    <w:rsid w:val="002D05EB"/>
    <w:rsid w:val="002D11A8"/>
    <w:rsid w:val="002D2F29"/>
    <w:rsid w:val="002D2F5E"/>
    <w:rsid w:val="002D46C0"/>
    <w:rsid w:val="002D5A92"/>
    <w:rsid w:val="002D65D2"/>
    <w:rsid w:val="002D6B31"/>
    <w:rsid w:val="002E6D17"/>
    <w:rsid w:val="002E7017"/>
    <w:rsid w:val="002E7F2C"/>
    <w:rsid w:val="002F053A"/>
    <w:rsid w:val="002F1FC7"/>
    <w:rsid w:val="002F2185"/>
    <w:rsid w:val="002F4F6E"/>
    <w:rsid w:val="003015C3"/>
    <w:rsid w:val="003106DB"/>
    <w:rsid w:val="0031350A"/>
    <w:rsid w:val="00316815"/>
    <w:rsid w:val="003168CA"/>
    <w:rsid w:val="003176D1"/>
    <w:rsid w:val="00321255"/>
    <w:rsid w:val="00321D3E"/>
    <w:rsid w:val="0032230D"/>
    <w:rsid w:val="00322A0B"/>
    <w:rsid w:val="003252C0"/>
    <w:rsid w:val="00330881"/>
    <w:rsid w:val="00331CD2"/>
    <w:rsid w:val="00332426"/>
    <w:rsid w:val="0033357C"/>
    <w:rsid w:val="00335C41"/>
    <w:rsid w:val="00335FC5"/>
    <w:rsid w:val="0033771E"/>
    <w:rsid w:val="00337FEF"/>
    <w:rsid w:val="00350956"/>
    <w:rsid w:val="00354B6D"/>
    <w:rsid w:val="00355210"/>
    <w:rsid w:val="00355CFD"/>
    <w:rsid w:val="00355DF4"/>
    <w:rsid w:val="0036575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53F"/>
    <w:rsid w:val="003A0C37"/>
    <w:rsid w:val="003A1B6B"/>
    <w:rsid w:val="003A46C0"/>
    <w:rsid w:val="003A600E"/>
    <w:rsid w:val="003A6513"/>
    <w:rsid w:val="003B16C7"/>
    <w:rsid w:val="003B3115"/>
    <w:rsid w:val="003C19F1"/>
    <w:rsid w:val="003C1CB9"/>
    <w:rsid w:val="003C3C67"/>
    <w:rsid w:val="003C4186"/>
    <w:rsid w:val="003C6185"/>
    <w:rsid w:val="003D0D2D"/>
    <w:rsid w:val="003D1885"/>
    <w:rsid w:val="003D1BC0"/>
    <w:rsid w:val="003D20F1"/>
    <w:rsid w:val="003D2685"/>
    <w:rsid w:val="003D4710"/>
    <w:rsid w:val="003D68C7"/>
    <w:rsid w:val="003E16D7"/>
    <w:rsid w:val="003E197E"/>
    <w:rsid w:val="003E4B70"/>
    <w:rsid w:val="003E54CF"/>
    <w:rsid w:val="003E5FBA"/>
    <w:rsid w:val="003F1233"/>
    <w:rsid w:val="003F67A4"/>
    <w:rsid w:val="00400786"/>
    <w:rsid w:val="00401FDA"/>
    <w:rsid w:val="004046F0"/>
    <w:rsid w:val="0040668F"/>
    <w:rsid w:val="00411EF7"/>
    <w:rsid w:val="00412677"/>
    <w:rsid w:val="004146EE"/>
    <w:rsid w:val="00425160"/>
    <w:rsid w:val="00430DE3"/>
    <w:rsid w:val="004348AE"/>
    <w:rsid w:val="004376C0"/>
    <w:rsid w:val="0044223A"/>
    <w:rsid w:val="00450B67"/>
    <w:rsid w:val="00451851"/>
    <w:rsid w:val="0045189A"/>
    <w:rsid w:val="00453343"/>
    <w:rsid w:val="004538C3"/>
    <w:rsid w:val="004608B9"/>
    <w:rsid w:val="00463B55"/>
    <w:rsid w:val="00465947"/>
    <w:rsid w:val="00465FE2"/>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3154"/>
    <w:rsid w:val="004C6CC5"/>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B75"/>
    <w:rsid w:val="005042F1"/>
    <w:rsid w:val="0050481B"/>
    <w:rsid w:val="005113D4"/>
    <w:rsid w:val="0051287D"/>
    <w:rsid w:val="00513C7D"/>
    <w:rsid w:val="00521123"/>
    <w:rsid w:val="00521221"/>
    <w:rsid w:val="0052250B"/>
    <w:rsid w:val="005305C6"/>
    <w:rsid w:val="00540EEC"/>
    <w:rsid w:val="005414F4"/>
    <w:rsid w:val="00546187"/>
    <w:rsid w:val="0054635E"/>
    <w:rsid w:val="00547B11"/>
    <w:rsid w:val="00557D77"/>
    <w:rsid w:val="00562EAA"/>
    <w:rsid w:val="00563B58"/>
    <w:rsid w:val="005640C4"/>
    <w:rsid w:val="0056684C"/>
    <w:rsid w:val="00574A0C"/>
    <w:rsid w:val="005764DD"/>
    <w:rsid w:val="0057780F"/>
    <w:rsid w:val="00581E0A"/>
    <w:rsid w:val="00582661"/>
    <w:rsid w:val="00586D89"/>
    <w:rsid w:val="005877C8"/>
    <w:rsid w:val="00587923"/>
    <w:rsid w:val="00594F9F"/>
    <w:rsid w:val="005A1B4C"/>
    <w:rsid w:val="005A545C"/>
    <w:rsid w:val="005B1424"/>
    <w:rsid w:val="005B271A"/>
    <w:rsid w:val="005B3A2D"/>
    <w:rsid w:val="005C1567"/>
    <w:rsid w:val="005C28D3"/>
    <w:rsid w:val="005C6CE5"/>
    <w:rsid w:val="005D3675"/>
    <w:rsid w:val="005D3F07"/>
    <w:rsid w:val="005D4A1E"/>
    <w:rsid w:val="005D4F72"/>
    <w:rsid w:val="005E13EA"/>
    <w:rsid w:val="005E17F1"/>
    <w:rsid w:val="005F64AA"/>
    <w:rsid w:val="005F7851"/>
    <w:rsid w:val="006015F8"/>
    <w:rsid w:val="00601FDB"/>
    <w:rsid w:val="00602DD0"/>
    <w:rsid w:val="00606E27"/>
    <w:rsid w:val="006108C9"/>
    <w:rsid w:val="00614DF7"/>
    <w:rsid w:val="006179BB"/>
    <w:rsid w:val="0062158D"/>
    <w:rsid w:val="006223FD"/>
    <w:rsid w:val="006326D1"/>
    <w:rsid w:val="00632E0A"/>
    <w:rsid w:val="00633165"/>
    <w:rsid w:val="0064352F"/>
    <w:rsid w:val="006438A5"/>
    <w:rsid w:val="006447DE"/>
    <w:rsid w:val="00644889"/>
    <w:rsid w:val="0065276E"/>
    <w:rsid w:val="00654329"/>
    <w:rsid w:val="00654CEC"/>
    <w:rsid w:val="00655507"/>
    <w:rsid w:val="00655BC4"/>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56C"/>
    <w:rsid w:val="006D18A3"/>
    <w:rsid w:val="006D5970"/>
    <w:rsid w:val="006E481E"/>
    <w:rsid w:val="006E71F3"/>
    <w:rsid w:val="006E795F"/>
    <w:rsid w:val="006F039F"/>
    <w:rsid w:val="006F0862"/>
    <w:rsid w:val="006F1438"/>
    <w:rsid w:val="006F2A9E"/>
    <w:rsid w:val="006F5ED3"/>
    <w:rsid w:val="00700249"/>
    <w:rsid w:val="007069CD"/>
    <w:rsid w:val="00706BB5"/>
    <w:rsid w:val="0071231A"/>
    <w:rsid w:val="00712E90"/>
    <w:rsid w:val="00713B7E"/>
    <w:rsid w:val="00714B12"/>
    <w:rsid w:val="0072678F"/>
    <w:rsid w:val="007276E5"/>
    <w:rsid w:val="00727C4C"/>
    <w:rsid w:val="00734809"/>
    <w:rsid w:val="0073714E"/>
    <w:rsid w:val="007374EF"/>
    <w:rsid w:val="007406E1"/>
    <w:rsid w:val="00743E40"/>
    <w:rsid w:val="00745016"/>
    <w:rsid w:val="0075031F"/>
    <w:rsid w:val="0075047A"/>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78A"/>
    <w:rsid w:val="007A1F6A"/>
    <w:rsid w:val="007A628F"/>
    <w:rsid w:val="007A77AD"/>
    <w:rsid w:val="007B0DE3"/>
    <w:rsid w:val="007B1BFD"/>
    <w:rsid w:val="007B4404"/>
    <w:rsid w:val="007B4FF1"/>
    <w:rsid w:val="007B7191"/>
    <w:rsid w:val="007C1D94"/>
    <w:rsid w:val="007C556F"/>
    <w:rsid w:val="007C5ABE"/>
    <w:rsid w:val="007C6A87"/>
    <w:rsid w:val="007D0A07"/>
    <w:rsid w:val="007D0F11"/>
    <w:rsid w:val="007D133D"/>
    <w:rsid w:val="007D3EB4"/>
    <w:rsid w:val="007D3F16"/>
    <w:rsid w:val="007E7A9A"/>
    <w:rsid w:val="007F10BD"/>
    <w:rsid w:val="007F10DF"/>
    <w:rsid w:val="007F312E"/>
    <w:rsid w:val="007F3F7E"/>
    <w:rsid w:val="007F4BA4"/>
    <w:rsid w:val="008052EA"/>
    <w:rsid w:val="00813CEC"/>
    <w:rsid w:val="0081534C"/>
    <w:rsid w:val="00816CE7"/>
    <w:rsid w:val="008171E4"/>
    <w:rsid w:val="008208EA"/>
    <w:rsid w:val="00822B44"/>
    <w:rsid w:val="00823E31"/>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9CE"/>
    <w:rsid w:val="00850233"/>
    <w:rsid w:val="0085230E"/>
    <w:rsid w:val="008550A1"/>
    <w:rsid w:val="00861038"/>
    <w:rsid w:val="008623C2"/>
    <w:rsid w:val="00865B58"/>
    <w:rsid w:val="00866B50"/>
    <w:rsid w:val="00867A63"/>
    <w:rsid w:val="008708F1"/>
    <w:rsid w:val="00871960"/>
    <w:rsid w:val="0087369F"/>
    <w:rsid w:val="00880539"/>
    <w:rsid w:val="008859E8"/>
    <w:rsid w:val="0088737B"/>
    <w:rsid w:val="00891078"/>
    <w:rsid w:val="00892716"/>
    <w:rsid w:val="00892C10"/>
    <w:rsid w:val="00893067"/>
    <w:rsid w:val="008933DE"/>
    <w:rsid w:val="00895FCE"/>
    <w:rsid w:val="00897F3E"/>
    <w:rsid w:val="008A21B4"/>
    <w:rsid w:val="008B07DE"/>
    <w:rsid w:val="008B1309"/>
    <w:rsid w:val="008B28E7"/>
    <w:rsid w:val="008B67F6"/>
    <w:rsid w:val="008B7984"/>
    <w:rsid w:val="008C14C7"/>
    <w:rsid w:val="008C175F"/>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55B"/>
    <w:rsid w:val="00902A65"/>
    <w:rsid w:val="00903932"/>
    <w:rsid w:val="009079BD"/>
    <w:rsid w:val="00912BD9"/>
    <w:rsid w:val="00916FB2"/>
    <w:rsid w:val="00920E5B"/>
    <w:rsid w:val="00926436"/>
    <w:rsid w:val="00926C53"/>
    <w:rsid w:val="0093018C"/>
    <w:rsid w:val="0094495F"/>
    <w:rsid w:val="0094644A"/>
    <w:rsid w:val="009544C0"/>
    <w:rsid w:val="00954FA4"/>
    <w:rsid w:val="009554C0"/>
    <w:rsid w:val="00956AE9"/>
    <w:rsid w:val="0095758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485"/>
    <w:rsid w:val="009F6801"/>
    <w:rsid w:val="00A00081"/>
    <w:rsid w:val="00A04774"/>
    <w:rsid w:val="00A06422"/>
    <w:rsid w:val="00A10D56"/>
    <w:rsid w:val="00A12AAE"/>
    <w:rsid w:val="00A12F22"/>
    <w:rsid w:val="00A16DD1"/>
    <w:rsid w:val="00A22441"/>
    <w:rsid w:val="00A23F3B"/>
    <w:rsid w:val="00A24406"/>
    <w:rsid w:val="00A25F64"/>
    <w:rsid w:val="00A275F6"/>
    <w:rsid w:val="00A303B9"/>
    <w:rsid w:val="00A37416"/>
    <w:rsid w:val="00A3796C"/>
    <w:rsid w:val="00A40390"/>
    <w:rsid w:val="00A40ED6"/>
    <w:rsid w:val="00A46936"/>
    <w:rsid w:val="00A47621"/>
    <w:rsid w:val="00A479CD"/>
    <w:rsid w:val="00A50CFC"/>
    <w:rsid w:val="00A54D67"/>
    <w:rsid w:val="00A55A3F"/>
    <w:rsid w:val="00A5656A"/>
    <w:rsid w:val="00A56C4E"/>
    <w:rsid w:val="00A60103"/>
    <w:rsid w:val="00A652F6"/>
    <w:rsid w:val="00A65861"/>
    <w:rsid w:val="00A732EA"/>
    <w:rsid w:val="00A7489E"/>
    <w:rsid w:val="00A8015F"/>
    <w:rsid w:val="00A80F62"/>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724"/>
    <w:rsid w:val="00B31C91"/>
    <w:rsid w:val="00B3747F"/>
    <w:rsid w:val="00B42E76"/>
    <w:rsid w:val="00B43194"/>
    <w:rsid w:val="00B436BF"/>
    <w:rsid w:val="00B47734"/>
    <w:rsid w:val="00B50FBA"/>
    <w:rsid w:val="00B558EB"/>
    <w:rsid w:val="00B577D3"/>
    <w:rsid w:val="00B60466"/>
    <w:rsid w:val="00B617A4"/>
    <w:rsid w:val="00B6548F"/>
    <w:rsid w:val="00B71A32"/>
    <w:rsid w:val="00B7502A"/>
    <w:rsid w:val="00B7660F"/>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869"/>
    <w:rsid w:val="00BC1C22"/>
    <w:rsid w:val="00BC460B"/>
    <w:rsid w:val="00BC4ED3"/>
    <w:rsid w:val="00BC5725"/>
    <w:rsid w:val="00BD23AC"/>
    <w:rsid w:val="00BD2D3B"/>
    <w:rsid w:val="00BD30B1"/>
    <w:rsid w:val="00BE0F7B"/>
    <w:rsid w:val="00BE10C2"/>
    <w:rsid w:val="00BE565A"/>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5B0"/>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815"/>
    <w:rsid w:val="00C93F8F"/>
    <w:rsid w:val="00CA0894"/>
    <w:rsid w:val="00CA3593"/>
    <w:rsid w:val="00CA5726"/>
    <w:rsid w:val="00CA7E6A"/>
    <w:rsid w:val="00CB258E"/>
    <w:rsid w:val="00CB3C8F"/>
    <w:rsid w:val="00CC02F1"/>
    <w:rsid w:val="00CC1122"/>
    <w:rsid w:val="00CC11A6"/>
    <w:rsid w:val="00CC135E"/>
    <w:rsid w:val="00CC7226"/>
    <w:rsid w:val="00CD0675"/>
    <w:rsid w:val="00CD0735"/>
    <w:rsid w:val="00CD45E3"/>
    <w:rsid w:val="00CD4771"/>
    <w:rsid w:val="00CD5089"/>
    <w:rsid w:val="00CD5D3F"/>
    <w:rsid w:val="00CD7E1F"/>
    <w:rsid w:val="00CE097A"/>
    <w:rsid w:val="00CE4BC4"/>
    <w:rsid w:val="00CE7DA2"/>
    <w:rsid w:val="00CF2F8A"/>
    <w:rsid w:val="00CF3DB3"/>
    <w:rsid w:val="00CF7D40"/>
    <w:rsid w:val="00D01EE8"/>
    <w:rsid w:val="00D0274B"/>
    <w:rsid w:val="00D0503D"/>
    <w:rsid w:val="00D052BC"/>
    <w:rsid w:val="00D07026"/>
    <w:rsid w:val="00D146AE"/>
    <w:rsid w:val="00D14BA6"/>
    <w:rsid w:val="00D22C8F"/>
    <w:rsid w:val="00D3203C"/>
    <w:rsid w:val="00D33491"/>
    <w:rsid w:val="00D3442D"/>
    <w:rsid w:val="00D36F00"/>
    <w:rsid w:val="00D42272"/>
    <w:rsid w:val="00D44B67"/>
    <w:rsid w:val="00D44F8E"/>
    <w:rsid w:val="00D51FD5"/>
    <w:rsid w:val="00D55DE0"/>
    <w:rsid w:val="00D607EF"/>
    <w:rsid w:val="00D60F88"/>
    <w:rsid w:val="00D646BD"/>
    <w:rsid w:val="00D65558"/>
    <w:rsid w:val="00D71201"/>
    <w:rsid w:val="00D720C7"/>
    <w:rsid w:val="00D84841"/>
    <w:rsid w:val="00D876E6"/>
    <w:rsid w:val="00D90958"/>
    <w:rsid w:val="00D91732"/>
    <w:rsid w:val="00DA1025"/>
    <w:rsid w:val="00DA22EC"/>
    <w:rsid w:val="00DA277C"/>
    <w:rsid w:val="00DA5682"/>
    <w:rsid w:val="00DA5860"/>
    <w:rsid w:val="00DA5C0C"/>
    <w:rsid w:val="00DB2767"/>
    <w:rsid w:val="00DB3D8B"/>
    <w:rsid w:val="00DC1B10"/>
    <w:rsid w:val="00DC2924"/>
    <w:rsid w:val="00DC4729"/>
    <w:rsid w:val="00DD31C5"/>
    <w:rsid w:val="00DD33BE"/>
    <w:rsid w:val="00DD5020"/>
    <w:rsid w:val="00DD63BE"/>
    <w:rsid w:val="00DE4296"/>
    <w:rsid w:val="00DF2469"/>
    <w:rsid w:val="00DF7899"/>
    <w:rsid w:val="00E0524C"/>
    <w:rsid w:val="00E15751"/>
    <w:rsid w:val="00E17160"/>
    <w:rsid w:val="00E17D41"/>
    <w:rsid w:val="00E21FD2"/>
    <w:rsid w:val="00E231D1"/>
    <w:rsid w:val="00E3288D"/>
    <w:rsid w:val="00E35112"/>
    <w:rsid w:val="00E35BEC"/>
    <w:rsid w:val="00E41A6A"/>
    <w:rsid w:val="00E50821"/>
    <w:rsid w:val="00E51F91"/>
    <w:rsid w:val="00E5498A"/>
    <w:rsid w:val="00E559CE"/>
    <w:rsid w:val="00E60F42"/>
    <w:rsid w:val="00E64290"/>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F77"/>
    <w:rsid w:val="00EA7ADF"/>
    <w:rsid w:val="00EB2173"/>
    <w:rsid w:val="00EB62E6"/>
    <w:rsid w:val="00EB695F"/>
    <w:rsid w:val="00EC1B96"/>
    <w:rsid w:val="00EC3A85"/>
    <w:rsid w:val="00EC4B89"/>
    <w:rsid w:val="00EC59A5"/>
    <w:rsid w:val="00EC6E15"/>
    <w:rsid w:val="00ED1B30"/>
    <w:rsid w:val="00ED395E"/>
    <w:rsid w:val="00ED5087"/>
    <w:rsid w:val="00ED5D03"/>
    <w:rsid w:val="00EE01ED"/>
    <w:rsid w:val="00EE1AC1"/>
    <w:rsid w:val="00EE39D6"/>
    <w:rsid w:val="00EE52AD"/>
    <w:rsid w:val="00EE5BC3"/>
    <w:rsid w:val="00EE6FAB"/>
    <w:rsid w:val="00EF328C"/>
    <w:rsid w:val="00EF68BB"/>
    <w:rsid w:val="00F018C4"/>
    <w:rsid w:val="00F01F92"/>
    <w:rsid w:val="00F030D4"/>
    <w:rsid w:val="00F04053"/>
    <w:rsid w:val="00F06573"/>
    <w:rsid w:val="00F10A08"/>
    <w:rsid w:val="00F152D3"/>
    <w:rsid w:val="00F15354"/>
    <w:rsid w:val="00F15B30"/>
    <w:rsid w:val="00F22AC5"/>
    <w:rsid w:val="00F2330E"/>
    <w:rsid w:val="00F254D1"/>
    <w:rsid w:val="00F2778B"/>
    <w:rsid w:val="00F32B82"/>
    <w:rsid w:val="00F34C86"/>
    <w:rsid w:val="00F4020F"/>
    <w:rsid w:val="00F4043E"/>
    <w:rsid w:val="00F41795"/>
    <w:rsid w:val="00F41BBC"/>
    <w:rsid w:val="00F444F0"/>
    <w:rsid w:val="00F446FF"/>
    <w:rsid w:val="00F45521"/>
    <w:rsid w:val="00F50847"/>
    <w:rsid w:val="00F53F27"/>
    <w:rsid w:val="00F54543"/>
    <w:rsid w:val="00F546D1"/>
    <w:rsid w:val="00F60281"/>
    <w:rsid w:val="00F66272"/>
    <w:rsid w:val="00F709C0"/>
    <w:rsid w:val="00F76EDB"/>
    <w:rsid w:val="00F81FEC"/>
    <w:rsid w:val="00F927A1"/>
    <w:rsid w:val="00F92E4D"/>
    <w:rsid w:val="00F95D08"/>
    <w:rsid w:val="00FA0497"/>
    <w:rsid w:val="00FA23BD"/>
    <w:rsid w:val="00FA3764"/>
    <w:rsid w:val="00FA3BC0"/>
    <w:rsid w:val="00FA41C7"/>
    <w:rsid w:val="00FA4A79"/>
    <w:rsid w:val="00FA56ED"/>
    <w:rsid w:val="00FB05DD"/>
    <w:rsid w:val="00FB0C1E"/>
    <w:rsid w:val="00FB0F7C"/>
    <w:rsid w:val="00FB24EA"/>
    <w:rsid w:val="00FB5FA6"/>
    <w:rsid w:val="00FC0334"/>
    <w:rsid w:val="00FC1310"/>
    <w:rsid w:val="00FC2FF3"/>
    <w:rsid w:val="00FC3263"/>
    <w:rsid w:val="00FC51F9"/>
    <w:rsid w:val="00FC5B40"/>
    <w:rsid w:val="00FC5FF8"/>
    <w:rsid w:val="00FD271B"/>
    <w:rsid w:val="00FD3D7C"/>
    <w:rsid w:val="00FD4F8F"/>
    <w:rsid w:val="00FD7EA4"/>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0762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076215"/>
    <w:pPr>
      <w:overflowPunct/>
      <w:autoSpaceDE/>
      <w:autoSpaceDN/>
      <w:adjustRightInd/>
      <w:textAlignment w:val="auto"/>
    </w:pPr>
    <w:rPr>
      <w:rFonts w:ascii="Consolas" w:eastAsiaTheme="minorHAnsi" w:hAnsi="Consolas"/>
      <w:color w:val="auto"/>
      <w:kern w:val="2"/>
      <w:sz w:val="21"/>
      <w:szCs w:val="21"/>
      <w:lang w:eastAsia="en-US"/>
      <w14:ligatures w14:val="standardContextual"/>
    </w:rPr>
  </w:style>
  <w:style w:type="character" w:customStyle="1" w:styleId="PlainTextChar">
    <w:name w:val="Plain Text Char"/>
    <w:basedOn w:val="DefaultParagraphFont"/>
    <w:link w:val="PlainText"/>
    <w:uiPriority w:val="99"/>
    <w:rsid w:val="00076215"/>
    <w:rPr>
      <w:rFonts w:ascii="Consolas" w:eastAsiaTheme="minorHAnsi" w:hAnsi="Consolas" w:cs="Arial"/>
      <w:kern w:val="2"/>
      <w:sz w:val="21"/>
      <w:szCs w:val="21"/>
      <w:lang w:eastAsia="en-US"/>
      <w14:ligatures w14:val="standardContextual"/>
    </w:rPr>
  </w:style>
  <w:style w:type="character" w:styleId="FollowedHyperlink">
    <w:name w:val="FollowedHyperlink"/>
    <w:basedOn w:val="DefaultParagraphFont"/>
    <w:uiPriority w:val="99"/>
    <w:semiHidden/>
    <w:unhideWhenUsed/>
    <w:rsid w:val="000762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TotalTime>
  <Pages>2</Pages>
  <Words>1066</Words>
  <Characters>6082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ALFRED CHISANGO</cp:lastModifiedBy>
  <cp:revision>2</cp:revision>
  <cp:lastPrinted>2020-02-11T19:20:00Z</cp:lastPrinted>
  <dcterms:created xsi:type="dcterms:W3CDTF">2025-02-18T23:51:00Z</dcterms:created>
  <dcterms:modified xsi:type="dcterms:W3CDTF">2025-02-18T23:51:00Z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