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D99C3" w14:textId="77777777" w:rsidR="00D60AE5" w:rsidRDefault="00D60AE5" w:rsidP="00745E2E">
      <w:pPr>
        <w:spacing w:line="360" w:lineRule="auto"/>
        <w:jc w:val="center"/>
        <w:rPr>
          <w:rFonts w:ascii="Arial" w:hAnsi="Arial" w:cs="Arial"/>
          <w:b/>
          <w:bCs/>
          <w:sz w:val="40"/>
          <w:szCs w:val="40"/>
        </w:rPr>
      </w:pPr>
    </w:p>
    <w:p w14:paraId="5C3FED4C" w14:textId="77777777" w:rsidR="00D60AE5" w:rsidRDefault="00D60AE5" w:rsidP="00745E2E">
      <w:pPr>
        <w:spacing w:line="360" w:lineRule="auto"/>
        <w:jc w:val="center"/>
        <w:rPr>
          <w:rFonts w:ascii="Arial" w:hAnsi="Arial" w:cs="Arial"/>
          <w:b/>
          <w:bCs/>
          <w:sz w:val="40"/>
          <w:szCs w:val="40"/>
        </w:rPr>
      </w:pPr>
    </w:p>
    <w:p w14:paraId="0154D23C" w14:textId="77777777" w:rsidR="00D60AE5" w:rsidRDefault="00D60AE5" w:rsidP="00745E2E">
      <w:pPr>
        <w:spacing w:line="360" w:lineRule="auto"/>
        <w:jc w:val="center"/>
        <w:rPr>
          <w:rFonts w:ascii="Arial" w:hAnsi="Arial" w:cs="Arial"/>
          <w:b/>
          <w:bCs/>
          <w:sz w:val="40"/>
          <w:szCs w:val="40"/>
        </w:rPr>
      </w:pPr>
    </w:p>
    <w:p w14:paraId="737578EE" w14:textId="77777777" w:rsidR="009E76A8" w:rsidRPr="009E76A8" w:rsidRDefault="005B45BF" w:rsidP="00745E2E">
      <w:pPr>
        <w:spacing w:line="360" w:lineRule="auto"/>
        <w:jc w:val="center"/>
        <w:rPr>
          <w:rFonts w:ascii="Arial" w:hAnsi="Arial" w:cs="Arial"/>
          <w:b/>
          <w:bCs/>
          <w:sz w:val="52"/>
          <w:szCs w:val="52"/>
        </w:rPr>
      </w:pPr>
      <w:r w:rsidRPr="009E76A8">
        <w:rPr>
          <w:rFonts w:ascii="Arial" w:hAnsi="Arial" w:cs="Arial"/>
          <w:b/>
          <w:bCs/>
          <w:sz w:val="52"/>
          <w:szCs w:val="52"/>
        </w:rPr>
        <w:t>Essay on Community Engagement</w:t>
      </w:r>
    </w:p>
    <w:p w14:paraId="7CAD254A" w14:textId="197C7834" w:rsidR="009E76A8" w:rsidRPr="009E76A8" w:rsidRDefault="009E76A8" w:rsidP="009E76A8">
      <w:pPr>
        <w:spacing w:line="360" w:lineRule="auto"/>
        <w:jc w:val="center"/>
        <w:rPr>
          <w:rFonts w:ascii="Arial" w:hAnsi="Arial" w:cs="Arial"/>
          <w:b/>
          <w:bCs/>
          <w:sz w:val="52"/>
          <w:szCs w:val="52"/>
        </w:rPr>
      </w:pPr>
      <w:r w:rsidRPr="009E76A8">
        <w:rPr>
          <w:rFonts w:ascii="Arial" w:hAnsi="Arial" w:cs="Arial"/>
          <w:b/>
          <w:bCs/>
          <w:sz w:val="52"/>
          <w:szCs w:val="52"/>
        </w:rPr>
        <w:t>Assessment 1</w:t>
      </w:r>
    </w:p>
    <w:p w14:paraId="571C2128" w14:textId="6D30D332" w:rsidR="009E76A8" w:rsidRDefault="009E76A8" w:rsidP="009E76A8">
      <w:pPr>
        <w:spacing w:line="360" w:lineRule="auto"/>
        <w:jc w:val="center"/>
        <w:rPr>
          <w:rFonts w:ascii="Arial" w:hAnsi="Arial" w:cs="Arial"/>
          <w:b/>
          <w:bCs/>
          <w:sz w:val="40"/>
          <w:szCs w:val="40"/>
        </w:rPr>
      </w:pPr>
    </w:p>
    <w:p w14:paraId="052312F0" w14:textId="2D9A38B6" w:rsidR="009E76A8" w:rsidRPr="009E76A8" w:rsidRDefault="009E76A8" w:rsidP="009E76A8">
      <w:pPr>
        <w:spacing w:line="360" w:lineRule="auto"/>
        <w:jc w:val="center"/>
        <w:rPr>
          <w:rFonts w:ascii="Arial" w:hAnsi="Arial" w:cs="Arial"/>
          <w:sz w:val="40"/>
          <w:szCs w:val="40"/>
        </w:rPr>
      </w:pPr>
    </w:p>
    <w:p w14:paraId="107E6873" w14:textId="5538659E" w:rsidR="009E76A8" w:rsidRPr="007F48A8" w:rsidRDefault="009E76A8" w:rsidP="009E76A8">
      <w:pPr>
        <w:spacing w:line="360" w:lineRule="auto"/>
        <w:jc w:val="center"/>
        <w:rPr>
          <w:rFonts w:ascii="Arial" w:hAnsi="Arial" w:cs="Arial"/>
          <w:b/>
          <w:bCs/>
          <w:sz w:val="28"/>
          <w:szCs w:val="28"/>
        </w:rPr>
      </w:pPr>
      <w:r w:rsidRPr="007F48A8">
        <w:rPr>
          <w:rFonts w:ascii="Arial" w:hAnsi="Arial" w:cs="Arial"/>
          <w:b/>
          <w:bCs/>
          <w:sz w:val="28"/>
          <w:szCs w:val="28"/>
        </w:rPr>
        <w:t>Student Name: Catalina Simona Stoian</w:t>
      </w:r>
    </w:p>
    <w:p w14:paraId="6F9F3204" w14:textId="088F2136" w:rsidR="009E76A8" w:rsidRPr="007F48A8" w:rsidRDefault="009E76A8" w:rsidP="009E76A8">
      <w:pPr>
        <w:spacing w:line="360" w:lineRule="auto"/>
        <w:jc w:val="center"/>
        <w:rPr>
          <w:rFonts w:ascii="Arial" w:hAnsi="Arial" w:cs="Arial"/>
          <w:b/>
          <w:bCs/>
          <w:sz w:val="28"/>
          <w:szCs w:val="28"/>
        </w:rPr>
      </w:pPr>
      <w:r w:rsidRPr="007F48A8">
        <w:rPr>
          <w:rFonts w:ascii="Arial" w:hAnsi="Arial" w:cs="Arial"/>
          <w:b/>
          <w:bCs/>
          <w:sz w:val="28"/>
          <w:szCs w:val="28"/>
        </w:rPr>
        <w:t>Student ID: 2119687</w:t>
      </w:r>
    </w:p>
    <w:p w14:paraId="2E99B4B2" w14:textId="77777777" w:rsidR="009E76A8" w:rsidRPr="009E76A8" w:rsidRDefault="009E76A8" w:rsidP="009E76A8">
      <w:pPr>
        <w:spacing w:line="360" w:lineRule="auto"/>
        <w:jc w:val="center"/>
        <w:rPr>
          <w:rFonts w:ascii="Arial" w:hAnsi="Arial" w:cs="Arial"/>
          <w:sz w:val="28"/>
          <w:szCs w:val="28"/>
        </w:rPr>
      </w:pPr>
    </w:p>
    <w:p w14:paraId="092A24E3" w14:textId="2A32A1CA" w:rsidR="003772D7" w:rsidRPr="00745E2E" w:rsidRDefault="003772D7" w:rsidP="00745E2E">
      <w:pPr>
        <w:spacing w:line="360" w:lineRule="auto"/>
        <w:jc w:val="center"/>
        <w:rPr>
          <w:rFonts w:ascii="Arial" w:hAnsi="Arial" w:cs="Arial"/>
          <w:b/>
          <w:bCs/>
          <w:sz w:val="24"/>
          <w:szCs w:val="24"/>
        </w:rPr>
      </w:pPr>
      <w:r w:rsidRPr="00745E2E">
        <w:rPr>
          <w:rFonts w:ascii="Arial" w:hAnsi="Arial" w:cs="Arial"/>
          <w:b/>
          <w:bCs/>
          <w:sz w:val="24"/>
          <w:szCs w:val="24"/>
        </w:rPr>
        <w:br w:type="page"/>
      </w:r>
    </w:p>
    <w:p w14:paraId="2E3ACBDC" w14:textId="3CC914A7" w:rsidR="789A6E15" w:rsidRPr="00745E2E" w:rsidRDefault="789A6E15" w:rsidP="00745E2E">
      <w:pPr>
        <w:spacing w:line="360" w:lineRule="auto"/>
        <w:rPr>
          <w:rFonts w:ascii="Arial" w:hAnsi="Arial" w:cs="Arial"/>
          <w:b/>
          <w:bCs/>
          <w:sz w:val="24"/>
          <w:szCs w:val="24"/>
        </w:rPr>
      </w:pPr>
      <w:r w:rsidRPr="00745E2E">
        <w:rPr>
          <w:rFonts w:ascii="Arial" w:hAnsi="Arial" w:cs="Arial"/>
          <w:b/>
          <w:bCs/>
          <w:sz w:val="24"/>
          <w:szCs w:val="24"/>
        </w:rPr>
        <w:lastRenderedPageBreak/>
        <w:t>Introduction</w:t>
      </w:r>
    </w:p>
    <w:p w14:paraId="3C6A94DA" w14:textId="635D26B4" w:rsidR="789A6E15" w:rsidRPr="00745E2E" w:rsidRDefault="1B9F9741" w:rsidP="00745E2E">
      <w:pPr>
        <w:spacing w:line="360" w:lineRule="auto"/>
        <w:rPr>
          <w:rFonts w:ascii="Arial" w:hAnsi="Arial" w:cs="Arial"/>
          <w:sz w:val="24"/>
          <w:szCs w:val="24"/>
        </w:rPr>
      </w:pPr>
      <w:r w:rsidRPr="00745E2E">
        <w:rPr>
          <w:rFonts w:ascii="Arial" w:hAnsi="Arial" w:cs="Arial"/>
          <w:sz w:val="24"/>
          <w:szCs w:val="24"/>
        </w:rPr>
        <w:t>Community involvement means taking an active role in a group that works to improve the local area. The democratic principle that everyone should be part of the decision-making process surrounding an issue that affects their community is the foundation of community involvement (Holzer et al., 2014). Additionally, it holds the promise that public involvement can have an impact on choices that have an impact on community sustainability, long-term objectives, and the provision of services. Through feedback, community involvement encourages public decision-making bodies and the government to listen which in turn shows the value of community involvement as a result, community engagement encourages relationships that are stronger, more reliable, and deeper between public institutions and communities (Bowen et al., 2010). This study will help us understand the benefits of community engagement. Every community engagement project come with an additional benefit to the community, these engagements also have challenges. We need to understand how this challenges impact on the possibility of engaging with stakeholders as well as the community</w:t>
      </w:r>
      <w:bookmarkStart w:id="0" w:name="_Int_hzJQyV8r"/>
      <w:r w:rsidRPr="00745E2E">
        <w:rPr>
          <w:rFonts w:ascii="Arial" w:hAnsi="Arial" w:cs="Arial"/>
          <w:sz w:val="24"/>
          <w:szCs w:val="24"/>
        </w:rPr>
        <w:t xml:space="preserve">. </w:t>
      </w:r>
      <w:bookmarkEnd w:id="0"/>
    </w:p>
    <w:p w14:paraId="07A2BA1C" w14:textId="52AE9356" w:rsidR="00494FB0" w:rsidRPr="00745E2E" w:rsidRDefault="00494FB0" w:rsidP="00745E2E">
      <w:pPr>
        <w:spacing w:line="360" w:lineRule="auto"/>
        <w:rPr>
          <w:rFonts w:ascii="Arial" w:hAnsi="Arial" w:cs="Arial"/>
          <w:b/>
          <w:bCs/>
          <w:sz w:val="24"/>
          <w:szCs w:val="24"/>
        </w:rPr>
      </w:pPr>
      <w:r w:rsidRPr="00745E2E">
        <w:rPr>
          <w:rFonts w:ascii="Arial" w:hAnsi="Arial" w:cs="Arial"/>
          <w:b/>
          <w:bCs/>
          <w:sz w:val="24"/>
          <w:szCs w:val="24"/>
        </w:rPr>
        <w:t>Discussion</w:t>
      </w:r>
    </w:p>
    <w:p w14:paraId="0CEFEE2B" w14:textId="0B46726C" w:rsidR="789A6E15" w:rsidRPr="00745E2E" w:rsidRDefault="1B9F9741" w:rsidP="00745E2E">
      <w:pPr>
        <w:spacing w:line="360" w:lineRule="auto"/>
        <w:rPr>
          <w:rFonts w:ascii="Arial" w:hAnsi="Arial" w:cs="Arial"/>
          <w:sz w:val="24"/>
          <w:szCs w:val="24"/>
        </w:rPr>
      </w:pPr>
      <w:r w:rsidRPr="00745E2E">
        <w:rPr>
          <w:rFonts w:ascii="Arial" w:hAnsi="Arial" w:cs="Arial"/>
          <w:sz w:val="24"/>
          <w:szCs w:val="24"/>
        </w:rPr>
        <w:t>Community involvement is a discussion point when businesses and communities are deciding how to increase social capital. A few examples of compelling narratives about the significance of community engagement include how making changes to local policies and service provisions not only enhances the quality of life and livability of communities but also helps shape and envision the community's future, bringing with it not only broader societal change but also global impacts (Bandy,2016). There are so many ways in which a community can benefit from the engagements by the government and the non-profitable organizations that are looking to improve the living status of the people within the community. Many communities live within their source of income depending on how well their town or communities are developed or not. The most developed cities or towns provide more employment opportunities as well as open more avenues for business which increases the living status of people in this community (Kumar et al., 2020). The dependency rate too changes. When governing the aims, concerns, and values of communities are sought after by bodies and public decision-</w:t>
      </w:r>
      <w:r w:rsidRPr="00745E2E">
        <w:rPr>
          <w:rFonts w:ascii="Arial" w:hAnsi="Arial" w:cs="Arial"/>
          <w:sz w:val="24"/>
          <w:szCs w:val="24"/>
        </w:rPr>
        <w:lastRenderedPageBreak/>
        <w:t>making bodies, and when communities communicate these things to governing authorities, it can help communities achieve better results. When informed opinions are considered during the decision-making process, public decision-makers are better able to fulfill community requests (Adhikari et al., 2020).</w:t>
      </w:r>
    </w:p>
    <w:p w14:paraId="4BC5C056" w14:textId="288E376E" w:rsidR="1B9F9741" w:rsidRPr="00745E2E" w:rsidRDefault="008D6C4F" w:rsidP="00745E2E">
      <w:pPr>
        <w:spacing w:line="360" w:lineRule="auto"/>
        <w:rPr>
          <w:rFonts w:ascii="Arial" w:hAnsi="Arial" w:cs="Arial"/>
          <w:sz w:val="24"/>
          <w:szCs w:val="24"/>
        </w:rPr>
      </w:pPr>
      <w:r w:rsidRPr="00745E2E">
        <w:rPr>
          <w:rFonts w:ascii="Arial" w:hAnsi="Arial" w:cs="Arial"/>
          <w:sz w:val="24"/>
          <w:szCs w:val="24"/>
        </w:rPr>
        <w:t xml:space="preserve">The importance of community involvement has become crucial for well-functioning, twenty-first century democracies with the increase in deepening and expanding public engagement internationally. Owing to the possibility that it would result in more just, sustainable public choices and enhance the livability of local communities, community engagement is not only desired but also required and achievable due to positive interactions between communities and the institutions of government </w:t>
      </w:r>
      <w:r w:rsidR="1B9F9741" w:rsidRPr="00745E2E">
        <w:rPr>
          <w:rFonts w:ascii="Arial" w:hAnsi="Arial" w:cs="Arial"/>
          <w:sz w:val="24"/>
          <w:szCs w:val="24"/>
        </w:rPr>
        <w:t>(Ellen et al., 2010). For this reason, community engagement is essential for everyone, including organizations, governmental bodies, and individual being members of this same community means that the member understands the needs of this community better than the government and any other stakeholder involved in the project. Engaging the community, members has helped the members the raise their concerns and give opinions on things that matter the most to them (</w:t>
      </w:r>
      <w:proofErr w:type="spellStart"/>
      <w:r w:rsidR="1B9F9741" w:rsidRPr="00745E2E">
        <w:rPr>
          <w:rFonts w:ascii="Arial" w:hAnsi="Arial" w:cs="Arial"/>
          <w:sz w:val="24"/>
          <w:szCs w:val="24"/>
        </w:rPr>
        <w:t>Udofia</w:t>
      </w:r>
      <w:proofErr w:type="spellEnd"/>
      <w:r w:rsidR="1B9F9741" w:rsidRPr="00745E2E">
        <w:rPr>
          <w:rFonts w:ascii="Arial" w:hAnsi="Arial" w:cs="Arial"/>
          <w:sz w:val="24"/>
          <w:szCs w:val="24"/>
        </w:rPr>
        <w:t xml:space="preserve"> et al.,2015). This has helped the government to respond and investigate their needs and not what the government feels </w:t>
      </w:r>
      <w:bookmarkStart w:id="1" w:name="_Int_a7v0dQcD"/>
      <w:r w:rsidR="1B9F9741" w:rsidRPr="00745E2E">
        <w:rPr>
          <w:rFonts w:ascii="Arial" w:hAnsi="Arial" w:cs="Arial"/>
          <w:sz w:val="24"/>
          <w:szCs w:val="24"/>
        </w:rPr>
        <w:t>it is</w:t>
      </w:r>
      <w:bookmarkEnd w:id="1"/>
      <w:r w:rsidR="1B9F9741" w:rsidRPr="00745E2E">
        <w:rPr>
          <w:rFonts w:ascii="Arial" w:hAnsi="Arial" w:cs="Arial"/>
          <w:sz w:val="24"/>
          <w:szCs w:val="24"/>
        </w:rPr>
        <w:t xml:space="preserve"> crucial for the community. The health of the community depends on meaningful, inclusive community interaction. When locals are understood through the concepts of access and inclusivity, where community members are informed and educated on the issues at hand, they may successfully contribute to engagement and have the power to shape such actions. Meaningful participation in all aspect of people's lives is essential to their wellbeing, which builds on the ideas of empowerment and participation (Strasser, 2010). Therefore, to ensure that members of the community have access to significant social settings and activities, believe they can contribute significantly to those activities, and acquire practical skills that enable them to fully participate, community involvement is a must. By including a variety of viewpoints, traditionally underrepresented or ignored voices are given the opportunity to actively taking part in community decision-making that impacts their daily life (Thompson et al., 2016). Governments can increase the effectiveness, by including the community, they give their decision-making legitimacy and transparency. Decision-makers can carefully map out the needs, opinions, and </w:t>
      </w:r>
      <w:r w:rsidR="1B9F9741" w:rsidRPr="00745E2E">
        <w:rPr>
          <w:rFonts w:ascii="Arial" w:hAnsi="Arial" w:cs="Arial"/>
          <w:sz w:val="24"/>
          <w:szCs w:val="24"/>
        </w:rPr>
        <w:lastRenderedPageBreak/>
        <w:t xml:space="preserve">visions of local communities on issues that are important to them by engaging with them and embracing and fostering involvement, which allows them to make more educated decisions. </w:t>
      </w:r>
      <w:r w:rsidR="00AE7AD7" w:rsidRPr="00745E2E">
        <w:rPr>
          <w:rFonts w:ascii="Arial" w:hAnsi="Arial" w:cs="Arial"/>
          <w:sz w:val="24"/>
          <w:szCs w:val="24"/>
        </w:rPr>
        <w:t xml:space="preserve">By acknowledging and expressing the needs and interests of all stakeholders, including decision-makers, it encourages sustainable decisions. Local knowledge from diverse groups enhances community commitment to choices and acceptance of outcomes by influencing and developing inclusive, viable solutions. </w:t>
      </w:r>
      <w:r w:rsidR="1B9F9741" w:rsidRPr="00745E2E">
        <w:rPr>
          <w:rFonts w:ascii="Arial" w:hAnsi="Arial" w:cs="Arial"/>
          <w:sz w:val="24"/>
          <w:szCs w:val="24"/>
        </w:rPr>
        <w:t xml:space="preserve">Better public decisions are the result of increased trust in institutions of governance and decision-making (De et al., 2019). This is especially important </w:t>
      </w:r>
      <w:bookmarkStart w:id="2" w:name="_Int_V6UhpRHQ"/>
      <w:r w:rsidR="1B9F9741" w:rsidRPr="00745E2E">
        <w:rPr>
          <w:rFonts w:ascii="Arial" w:hAnsi="Arial" w:cs="Arial"/>
          <w:sz w:val="24"/>
          <w:szCs w:val="24"/>
        </w:rPr>
        <w:t>considering</w:t>
      </w:r>
      <w:bookmarkEnd w:id="2"/>
      <w:r w:rsidR="1B9F9741" w:rsidRPr="00745E2E">
        <w:rPr>
          <w:rFonts w:ascii="Arial" w:hAnsi="Arial" w:cs="Arial"/>
          <w:sz w:val="24"/>
          <w:szCs w:val="24"/>
        </w:rPr>
        <w:t xml:space="preserve"> the global decline in public confidence in governments, which, when combined with the Smart City goal, offers a chance for continuing engagement between individuals and governments to be revolutionized by community participation.</w:t>
      </w:r>
    </w:p>
    <w:p w14:paraId="30B61E60" w14:textId="333D0768" w:rsidR="789A6E15" w:rsidRPr="00745E2E" w:rsidRDefault="1B9F9741" w:rsidP="00745E2E">
      <w:pPr>
        <w:spacing w:line="360" w:lineRule="auto"/>
        <w:rPr>
          <w:rFonts w:ascii="Arial" w:hAnsi="Arial" w:cs="Arial"/>
          <w:sz w:val="24"/>
          <w:szCs w:val="24"/>
        </w:rPr>
      </w:pPr>
      <w:r w:rsidRPr="00745E2E">
        <w:rPr>
          <w:rFonts w:ascii="Arial" w:hAnsi="Arial" w:cs="Arial"/>
          <w:sz w:val="24"/>
          <w:szCs w:val="24"/>
        </w:rPr>
        <w:t>The importance of community involvement is clear as it fosters social change with a focus on collaboration and the possibility of having an impact on decision-making (</w:t>
      </w:r>
      <w:proofErr w:type="spellStart"/>
      <w:r w:rsidRPr="00745E2E">
        <w:rPr>
          <w:rFonts w:ascii="Arial" w:hAnsi="Arial" w:cs="Arial"/>
          <w:sz w:val="24"/>
          <w:szCs w:val="24"/>
        </w:rPr>
        <w:t>Corsini</w:t>
      </w:r>
      <w:proofErr w:type="spellEnd"/>
      <w:r w:rsidRPr="00745E2E">
        <w:rPr>
          <w:rFonts w:ascii="Arial" w:hAnsi="Arial" w:cs="Arial"/>
          <w:sz w:val="24"/>
          <w:szCs w:val="24"/>
        </w:rPr>
        <w:t xml:space="preserve"> et al., 2019). It promotes activism that, in addition to raising awareness, enables passionate, informed local voices to be heard, especially during election season. By voting, the importance of community involvement is clear as it fosters social change with a focus on collaboration and the possibility of having an impact on decision-making (</w:t>
      </w:r>
      <w:proofErr w:type="spellStart"/>
      <w:r w:rsidRPr="00745E2E">
        <w:rPr>
          <w:rFonts w:ascii="Arial" w:hAnsi="Arial" w:cs="Arial"/>
          <w:sz w:val="24"/>
          <w:szCs w:val="24"/>
        </w:rPr>
        <w:t>Corsini</w:t>
      </w:r>
      <w:proofErr w:type="spellEnd"/>
      <w:r w:rsidRPr="00745E2E">
        <w:rPr>
          <w:rFonts w:ascii="Arial" w:hAnsi="Arial" w:cs="Arial"/>
          <w:sz w:val="24"/>
          <w:szCs w:val="24"/>
        </w:rPr>
        <w:t xml:space="preserve"> et al., 2019). It promotes activism that, in addition to raising awareness, enables passionate, informed local voices to be heard, especially during election season. By voting, communities can have an impact on elections (Whitmarsh et al., 2011). Community members can influence policy in the most direct way at the local, place-based level. Priorities for local government lobbying have typically been set by an executive-led strategy, </w:t>
      </w:r>
      <w:bookmarkStart w:id="3" w:name="_Int_NVzKh1xc"/>
      <w:r w:rsidRPr="00745E2E">
        <w:rPr>
          <w:rFonts w:ascii="Arial" w:hAnsi="Arial" w:cs="Arial"/>
          <w:sz w:val="24"/>
          <w:szCs w:val="24"/>
        </w:rPr>
        <w:t>without</w:t>
      </w:r>
      <w:bookmarkEnd w:id="3"/>
      <w:r w:rsidRPr="00745E2E">
        <w:rPr>
          <w:rFonts w:ascii="Arial" w:hAnsi="Arial" w:cs="Arial"/>
          <w:sz w:val="24"/>
          <w:szCs w:val="24"/>
        </w:rPr>
        <w:t xml:space="preserve"> involvement from the community. Community involvement is vital because it entails making efforts to influence those with governmental, political, or financial sway to implement public programs and policies that primarily benefit communities and foster social change (</w:t>
      </w:r>
      <w:proofErr w:type="spellStart"/>
      <w:r w:rsidRPr="00745E2E">
        <w:rPr>
          <w:rFonts w:ascii="Arial" w:hAnsi="Arial" w:cs="Arial"/>
          <w:sz w:val="24"/>
          <w:szCs w:val="24"/>
        </w:rPr>
        <w:t>Seyfang</w:t>
      </w:r>
      <w:proofErr w:type="spellEnd"/>
      <w:r w:rsidRPr="00745E2E">
        <w:rPr>
          <w:rFonts w:ascii="Arial" w:hAnsi="Arial" w:cs="Arial"/>
          <w:sz w:val="24"/>
          <w:szCs w:val="24"/>
        </w:rPr>
        <w:t xml:space="preserve"> et al., 2011). </w:t>
      </w:r>
    </w:p>
    <w:p w14:paraId="6DC77311" w14:textId="46495292" w:rsidR="789A6E15" w:rsidRPr="00745E2E" w:rsidRDefault="1B9F9741" w:rsidP="00745E2E">
      <w:pPr>
        <w:spacing w:line="360" w:lineRule="auto"/>
        <w:rPr>
          <w:rFonts w:ascii="Arial" w:hAnsi="Arial" w:cs="Arial"/>
          <w:sz w:val="24"/>
          <w:szCs w:val="24"/>
        </w:rPr>
      </w:pPr>
      <w:r w:rsidRPr="00745E2E">
        <w:rPr>
          <w:rFonts w:ascii="Arial" w:hAnsi="Arial" w:cs="Arial"/>
          <w:sz w:val="24"/>
          <w:szCs w:val="24"/>
        </w:rPr>
        <w:t xml:space="preserve">In its collaborative approach to the design and delivery of services, where conventional, executive-led techniques fail, community participation is essential. For the complexity of difficulties in any specific community, where traditional tactics have proved ineffective if not completely ineffective, community engagement offers a deeper understanding of </w:t>
      </w:r>
      <w:r w:rsidRPr="00745E2E">
        <w:rPr>
          <w:rFonts w:ascii="Arial" w:hAnsi="Arial" w:cs="Arial"/>
          <w:sz w:val="24"/>
          <w:szCs w:val="24"/>
        </w:rPr>
        <w:lastRenderedPageBreak/>
        <w:t>communities' needs and ambitions (</w:t>
      </w:r>
      <w:proofErr w:type="spellStart"/>
      <w:r w:rsidRPr="00745E2E">
        <w:rPr>
          <w:rFonts w:ascii="Arial" w:hAnsi="Arial" w:cs="Arial"/>
          <w:sz w:val="24"/>
          <w:szCs w:val="24"/>
        </w:rPr>
        <w:t>Ocloo</w:t>
      </w:r>
      <w:proofErr w:type="spellEnd"/>
      <w:r w:rsidRPr="00745E2E">
        <w:rPr>
          <w:rFonts w:ascii="Arial" w:hAnsi="Arial" w:cs="Arial"/>
          <w:sz w:val="24"/>
          <w:szCs w:val="24"/>
        </w:rPr>
        <w:t xml:space="preserve"> et al., 2016). Engagement in the community increases awareness and understanding of issues and provides communities with the chance to influence decisions that affect their everyday lives, communities, and towns and cities, and communities. It allows locals the opportunity to take part in democratic decision-making processes and informs and educates communities on political issues that affect their daily lives. Through feedback, community involvement urges government and public decision-making organizations to listen, demonstrating the importance of community involvement. Because of this, community involvement strengthens, deepens, and builds more reliable partnerships between public agencies and communities (</w:t>
      </w:r>
      <w:proofErr w:type="spellStart"/>
      <w:r w:rsidRPr="00745E2E">
        <w:rPr>
          <w:rFonts w:ascii="Arial" w:hAnsi="Arial" w:cs="Arial"/>
          <w:sz w:val="24"/>
          <w:szCs w:val="24"/>
        </w:rPr>
        <w:t>Rajan</w:t>
      </w:r>
      <w:proofErr w:type="spellEnd"/>
      <w:r w:rsidRPr="00745E2E">
        <w:rPr>
          <w:rFonts w:ascii="Arial" w:hAnsi="Arial" w:cs="Arial"/>
          <w:sz w:val="24"/>
          <w:szCs w:val="24"/>
        </w:rPr>
        <w:t xml:space="preserve">, 2006). </w:t>
      </w:r>
    </w:p>
    <w:p w14:paraId="1B4BDB9C" w14:textId="06655A61" w:rsidR="1B9F9741" w:rsidRPr="00745E2E" w:rsidRDefault="1B9F9741" w:rsidP="00745E2E">
      <w:pPr>
        <w:spacing w:line="360" w:lineRule="auto"/>
        <w:rPr>
          <w:rFonts w:ascii="Arial" w:hAnsi="Arial" w:cs="Arial"/>
          <w:sz w:val="24"/>
          <w:szCs w:val="24"/>
        </w:rPr>
      </w:pPr>
      <w:r w:rsidRPr="00745E2E">
        <w:rPr>
          <w:rFonts w:ascii="Arial" w:hAnsi="Arial" w:cs="Arial"/>
          <w:sz w:val="24"/>
          <w:szCs w:val="24"/>
        </w:rPr>
        <w:t>The community's project was a successful though it would have been more successful and effective had there been the use of social media. The use of media engagement for community involvement allows more people to participate, at their convenience, when traditional, face-to-face participation has a limited audience. Everybody has secure access to contribute meaningfully to issues affecting their daily lives through a dedicated digital engagement area beyond the constraints of social media, with strict data security procedures that address growing community skepticism of social media (</w:t>
      </w:r>
      <w:proofErr w:type="spellStart"/>
      <w:r w:rsidRPr="00745E2E">
        <w:rPr>
          <w:rFonts w:ascii="Arial" w:hAnsi="Arial" w:cs="Arial"/>
          <w:sz w:val="24"/>
          <w:szCs w:val="24"/>
        </w:rPr>
        <w:t>Feola</w:t>
      </w:r>
      <w:proofErr w:type="spellEnd"/>
      <w:r w:rsidRPr="00745E2E">
        <w:rPr>
          <w:rFonts w:ascii="Arial" w:hAnsi="Arial" w:cs="Arial"/>
          <w:sz w:val="24"/>
          <w:szCs w:val="24"/>
        </w:rPr>
        <w:t>, 2015). Online participation during project planning can lead to more focused results. Budgets that suffer regional restrictions, particularly for face-to-person involvement, can be minimized. And, unlike conventional engagement strategies, it offers unrivaled chances to go deeper into discussions beyond the current problem at hand (Trencher, 2019). Additionally, by providing access to commonly disregarded opinions, it promotes dialogue across different groups, especially in difficult-to-reach regions. People can participate in the discourse without being constrained by the rules of a public forum thanks to social media involvement. It brings together various communities, especially marginalized and difficult-to-reach groups, enabling them to participate in the community's primary decision-making processes.</w:t>
      </w:r>
    </w:p>
    <w:p w14:paraId="1D8DFA1F" w14:textId="6CC8C461" w:rsidR="789A6E15" w:rsidRPr="00745E2E" w:rsidRDefault="1B9F9741" w:rsidP="00745E2E">
      <w:pPr>
        <w:spacing w:line="360" w:lineRule="auto"/>
        <w:rPr>
          <w:rFonts w:ascii="Arial" w:hAnsi="Arial" w:cs="Arial"/>
          <w:sz w:val="24"/>
          <w:szCs w:val="24"/>
        </w:rPr>
      </w:pPr>
      <w:r w:rsidRPr="00745E2E">
        <w:rPr>
          <w:rFonts w:ascii="Arial" w:hAnsi="Arial" w:cs="Arial"/>
          <w:sz w:val="24"/>
          <w:szCs w:val="24"/>
        </w:rPr>
        <w:t xml:space="preserve">There are several challenges in engaging stakeholders. One f it is that people change all the time, Unfortunately, there is no "magic solution", and we must learn to live with this (Ojha et al., 2016). We must make sure to set aside enough time to review and </w:t>
      </w:r>
      <w:r w:rsidRPr="00745E2E">
        <w:rPr>
          <w:rFonts w:ascii="Arial" w:hAnsi="Arial" w:cs="Arial"/>
          <w:sz w:val="24"/>
          <w:szCs w:val="24"/>
        </w:rPr>
        <w:lastRenderedPageBreak/>
        <w:t xml:space="preserve">keep current our stakeholder lists. To transform this into positive projects need a committed communication resource. A new stakeholder presents a fresh chance to interact. Prior to them becoming too busy or basing their opinion of the project on the opinions of others, try to reach out to them as soon as possible. They might have novel insights and suggestions that could also be helpful to you. Maintaining accurate records of stakeholder interactions is crucial since they are helpful in the event of a handover (Dare et al.,2014). Of course, keep in mind to be cautious with what you write. Engaging in a virtual world has proved to be a challenge too. Meeting in person is usually preferable, but it can be challenging when people are far apart. Of course, technology allows us to communicate face-to-face from anywhere, but there are other options we may explore. For example, could you designate a person in a remote area to work with stakeholders there? There might be a chance to collaborate with other projects that have the same stakeholders as yours (Sheppard et al., 2011). As previously stated, make the most of your contact time by being </w:t>
      </w:r>
      <w:bookmarkStart w:id="4" w:name="_Int_0KQELfAi"/>
      <w:r w:rsidRPr="00745E2E">
        <w:rPr>
          <w:rFonts w:ascii="Arial" w:hAnsi="Arial" w:cs="Arial"/>
          <w:sz w:val="24"/>
          <w:szCs w:val="24"/>
        </w:rPr>
        <w:t>truly clear</w:t>
      </w:r>
      <w:bookmarkEnd w:id="4"/>
      <w:r w:rsidRPr="00745E2E">
        <w:rPr>
          <w:rFonts w:ascii="Arial" w:hAnsi="Arial" w:cs="Arial"/>
          <w:sz w:val="24"/>
          <w:szCs w:val="24"/>
        </w:rPr>
        <w:t xml:space="preserve"> about what the stakeholder needs from you and what you need from them. A lot of information needs to be found out about the stakeholders. Another example of why </w:t>
      </w:r>
      <w:bookmarkStart w:id="5" w:name="_Int_Buf2Jbj9"/>
      <w:r w:rsidRPr="00745E2E">
        <w:rPr>
          <w:rFonts w:ascii="Arial" w:hAnsi="Arial" w:cs="Arial"/>
          <w:sz w:val="24"/>
          <w:szCs w:val="24"/>
        </w:rPr>
        <w:t>it is</w:t>
      </w:r>
      <w:bookmarkEnd w:id="5"/>
      <w:r w:rsidRPr="00745E2E">
        <w:rPr>
          <w:rFonts w:ascii="Arial" w:hAnsi="Arial" w:cs="Arial"/>
          <w:sz w:val="24"/>
          <w:szCs w:val="24"/>
        </w:rPr>
        <w:t xml:space="preserve"> important to have someone in place to oversee engagement efforts is this. Having said that, be careful not to gather data only for the purpose of it. Cut out the rest and consider what you truly need to know. Name, position in the organization, and contact information are obviously required (Joosten et al., 2015). You must be clear about what the project expects from the stakeholder and understand what they want from the project. Then, you can create a straightforward engagement plan and monitor your progress against it. finding a common ground between the stakeholders and the community can prove to be a challenge (Curtis et al.,2014). A stakeholder is often someone who has an interest in the project if they have been identified as one. If there is no shared interest, they are not pertinent stakeholders. One of the skills necessary for successful stakeholder involvement is the capacity to see oneself in the shoes of the stakeholders. Another issue was the fact that starting initiatives is frequently not someone's main objective. The challenge in this situation is to make it pertinent and establish common ground (Dempsey, 2010). Can you, with a little imagination, connect the project to the goals they </w:t>
      </w:r>
      <w:bookmarkStart w:id="6" w:name="_Int_WsT9u8YW"/>
      <w:r w:rsidRPr="00745E2E">
        <w:rPr>
          <w:rFonts w:ascii="Arial" w:hAnsi="Arial" w:cs="Arial"/>
          <w:sz w:val="24"/>
          <w:szCs w:val="24"/>
        </w:rPr>
        <w:t>have</w:t>
      </w:r>
      <w:bookmarkEnd w:id="6"/>
      <w:r w:rsidRPr="00745E2E">
        <w:rPr>
          <w:rFonts w:ascii="Arial" w:hAnsi="Arial" w:cs="Arial"/>
          <w:sz w:val="24"/>
          <w:szCs w:val="24"/>
        </w:rPr>
        <w:t xml:space="preserve">? What stakeholder management difficulties do you encounter, and can you </w:t>
      </w:r>
      <w:r w:rsidRPr="00745E2E">
        <w:rPr>
          <w:rFonts w:ascii="Arial" w:hAnsi="Arial" w:cs="Arial"/>
          <w:sz w:val="24"/>
          <w:szCs w:val="24"/>
        </w:rPr>
        <w:lastRenderedPageBreak/>
        <w:t xml:space="preserve">contribute any more guidance or advice? Would love to hear from you! Many stakeholders have multiple priorities and are often constrained by time (Cyril et al., 2015). Their opportunities are limited, and a person should, Stakeholders are more likely to make the time if they feel the project is essential to them and their involvement has a clear purpose. Think carefully when identifying the stakeholders; consider whether they </w:t>
      </w:r>
      <w:bookmarkStart w:id="7" w:name="_Int_aJbS8D96"/>
      <w:r w:rsidRPr="00745E2E">
        <w:rPr>
          <w:rFonts w:ascii="Arial" w:hAnsi="Arial" w:cs="Arial"/>
          <w:sz w:val="24"/>
          <w:szCs w:val="24"/>
        </w:rPr>
        <w:t>need</w:t>
      </w:r>
      <w:bookmarkEnd w:id="7"/>
      <w:r w:rsidRPr="00745E2E">
        <w:rPr>
          <w:rFonts w:ascii="Arial" w:hAnsi="Arial" w:cs="Arial"/>
          <w:sz w:val="24"/>
          <w:szCs w:val="24"/>
        </w:rPr>
        <w:t xml:space="preserve"> to know immediately. Timing and messaging both play a role in making the engagement relevant. Be explicit about the engagement's goal. Just emphasizing awareness and support is a bit nebulous and </w:t>
      </w:r>
      <w:bookmarkStart w:id="8" w:name="_Int_5lireAM0"/>
      <w:r w:rsidRPr="00745E2E">
        <w:rPr>
          <w:rFonts w:ascii="Arial" w:hAnsi="Arial" w:cs="Arial"/>
          <w:sz w:val="24"/>
          <w:szCs w:val="24"/>
        </w:rPr>
        <w:t>will not</w:t>
      </w:r>
      <w:bookmarkEnd w:id="8"/>
      <w:r w:rsidRPr="00745E2E">
        <w:rPr>
          <w:rFonts w:ascii="Arial" w:hAnsi="Arial" w:cs="Arial"/>
          <w:sz w:val="24"/>
          <w:szCs w:val="24"/>
        </w:rPr>
        <w:t xml:space="preserve"> be high on anyone's priority list (George et al., 2015). Make it clear to the stakeholder what you want them to do for the project. Connect your participation to other projects and programs. </w:t>
      </w:r>
    </w:p>
    <w:p w14:paraId="27238280" w14:textId="5AFF23B3" w:rsidR="789A6E15" w:rsidRPr="00745E2E" w:rsidRDefault="789A6E15" w:rsidP="00745E2E">
      <w:pPr>
        <w:spacing w:line="360" w:lineRule="auto"/>
        <w:rPr>
          <w:rFonts w:ascii="Arial" w:hAnsi="Arial" w:cs="Arial"/>
          <w:b/>
          <w:bCs/>
          <w:sz w:val="24"/>
          <w:szCs w:val="24"/>
        </w:rPr>
      </w:pPr>
      <w:r w:rsidRPr="00745E2E">
        <w:rPr>
          <w:rFonts w:ascii="Arial" w:hAnsi="Arial" w:cs="Arial"/>
          <w:b/>
          <w:bCs/>
          <w:sz w:val="24"/>
          <w:szCs w:val="24"/>
        </w:rPr>
        <w:t>Conclusion</w:t>
      </w:r>
    </w:p>
    <w:p w14:paraId="2A35A20F" w14:textId="7D984F3D" w:rsidR="789A6E15" w:rsidRPr="00745E2E" w:rsidRDefault="789A6E15" w:rsidP="00745E2E">
      <w:pPr>
        <w:spacing w:line="360" w:lineRule="auto"/>
        <w:rPr>
          <w:rFonts w:ascii="Arial" w:hAnsi="Arial" w:cs="Arial"/>
          <w:b/>
          <w:bCs/>
          <w:sz w:val="24"/>
          <w:szCs w:val="24"/>
        </w:rPr>
      </w:pPr>
      <w:r w:rsidRPr="00745E2E">
        <w:rPr>
          <w:rFonts w:ascii="Arial" w:hAnsi="Arial" w:cs="Arial"/>
          <w:b/>
          <w:bCs/>
          <w:sz w:val="24"/>
          <w:szCs w:val="24"/>
        </w:rPr>
        <w:t xml:space="preserve"> </w:t>
      </w:r>
      <w:r w:rsidRPr="00745E2E">
        <w:rPr>
          <w:rFonts w:ascii="Arial" w:hAnsi="Arial" w:cs="Arial"/>
          <w:sz w:val="24"/>
          <w:szCs w:val="24"/>
        </w:rPr>
        <w:t xml:space="preserve"> There are several benefits to community engagement by stakeholders. Community involvement is crucial because it involves taking steps to persuade parties with governmental, political, or financial </w:t>
      </w:r>
      <w:bookmarkStart w:id="9" w:name="_Int_DaSIJaK3"/>
      <w:r w:rsidRPr="00745E2E">
        <w:rPr>
          <w:rFonts w:ascii="Arial" w:hAnsi="Arial" w:cs="Arial"/>
          <w:sz w:val="24"/>
          <w:szCs w:val="24"/>
        </w:rPr>
        <w:t>influence</w:t>
      </w:r>
      <w:bookmarkEnd w:id="9"/>
      <w:r w:rsidRPr="00745E2E">
        <w:rPr>
          <w:rFonts w:ascii="Arial" w:hAnsi="Arial" w:cs="Arial"/>
          <w:sz w:val="24"/>
          <w:szCs w:val="24"/>
        </w:rPr>
        <w:t xml:space="preserve"> to carry out public initiatives and policies that primarily benefit </w:t>
      </w:r>
      <w:bookmarkStart w:id="10" w:name="_Int_4hFTyk1x"/>
      <w:r w:rsidRPr="00745E2E">
        <w:rPr>
          <w:rFonts w:ascii="Arial" w:hAnsi="Arial" w:cs="Arial"/>
          <w:sz w:val="24"/>
          <w:szCs w:val="24"/>
        </w:rPr>
        <w:t>communities</w:t>
      </w:r>
      <w:bookmarkEnd w:id="10"/>
      <w:r w:rsidRPr="00745E2E">
        <w:rPr>
          <w:rFonts w:ascii="Arial" w:hAnsi="Arial" w:cs="Arial"/>
          <w:sz w:val="24"/>
          <w:szCs w:val="24"/>
        </w:rPr>
        <w:t xml:space="preserve"> and promote social change. Since it promotes social development, community participation is clearly important. It encourages activism that does more than just increase awareness. the involvement of the community members has driven the agenda more. the use of social media too has enabled members that cannot speak freely on one-on-one meetings to give their opinions without fear intimidation. Community engagements are faced with several challenges, some of them include the differences in opinions or the ideological differences among the members involved that could prolong the decision-making process. Many stakeholders are also known to have multiple engagements and might not be available all the time to listen to the ongoing conversations. Being clear and precise on the key points is </w:t>
      </w:r>
      <w:bookmarkStart w:id="11" w:name="_Int_rAD9sbkN"/>
      <w:r w:rsidRPr="00745E2E">
        <w:rPr>
          <w:rFonts w:ascii="Arial" w:hAnsi="Arial" w:cs="Arial"/>
          <w:sz w:val="24"/>
          <w:szCs w:val="24"/>
        </w:rPr>
        <w:t>extremely helpful</w:t>
      </w:r>
      <w:bookmarkEnd w:id="11"/>
      <w:r w:rsidRPr="00745E2E">
        <w:rPr>
          <w:rFonts w:ascii="Arial" w:hAnsi="Arial" w:cs="Arial"/>
          <w:sz w:val="24"/>
          <w:szCs w:val="24"/>
        </w:rPr>
        <w:t xml:space="preserve"> when dealing with the stakeholders. Community engagements is not only of vital importance to the community but the government as well. </w:t>
      </w:r>
    </w:p>
    <w:p w14:paraId="15D5B2A9" w14:textId="77777777" w:rsidR="00552711" w:rsidRPr="00745E2E" w:rsidRDefault="00552711" w:rsidP="00745E2E">
      <w:pPr>
        <w:spacing w:line="360" w:lineRule="auto"/>
        <w:rPr>
          <w:rFonts w:ascii="Arial" w:hAnsi="Arial" w:cs="Arial"/>
          <w:b/>
          <w:bCs/>
          <w:sz w:val="24"/>
          <w:szCs w:val="24"/>
        </w:rPr>
      </w:pPr>
      <w:r w:rsidRPr="00745E2E">
        <w:rPr>
          <w:rFonts w:ascii="Arial" w:hAnsi="Arial" w:cs="Arial"/>
          <w:b/>
          <w:bCs/>
          <w:sz w:val="24"/>
          <w:szCs w:val="24"/>
        </w:rPr>
        <w:br w:type="page"/>
      </w:r>
    </w:p>
    <w:p w14:paraId="38086B6B" w14:textId="6789357C" w:rsidR="789A6E15" w:rsidRPr="00745E2E" w:rsidRDefault="789A6E15" w:rsidP="00745E2E">
      <w:pPr>
        <w:spacing w:line="360" w:lineRule="auto"/>
        <w:rPr>
          <w:rFonts w:ascii="Arial" w:hAnsi="Arial" w:cs="Arial"/>
          <w:b/>
          <w:bCs/>
          <w:sz w:val="24"/>
          <w:szCs w:val="24"/>
        </w:rPr>
      </w:pPr>
      <w:r w:rsidRPr="00745E2E">
        <w:rPr>
          <w:rFonts w:ascii="Arial" w:hAnsi="Arial" w:cs="Arial"/>
          <w:b/>
          <w:bCs/>
          <w:sz w:val="24"/>
          <w:szCs w:val="24"/>
        </w:rPr>
        <w:lastRenderedPageBreak/>
        <w:t>References</w:t>
      </w:r>
    </w:p>
    <w:p w14:paraId="15F8A196" w14:textId="77777777" w:rsidR="00EC06E1" w:rsidRPr="00745E2E" w:rsidRDefault="00EC06E1" w:rsidP="00745E2E">
      <w:pPr>
        <w:spacing w:line="360" w:lineRule="auto"/>
        <w:rPr>
          <w:rFonts w:ascii="Arial" w:eastAsia="Calibri" w:hAnsi="Arial" w:cs="Arial"/>
          <w:sz w:val="24"/>
          <w:szCs w:val="24"/>
        </w:rPr>
      </w:pPr>
      <w:r w:rsidRPr="00745E2E">
        <w:rPr>
          <w:rFonts w:ascii="Arial" w:eastAsia="Arial" w:hAnsi="Arial" w:cs="Arial"/>
          <w:sz w:val="24"/>
          <w:szCs w:val="24"/>
        </w:rPr>
        <w:t xml:space="preserve">Adhikari, B., Pell, C. and Cheah, P.Y., 2020. Community engagement and ethical global health research. </w:t>
      </w:r>
      <w:r w:rsidRPr="00745E2E">
        <w:rPr>
          <w:rFonts w:ascii="Arial" w:eastAsia="Arial" w:hAnsi="Arial" w:cs="Arial"/>
          <w:i/>
          <w:iCs/>
          <w:sz w:val="24"/>
          <w:szCs w:val="24"/>
        </w:rPr>
        <w:t>Global Bioethics</w:t>
      </w:r>
      <w:r w:rsidRPr="00745E2E">
        <w:rPr>
          <w:rFonts w:ascii="Arial" w:eastAsia="Arial" w:hAnsi="Arial" w:cs="Arial"/>
          <w:sz w:val="24"/>
          <w:szCs w:val="24"/>
        </w:rPr>
        <w:t xml:space="preserve">, </w:t>
      </w:r>
      <w:r w:rsidRPr="00745E2E">
        <w:rPr>
          <w:rFonts w:ascii="Arial" w:eastAsia="Arial" w:hAnsi="Arial" w:cs="Arial"/>
          <w:i/>
          <w:iCs/>
          <w:sz w:val="24"/>
          <w:szCs w:val="24"/>
        </w:rPr>
        <w:t>31</w:t>
      </w:r>
      <w:r w:rsidRPr="00745E2E">
        <w:rPr>
          <w:rFonts w:ascii="Arial" w:eastAsia="Arial" w:hAnsi="Arial" w:cs="Arial"/>
          <w:sz w:val="24"/>
          <w:szCs w:val="24"/>
        </w:rPr>
        <w:t>(1), pp.1-12.</w:t>
      </w:r>
    </w:p>
    <w:p w14:paraId="7E5BBBD3" w14:textId="77777777" w:rsidR="00EC06E1" w:rsidRPr="00745E2E" w:rsidRDefault="00EC06E1" w:rsidP="00745E2E">
      <w:pPr>
        <w:spacing w:line="360" w:lineRule="auto"/>
        <w:rPr>
          <w:rFonts w:ascii="Arial" w:eastAsia="Calibri" w:hAnsi="Arial" w:cs="Arial"/>
          <w:sz w:val="24"/>
          <w:szCs w:val="24"/>
        </w:rPr>
      </w:pPr>
      <w:r w:rsidRPr="00745E2E">
        <w:rPr>
          <w:rFonts w:ascii="Arial" w:eastAsia="Arial" w:hAnsi="Arial" w:cs="Arial"/>
          <w:sz w:val="24"/>
          <w:szCs w:val="24"/>
        </w:rPr>
        <w:t xml:space="preserve">Bandy, J., 2016. What is service learning or community engagement. </w:t>
      </w:r>
      <w:r w:rsidRPr="00745E2E">
        <w:rPr>
          <w:rFonts w:ascii="Arial" w:eastAsia="Arial" w:hAnsi="Arial" w:cs="Arial"/>
          <w:i/>
          <w:iCs/>
          <w:sz w:val="24"/>
          <w:szCs w:val="24"/>
        </w:rPr>
        <w:t xml:space="preserve">Center for Teaching, Vanderbilt University. https://cft. </w:t>
      </w:r>
      <w:proofErr w:type="spellStart"/>
      <w:r w:rsidRPr="00745E2E">
        <w:rPr>
          <w:rFonts w:ascii="Arial" w:eastAsia="Arial" w:hAnsi="Arial" w:cs="Arial"/>
          <w:i/>
          <w:iCs/>
          <w:sz w:val="24"/>
          <w:szCs w:val="24"/>
        </w:rPr>
        <w:t>vanderbilt</w:t>
      </w:r>
      <w:proofErr w:type="spellEnd"/>
      <w:r w:rsidRPr="00745E2E">
        <w:rPr>
          <w:rFonts w:ascii="Arial" w:eastAsia="Arial" w:hAnsi="Arial" w:cs="Arial"/>
          <w:i/>
          <w:iCs/>
          <w:sz w:val="24"/>
          <w:szCs w:val="24"/>
        </w:rPr>
        <w:t xml:space="preserve">. </w:t>
      </w:r>
      <w:proofErr w:type="spellStart"/>
      <w:r w:rsidRPr="00745E2E">
        <w:rPr>
          <w:rFonts w:ascii="Arial" w:eastAsia="Arial" w:hAnsi="Arial" w:cs="Arial"/>
          <w:i/>
          <w:iCs/>
          <w:sz w:val="24"/>
          <w:szCs w:val="24"/>
        </w:rPr>
        <w:t>edu</w:t>
      </w:r>
      <w:proofErr w:type="spellEnd"/>
      <w:r w:rsidRPr="00745E2E">
        <w:rPr>
          <w:rFonts w:ascii="Arial" w:eastAsia="Arial" w:hAnsi="Arial" w:cs="Arial"/>
          <w:i/>
          <w:iCs/>
          <w:sz w:val="24"/>
          <w:szCs w:val="24"/>
        </w:rPr>
        <w:t>/guides-subpages/teaching-through-community-engagement</w:t>
      </w:r>
      <w:r w:rsidRPr="00745E2E">
        <w:rPr>
          <w:rFonts w:ascii="Arial" w:eastAsia="Arial" w:hAnsi="Arial" w:cs="Arial"/>
          <w:sz w:val="24"/>
          <w:szCs w:val="24"/>
        </w:rPr>
        <w:t>.</w:t>
      </w:r>
    </w:p>
    <w:p w14:paraId="204180AB" w14:textId="77777777" w:rsidR="00EC06E1" w:rsidRPr="00745E2E" w:rsidRDefault="00EC06E1" w:rsidP="00745E2E">
      <w:pPr>
        <w:spacing w:line="360" w:lineRule="auto"/>
        <w:rPr>
          <w:rFonts w:ascii="Arial" w:eastAsia="Calibri" w:hAnsi="Arial" w:cs="Arial"/>
          <w:sz w:val="24"/>
          <w:szCs w:val="24"/>
        </w:rPr>
      </w:pPr>
      <w:r w:rsidRPr="00745E2E">
        <w:rPr>
          <w:rFonts w:ascii="Arial" w:hAnsi="Arial" w:cs="Arial"/>
          <w:b/>
          <w:bCs/>
          <w:sz w:val="24"/>
          <w:szCs w:val="24"/>
        </w:rPr>
        <w:t xml:space="preserve"> </w:t>
      </w:r>
      <w:r w:rsidRPr="00745E2E">
        <w:rPr>
          <w:rFonts w:ascii="Arial" w:eastAsia="Arial" w:hAnsi="Arial" w:cs="Arial"/>
          <w:sz w:val="24"/>
          <w:szCs w:val="24"/>
        </w:rPr>
        <w:t xml:space="preserve">Bowen, F., </w:t>
      </w:r>
      <w:proofErr w:type="spellStart"/>
      <w:r w:rsidRPr="00745E2E">
        <w:rPr>
          <w:rFonts w:ascii="Arial" w:eastAsia="Arial" w:hAnsi="Arial" w:cs="Arial"/>
          <w:sz w:val="24"/>
          <w:szCs w:val="24"/>
        </w:rPr>
        <w:t>Newenham-Kahindi</w:t>
      </w:r>
      <w:proofErr w:type="spellEnd"/>
      <w:r w:rsidRPr="00745E2E">
        <w:rPr>
          <w:rFonts w:ascii="Arial" w:eastAsia="Arial" w:hAnsi="Arial" w:cs="Arial"/>
          <w:sz w:val="24"/>
          <w:szCs w:val="24"/>
        </w:rPr>
        <w:t xml:space="preserve">, A. and </w:t>
      </w:r>
      <w:proofErr w:type="spellStart"/>
      <w:r w:rsidRPr="00745E2E">
        <w:rPr>
          <w:rFonts w:ascii="Arial" w:eastAsia="Arial" w:hAnsi="Arial" w:cs="Arial"/>
          <w:sz w:val="24"/>
          <w:szCs w:val="24"/>
        </w:rPr>
        <w:t>Herremans</w:t>
      </w:r>
      <w:proofErr w:type="spellEnd"/>
      <w:r w:rsidRPr="00745E2E">
        <w:rPr>
          <w:rFonts w:ascii="Arial" w:eastAsia="Arial" w:hAnsi="Arial" w:cs="Arial"/>
          <w:sz w:val="24"/>
          <w:szCs w:val="24"/>
        </w:rPr>
        <w:t xml:space="preserve">, I., 2010. When suits meet roots: The antecedents and consequences of community engagement strategy. </w:t>
      </w:r>
      <w:r w:rsidRPr="00745E2E">
        <w:rPr>
          <w:rFonts w:ascii="Arial" w:eastAsia="Arial" w:hAnsi="Arial" w:cs="Arial"/>
          <w:i/>
          <w:iCs/>
          <w:sz w:val="24"/>
          <w:szCs w:val="24"/>
        </w:rPr>
        <w:t>Journal of Business Ethics</w:t>
      </w:r>
      <w:r w:rsidRPr="00745E2E">
        <w:rPr>
          <w:rFonts w:ascii="Arial" w:eastAsia="Arial" w:hAnsi="Arial" w:cs="Arial"/>
          <w:sz w:val="24"/>
          <w:szCs w:val="24"/>
        </w:rPr>
        <w:t xml:space="preserve">, </w:t>
      </w:r>
      <w:r w:rsidRPr="00745E2E">
        <w:rPr>
          <w:rFonts w:ascii="Arial" w:eastAsia="Arial" w:hAnsi="Arial" w:cs="Arial"/>
          <w:i/>
          <w:iCs/>
          <w:sz w:val="24"/>
          <w:szCs w:val="24"/>
        </w:rPr>
        <w:t>95</w:t>
      </w:r>
      <w:r w:rsidRPr="00745E2E">
        <w:rPr>
          <w:rFonts w:ascii="Arial" w:eastAsia="Arial" w:hAnsi="Arial" w:cs="Arial"/>
          <w:sz w:val="24"/>
          <w:szCs w:val="24"/>
        </w:rPr>
        <w:t>(2), pp.297-318.</w:t>
      </w:r>
    </w:p>
    <w:p w14:paraId="0BF1F312" w14:textId="77777777" w:rsidR="00EC06E1" w:rsidRPr="00745E2E" w:rsidRDefault="00EC06E1" w:rsidP="00745E2E">
      <w:pPr>
        <w:spacing w:line="360" w:lineRule="auto"/>
        <w:rPr>
          <w:rFonts w:ascii="Arial" w:eastAsia="Arial" w:hAnsi="Arial" w:cs="Arial"/>
          <w:sz w:val="24"/>
          <w:szCs w:val="24"/>
        </w:rPr>
      </w:pPr>
      <w:proofErr w:type="spellStart"/>
      <w:r w:rsidRPr="00745E2E">
        <w:rPr>
          <w:rFonts w:ascii="Arial" w:eastAsia="Arial" w:hAnsi="Arial" w:cs="Arial"/>
          <w:sz w:val="24"/>
          <w:szCs w:val="24"/>
        </w:rPr>
        <w:t>Corsini</w:t>
      </w:r>
      <w:proofErr w:type="spellEnd"/>
      <w:r w:rsidRPr="00745E2E">
        <w:rPr>
          <w:rFonts w:ascii="Arial" w:eastAsia="Arial" w:hAnsi="Arial" w:cs="Arial"/>
          <w:sz w:val="24"/>
          <w:szCs w:val="24"/>
        </w:rPr>
        <w:t xml:space="preserve">, F., </w:t>
      </w:r>
      <w:proofErr w:type="spellStart"/>
      <w:r w:rsidRPr="00745E2E">
        <w:rPr>
          <w:rFonts w:ascii="Arial" w:eastAsia="Arial" w:hAnsi="Arial" w:cs="Arial"/>
          <w:sz w:val="24"/>
          <w:szCs w:val="24"/>
        </w:rPr>
        <w:t>Certomà</w:t>
      </w:r>
      <w:proofErr w:type="spellEnd"/>
      <w:r w:rsidRPr="00745E2E">
        <w:rPr>
          <w:rFonts w:ascii="Arial" w:eastAsia="Arial" w:hAnsi="Arial" w:cs="Arial"/>
          <w:sz w:val="24"/>
          <w:szCs w:val="24"/>
        </w:rPr>
        <w:t xml:space="preserve">, C., Dyer, M. and Frey, M., 2019. Participatory energy: Research, </w:t>
      </w:r>
      <w:proofErr w:type="gramStart"/>
      <w:r w:rsidRPr="00745E2E">
        <w:rPr>
          <w:rFonts w:ascii="Arial" w:eastAsia="Arial" w:hAnsi="Arial" w:cs="Arial"/>
          <w:sz w:val="24"/>
          <w:szCs w:val="24"/>
        </w:rPr>
        <w:t>imaginaries</w:t>
      </w:r>
      <w:proofErr w:type="gramEnd"/>
      <w:r w:rsidRPr="00745E2E">
        <w:rPr>
          <w:rFonts w:ascii="Arial" w:eastAsia="Arial" w:hAnsi="Arial" w:cs="Arial"/>
          <w:sz w:val="24"/>
          <w:szCs w:val="24"/>
        </w:rPr>
        <w:t xml:space="preserve"> and practices on </w:t>
      </w:r>
      <w:proofErr w:type="spellStart"/>
      <w:r w:rsidRPr="00745E2E">
        <w:rPr>
          <w:rFonts w:ascii="Arial" w:eastAsia="Arial" w:hAnsi="Arial" w:cs="Arial"/>
          <w:sz w:val="24"/>
          <w:szCs w:val="24"/>
        </w:rPr>
        <w:t>people'contribute</w:t>
      </w:r>
      <w:proofErr w:type="spellEnd"/>
      <w:r w:rsidRPr="00745E2E">
        <w:rPr>
          <w:rFonts w:ascii="Arial" w:eastAsia="Arial" w:hAnsi="Arial" w:cs="Arial"/>
          <w:sz w:val="24"/>
          <w:szCs w:val="24"/>
        </w:rPr>
        <w:t xml:space="preserve"> to energy systems in the smart city. </w:t>
      </w:r>
      <w:r w:rsidRPr="00745E2E">
        <w:rPr>
          <w:rFonts w:ascii="Arial" w:eastAsia="Arial" w:hAnsi="Arial" w:cs="Arial"/>
          <w:i/>
          <w:iCs/>
          <w:sz w:val="24"/>
          <w:szCs w:val="24"/>
        </w:rPr>
        <w:t>Technological Forecasting and Social Change</w:t>
      </w:r>
      <w:r w:rsidRPr="00745E2E">
        <w:rPr>
          <w:rFonts w:ascii="Arial" w:eastAsia="Arial" w:hAnsi="Arial" w:cs="Arial"/>
          <w:sz w:val="24"/>
          <w:szCs w:val="24"/>
        </w:rPr>
        <w:t xml:space="preserve">, </w:t>
      </w:r>
      <w:r w:rsidRPr="00745E2E">
        <w:rPr>
          <w:rFonts w:ascii="Arial" w:eastAsia="Arial" w:hAnsi="Arial" w:cs="Arial"/>
          <w:i/>
          <w:iCs/>
          <w:sz w:val="24"/>
          <w:szCs w:val="24"/>
        </w:rPr>
        <w:t>142</w:t>
      </w:r>
      <w:r w:rsidRPr="00745E2E">
        <w:rPr>
          <w:rFonts w:ascii="Arial" w:eastAsia="Arial" w:hAnsi="Arial" w:cs="Arial"/>
          <w:sz w:val="24"/>
          <w:szCs w:val="24"/>
        </w:rPr>
        <w:t>, pp.322-332.</w:t>
      </w:r>
    </w:p>
    <w:p w14:paraId="5C06AFF0"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Curtis, A., Ross, H., Marshall, G.R., Baldwin, C., </w:t>
      </w:r>
      <w:proofErr w:type="spellStart"/>
      <w:r w:rsidRPr="00745E2E">
        <w:rPr>
          <w:rFonts w:ascii="Arial" w:eastAsia="Arial" w:hAnsi="Arial" w:cs="Arial"/>
          <w:sz w:val="24"/>
          <w:szCs w:val="24"/>
        </w:rPr>
        <w:t>Cavaye</w:t>
      </w:r>
      <w:proofErr w:type="spellEnd"/>
      <w:r w:rsidRPr="00745E2E">
        <w:rPr>
          <w:rFonts w:ascii="Arial" w:eastAsia="Arial" w:hAnsi="Arial" w:cs="Arial"/>
          <w:sz w:val="24"/>
          <w:szCs w:val="24"/>
        </w:rPr>
        <w:t xml:space="preserve">, J., Freeman, C., </w:t>
      </w:r>
      <w:proofErr w:type="spellStart"/>
      <w:r w:rsidRPr="00745E2E">
        <w:rPr>
          <w:rFonts w:ascii="Arial" w:eastAsia="Arial" w:hAnsi="Arial" w:cs="Arial"/>
          <w:sz w:val="24"/>
          <w:szCs w:val="24"/>
        </w:rPr>
        <w:t>Carr</w:t>
      </w:r>
      <w:proofErr w:type="spellEnd"/>
      <w:r w:rsidRPr="00745E2E">
        <w:rPr>
          <w:rFonts w:ascii="Arial" w:eastAsia="Arial" w:hAnsi="Arial" w:cs="Arial"/>
          <w:sz w:val="24"/>
          <w:szCs w:val="24"/>
        </w:rPr>
        <w:t xml:space="preserve">, A. and Syme, G.J., 2014. The great experiment with devolved NRM governance: lessons from community engagement in Australia and New Zealand since the 1980s. </w:t>
      </w:r>
      <w:r w:rsidRPr="00745E2E">
        <w:rPr>
          <w:rFonts w:ascii="Arial" w:eastAsia="Arial" w:hAnsi="Arial" w:cs="Arial"/>
          <w:i/>
          <w:iCs/>
          <w:sz w:val="24"/>
          <w:szCs w:val="24"/>
        </w:rPr>
        <w:t>Australasian Journal of Environmental Management</w:t>
      </w:r>
      <w:r w:rsidRPr="00745E2E">
        <w:rPr>
          <w:rFonts w:ascii="Arial" w:eastAsia="Arial" w:hAnsi="Arial" w:cs="Arial"/>
          <w:sz w:val="24"/>
          <w:szCs w:val="24"/>
        </w:rPr>
        <w:t xml:space="preserve">, </w:t>
      </w:r>
      <w:r w:rsidRPr="00745E2E">
        <w:rPr>
          <w:rFonts w:ascii="Arial" w:eastAsia="Arial" w:hAnsi="Arial" w:cs="Arial"/>
          <w:i/>
          <w:iCs/>
          <w:sz w:val="24"/>
          <w:szCs w:val="24"/>
        </w:rPr>
        <w:t>21</w:t>
      </w:r>
      <w:r w:rsidRPr="00745E2E">
        <w:rPr>
          <w:rFonts w:ascii="Arial" w:eastAsia="Arial" w:hAnsi="Arial" w:cs="Arial"/>
          <w:sz w:val="24"/>
          <w:szCs w:val="24"/>
        </w:rPr>
        <w:t>(2), pp.175-199.</w:t>
      </w:r>
    </w:p>
    <w:p w14:paraId="07985F16"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Cyril, S., Smith, B.J., </w:t>
      </w:r>
      <w:proofErr w:type="spellStart"/>
      <w:r w:rsidRPr="00745E2E">
        <w:rPr>
          <w:rFonts w:ascii="Arial" w:eastAsia="Arial" w:hAnsi="Arial" w:cs="Arial"/>
          <w:sz w:val="24"/>
          <w:szCs w:val="24"/>
        </w:rPr>
        <w:t>Possamai-Inesedy</w:t>
      </w:r>
      <w:proofErr w:type="spellEnd"/>
      <w:r w:rsidRPr="00745E2E">
        <w:rPr>
          <w:rFonts w:ascii="Arial" w:eastAsia="Arial" w:hAnsi="Arial" w:cs="Arial"/>
          <w:sz w:val="24"/>
          <w:szCs w:val="24"/>
        </w:rPr>
        <w:t xml:space="preserve">, A. and </w:t>
      </w:r>
      <w:proofErr w:type="spellStart"/>
      <w:r w:rsidRPr="00745E2E">
        <w:rPr>
          <w:rFonts w:ascii="Arial" w:eastAsia="Arial" w:hAnsi="Arial" w:cs="Arial"/>
          <w:sz w:val="24"/>
          <w:szCs w:val="24"/>
        </w:rPr>
        <w:t>Renzaho</w:t>
      </w:r>
      <w:proofErr w:type="spellEnd"/>
      <w:r w:rsidRPr="00745E2E">
        <w:rPr>
          <w:rFonts w:ascii="Arial" w:eastAsia="Arial" w:hAnsi="Arial" w:cs="Arial"/>
          <w:sz w:val="24"/>
          <w:szCs w:val="24"/>
        </w:rPr>
        <w:t xml:space="preserve">, A.M., 2015. Exploring the role of community engagement in improving the health of disadvantaged populations: a systematic review. </w:t>
      </w:r>
      <w:r w:rsidRPr="00745E2E">
        <w:rPr>
          <w:rFonts w:ascii="Arial" w:eastAsia="Arial" w:hAnsi="Arial" w:cs="Arial"/>
          <w:i/>
          <w:iCs/>
          <w:sz w:val="24"/>
          <w:szCs w:val="24"/>
        </w:rPr>
        <w:t>Global health action</w:t>
      </w:r>
      <w:r w:rsidRPr="00745E2E">
        <w:rPr>
          <w:rFonts w:ascii="Arial" w:eastAsia="Arial" w:hAnsi="Arial" w:cs="Arial"/>
          <w:sz w:val="24"/>
          <w:szCs w:val="24"/>
        </w:rPr>
        <w:t xml:space="preserve">, </w:t>
      </w:r>
      <w:r w:rsidRPr="00745E2E">
        <w:rPr>
          <w:rFonts w:ascii="Arial" w:eastAsia="Arial" w:hAnsi="Arial" w:cs="Arial"/>
          <w:i/>
          <w:iCs/>
          <w:sz w:val="24"/>
          <w:szCs w:val="24"/>
        </w:rPr>
        <w:t>8</w:t>
      </w:r>
      <w:r w:rsidRPr="00745E2E">
        <w:rPr>
          <w:rFonts w:ascii="Arial" w:eastAsia="Arial" w:hAnsi="Arial" w:cs="Arial"/>
          <w:sz w:val="24"/>
          <w:szCs w:val="24"/>
        </w:rPr>
        <w:t>(1), p.29842.</w:t>
      </w:r>
    </w:p>
    <w:p w14:paraId="7B847ABF"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Dare, M., Schirmer, J. and </w:t>
      </w:r>
      <w:proofErr w:type="spellStart"/>
      <w:r w:rsidRPr="00745E2E">
        <w:rPr>
          <w:rFonts w:ascii="Arial" w:eastAsia="Arial" w:hAnsi="Arial" w:cs="Arial"/>
          <w:sz w:val="24"/>
          <w:szCs w:val="24"/>
        </w:rPr>
        <w:t>Vanclay</w:t>
      </w:r>
      <w:proofErr w:type="spellEnd"/>
      <w:r w:rsidRPr="00745E2E">
        <w:rPr>
          <w:rFonts w:ascii="Arial" w:eastAsia="Arial" w:hAnsi="Arial" w:cs="Arial"/>
          <w:sz w:val="24"/>
          <w:szCs w:val="24"/>
        </w:rPr>
        <w:t xml:space="preserve">, F., 2014. Community engagement and social </w:t>
      </w:r>
      <w:proofErr w:type="spellStart"/>
      <w:r w:rsidRPr="00745E2E">
        <w:rPr>
          <w:rFonts w:ascii="Arial" w:eastAsia="Arial" w:hAnsi="Arial" w:cs="Arial"/>
          <w:sz w:val="24"/>
          <w:szCs w:val="24"/>
        </w:rPr>
        <w:t>licence</w:t>
      </w:r>
      <w:proofErr w:type="spellEnd"/>
      <w:r w:rsidRPr="00745E2E">
        <w:rPr>
          <w:rFonts w:ascii="Arial" w:eastAsia="Arial" w:hAnsi="Arial" w:cs="Arial"/>
          <w:sz w:val="24"/>
          <w:szCs w:val="24"/>
        </w:rPr>
        <w:t xml:space="preserve"> to operate. </w:t>
      </w:r>
      <w:r w:rsidRPr="00745E2E">
        <w:rPr>
          <w:rFonts w:ascii="Arial" w:eastAsia="Arial" w:hAnsi="Arial" w:cs="Arial"/>
          <w:i/>
          <w:iCs/>
          <w:sz w:val="24"/>
          <w:szCs w:val="24"/>
        </w:rPr>
        <w:t>Impact assessment and project appraisal</w:t>
      </w:r>
      <w:r w:rsidRPr="00745E2E">
        <w:rPr>
          <w:rFonts w:ascii="Arial" w:eastAsia="Arial" w:hAnsi="Arial" w:cs="Arial"/>
          <w:sz w:val="24"/>
          <w:szCs w:val="24"/>
        </w:rPr>
        <w:t xml:space="preserve">, </w:t>
      </w:r>
      <w:r w:rsidRPr="00745E2E">
        <w:rPr>
          <w:rFonts w:ascii="Arial" w:eastAsia="Arial" w:hAnsi="Arial" w:cs="Arial"/>
          <w:i/>
          <w:iCs/>
          <w:sz w:val="24"/>
          <w:szCs w:val="24"/>
        </w:rPr>
        <w:t>32</w:t>
      </w:r>
      <w:r w:rsidRPr="00745E2E">
        <w:rPr>
          <w:rFonts w:ascii="Arial" w:eastAsia="Arial" w:hAnsi="Arial" w:cs="Arial"/>
          <w:sz w:val="24"/>
          <w:szCs w:val="24"/>
        </w:rPr>
        <w:t>(3), pp.188-197.</w:t>
      </w:r>
    </w:p>
    <w:p w14:paraId="2465F497"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De </w:t>
      </w:r>
      <w:proofErr w:type="spellStart"/>
      <w:r w:rsidRPr="00745E2E">
        <w:rPr>
          <w:rFonts w:ascii="Arial" w:eastAsia="Arial" w:hAnsi="Arial" w:cs="Arial"/>
          <w:sz w:val="24"/>
          <w:szCs w:val="24"/>
        </w:rPr>
        <w:t>Hooge</w:t>
      </w:r>
      <w:proofErr w:type="spellEnd"/>
      <w:r w:rsidRPr="00745E2E">
        <w:rPr>
          <w:rFonts w:ascii="Arial" w:eastAsia="Arial" w:hAnsi="Arial" w:cs="Arial"/>
          <w:sz w:val="24"/>
          <w:szCs w:val="24"/>
        </w:rPr>
        <w:t xml:space="preserve">, </w:t>
      </w:r>
      <w:proofErr w:type="gramStart"/>
      <w:r w:rsidRPr="00745E2E">
        <w:rPr>
          <w:rFonts w:ascii="Arial" w:eastAsia="Arial" w:hAnsi="Arial" w:cs="Arial"/>
          <w:sz w:val="24"/>
          <w:szCs w:val="24"/>
        </w:rPr>
        <w:t>I.E.</w:t>
      </w:r>
      <w:proofErr w:type="gramEnd"/>
      <w:r w:rsidRPr="00745E2E">
        <w:rPr>
          <w:rFonts w:ascii="Arial" w:eastAsia="Arial" w:hAnsi="Arial" w:cs="Arial"/>
          <w:sz w:val="24"/>
          <w:szCs w:val="24"/>
        </w:rPr>
        <w:t xml:space="preserve"> and van Dam, Y.K., 2019. Reach out and touch: student training community projects for sustainability-a case study. </w:t>
      </w:r>
      <w:r w:rsidRPr="00745E2E">
        <w:rPr>
          <w:rFonts w:ascii="Arial" w:eastAsia="Arial" w:hAnsi="Arial" w:cs="Arial"/>
          <w:i/>
          <w:iCs/>
          <w:sz w:val="24"/>
          <w:szCs w:val="24"/>
        </w:rPr>
        <w:t>International Journal of Sustainability in Higher Education</w:t>
      </w:r>
      <w:r w:rsidRPr="00745E2E">
        <w:rPr>
          <w:rFonts w:ascii="Arial" w:eastAsia="Arial" w:hAnsi="Arial" w:cs="Arial"/>
          <w:sz w:val="24"/>
          <w:szCs w:val="24"/>
        </w:rPr>
        <w:t>.</w:t>
      </w:r>
    </w:p>
    <w:p w14:paraId="7664FA6D"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Dempsey, S.E., 2010. Critiquing community engagement. </w:t>
      </w:r>
      <w:r w:rsidRPr="00745E2E">
        <w:rPr>
          <w:rFonts w:ascii="Arial" w:eastAsia="Arial" w:hAnsi="Arial" w:cs="Arial"/>
          <w:i/>
          <w:iCs/>
          <w:sz w:val="24"/>
          <w:szCs w:val="24"/>
        </w:rPr>
        <w:t>Management Communication Quarterly</w:t>
      </w:r>
      <w:r w:rsidRPr="00745E2E">
        <w:rPr>
          <w:rFonts w:ascii="Arial" w:eastAsia="Arial" w:hAnsi="Arial" w:cs="Arial"/>
          <w:sz w:val="24"/>
          <w:szCs w:val="24"/>
        </w:rPr>
        <w:t xml:space="preserve">, </w:t>
      </w:r>
      <w:r w:rsidRPr="00745E2E">
        <w:rPr>
          <w:rFonts w:ascii="Arial" w:eastAsia="Arial" w:hAnsi="Arial" w:cs="Arial"/>
          <w:i/>
          <w:iCs/>
          <w:sz w:val="24"/>
          <w:szCs w:val="24"/>
        </w:rPr>
        <w:t>24</w:t>
      </w:r>
      <w:r w:rsidRPr="00745E2E">
        <w:rPr>
          <w:rFonts w:ascii="Arial" w:eastAsia="Arial" w:hAnsi="Arial" w:cs="Arial"/>
          <w:sz w:val="24"/>
          <w:szCs w:val="24"/>
        </w:rPr>
        <w:t>(3), pp.359-390.</w:t>
      </w:r>
    </w:p>
    <w:p w14:paraId="1AE822EF"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lastRenderedPageBreak/>
        <w:t xml:space="preserve">Ellen, J.M., Wallace, M., </w:t>
      </w:r>
      <w:proofErr w:type="spellStart"/>
      <w:r w:rsidRPr="00745E2E">
        <w:rPr>
          <w:rFonts w:ascii="Arial" w:eastAsia="Arial" w:hAnsi="Arial" w:cs="Arial"/>
          <w:sz w:val="24"/>
          <w:szCs w:val="24"/>
        </w:rPr>
        <w:t>Sawe</w:t>
      </w:r>
      <w:proofErr w:type="spellEnd"/>
      <w:r w:rsidRPr="00745E2E">
        <w:rPr>
          <w:rFonts w:ascii="Arial" w:eastAsia="Arial" w:hAnsi="Arial" w:cs="Arial"/>
          <w:sz w:val="24"/>
          <w:szCs w:val="24"/>
        </w:rPr>
        <w:t xml:space="preserve">, F.K. and Fisher, K., 2010. Community engagement and investment in biomedical HIV prevention research for youth: rationale, challenges, and approaches. </w:t>
      </w:r>
      <w:r w:rsidRPr="00745E2E">
        <w:rPr>
          <w:rFonts w:ascii="Arial" w:eastAsia="Arial" w:hAnsi="Arial" w:cs="Arial"/>
          <w:i/>
          <w:iCs/>
          <w:sz w:val="24"/>
          <w:szCs w:val="24"/>
        </w:rPr>
        <w:t>JAIDS Journal of Acquired Immune Deficiency Syndromes</w:t>
      </w:r>
      <w:r w:rsidRPr="00745E2E">
        <w:rPr>
          <w:rFonts w:ascii="Arial" w:eastAsia="Arial" w:hAnsi="Arial" w:cs="Arial"/>
          <w:sz w:val="24"/>
          <w:szCs w:val="24"/>
        </w:rPr>
        <w:t xml:space="preserve">, </w:t>
      </w:r>
      <w:r w:rsidRPr="00745E2E">
        <w:rPr>
          <w:rFonts w:ascii="Arial" w:eastAsia="Arial" w:hAnsi="Arial" w:cs="Arial"/>
          <w:i/>
          <w:iCs/>
          <w:sz w:val="24"/>
          <w:szCs w:val="24"/>
        </w:rPr>
        <w:t>54</w:t>
      </w:r>
      <w:r w:rsidRPr="00745E2E">
        <w:rPr>
          <w:rFonts w:ascii="Arial" w:eastAsia="Arial" w:hAnsi="Arial" w:cs="Arial"/>
          <w:sz w:val="24"/>
          <w:szCs w:val="24"/>
        </w:rPr>
        <w:t xml:space="preserve">, </w:t>
      </w:r>
      <w:proofErr w:type="gramStart"/>
      <w:r w:rsidRPr="00745E2E">
        <w:rPr>
          <w:rFonts w:ascii="Arial" w:eastAsia="Arial" w:hAnsi="Arial" w:cs="Arial"/>
          <w:sz w:val="24"/>
          <w:szCs w:val="24"/>
        </w:rPr>
        <w:t>pp.S</w:t>
      </w:r>
      <w:proofErr w:type="gramEnd"/>
      <w:r w:rsidRPr="00745E2E">
        <w:rPr>
          <w:rFonts w:ascii="Arial" w:eastAsia="Arial" w:hAnsi="Arial" w:cs="Arial"/>
          <w:sz w:val="24"/>
          <w:szCs w:val="24"/>
        </w:rPr>
        <w:t>7-S11.</w:t>
      </w:r>
    </w:p>
    <w:p w14:paraId="5690DDB3" w14:textId="77777777" w:rsidR="00EC06E1" w:rsidRPr="00745E2E" w:rsidRDefault="00EC06E1" w:rsidP="00745E2E">
      <w:pPr>
        <w:spacing w:line="360" w:lineRule="auto"/>
        <w:rPr>
          <w:rFonts w:ascii="Arial" w:eastAsia="Arial" w:hAnsi="Arial" w:cs="Arial"/>
          <w:sz w:val="24"/>
          <w:szCs w:val="24"/>
        </w:rPr>
      </w:pPr>
      <w:proofErr w:type="spellStart"/>
      <w:r w:rsidRPr="00745E2E">
        <w:rPr>
          <w:rFonts w:ascii="Arial" w:eastAsia="Arial" w:hAnsi="Arial" w:cs="Arial"/>
          <w:sz w:val="24"/>
          <w:szCs w:val="24"/>
        </w:rPr>
        <w:t>Feola</w:t>
      </w:r>
      <w:proofErr w:type="spellEnd"/>
      <w:r w:rsidRPr="00745E2E">
        <w:rPr>
          <w:rFonts w:ascii="Arial" w:eastAsia="Arial" w:hAnsi="Arial" w:cs="Arial"/>
          <w:sz w:val="24"/>
          <w:szCs w:val="24"/>
        </w:rPr>
        <w:t xml:space="preserve">, G., 2015. Societal transformation in response to global environmental change: a review of emerging concepts. </w:t>
      </w:r>
      <w:proofErr w:type="spellStart"/>
      <w:r w:rsidRPr="00745E2E">
        <w:rPr>
          <w:rFonts w:ascii="Arial" w:eastAsia="Arial" w:hAnsi="Arial" w:cs="Arial"/>
          <w:i/>
          <w:iCs/>
          <w:sz w:val="24"/>
          <w:szCs w:val="24"/>
        </w:rPr>
        <w:t>Ambio</w:t>
      </w:r>
      <w:proofErr w:type="spellEnd"/>
      <w:r w:rsidRPr="00745E2E">
        <w:rPr>
          <w:rFonts w:ascii="Arial" w:eastAsia="Arial" w:hAnsi="Arial" w:cs="Arial"/>
          <w:sz w:val="24"/>
          <w:szCs w:val="24"/>
        </w:rPr>
        <w:t xml:space="preserve">, </w:t>
      </w:r>
      <w:r w:rsidRPr="00745E2E">
        <w:rPr>
          <w:rFonts w:ascii="Arial" w:eastAsia="Arial" w:hAnsi="Arial" w:cs="Arial"/>
          <w:i/>
          <w:iCs/>
          <w:sz w:val="24"/>
          <w:szCs w:val="24"/>
        </w:rPr>
        <w:t>44</w:t>
      </w:r>
      <w:r w:rsidRPr="00745E2E">
        <w:rPr>
          <w:rFonts w:ascii="Arial" w:eastAsia="Arial" w:hAnsi="Arial" w:cs="Arial"/>
          <w:sz w:val="24"/>
          <w:szCs w:val="24"/>
        </w:rPr>
        <w:t>(5), pp.376-390.</w:t>
      </w:r>
    </w:p>
    <w:p w14:paraId="0E9602AF"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George, A.S., Mehra, V., Scott, K. and Sriram, V., 2015. Community participation in health systems research: a systematic review assessing the state of research, the nature of interventions involved and the features of engagement with communities. </w:t>
      </w:r>
      <w:proofErr w:type="spellStart"/>
      <w:r w:rsidRPr="00745E2E">
        <w:rPr>
          <w:rFonts w:ascii="Arial" w:eastAsia="Arial" w:hAnsi="Arial" w:cs="Arial"/>
          <w:i/>
          <w:iCs/>
          <w:sz w:val="24"/>
          <w:szCs w:val="24"/>
        </w:rPr>
        <w:t>PLoS</w:t>
      </w:r>
      <w:proofErr w:type="spellEnd"/>
      <w:r w:rsidRPr="00745E2E">
        <w:rPr>
          <w:rFonts w:ascii="Arial" w:eastAsia="Arial" w:hAnsi="Arial" w:cs="Arial"/>
          <w:i/>
          <w:iCs/>
          <w:sz w:val="24"/>
          <w:szCs w:val="24"/>
        </w:rPr>
        <w:t xml:space="preserve"> One</w:t>
      </w:r>
      <w:r w:rsidRPr="00745E2E">
        <w:rPr>
          <w:rFonts w:ascii="Arial" w:eastAsia="Arial" w:hAnsi="Arial" w:cs="Arial"/>
          <w:sz w:val="24"/>
          <w:szCs w:val="24"/>
        </w:rPr>
        <w:t xml:space="preserve">, </w:t>
      </w:r>
      <w:r w:rsidRPr="00745E2E">
        <w:rPr>
          <w:rFonts w:ascii="Arial" w:eastAsia="Arial" w:hAnsi="Arial" w:cs="Arial"/>
          <w:i/>
          <w:iCs/>
          <w:sz w:val="24"/>
          <w:szCs w:val="24"/>
        </w:rPr>
        <w:t>10</w:t>
      </w:r>
      <w:r w:rsidRPr="00745E2E">
        <w:rPr>
          <w:rFonts w:ascii="Arial" w:eastAsia="Arial" w:hAnsi="Arial" w:cs="Arial"/>
          <w:sz w:val="24"/>
          <w:szCs w:val="24"/>
        </w:rPr>
        <w:t>(10), p.e0141091.</w:t>
      </w:r>
    </w:p>
    <w:p w14:paraId="2BF1A135" w14:textId="77777777" w:rsidR="00EC06E1" w:rsidRPr="00745E2E" w:rsidRDefault="00EC06E1" w:rsidP="00745E2E">
      <w:pPr>
        <w:spacing w:line="360" w:lineRule="auto"/>
        <w:rPr>
          <w:rFonts w:ascii="Arial" w:eastAsia="Calibri" w:hAnsi="Arial" w:cs="Arial"/>
          <w:sz w:val="24"/>
          <w:szCs w:val="24"/>
        </w:rPr>
      </w:pPr>
      <w:r w:rsidRPr="00745E2E">
        <w:rPr>
          <w:rFonts w:ascii="Arial" w:eastAsia="Arial" w:hAnsi="Arial" w:cs="Arial"/>
          <w:sz w:val="24"/>
          <w:szCs w:val="24"/>
        </w:rPr>
        <w:t xml:space="preserve">Holzer, J.K., Ellis, </w:t>
      </w:r>
      <w:proofErr w:type="gramStart"/>
      <w:r w:rsidRPr="00745E2E">
        <w:rPr>
          <w:rFonts w:ascii="Arial" w:eastAsia="Arial" w:hAnsi="Arial" w:cs="Arial"/>
          <w:sz w:val="24"/>
          <w:szCs w:val="24"/>
        </w:rPr>
        <w:t>L.</w:t>
      </w:r>
      <w:proofErr w:type="gramEnd"/>
      <w:r w:rsidRPr="00745E2E">
        <w:rPr>
          <w:rFonts w:ascii="Arial" w:eastAsia="Arial" w:hAnsi="Arial" w:cs="Arial"/>
          <w:sz w:val="24"/>
          <w:szCs w:val="24"/>
        </w:rPr>
        <w:t xml:space="preserve"> and Merritt, M.W., 2014. Why we need community engagement in medical research. </w:t>
      </w:r>
      <w:r w:rsidRPr="00745E2E">
        <w:rPr>
          <w:rFonts w:ascii="Arial" w:eastAsia="Arial" w:hAnsi="Arial" w:cs="Arial"/>
          <w:i/>
          <w:iCs/>
          <w:sz w:val="24"/>
          <w:szCs w:val="24"/>
        </w:rPr>
        <w:t>Journal of Investigative Medicine</w:t>
      </w:r>
      <w:r w:rsidRPr="00745E2E">
        <w:rPr>
          <w:rFonts w:ascii="Arial" w:eastAsia="Arial" w:hAnsi="Arial" w:cs="Arial"/>
          <w:sz w:val="24"/>
          <w:szCs w:val="24"/>
        </w:rPr>
        <w:t xml:space="preserve">, </w:t>
      </w:r>
      <w:r w:rsidRPr="00745E2E">
        <w:rPr>
          <w:rFonts w:ascii="Arial" w:eastAsia="Arial" w:hAnsi="Arial" w:cs="Arial"/>
          <w:i/>
          <w:iCs/>
          <w:sz w:val="24"/>
          <w:szCs w:val="24"/>
        </w:rPr>
        <w:t>62</w:t>
      </w:r>
      <w:r w:rsidRPr="00745E2E">
        <w:rPr>
          <w:rFonts w:ascii="Arial" w:eastAsia="Arial" w:hAnsi="Arial" w:cs="Arial"/>
          <w:sz w:val="24"/>
          <w:szCs w:val="24"/>
        </w:rPr>
        <w:t>(6), pp.851-855.</w:t>
      </w:r>
    </w:p>
    <w:p w14:paraId="6FC2397B"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Joosten, Y.A., Israel, T.L., Williams, N.A., Boone, L.R., Schlundt, D.G., Mouton, C.P., </w:t>
      </w:r>
      <w:proofErr w:type="spellStart"/>
      <w:r w:rsidRPr="00745E2E">
        <w:rPr>
          <w:rFonts w:ascii="Arial" w:eastAsia="Arial" w:hAnsi="Arial" w:cs="Arial"/>
          <w:sz w:val="24"/>
          <w:szCs w:val="24"/>
        </w:rPr>
        <w:t>Dittus</w:t>
      </w:r>
      <w:proofErr w:type="spellEnd"/>
      <w:r w:rsidRPr="00745E2E">
        <w:rPr>
          <w:rFonts w:ascii="Arial" w:eastAsia="Arial" w:hAnsi="Arial" w:cs="Arial"/>
          <w:sz w:val="24"/>
          <w:szCs w:val="24"/>
        </w:rPr>
        <w:t xml:space="preserve">, R.S., Bernard, G.R. and Wilkins, C.H., 2015. Community engagement studios: a structured approach to obtaining meaningful input from stakeholders to inform research. </w:t>
      </w:r>
      <w:r w:rsidRPr="00745E2E">
        <w:rPr>
          <w:rFonts w:ascii="Arial" w:eastAsia="Arial" w:hAnsi="Arial" w:cs="Arial"/>
          <w:i/>
          <w:iCs/>
          <w:sz w:val="24"/>
          <w:szCs w:val="24"/>
        </w:rPr>
        <w:t>Academic Medicine</w:t>
      </w:r>
      <w:r w:rsidRPr="00745E2E">
        <w:rPr>
          <w:rFonts w:ascii="Arial" w:eastAsia="Arial" w:hAnsi="Arial" w:cs="Arial"/>
          <w:sz w:val="24"/>
          <w:szCs w:val="24"/>
        </w:rPr>
        <w:t xml:space="preserve">, </w:t>
      </w:r>
      <w:r w:rsidRPr="00745E2E">
        <w:rPr>
          <w:rFonts w:ascii="Arial" w:eastAsia="Arial" w:hAnsi="Arial" w:cs="Arial"/>
          <w:i/>
          <w:iCs/>
          <w:sz w:val="24"/>
          <w:szCs w:val="24"/>
        </w:rPr>
        <w:t>90</w:t>
      </w:r>
      <w:r w:rsidRPr="00745E2E">
        <w:rPr>
          <w:rFonts w:ascii="Arial" w:eastAsia="Arial" w:hAnsi="Arial" w:cs="Arial"/>
          <w:sz w:val="24"/>
          <w:szCs w:val="24"/>
        </w:rPr>
        <w:t>(12), p.1646.</w:t>
      </w:r>
    </w:p>
    <w:p w14:paraId="09240B9D"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Kumar, J. and Kumar, V., 2020. Drivers of brand community engagement. </w:t>
      </w:r>
      <w:r w:rsidRPr="00745E2E">
        <w:rPr>
          <w:rFonts w:ascii="Arial" w:eastAsia="Arial" w:hAnsi="Arial" w:cs="Arial"/>
          <w:i/>
          <w:iCs/>
          <w:sz w:val="24"/>
          <w:szCs w:val="24"/>
        </w:rPr>
        <w:t>Journal of Retailing and Consumer Services</w:t>
      </w:r>
      <w:r w:rsidRPr="00745E2E">
        <w:rPr>
          <w:rFonts w:ascii="Arial" w:eastAsia="Arial" w:hAnsi="Arial" w:cs="Arial"/>
          <w:sz w:val="24"/>
          <w:szCs w:val="24"/>
        </w:rPr>
        <w:t xml:space="preserve">, </w:t>
      </w:r>
      <w:r w:rsidRPr="00745E2E">
        <w:rPr>
          <w:rFonts w:ascii="Arial" w:eastAsia="Arial" w:hAnsi="Arial" w:cs="Arial"/>
          <w:i/>
          <w:iCs/>
          <w:sz w:val="24"/>
          <w:szCs w:val="24"/>
        </w:rPr>
        <w:t>54</w:t>
      </w:r>
      <w:r w:rsidRPr="00745E2E">
        <w:rPr>
          <w:rFonts w:ascii="Arial" w:eastAsia="Arial" w:hAnsi="Arial" w:cs="Arial"/>
          <w:sz w:val="24"/>
          <w:szCs w:val="24"/>
        </w:rPr>
        <w:t>, p.101949.</w:t>
      </w:r>
    </w:p>
    <w:p w14:paraId="46DE371D" w14:textId="77777777" w:rsidR="00EC06E1" w:rsidRPr="00745E2E" w:rsidRDefault="00EC06E1" w:rsidP="00745E2E">
      <w:pPr>
        <w:spacing w:line="360" w:lineRule="auto"/>
        <w:rPr>
          <w:rFonts w:ascii="Arial" w:eastAsia="Arial" w:hAnsi="Arial" w:cs="Arial"/>
          <w:sz w:val="24"/>
          <w:szCs w:val="24"/>
        </w:rPr>
      </w:pPr>
      <w:proofErr w:type="spellStart"/>
      <w:r w:rsidRPr="00745E2E">
        <w:rPr>
          <w:rFonts w:ascii="Arial" w:eastAsia="Arial" w:hAnsi="Arial" w:cs="Arial"/>
          <w:sz w:val="24"/>
          <w:szCs w:val="24"/>
        </w:rPr>
        <w:t>Ocloo</w:t>
      </w:r>
      <w:proofErr w:type="spellEnd"/>
      <w:r w:rsidRPr="00745E2E">
        <w:rPr>
          <w:rFonts w:ascii="Arial" w:eastAsia="Arial" w:hAnsi="Arial" w:cs="Arial"/>
          <w:sz w:val="24"/>
          <w:szCs w:val="24"/>
        </w:rPr>
        <w:t xml:space="preserve">, J. and Matthews, R., 2016. From tokenism to empowerment: progressing patient and public involvement in healthcare improvement. </w:t>
      </w:r>
      <w:r w:rsidRPr="00745E2E">
        <w:rPr>
          <w:rFonts w:ascii="Arial" w:eastAsia="Arial" w:hAnsi="Arial" w:cs="Arial"/>
          <w:i/>
          <w:iCs/>
          <w:sz w:val="24"/>
          <w:szCs w:val="24"/>
        </w:rPr>
        <w:t>BMJ quality &amp; safety</w:t>
      </w:r>
      <w:r w:rsidRPr="00745E2E">
        <w:rPr>
          <w:rFonts w:ascii="Arial" w:eastAsia="Arial" w:hAnsi="Arial" w:cs="Arial"/>
          <w:sz w:val="24"/>
          <w:szCs w:val="24"/>
        </w:rPr>
        <w:t xml:space="preserve">, </w:t>
      </w:r>
      <w:r w:rsidRPr="00745E2E">
        <w:rPr>
          <w:rFonts w:ascii="Arial" w:eastAsia="Arial" w:hAnsi="Arial" w:cs="Arial"/>
          <w:i/>
          <w:iCs/>
          <w:sz w:val="24"/>
          <w:szCs w:val="24"/>
        </w:rPr>
        <w:t>25</w:t>
      </w:r>
      <w:r w:rsidRPr="00745E2E">
        <w:rPr>
          <w:rFonts w:ascii="Arial" w:eastAsia="Arial" w:hAnsi="Arial" w:cs="Arial"/>
          <w:sz w:val="24"/>
          <w:szCs w:val="24"/>
        </w:rPr>
        <w:t>(8), pp.626-632.</w:t>
      </w:r>
    </w:p>
    <w:p w14:paraId="55F52C66"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Ojha, H.R., Ford, R., Keenan, R.J., Race, D., Vega, D.C., </w:t>
      </w:r>
      <w:proofErr w:type="spellStart"/>
      <w:r w:rsidRPr="00745E2E">
        <w:rPr>
          <w:rFonts w:ascii="Arial" w:eastAsia="Arial" w:hAnsi="Arial" w:cs="Arial"/>
          <w:sz w:val="24"/>
          <w:szCs w:val="24"/>
        </w:rPr>
        <w:t>Baral</w:t>
      </w:r>
      <w:proofErr w:type="spellEnd"/>
      <w:r w:rsidRPr="00745E2E">
        <w:rPr>
          <w:rFonts w:ascii="Arial" w:eastAsia="Arial" w:hAnsi="Arial" w:cs="Arial"/>
          <w:sz w:val="24"/>
          <w:szCs w:val="24"/>
        </w:rPr>
        <w:t xml:space="preserve">, H. and Sapkota, P., 2016. Delocalizing communities: Changing forms of community engagement in natural resources governance. </w:t>
      </w:r>
      <w:r w:rsidRPr="00745E2E">
        <w:rPr>
          <w:rFonts w:ascii="Arial" w:eastAsia="Arial" w:hAnsi="Arial" w:cs="Arial"/>
          <w:i/>
          <w:iCs/>
          <w:sz w:val="24"/>
          <w:szCs w:val="24"/>
        </w:rPr>
        <w:t>World Development</w:t>
      </w:r>
      <w:r w:rsidRPr="00745E2E">
        <w:rPr>
          <w:rFonts w:ascii="Arial" w:eastAsia="Arial" w:hAnsi="Arial" w:cs="Arial"/>
          <w:sz w:val="24"/>
          <w:szCs w:val="24"/>
        </w:rPr>
        <w:t xml:space="preserve">, </w:t>
      </w:r>
      <w:r w:rsidRPr="00745E2E">
        <w:rPr>
          <w:rFonts w:ascii="Arial" w:eastAsia="Arial" w:hAnsi="Arial" w:cs="Arial"/>
          <w:i/>
          <w:iCs/>
          <w:sz w:val="24"/>
          <w:szCs w:val="24"/>
        </w:rPr>
        <w:t>87</w:t>
      </w:r>
      <w:r w:rsidRPr="00745E2E">
        <w:rPr>
          <w:rFonts w:ascii="Arial" w:eastAsia="Arial" w:hAnsi="Arial" w:cs="Arial"/>
          <w:sz w:val="24"/>
          <w:szCs w:val="24"/>
        </w:rPr>
        <w:t>, pp.274-290.</w:t>
      </w:r>
    </w:p>
    <w:p w14:paraId="39B52F3B" w14:textId="77777777" w:rsidR="00EC06E1" w:rsidRPr="00745E2E" w:rsidRDefault="00EC06E1" w:rsidP="00745E2E">
      <w:pPr>
        <w:spacing w:line="360" w:lineRule="auto"/>
        <w:rPr>
          <w:rFonts w:ascii="Arial" w:eastAsia="Arial" w:hAnsi="Arial" w:cs="Arial"/>
          <w:sz w:val="24"/>
          <w:szCs w:val="24"/>
        </w:rPr>
      </w:pPr>
      <w:proofErr w:type="spellStart"/>
      <w:r w:rsidRPr="00745E2E">
        <w:rPr>
          <w:rFonts w:ascii="Arial" w:eastAsia="Arial" w:hAnsi="Arial" w:cs="Arial"/>
          <w:sz w:val="24"/>
          <w:szCs w:val="24"/>
        </w:rPr>
        <w:t>Rajan</w:t>
      </w:r>
      <w:proofErr w:type="spellEnd"/>
      <w:r w:rsidRPr="00745E2E">
        <w:rPr>
          <w:rFonts w:ascii="Arial" w:eastAsia="Arial" w:hAnsi="Arial" w:cs="Arial"/>
          <w:sz w:val="24"/>
          <w:szCs w:val="24"/>
        </w:rPr>
        <w:t xml:space="preserve">, S.C., 2006. Climate change dilemma: technology, social change or </w:t>
      </w:r>
      <w:proofErr w:type="gramStart"/>
      <w:r w:rsidRPr="00745E2E">
        <w:rPr>
          <w:rFonts w:ascii="Arial" w:eastAsia="Arial" w:hAnsi="Arial" w:cs="Arial"/>
          <w:sz w:val="24"/>
          <w:szCs w:val="24"/>
        </w:rPr>
        <w:t>both?:</w:t>
      </w:r>
      <w:proofErr w:type="gramEnd"/>
      <w:r w:rsidRPr="00745E2E">
        <w:rPr>
          <w:rFonts w:ascii="Arial" w:eastAsia="Arial" w:hAnsi="Arial" w:cs="Arial"/>
          <w:sz w:val="24"/>
          <w:szCs w:val="24"/>
        </w:rPr>
        <w:t xml:space="preserve"> An examination of long-term transport policy choices in the United States. </w:t>
      </w:r>
      <w:r w:rsidRPr="00745E2E">
        <w:rPr>
          <w:rFonts w:ascii="Arial" w:eastAsia="Arial" w:hAnsi="Arial" w:cs="Arial"/>
          <w:i/>
          <w:iCs/>
          <w:sz w:val="24"/>
          <w:szCs w:val="24"/>
        </w:rPr>
        <w:t>Energy policy</w:t>
      </w:r>
      <w:r w:rsidRPr="00745E2E">
        <w:rPr>
          <w:rFonts w:ascii="Arial" w:eastAsia="Arial" w:hAnsi="Arial" w:cs="Arial"/>
          <w:sz w:val="24"/>
          <w:szCs w:val="24"/>
        </w:rPr>
        <w:t xml:space="preserve">, </w:t>
      </w:r>
      <w:r w:rsidRPr="00745E2E">
        <w:rPr>
          <w:rFonts w:ascii="Arial" w:eastAsia="Arial" w:hAnsi="Arial" w:cs="Arial"/>
          <w:i/>
          <w:iCs/>
          <w:sz w:val="24"/>
          <w:szCs w:val="24"/>
        </w:rPr>
        <w:t>34</w:t>
      </w:r>
      <w:r w:rsidRPr="00745E2E">
        <w:rPr>
          <w:rFonts w:ascii="Arial" w:eastAsia="Arial" w:hAnsi="Arial" w:cs="Arial"/>
          <w:sz w:val="24"/>
          <w:szCs w:val="24"/>
        </w:rPr>
        <w:t>(6), pp.664-679.</w:t>
      </w:r>
    </w:p>
    <w:p w14:paraId="76E1ACAB" w14:textId="77777777" w:rsidR="00EC06E1" w:rsidRPr="00745E2E" w:rsidRDefault="00EC06E1" w:rsidP="00745E2E">
      <w:pPr>
        <w:spacing w:line="360" w:lineRule="auto"/>
        <w:rPr>
          <w:rFonts w:ascii="Arial" w:eastAsia="Arial" w:hAnsi="Arial" w:cs="Arial"/>
          <w:sz w:val="24"/>
          <w:szCs w:val="24"/>
        </w:rPr>
      </w:pPr>
      <w:proofErr w:type="spellStart"/>
      <w:r w:rsidRPr="00745E2E">
        <w:rPr>
          <w:rFonts w:ascii="Arial" w:eastAsia="Arial" w:hAnsi="Arial" w:cs="Arial"/>
          <w:sz w:val="24"/>
          <w:szCs w:val="24"/>
        </w:rPr>
        <w:lastRenderedPageBreak/>
        <w:t>Seyfang</w:t>
      </w:r>
      <w:proofErr w:type="spellEnd"/>
      <w:r w:rsidRPr="00745E2E">
        <w:rPr>
          <w:rFonts w:ascii="Arial" w:eastAsia="Arial" w:hAnsi="Arial" w:cs="Arial"/>
          <w:sz w:val="24"/>
          <w:szCs w:val="24"/>
        </w:rPr>
        <w:t xml:space="preserve">, G. and </w:t>
      </w:r>
      <w:proofErr w:type="spellStart"/>
      <w:r w:rsidRPr="00745E2E">
        <w:rPr>
          <w:rFonts w:ascii="Arial" w:eastAsia="Arial" w:hAnsi="Arial" w:cs="Arial"/>
          <w:sz w:val="24"/>
          <w:szCs w:val="24"/>
        </w:rPr>
        <w:t>Haxeltine</w:t>
      </w:r>
      <w:proofErr w:type="spellEnd"/>
      <w:r w:rsidRPr="00745E2E">
        <w:rPr>
          <w:rFonts w:ascii="Arial" w:eastAsia="Arial" w:hAnsi="Arial" w:cs="Arial"/>
          <w:sz w:val="24"/>
          <w:szCs w:val="24"/>
        </w:rPr>
        <w:t xml:space="preserve">, A., 2012. Growing grassroots innovations: exploring the role of community-based initiatives in governing sustainable energy transitions. </w:t>
      </w:r>
      <w:r w:rsidRPr="00745E2E">
        <w:rPr>
          <w:rFonts w:ascii="Arial" w:eastAsia="Arial" w:hAnsi="Arial" w:cs="Arial"/>
          <w:i/>
          <w:iCs/>
          <w:sz w:val="24"/>
          <w:szCs w:val="24"/>
        </w:rPr>
        <w:t>Environment and Planning C: Government and Policy</w:t>
      </w:r>
      <w:r w:rsidRPr="00745E2E">
        <w:rPr>
          <w:rFonts w:ascii="Arial" w:eastAsia="Arial" w:hAnsi="Arial" w:cs="Arial"/>
          <w:sz w:val="24"/>
          <w:szCs w:val="24"/>
        </w:rPr>
        <w:t xml:space="preserve">, </w:t>
      </w:r>
      <w:r w:rsidRPr="00745E2E">
        <w:rPr>
          <w:rFonts w:ascii="Arial" w:eastAsia="Arial" w:hAnsi="Arial" w:cs="Arial"/>
          <w:i/>
          <w:iCs/>
          <w:sz w:val="24"/>
          <w:szCs w:val="24"/>
        </w:rPr>
        <w:t>30</w:t>
      </w:r>
      <w:r w:rsidRPr="00745E2E">
        <w:rPr>
          <w:rFonts w:ascii="Arial" w:eastAsia="Arial" w:hAnsi="Arial" w:cs="Arial"/>
          <w:sz w:val="24"/>
          <w:szCs w:val="24"/>
        </w:rPr>
        <w:t>(3), pp.381-400.</w:t>
      </w:r>
    </w:p>
    <w:p w14:paraId="4AAA0BD7"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Sheppard, S.R., Shaw, A., Flanders, D., Burch, S., </w:t>
      </w:r>
      <w:proofErr w:type="spellStart"/>
      <w:r w:rsidRPr="00745E2E">
        <w:rPr>
          <w:rFonts w:ascii="Arial" w:eastAsia="Arial" w:hAnsi="Arial" w:cs="Arial"/>
          <w:sz w:val="24"/>
          <w:szCs w:val="24"/>
        </w:rPr>
        <w:t>Wiek</w:t>
      </w:r>
      <w:proofErr w:type="spellEnd"/>
      <w:r w:rsidRPr="00745E2E">
        <w:rPr>
          <w:rFonts w:ascii="Arial" w:eastAsia="Arial" w:hAnsi="Arial" w:cs="Arial"/>
          <w:sz w:val="24"/>
          <w:szCs w:val="24"/>
        </w:rPr>
        <w:t xml:space="preserve">, A., Carmichael, J., Robinson, J. and Cohen, S., 2011. Future visioning of local climate change: a framework for community engagement and planning with scenarios and </w:t>
      </w:r>
      <w:proofErr w:type="spellStart"/>
      <w:r w:rsidRPr="00745E2E">
        <w:rPr>
          <w:rFonts w:ascii="Arial" w:eastAsia="Arial" w:hAnsi="Arial" w:cs="Arial"/>
          <w:sz w:val="24"/>
          <w:szCs w:val="24"/>
        </w:rPr>
        <w:t>visualisation</w:t>
      </w:r>
      <w:proofErr w:type="spellEnd"/>
      <w:r w:rsidRPr="00745E2E">
        <w:rPr>
          <w:rFonts w:ascii="Arial" w:eastAsia="Arial" w:hAnsi="Arial" w:cs="Arial"/>
          <w:sz w:val="24"/>
          <w:szCs w:val="24"/>
        </w:rPr>
        <w:t xml:space="preserve">. </w:t>
      </w:r>
      <w:r w:rsidRPr="00745E2E">
        <w:rPr>
          <w:rFonts w:ascii="Arial" w:eastAsia="Arial" w:hAnsi="Arial" w:cs="Arial"/>
          <w:i/>
          <w:iCs/>
          <w:sz w:val="24"/>
          <w:szCs w:val="24"/>
        </w:rPr>
        <w:t>Futures</w:t>
      </w:r>
      <w:r w:rsidRPr="00745E2E">
        <w:rPr>
          <w:rFonts w:ascii="Arial" w:eastAsia="Arial" w:hAnsi="Arial" w:cs="Arial"/>
          <w:sz w:val="24"/>
          <w:szCs w:val="24"/>
        </w:rPr>
        <w:t xml:space="preserve">, </w:t>
      </w:r>
      <w:r w:rsidRPr="00745E2E">
        <w:rPr>
          <w:rFonts w:ascii="Arial" w:eastAsia="Arial" w:hAnsi="Arial" w:cs="Arial"/>
          <w:i/>
          <w:iCs/>
          <w:sz w:val="24"/>
          <w:szCs w:val="24"/>
        </w:rPr>
        <w:t>43</w:t>
      </w:r>
      <w:r w:rsidRPr="00745E2E">
        <w:rPr>
          <w:rFonts w:ascii="Arial" w:eastAsia="Arial" w:hAnsi="Arial" w:cs="Arial"/>
          <w:sz w:val="24"/>
          <w:szCs w:val="24"/>
        </w:rPr>
        <w:t>(4), pp.400-412.</w:t>
      </w:r>
    </w:p>
    <w:p w14:paraId="78950A59"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Strasser, R.P., 2010. Community engagement: a key to successful rural clinical education. </w:t>
      </w:r>
      <w:r w:rsidRPr="00745E2E">
        <w:rPr>
          <w:rFonts w:ascii="Arial" w:eastAsia="Arial" w:hAnsi="Arial" w:cs="Arial"/>
          <w:i/>
          <w:iCs/>
          <w:sz w:val="24"/>
          <w:szCs w:val="24"/>
        </w:rPr>
        <w:t>Rural and Remote Health</w:t>
      </w:r>
      <w:r w:rsidRPr="00745E2E">
        <w:rPr>
          <w:rFonts w:ascii="Arial" w:eastAsia="Arial" w:hAnsi="Arial" w:cs="Arial"/>
          <w:sz w:val="24"/>
          <w:szCs w:val="24"/>
        </w:rPr>
        <w:t xml:space="preserve">, </w:t>
      </w:r>
      <w:r w:rsidRPr="00745E2E">
        <w:rPr>
          <w:rFonts w:ascii="Arial" w:eastAsia="Arial" w:hAnsi="Arial" w:cs="Arial"/>
          <w:i/>
          <w:iCs/>
          <w:sz w:val="24"/>
          <w:szCs w:val="24"/>
        </w:rPr>
        <w:t>10</w:t>
      </w:r>
      <w:r w:rsidRPr="00745E2E">
        <w:rPr>
          <w:rFonts w:ascii="Arial" w:eastAsia="Arial" w:hAnsi="Arial" w:cs="Arial"/>
          <w:sz w:val="24"/>
          <w:szCs w:val="24"/>
        </w:rPr>
        <w:t>(3), pp.1-7.</w:t>
      </w:r>
    </w:p>
    <w:p w14:paraId="08BAF0F8"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Thompson, V.L.S. and Hood, S.M., 2016. Academic and community partnerships and social change. In </w:t>
      </w:r>
      <w:r w:rsidRPr="00745E2E">
        <w:rPr>
          <w:rFonts w:ascii="Arial" w:eastAsia="Arial" w:hAnsi="Arial" w:cs="Arial"/>
          <w:i/>
          <w:iCs/>
          <w:sz w:val="24"/>
          <w:szCs w:val="24"/>
        </w:rPr>
        <w:t xml:space="preserve">The crisis of race in higher education: </w:t>
      </w:r>
      <w:proofErr w:type="gramStart"/>
      <w:r w:rsidRPr="00745E2E">
        <w:rPr>
          <w:rFonts w:ascii="Arial" w:eastAsia="Arial" w:hAnsi="Arial" w:cs="Arial"/>
          <w:i/>
          <w:iCs/>
          <w:sz w:val="24"/>
          <w:szCs w:val="24"/>
        </w:rPr>
        <w:t>A day</w:t>
      </w:r>
      <w:proofErr w:type="gramEnd"/>
      <w:r w:rsidRPr="00745E2E">
        <w:rPr>
          <w:rFonts w:ascii="Arial" w:eastAsia="Arial" w:hAnsi="Arial" w:cs="Arial"/>
          <w:i/>
          <w:iCs/>
          <w:sz w:val="24"/>
          <w:szCs w:val="24"/>
        </w:rPr>
        <w:t xml:space="preserve"> of discovery and dialogue</w:t>
      </w:r>
      <w:r w:rsidRPr="00745E2E">
        <w:rPr>
          <w:rFonts w:ascii="Arial" w:eastAsia="Arial" w:hAnsi="Arial" w:cs="Arial"/>
          <w:sz w:val="24"/>
          <w:szCs w:val="24"/>
        </w:rPr>
        <w:t>. Emerald Group Publishing Limited.</w:t>
      </w:r>
    </w:p>
    <w:p w14:paraId="06BB1EA8"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Trencher, G., 2019. Towards the smart city 2.0: Empirical evidence of using smartness as a tool for tackling social challenges. </w:t>
      </w:r>
      <w:r w:rsidRPr="00745E2E">
        <w:rPr>
          <w:rFonts w:ascii="Arial" w:eastAsia="Arial" w:hAnsi="Arial" w:cs="Arial"/>
          <w:i/>
          <w:iCs/>
          <w:sz w:val="24"/>
          <w:szCs w:val="24"/>
        </w:rPr>
        <w:t>Technological Forecasting and Social Change</w:t>
      </w:r>
      <w:r w:rsidRPr="00745E2E">
        <w:rPr>
          <w:rFonts w:ascii="Arial" w:eastAsia="Arial" w:hAnsi="Arial" w:cs="Arial"/>
          <w:sz w:val="24"/>
          <w:szCs w:val="24"/>
        </w:rPr>
        <w:t xml:space="preserve">, </w:t>
      </w:r>
      <w:r w:rsidRPr="00745E2E">
        <w:rPr>
          <w:rFonts w:ascii="Arial" w:eastAsia="Arial" w:hAnsi="Arial" w:cs="Arial"/>
          <w:i/>
          <w:iCs/>
          <w:sz w:val="24"/>
          <w:szCs w:val="24"/>
        </w:rPr>
        <w:t>142</w:t>
      </w:r>
      <w:r w:rsidRPr="00745E2E">
        <w:rPr>
          <w:rFonts w:ascii="Arial" w:eastAsia="Arial" w:hAnsi="Arial" w:cs="Arial"/>
          <w:sz w:val="24"/>
          <w:szCs w:val="24"/>
        </w:rPr>
        <w:t>, pp.117-128.</w:t>
      </w:r>
    </w:p>
    <w:p w14:paraId="5393CE39" w14:textId="77777777" w:rsidR="00EC06E1" w:rsidRPr="00745E2E" w:rsidRDefault="00EC06E1" w:rsidP="00745E2E">
      <w:pPr>
        <w:spacing w:line="360" w:lineRule="auto"/>
        <w:rPr>
          <w:rFonts w:ascii="Arial" w:eastAsia="Calibri" w:hAnsi="Arial" w:cs="Arial"/>
          <w:sz w:val="24"/>
          <w:szCs w:val="24"/>
        </w:rPr>
      </w:pPr>
      <w:proofErr w:type="spellStart"/>
      <w:r w:rsidRPr="00745E2E">
        <w:rPr>
          <w:rFonts w:ascii="Arial" w:eastAsia="Arial" w:hAnsi="Arial" w:cs="Arial"/>
          <w:sz w:val="24"/>
          <w:szCs w:val="24"/>
        </w:rPr>
        <w:t>Udofia</w:t>
      </w:r>
      <w:proofErr w:type="spellEnd"/>
      <w:r w:rsidRPr="00745E2E">
        <w:rPr>
          <w:rFonts w:ascii="Arial" w:eastAsia="Arial" w:hAnsi="Arial" w:cs="Arial"/>
          <w:sz w:val="24"/>
          <w:szCs w:val="24"/>
        </w:rPr>
        <w:t xml:space="preserve">, A., Noble, B. and </w:t>
      </w:r>
      <w:proofErr w:type="spellStart"/>
      <w:r w:rsidRPr="00745E2E">
        <w:rPr>
          <w:rFonts w:ascii="Arial" w:eastAsia="Arial" w:hAnsi="Arial" w:cs="Arial"/>
          <w:sz w:val="24"/>
          <w:szCs w:val="24"/>
        </w:rPr>
        <w:t>Poelzer</w:t>
      </w:r>
      <w:proofErr w:type="spellEnd"/>
      <w:r w:rsidRPr="00745E2E">
        <w:rPr>
          <w:rFonts w:ascii="Arial" w:eastAsia="Arial" w:hAnsi="Arial" w:cs="Arial"/>
          <w:sz w:val="24"/>
          <w:szCs w:val="24"/>
        </w:rPr>
        <w:t xml:space="preserve">, G., 2015. Community engagement in environmental assessment for resource development: Benefits, emerging concerns, opportunities for improvement. </w:t>
      </w:r>
      <w:r w:rsidRPr="00745E2E">
        <w:rPr>
          <w:rFonts w:ascii="Arial" w:eastAsia="Arial" w:hAnsi="Arial" w:cs="Arial"/>
          <w:i/>
          <w:iCs/>
          <w:sz w:val="24"/>
          <w:szCs w:val="24"/>
        </w:rPr>
        <w:t>Northern Review</w:t>
      </w:r>
      <w:r w:rsidRPr="00745E2E">
        <w:rPr>
          <w:rFonts w:ascii="Arial" w:eastAsia="Arial" w:hAnsi="Arial" w:cs="Arial"/>
          <w:sz w:val="24"/>
          <w:szCs w:val="24"/>
        </w:rPr>
        <w:t>, (39).</w:t>
      </w:r>
    </w:p>
    <w:p w14:paraId="685B4D93" w14:textId="77777777" w:rsidR="00EC06E1" w:rsidRPr="00745E2E" w:rsidRDefault="00EC06E1" w:rsidP="00745E2E">
      <w:pPr>
        <w:spacing w:line="360" w:lineRule="auto"/>
        <w:rPr>
          <w:rFonts w:ascii="Arial" w:eastAsia="Arial" w:hAnsi="Arial" w:cs="Arial"/>
          <w:sz w:val="24"/>
          <w:szCs w:val="24"/>
        </w:rPr>
      </w:pPr>
      <w:r w:rsidRPr="00745E2E">
        <w:rPr>
          <w:rFonts w:ascii="Arial" w:eastAsia="Arial" w:hAnsi="Arial" w:cs="Arial"/>
          <w:sz w:val="24"/>
          <w:szCs w:val="24"/>
        </w:rPr>
        <w:t xml:space="preserve">Whitmarsh, L., </w:t>
      </w:r>
      <w:proofErr w:type="spellStart"/>
      <w:r w:rsidRPr="00745E2E">
        <w:rPr>
          <w:rFonts w:ascii="Arial" w:eastAsia="Arial" w:hAnsi="Arial" w:cs="Arial"/>
          <w:sz w:val="24"/>
          <w:szCs w:val="24"/>
        </w:rPr>
        <w:t>Seyfang</w:t>
      </w:r>
      <w:proofErr w:type="spellEnd"/>
      <w:r w:rsidRPr="00745E2E">
        <w:rPr>
          <w:rFonts w:ascii="Arial" w:eastAsia="Arial" w:hAnsi="Arial" w:cs="Arial"/>
          <w:sz w:val="24"/>
          <w:szCs w:val="24"/>
        </w:rPr>
        <w:t>, G. and O’Neill, S., 2011. Public engagement with carbon and climate change: To what extent is the public ‘carbon capable</w:t>
      </w:r>
      <w:proofErr w:type="gramStart"/>
      <w:r w:rsidRPr="00745E2E">
        <w:rPr>
          <w:rFonts w:ascii="Arial" w:eastAsia="Arial" w:hAnsi="Arial" w:cs="Arial"/>
          <w:sz w:val="24"/>
          <w:szCs w:val="24"/>
        </w:rPr>
        <w:t>’?.</w:t>
      </w:r>
      <w:proofErr w:type="gramEnd"/>
      <w:r w:rsidRPr="00745E2E">
        <w:rPr>
          <w:rFonts w:ascii="Arial" w:eastAsia="Arial" w:hAnsi="Arial" w:cs="Arial"/>
          <w:sz w:val="24"/>
          <w:szCs w:val="24"/>
        </w:rPr>
        <w:t xml:space="preserve"> </w:t>
      </w:r>
      <w:r w:rsidRPr="00745E2E">
        <w:rPr>
          <w:rFonts w:ascii="Arial" w:eastAsia="Arial" w:hAnsi="Arial" w:cs="Arial"/>
          <w:i/>
          <w:iCs/>
          <w:sz w:val="24"/>
          <w:szCs w:val="24"/>
        </w:rPr>
        <w:t>Global environmental change</w:t>
      </w:r>
      <w:r w:rsidRPr="00745E2E">
        <w:rPr>
          <w:rFonts w:ascii="Arial" w:eastAsia="Arial" w:hAnsi="Arial" w:cs="Arial"/>
          <w:sz w:val="24"/>
          <w:szCs w:val="24"/>
        </w:rPr>
        <w:t xml:space="preserve">, </w:t>
      </w:r>
      <w:r w:rsidRPr="00745E2E">
        <w:rPr>
          <w:rFonts w:ascii="Arial" w:eastAsia="Arial" w:hAnsi="Arial" w:cs="Arial"/>
          <w:i/>
          <w:iCs/>
          <w:sz w:val="24"/>
          <w:szCs w:val="24"/>
        </w:rPr>
        <w:t>21</w:t>
      </w:r>
      <w:r w:rsidRPr="00745E2E">
        <w:rPr>
          <w:rFonts w:ascii="Arial" w:eastAsia="Arial" w:hAnsi="Arial" w:cs="Arial"/>
          <w:sz w:val="24"/>
          <w:szCs w:val="24"/>
        </w:rPr>
        <w:t>(1), pp.56-65.</w:t>
      </w:r>
    </w:p>
    <w:p w14:paraId="7198A81A" w14:textId="0BAFB0C2" w:rsidR="789A6E15" w:rsidRPr="00745E2E" w:rsidRDefault="789A6E15" w:rsidP="00745E2E">
      <w:pPr>
        <w:spacing w:line="360" w:lineRule="auto"/>
        <w:rPr>
          <w:rFonts w:ascii="Arial" w:hAnsi="Arial" w:cs="Arial"/>
          <w:b/>
          <w:bCs/>
          <w:sz w:val="24"/>
          <w:szCs w:val="24"/>
        </w:rPr>
      </w:pPr>
    </w:p>
    <w:p w14:paraId="2712BB62" w14:textId="7769DBEE" w:rsidR="789A6E15" w:rsidRPr="00745E2E" w:rsidRDefault="789A6E15" w:rsidP="00745E2E">
      <w:pPr>
        <w:spacing w:line="360" w:lineRule="auto"/>
        <w:rPr>
          <w:rFonts w:ascii="Arial" w:hAnsi="Arial" w:cs="Arial"/>
          <w:b/>
          <w:bCs/>
          <w:sz w:val="24"/>
          <w:szCs w:val="24"/>
        </w:rPr>
      </w:pPr>
    </w:p>
    <w:sectPr w:rsidR="789A6E15" w:rsidRPr="00745E2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8E355" w14:textId="77777777" w:rsidR="00174EF2" w:rsidRDefault="00174EF2" w:rsidP="00EC06E1">
      <w:pPr>
        <w:spacing w:after="0" w:line="240" w:lineRule="auto"/>
      </w:pPr>
      <w:r>
        <w:separator/>
      </w:r>
    </w:p>
  </w:endnote>
  <w:endnote w:type="continuationSeparator" w:id="0">
    <w:p w14:paraId="3B6AD91E" w14:textId="77777777" w:rsidR="00174EF2" w:rsidRDefault="00174EF2" w:rsidP="00EC0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231689"/>
      <w:docPartObj>
        <w:docPartGallery w:val="Page Numbers (Bottom of Page)"/>
        <w:docPartUnique/>
      </w:docPartObj>
    </w:sdtPr>
    <w:sdtEndPr>
      <w:rPr>
        <w:noProof/>
      </w:rPr>
    </w:sdtEndPr>
    <w:sdtContent>
      <w:p w14:paraId="07272874" w14:textId="4D538717" w:rsidR="00EC06E1" w:rsidRDefault="00EC06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83BFC2" w14:textId="77777777" w:rsidR="00EC06E1" w:rsidRDefault="00EC0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2CA03C" w14:textId="77777777" w:rsidR="00174EF2" w:rsidRDefault="00174EF2" w:rsidP="00EC06E1">
      <w:pPr>
        <w:spacing w:after="0" w:line="240" w:lineRule="auto"/>
      </w:pPr>
      <w:r>
        <w:separator/>
      </w:r>
    </w:p>
  </w:footnote>
  <w:footnote w:type="continuationSeparator" w:id="0">
    <w:p w14:paraId="2A922998" w14:textId="77777777" w:rsidR="00174EF2" w:rsidRDefault="00174EF2" w:rsidP="00EC06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KJ0WMCO/rSktn2" int2:id="eDv7Huvi">
      <int2:state int2:value="Rejected" int2:type="LegacyProofing"/>
    </int2:textHash>
    <int2:bookmark int2:bookmarkName="_Int_Buf2Jbj9" int2:invalidationBookmarkName="" int2:hashCode="ebvFNemP5+ZKzn" int2:id="SfkUjypt"/>
    <int2:bookmark int2:bookmarkName="_Int_hzJQyV8r" int2:invalidationBookmarkName="" int2:hashCode="RoHRJMxsS3O6q/" int2:id="V9cjFuIB"/>
    <int2:bookmark int2:bookmarkName="_Int_rAD9sbkN" int2:invalidationBookmarkName="" int2:hashCode="DLEdfE0paq2MNz" int2:id="rY7ula0B"/>
    <int2:bookmark int2:bookmarkName="_Int_DaSIJaK3" int2:invalidationBookmarkName="" int2:hashCode="00/jdpjDx0hJLh" int2:id="tMVKlELg"/>
    <int2:bookmark int2:bookmarkName="_Int_4hFTyk1x" int2:invalidationBookmarkName="" int2:hashCode="cdqDpaDV4KuWRM" int2:id="91Iu1HO4"/>
    <int2:bookmark int2:bookmarkName="_Int_5lireAM0" int2:invalidationBookmarkName="" int2:hashCode="hB6Ix2OZu25mI4" int2:id="QYu6Pu2M"/>
    <int2:bookmark int2:bookmarkName="_Int_aJbS8D96" int2:invalidationBookmarkName="" int2:hashCode="JssWIi+/5x5XTx" int2:id="EF6IYva1"/>
    <int2:bookmark int2:bookmarkName="_Int_WsT9u8YW" int2:invalidationBookmarkName="" int2:hashCode="sPyicBmVV/0d+/" int2:id="PaGtHOjH"/>
    <int2:bookmark int2:bookmarkName="_Int_0KQELfAi" int2:invalidationBookmarkName="" int2:hashCode="uuYwZyMkmWT2fX" int2:id="NWiPff4d"/>
    <int2:bookmark int2:bookmarkName="_Int_ML6vXFRN" int2:invalidationBookmarkName="" int2:hashCode="5p+cbLI+DnFcOZ" int2:id="I0dD5M3k"/>
    <int2:bookmark int2:bookmarkName="_Int_FldSkYvE" int2:invalidationBookmarkName="" int2:hashCode="VRd/LyDcPFdCnc" int2:id="8qhf49fK"/>
    <int2:bookmark int2:bookmarkName="_Int_lPs4Hvth" int2:invalidationBookmarkName="" int2:hashCode="PLkOiG92Ck0gQI" int2:id="Ad18VP8M"/>
    <int2:bookmark int2:bookmarkName="_Int_PDcLD1ee" int2:invalidationBookmarkName="" int2:hashCode="00/jdpjDx0hJLh" int2:id="JlVf2vup"/>
    <int2:bookmark int2:bookmarkName="_Int_8kgBOySF" int2:invalidationBookmarkName="" int2:hashCode="cdqDpaDV4KuWRM" int2:id="DUIgeQVX"/>
    <int2:bookmark int2:bookmarkName="_Int_NVzKh1xc" int2:invalidationBookmarkName="" int2:hashCode="xeIMHhzLbTgiBk" int2:id="yAXXASFV"/>
    <int2:bookmark int2:bookmarkName="_Int_4UkvW9yd" int2:invalidationBookmarkName="" int2:hashCode="gGjVY9pZaSGLMg" int2:id="n1kFKpfX"/>
    <int2:bookmark int2:bookmarkName="_Int_V6UhpRHQ" int2:invalidationBookmarkName="" int2:hashCode="rdE8zhk+dRBUGd" int2:id="hI5zQYOS"/>
    <int2:bookmark int2:bookmarkName="_Int_8CBGiFbz" int2:invalidationBookmarkName="" int2:hashCode="xswnvNGpLbCuxy" int2:id="DvJ3qM1u"/>
    <int2:bookmark int2:bookmarkName="_Int_1dfW8m7L" int2:invalidationBookmarkName="" int2:hashCode="YD+82+V1vFecXo" int2:id="kfdfJnqt"/>
    <int2:bookmark int2:bookmarkName="_Int_SnYvqBfR" int2:invalidationBookmarkName="" int2:hashCode="5Ccg+mpHnP2rPa" int2:id="10ox64mO"/>
    <int2:bookmark int2:bookmarkName="_Int_a7v0dQcD" int2:invalidationBookmarkName="" int2:hashCode="ebvFNemP5+ZKzn" int2:id="m3LBHBcB"/>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B039B2"/>
    <w:rsid w:val="00174EF2"/>
    <w:rsid w:val="003772D7"/>
    <w:rsid w:val="00457634"/>
    <w:rsid w:val="00494FB0"/>
    <w:rsid w:val="004C4468"/>
    <w:rsid w:val="00552711"/>
    <w:rsid w:val="005B45BF"/>
    <w:rsid w:val="00745E2E"/>
    <w:rsid w:val="007F48A8"/>
    <w:rsid w:val="008D6C4F"/>
    <w:rsid w:val="009E76A8"/>
    <w:rsid w:val="00AE7AD7"/>
    <w:rsid w:val="00BA104C"/>
    <w:rsid w:val="00D60AE5"/>
    <w:rsid w:val="00EC06E1"/>
    <w:rsid w:val="1B9F9741"/>
    <w:rsid w:val="20D2B520"/>
    <w:rsid w:val="3AB039B2"/>
    <w:rsid w:val="789A6E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039B2"/>
  <w15:chartTrackingRefBased/>
  <w15:docId w15:val="{46578692-D7C7-4018-9A5C-21DC62F79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06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06E1"/>
  </w:style>
  <w:style w:type="paragraph" w:styleId="Footer">
    <w:name w:val="footer"/>
    <w:basedOn w:val="Normal"/>
    <w:link w:val="FooterChar"/>
    <w:uiPriority w:val="99"/>
    <w:unhideWhenUsed/>
    <w:rsid w:val="00EC06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06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2943</Words>
  <Characters>16780</Characters>
  <DocSecurity>0</DocSecurity>
  <Lines>139</Lines>
  <Paragraphs>39</Paragraphs>
  <ScaleCrop>false</ScaleCrop>
  <Company/>
  <LinksUpToDate>false</LinksUpToDate>
  <CharactersWithSpaces>19684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2022-08-12T02:50:00Z</dcterms:created>
  <dcterms:modified xsi:type="dcterms:W3CDTF">2022-08-12T02:50:00Z</dcterms:modified>
</cp:coreProperties>
</file>