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CE57" w14:textId="77777777" w:rsidR="00CD4FD2" w:rsidRDefault="00CD4FD2" w:rsidP="00CD4FD2">
      <w:pPr>
        <w:pStyle w:val="Title"/>
        <w:spacing w:line="360" w:lineRule="auto"/>
        <w:jc w:val="cente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5ED03FEF" wp14:editId="67C3B107">
            <wp:extent cx="3568700" cy="914400"/>
            <wp:effectExtent l="0" t="0" r="0" b="0"/>
            <wp:docPr id="1348904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04686" name="Picture 1348904686"/>
                    <pic:cNvPicPr/>
                  </pic:nvPicPr>
                  <pic:blipFill>
                    <a:blip r:embed="rId6"/>
                    <a:stretch>
                      <a:fillRect/>
                    </a:stretch>
                  </pic:blipFill>
                  <pic:spPr>
                    <a:xfrm>
                      <a:off x="0" y="0"/>
                      <a:ext cx="3568700" cy="914400"/>
                    </a:xfrm>
                    <a:prstGeom prst="rect">
                      <a:avLst/>
                    </a:prstGeom>
                  </pic:spPr>
                </pic:pic>
              </a:graphicData>
            </a:graphic>
          </wp:inline>
        </w:drawing>
      </w: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1"/>
        <w:gridCol w:w="3301"/>
        <w:gridCol w:w="2264"/>
        <w:gridCol w:w="2269"/>
      </w:tblGrid>
      <w:tr w:rsidR="00CD4FD2" w14:paraId="7B74EA7B" w14:textId="77777777" w:rsidTr="00CD4FD2">
        <w:trPr>
          <w:trHeight w:val="544"/>
        </w:trPr>
        <w:tc>
          <w:tcPr>
            <w:tcW w:w="2091" w:type="dxa"/>
          </w:tcPr>
          <w:p w14:paraId="2F44F204" w14:textId="77777777" w:rsidR="00CD4FD2" w:rsidRPr="00C62D3C" w:rsidRDefault="00CD4FD2" w:rsidP="00B25CEB">
            <w:pPr>
              <w:pStyle w:val="TableParagraph"/>
              <w:spacing w:before="144"/>
              <w:ind w:left="117"/>
            </w:pPr>
            <w:proofErr w:type="spellStart"/>
            <w:r w:rsidRPr="00C62D3C">
              <w:rPr>
                <w:spacing w:val="-2"/>
              </w:rPr>
              <w:t>Programme</w:t>
            </w:r>
            <w:proofErr w:type="spellEnd"/>
            <w:r w:rsidRPr="00C62D3C">
              <w:rPr>
                <w:spacing w:val="-2"/>
              </w:rPr>
              <w:t>:</w:t>
            </w:r>
          </w:p>
        </w:tc>
        <w:tc>
          <w:tcPr>
            <w:tcW w:w="7834" w:type="dxa"/>
            <w:gridSpan w:val="3"/>
          </w:tcPr>
          <w:p w14:paraId="03054000" w14:textId="77777777" w:rsidR="00CD4FD2" w:rsidRDefault="00CD4FD2" w:rsidP="00B25CEB">
            <w:pPr>
              <w:pStyle w:val="TableParagraph"/>
              <w:spacing w:before="144"/>
              <w:ind w:left="117"/>
              <w:rPr>
                <w:b/>
              </w:rPr>
            </w:pPr>
            <w:r>
              <w:rPr>
                <w:b/>
              </w:rPr>
              <w:t>Certificate</w:t>
            </w:r>
            <w:r>
              <w:rPr>
                <w:b/>
                <w:spacing w:val="-5"/>
              </w:rPr>
              <w:t xml:space="preserve"> </w:t>
            </w:r>
            <w:r>
              <w:rPr>
                <w:b/>
              </w:rPr>
              <w:t>of</w:t>
            </w:r>
            <w:r>
              <w:rPr>
                <w:b/>
                <w:spacing w:val="-3"/>
              </w:rPr>
              <w:t xml:space="preserve"> </w:t>
            </w:r>
            <w:r>
              <w:rPr>
                <w:b/>
              </w:rPr>
              <w:t>Higher</w:t>
            </w:r>
            <w:r>
              <w:rPr>
                <w:b/>
                <w:spacing w:val="-3"/>
              </w:rPr>
              <w:t xml:space="preserve"> </w:t>
            </w:r>
            <w:r>
              <w:rPr>
                <w:b/>
              </w:rPr>
              <w:t>Education</w:t>
            </w:r>
            <w:r>
              <w:rPr>
                <w:b/>
                <w:spacing w:val="-7"/>
              </w:rPr>
              <w:t xml:space="preserve"> </w:t>
            </w:r>
            <w:r>
              <w:rPr>
                <w:b/>
              </w:rPr>
              <w:t>in</w:t>
            </w:r>
            <w:r>
              <w:rPr>
                <w:b/>
                <w:spacing w:val="-6"/>
              </w:rPr>
              <w:t xml:space="preserve"> </w:t>
            </w:r>
            <w:r>
              <w:rPr>
                <w:b/>
              </w:rPr>
              <w:t>Health</w:t>
            </w:r>
            <w:r>
              <w:rPr>
                <w:b/>
                <w:spacing w:val="-6"/>
              </w:rPr>
              <w:t xml:space="preserve"> </w:t>
            </w:r>
            <w:r>
              <w:rPr>
                <w:b/>
              </w:rPr>
              <w:t>and</w:t>
            </w:r>
            <w:r>
              <w:rPr>
                <w:b/>
                <w:spacing w:val="-5"/>
              </w:rPr>
              <w:t xml:space="preserve"> </w:t>
            </w:r>
            <w:r>
              <w:rPr>
                <w:b/>
              </w:rPr>
              <w:t>Social</w:t>
            </w:r>
            <w:r>
              <w:rPr>
                <w:b/>
                <w:spacing w:val="-5"/>
              </w:rPr>
              <w:t xml:space="preserve"> </w:t>
            </w:r>
            <w:r>
              <w:rPr>
                <w:b/>
                <w:spacing w:val="-4"/>
              </w:rPr>
              <w:t>Care</w:t>
            </w:r>
          </w:p>
        </w:tc>
      </w:tr>
      <w:tr w:rsidR="00CD4FD2" w14:paraId="7AE54D13" w14:textId="77777777" w:rsidTr="00CD4FD2">
        <w:trPr>
          <w:trHeight w:val="539"/>
        </w:trPr>
        <w:tc>
          <w:tcPr>
            <w:tcW w:w="2091" w:type="dxa"/>
          </w:tcPr>
          <w:p w14:paraId="4F547083" w14:textId="77777777" w:rsidR="00CD4FD2" w:rsidRPr="00C62D3C" w:rsidRDefault="00CD4FD2" w:rsidP="00B25CEB">
            <w:pPr>
              <w:pStyle w:val="TableParagraph"/>
              <w:spacing w:before="139"/>
              <w:ind w:left="117"/>
            </w:pPr>
            <w:r w:rsidRPr="00C62D3C">
              <w:rPr>
                <w:spacing w:val="-2"/>
              </w:rPr>
              <w:t>Module:</w:t>
            </w:r>
          </w:p>
        </w:tc>
        <w:tc>
          <w:tcPr>
            <w:tcW w:w="7834" w:type="dxa"/>
            <w:gridSpan w:val="3"/>
          </w:tcPr>
          <w:p w14:paraId="756D3DB5" w14:textId="77777777" w:rsidR="00CD4FD2" w:rsidRDefault="00CD4FD2" w:rsidP="00B25CEB">
            <w:pPr>
              <w:pStyle w:val="TableParagraph"/>
              <w:spacing w:before="139"/>
              <w:ind w:left="117"/>
              <w:rPr>
                <w:b/>
              </w:rPr>
            </w:pPr>
            <w:r>
              <w:rPr>
                <w:b/>
              </w:rPr>
              <w:t>Psychology</w:t>
            </w:r>
            <w:r>
              <w:rPr>
                <w:b/>
                <w:spacing w:val="-6"/>
              </w:rPr>
              <w:t xml:space="preserve"> </w:t>
            </w:r>
            <w:r>
              <w:rPr>
                <w:b/>
              </w:rPr>
              <w:t>in</w:t>
            </w:r>
            <w:r>
              <w:rPr>
                <w:b/>
                <w:spacing w:val="-4"/>
              </w:rPr>
              <w:t xml:space="preserve"> </w:t>
            </w:r>
            <w:r>
              <w:rPr>
                <w:b/>
              </w:rPr>
              <w:t>Health</w:t>
            </w:r>
            <w:r>
              <w:rPr>
                <w:b/>
                <w:spacing w:val="-3"/>
              </w:rPr>
              <w:t xml:space="preserve"> </w:t>
            </w:r>
            <w:r>
              <w:rPr>
                <w:b/>
              </w:rPr>
              <w:t>and</w:t>
            </w:r>
            <w:r>
              <w:rPr>
                <w:b/>
                <w:spacing w:val="-4"/>
              </w:rPr>
              <w:t xml:space="preserve"> </w:t>
            </w:r>
            <w:r>
              <w:rPr>
                <w:b/>
              </w:rPr>
              <w:t>Social</w:t>
            </w:r>
            <w:r>
              <w:rPr>
                <w:b/>
                <w:spacing w:val="-4"/>
              </w:rPr>
              <w:t xml:space="preserve"> Care</w:t>
            </w:r>
          </w:p>
        </w:tc>
      </w:tr>
      <w:tr w:rsidR="00CD4FD2" w14:paraId="12DD580A" w14:textId="77777777" w:rsidTr="00CD4FD2">
        <w:trPr>
          <w:trHeight w:val="854"/>
        </w:trPr>
        <w:tc>
          <w:tcPr>
            <w:tcW w:w="2091" w:type="dxa"/>
          </w:tcPr>
          <w:p w14:paraId="49CAC990" w14:textId="77777777" w:rsidR="00CD4FD2" w:rsidRPr="00C62D3C" w:rsidRDefault="00CD4FD2" w:rsidP="00B25CEB">
            <w:pPr>
              <w:pStyle w:val="TableParagraph"/>
              <w:spacing w:before="15"/>
              <w:ind w:left="117"/>
            </w:pPr>
            <w:r w:rsidRPr="00C62D3C">
              <w:t>Module</w:t>
            </w:r>
            <w:r w:rsidRPr="00C62D3C">
              <w:rPr>
                <w:spacing w:val="-8"/>
              </w:rPr>
              <w:t xml:space="preserve"> </w:t>
            </w:r>
            <w:r w:rsidRPr="00C62D3C">
              <w:rPr>
                <w:spacing w:val="-2"/>
              </w:rPr>
              <w:t>code:</w:t>
            </w:r>
          </w:p>
        </w:tc>
        <w:tc>
          <w:tcPr>
            <w:tcW w:w="3301" w:type="dxa"/>
          </w:tcPr>
          <w:p w14:paraId="03A3764D" w14:textId="77777777" w:rsidR="00CD4FD2" w:rsidRPr="00C62D3C" w:rsidRDefault="00CD4FD2" w:rsidP="00B25CEB">
            <w:pPr>
              <w:pStyle w:val="TableParagraph"/>
              <w:spacing w:before="15"/>
              <w:ind w:left="117"/>
            </w:pPr>
            <w:r w:rsidRPr="00C62D3C">
              <w:rPr>
                <w:spacing w:val="-2"/>
              </w:rPr>
              <w:t>LCHS4010</w:t>
            </w:r>
          </w:p>
        </w:tc>
        <w:tc>
          <w:tcPr>
            <w:tcW w:w="2264" w:type="dxa"/>
            <w:shd w:val="clear" w:color="auto" w:fill="D9D9D9" w:themeFill="background1" w:themeFillShade="D9"/>
          </w:tcPr>
          <w:p w14:paraId="30FE2B69" w14:textId="77777777" w:rsidR="00CD4FD2" w:rsidRPr="00C62D3C" w:rsidRDefault="00CD4FD2" w:rsidP="00B25CEB">
            <w:pPr>
              <w:pStyle w:val="TableParagraph"/>
              <w:tabs>
                <w:tab w:val="left" w:pos="2049"/>
              </w:tabs>
              <w:spacing w:before="15"/>
              <w:ind w:left="117" w:right="-15" w:hanging="113"/>
              <w:rPr>
                <w:bCs/>
              </w:rPr>
            </w:pPr>
            <w:r w:rsidRPr="00C62D3C">
              <w:rPr>
                <w:bCs/>
                <w:spacing w:val="-2"/>
              </w:rPr>
              <w:t xml:space="preserve">Contribution </w:t>
            </w:r>
            <w:r w:rsidRPr="00C62D3C">
              <w:rPr>
                <w:bCs/>
                <w:spacing w:val="-5"/>
              </w:rPr>
              <w:t>to</w:t>
            </w:r>
          </w:p>
          <w:p w14:paraId="21D420E8" w14:textId="77777777" w:rsidR="00CD4FD2" w:rsidRDefault="00CD4FD2" w:rsidP="00B25CEB">
            <w:pPr>
              <w:pStyle w:val="TableParagraph"/>
              <w:tabs>
                <w:tab w:val="left" w:pos="1489"/>
              </w:tabs>
              <w:spacing w:before="10" w:line="270" w:lineRule="atLeast"/>
              <w:ind w:left="117" w:right="-15"/>
              <w:rPr>
                <w:b/>
                <w:bCs/>
              </w:rPr>
            </w:pPr>
            <w:r w:rsidRPr="6F47122B">
              <w:rPr>
                <w:b/>
                <w:bCs/>
                <w:spacing w:val="-2"/>
              </w:rPr>
              <w:t xml:space="preserve">Overall Module </w:t>
            </w:r>
            <w:r w:rsidRPr="6F47122B">
              <w:rPr>
                <w:b/>
                <w:bCs/>
              </w:rPr>
              <w:t>Assessment (%):</w:t>
            </w:r>
          </w:p>
        </w:tc>
        <w:tc>
          <w:tcPr>
            <w:tcW w:w="2269" w:type="dxa"/>
          </w:tcPr>
          <w:p w14:paraId="61FF1BE0" w14:textId="77777777" w:rsidR="00CD4FD2" w:rsidRPr="00C62D3C" w:rsidRDefault="00CD4FD2" w:rsidP="00B25CEB">
            <w:pPr>
              <w:pStyle w:val="TableParagraph"/>
              <w:spacing w:before="15"/>
              <w:ind w:left="124"/>
            </w:pPr>
            <w:r w:rsidRPr="00C62D3C">
              <w:rPr>
                <w:spacing w:val="-5"/>
              </w:rPr>
              <w:t>50%</w:t>
            </w:r>
          </w:p>
        </w:tc>
      </w:tr>
    </w:tbl>
    <w:p w14:paraId="0CBC275B" w14:textId="77777777" w:rsidR="00CD4FD2" w:rsidRDefault="00CD4FD2" w:rsidP="00CD4FD2">
      <w:pPr>
        <w:pStyle w:val="Title"/>
        <w:spacing w:line="360" w:lineRule="auto"/>
        <w:jc w:val="center"/>
        <w:rPr>
          <w:rFonts w:ascii="Times New Roman" w:hAnsi="Times New Roman" w:cs="Times New Roman"/>
          <w:sz w:val="22"/>
          <w:szCs w:val="22"/>
        </w:rPr>
      </w:pPr>
    </w:p>
    <w:p w14:paraId="60E794D1" w14:textId="77777777" w:rsidR="00CD4FD2" w:rsidRDefault="00CD4FD2" w:rsidP="00CD4FD2">
      <w:pPr>
        <w:pStyle w:val="Title"/>
        <w:spacing w:line="360" w:lineRule="auto"/>
        <w:jc w:val="center"/>
        <w:rPr>
          <w:rFonts w:ascii="Times New Roman" w:hAnsi="Times New Roman" w:cs="Times New Roman"/>
          <w:sz w:val="22"/>
          <w:szCs w:val="22"/>
        </w:rPr>
      </w:pPr>
    </w:p>
    <w:p w14:paraId="2C11760A" w14:textId="293E9504" w:rsidR="00CD4FD2" w:rsidRPr="00CD4FD2" w:rsidRDefault="00CD4FD2" w:rsidP="00CD4FD2">
      <w:pPr>
        <w:pStyle w:val="Title"/>
        <w:spacing w:line="360" w:lineRule="auto"/>
        <w:jc w:val="center"/>
        <w:rPr>
          <w:rFonts w:ascii="Times New Roman" w:hAnsi="Times New Roman" w:cs="Times New Roman"/>
          <w:sz w:val="22"/>
          <w:szCs w:val="22"/>
        </w:rPr>
      </w:pPr>
      <w:r w:rsidRPr="00CD4FD2">
        <w:rPr>
          <w:rFonts w:ascii="Times New Roman" w:hAnsi="Times New Roman" w:cs="Times New Roman"/>
          <w:sz w:val="22"/>
          <w:szCs w:val="22"/>
        </w:rPr>
        <w:t>Assessment 2: Bibliography &amp; Report</w:t>
      </w:r>
    </w:p>
    <w:p w14:paraId="30E51086" w14:textId="77777777" w:rsidR="00CD4FD2" w:rsidRPr="00CD4FD2" w:rsidRDefault="00CD4FD2" w:rsidP="00CD4FD2">
      <w:pPr>
        <w:spacing w:line="360" w:lineRule="auto"/>
        <w:jc w:val="center"/>
        <w:rPr>
          <w:rFonts w:ascii="Times New Roman" w:hAnsi="Times New Roman" w:cs="Times New Roman"/>
        </w:rPr>
      </w:pPr>
      <w:r w:rsidRPr="00CD4FD2">
        <w:rPr>
          <w:rFonts w:ascii="Times New Roman" w:hAnsi="Times New Roman" w:cs="Times New Roman"/>
        </w:rPr>
        <w:t>Module: Psychology in Health and Social Care (LCHS4010)</w:t>
      </w:r>
    </w:p>
    <w:p w14:paraId="4AE0DCCE" w14:textId="77777777" w:rsidR="00CD4FD2" w:rsidRPr="00CD4FD2" w:rsidRDefault="00CD4FD2" w:rsidP="00CD4FD2">
      <w:pPr>
        <w:spacing w:line="360" w:lineRule="auto"/>
        <w:jc w:val="center"/>
        <w:rPr>
          <w:rFonts w:ascii="Times New Roman" w:hAnsi="Times New Roman" w:cs="Times New Roman"/>
        </w:rPr>
      </w:pPr>
      <w:r w:rsidRPr="00CD4FD2">
        <w:rPr>
          <w:rFonts w:ascii="Times New Roman" w:hAnsi="Times New Roman" w:cs="Times New Roman"/>
        </w:rPr>
        <w:t>Submission Date: 24th March 2026</w:t>
      </w:r>
    </w:p>
    <w:p w14:paraId="2F83B28A" w14:textId="77777777" w:rsidR="00CD4FD2" w:rsidRPr="00CD4FD2" w:rsidRDefault="00CD4FD2" w:rsidP="00CD4FD2">
      <w:pPr>
        <w:spacing w:line="360" w:lineRule="auto"/>
        <w:jc w:val="both"/>
        <w:rPr>
          <w:rFonts w:ascii="Times New Roman" w:hAnsi="Times New Roman" w:cs="Times New Roman"/>
        </w:rPr>
      </w:pPr>
      <w:r w:rsidRPr="00CD4FD2">
        <w:rPr>
          <w:rFonts w:ascii="Times New Roman" w:hAnsi="Times New Roman" w:cs="Times New Roman"/>
        </w:rPr>
        <w:br w:type="page"/>
      </w:r>
    </w:p>
    <w:sdt>
      <w:sdtPr>
        <w:rPr>
          <w:rFonts w:asciiTheme="minorHAnsi" w:eastAsiaTheme="minorEastAsia" w:hAnsiTheme="minorHAnsi" w:cstheme="minorBidi"/>
          <w:b w:val="0"/>
          <w:bCs w:val="0"/>
          <w:color w:val="auto"/>
          <w:sz w:val="22"/>
          <w:szCs w:val="22"/>
        </w:rPr>
        <w:id w:val="-1694681207"/>
        <w:docPartObj>
          <w:docPartGallery w:val="Table of Contents"/>
          <w:docPartUnique/>
        </w:docPartObj>
      </w:sdtPr>
      <w:sdtEndPr>
        <w:rPr>
          <w:noProof/>
        </w:rPr>
      </w:sdtEndPr>
      <w:sdtContent>
        <w:p w14:paraId="23DB0C51" w14:textId="78AE3047" w:rsidR="00CD4FD2" w:rsidRDefault="00CD4FD2">
          <w:pPr>
            <w:pStyle w:val="TOCHeading"/>
          </w:pPr>
          <w:r>
            <w:t>Table of Contents</w:t>
          </w:r>
        </w:p>
        <w:p w14:paraId="2896A73D" w14:textId="0453F2D2" w:rsidR="00CD4FD2" w:rsidRDefault="00CD4FD2">
          <w:pPr>
            <w:pStyle w:val="TOC1"/>
            <w:tabs>
              <w:tab w:val="right" w:leader="dot" w:pos="8630"/>
            </w:tabs>
            <w:rPr>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5311309" w:history="1">
            <w:r w:rsidRPr="00CD13EB">
              <w:rPr>
                <w:rStyle w:val="Hyperlink"/>
                <w:rFonts w:ascii="Times New Roman" w:hAnsi="Times New Roman"/>
                <w:noProof/>
              </w:rPr>
              <w:t>Part A: Annotated Bibliography</w:t>
            </w:r>
            <w:r>
              <w:rPr>
                <w:noProof/>
                <w:webHidden/>
              </w:rPr>
              <w:tab/>
            </w:r>
            <w:r>
              <w:rPr>
                <w:noProof/>
                <w:webHidden/>
              </w:rPr>
              <w:fldChar w:fldCharType="begin"/>
            </w:r>
            <w:r>
              <w:rPr>
                <w:noProof/>
                <w:webHidden/>
              </w:rPr>
              <w:instrText xml:space="preserve"> PAGEREF _Toc225311309 \h </w:instrText>
            </w:r>
            <w:r>
              <w:rPr>
                <w:noProof/>
                <w:webHidden/>
              </w:rPr>
            </w:r>
            <w:r>
              <w:rPr>
                <w:noProof/>
                <w:webHidden/>
              </w:rPr>
              <w:fldChar w:fldCharType="separate"/>
            </w:r>
            <w:r>
              <w:rPr>
                <w:noProof/>
                <w:webHidden/>
              </w:rPr>
              <w:t>2</w:t>
            </w:r>
            <w:r>
              <w:rPr>
                <w:noProof/>
                <w:webHidden/>
              </w:rPr>
              <w:fldChar w:fldCharType="end"/>
            </w:r>
          </w:hyperlink>
        </w:p>
        <w:p w14:paraId="369A8BDA" w14:textId="5A20C656" w:rsidR="00CD4FD2" w:rsidRDefault="00CD4FD2">
          <w:pPr>
            <w:pStyle w:val="TOC1"/>
            <w:tabs>
              <w:tab w:val="right" w:leader="dot" w:pos="8630"/>
            </w:tabs>
            <w:rPr>
              <w:b w:val="0"/>
              <w:bCs w:val="0"/>
              <w:i w:val="0"/>
              <w:iCs w:val="0"/>
              <w:noProof/>
              <w:kern w:val="2"/>
              <w14:ligatures w14:val="standardContextual"/>
            </w:rPr>
          </w:pPr>
          <w:hyperlink w:anchor="_Toc225311310" w:history="1">
            <w:r w:rsidRPr="00CD13EB">
              <w:rPr>
                <w:rStyle w:val="Hyperlink"/>
                <w:rFonts w:ascii="Times New Roman" w:hAnsi="Times New Roman"/>
                <w:noProof/>
              </w:rPr>
              <w:t>Part B: Report: Applying Activity Theory to Enhance Wellbeing in Residential Care</w:t>
            </w:r>
            <w:r>
              <w:rPr>
                <w:noProof/>
                <w:webHidden/>
              </w:rPr>
              <w:tab/>
            </w:r>
            <w:r>
              <w:rPr>
                <w:noProof/>
                <w:webHidden/>
              </w:rPr>
              <w:fldChar w:fldCharType="begin"/>
            </w:r>
            <w:r>
              <w:rPr>
                <w:noProof/>
                <w:webHidden/>
              </w:rPr>
              <w:instrText xml:space="preserve"> PAGEREF _Toc225311310 \h </w:instrText>
            </w:r>
            <w:r>
              <w:rPr>
                <w:noProof/>
                <w:webHidden/>
              </w:rPr>
            </w:r>
            <w:r>
              <w:rPr>
                <w:noProof/>
                <w:webHidden/>
              </w:rPr>
              <w:fldChar w:fldCharType="separate"/>
            </w:r>
            <w:r>
              <w:rPr>
                <w:noProof/>
                <w:webHidden/>
              </w:rPr>
              <w:t>5</w:t>
            </w:r>
            <w:r>
              <w:rPr>
                <w:noProof/>
                <w:webHidden/>
              </w:rPr>
              <w:fldChar w:fldCharType="end"/>
            </w:r>
          </w:hyperlink>
        </w:p>
        <w:p w14:paraId="25744F9A" w14:textId="3665C11C" w:rsidR="00CD4FD2" w:rsidRDefault="00CD4FD2">
          <w:r>
            <w:rPr>
              <w:b/>
              <w:bCs/>
              <w:noProof/>
            </w:rPr>
            <w:fldChar w:fldCharType="end"/>
          </w:r>
        </w:p>
      </w:sdtContent>
    </w:sdt>
    <w:p w14:paraId="5F5D0B0C" w14:textId="77777777" w:rsidR="00CD4FD2" w:rsidRDefault="00CD4FD2" w:rsidP="00CD4FD2">
      <w:pPr>
        <w:pStyle w:val="Heading1"/>
        <w:spacing w:line="360" w:lineRule="auto"/>
        <w:jc w:val="both"/>
        <w:rPr>
          <w:rFonts w:ascii="Times New Roman" w:hAnsi="Times New Roman" w:cs="Times New Roman"/>
          <w:sz w:val="22"/>
          <w:szCs w:val="22"/>
        </w:rPr>
      </w:pPr>
    </w:p>
    <w:p w14:paraId="6A651A98" w14:textId="4745E488" w:rsidR="00CD4FD2" w:rsidRPr="00CD4FD2" w:rsidRDefault="00CD4FD2" w:rsidP="00CD4FD2">
      <w:pPr>
        <w:pStyle w:val="Heading1"/>
        <w:spacing w:line="360" w:lineRule="auto"/>
        <w:jc w:val="both"/>
        <w:rPr>
          <w:rFonts w:ascii="Times New Roman" w:hAnsi="Times New Roman" w:cs="Times New Roman"/>
          <w:sz w:val="22"/>
          <w:szCs w:val="22"/>
        </w:rPr>
      </w:pPr>
      <w:bookmarkStart w:id="0" w:name="_Toc225311309"/>
      <w:r w:rsidRPr="00CD4FD2">
        <w:rPr>
          <w:rFonts w:ascii="Times New Roman" w:hAnsi="Times New Roman" w:cs="Times New Roman"/>
          <w:sz w:val="22"/>
          <w:szCs w:val="22"/>
        </w:rPr>
        <w:t>Part A: Annotated Bibliography</w:t>
      </w:r>
      <w:bookmarkEnd w:id="0"/>
    </w:p>
    <w:p w14:paraId="43BA177B" w14:textId="1E6BFAEE" w:rsidR="00CD4FD2" w:rsidRPr="00C62D3C" w:rsidRDefault="00C62D3C" w:rsidP="00CD4FD2">
      <w:pPr>
        <w:spacing w:line="360" w:lineRule="auto"/>
        <w:jc w:val="both"/>
        <w:rPr>
          <w:rFonts w:ascii="Times New Roman" w:hAnsi="Times New Roman" w:cs="Times New Roman"/>
        </w:rPr>
      </w:pPr>
      <w:proofErr w:type="gramStart"/>
      <w:r w:rsidRPr="00C62D3C">
        <w:rPr>
          <w:rFonts w:ascii="Times New Roman" w:hAnsi="Times New Roman" w:cs="Times New Roman"/>
        </w:rPr>
        <w:t>Chen,.,</w:t>
      </w:r>
      <w:proofErr w:type="gramEnd"/>
      <w:r w:rsidRPr="00C62D3C">
        <w:rPr>
          <w:rFonts w:ascii="Times New Roman" w:hAnsi="Times New Roman" w:cs="Times New Roman"/>
        </w:rPr>
        <w:t xml:space="preserve"> </w:t>
      </w:r>
      <w:proofErr w:type="gramStart"/>
      <w:r w:rsidRPr="00C62D3C">
        <w:rPr>
          <w:rFonts w:ascii="Times New Roman" w:hAnsi="Times New Roman" w:cs="Times New Roman"/>
        </w:rPr>
        <w:t>Ho,.,</w:t>
      </w:r>
      <w:proofErr w:type="gramEnd"/>
      <w:r w:rsidRPr="00C62D3C">
        <w:rPr>
          <w:rFonts w:ascii="Times New Roman" w:hAnsi="Times New Roman" w:cs="Times New Roman"/>
        </w:rPr>
        <w:t xml:space="preserve"> Lo, C., &amp; </w:t>
      </w:r>
      <w:proofErr w:type="gramStart"/>
      <w:r w:rsidRPr="00C62D3C">
        <w:rPr>
          <w:rFonts w:ascii="Times New Roman" w:hAnsi="Times New Roman" w:cs="Times New Roman"/>
        </w:rPr>
        <w:t>Yeh,.</w:t>
      </w:r>
      <w:proofErr w:type="gramEnd"/>
      <w:r w:rsidRPr="00C62D3C">
        <w:rPr>
          <w:rFonts w:ascii="Times New Roman" w:hAnsi="Times New Roman" w:cs="Times New Roman"/>
        </w:rPr>
        <w:t xml:space="preserve"> (2021). Predicting ego integrity using prior ego development stages for older adults in the community. International Journal of Environmental Research and Public Health, 18(18), 9490.</w:t>
      </w:r>
    </w:p>
    <w:p w14:paraId="3FC565B0" w14:textId="4F7145EC" w:rsidR="00CD4FD2" w:rsidRPr="00C62D3C" w:rsidRDefault="00C62D3C" w:rsidP="00CD4FD2">
      <w:pPr>
        <w:pStyle w:val="NormalWeb"/>
        <w:rPr>
          <w:color w:val="000000"/>
        </w:rPr>
      </w:pPr>
      <w:r w:rsidRPr="00C62D3C">
        <w:rPr>
          <w:color w:val="000000"/>
        </w:rPr>
        <w:t>This cross-sectional study assessed the effects of ego integrity by stages from psychosocial development among 292 Taiwanese adults aged 65–90 years. According to Erikson’s theory, people go through eight psychosocial stages, the last of which involves developing ego integrity versus despair; all eight stages were found to be significantly related and the strongest direct effect on ego integrity came from the generativity stage Adult stages had considerably more impact on integrity than childhood stages, indicating that experience in middle adulthood helps to determine how people review their lives in later years. Development tracks of wisdom and wellbeing are attested as outcomes of a successful mastery of previous crises and life-course influences determine psychological adjustment in old age</w:t>
      </w:r>
      <w:r>
        <w:rPr>
          <w:color w:val="000000"/>
        </w:rPr>
        <w:t>.</w:t>
      </w:r>
    </w:p>
    <w:p w14:paraId="12DAF4D2" w14:textId="31C66224" w:rsidR="00CD4FD2" w:rsidRPr="00C62D3C" w:rsidRDefault="00C62D3C" w:rsidP="00CD4FD2">
      <w:pPr>
        <w:pStyle w:val="NormalWeb"/>
        <w:rPr>
          <w:color w:val="000000"/>
        </w:rPr>
      </w:pPr>
      <w:r w:rsidRPr="00C62D3C">
        <w:rPr>
          <w:color w:val="000000"/>
        </w:rPr>
        <w:t>Results emphasise the need for life-course interventions; generativity-and-life review programs can help older persons maintain ego integrity and reduce despair. The cross-sectional design and Taiwanese sampling limit the study's generalisability but support Erikson's theory (Loue, 2008). However, it supports how health and social care workers can encourage remembrance and reflective activities to help older persons process historical events and maintain psychological health (Loue, 2008).</w:t>
      </w:r>
    </w:p>
    <w:p w14:paraId="1A08FA6D" w14:textId="77777777" w:rsidR="00CD4FD2" w:rsidRDefault="00CD4FD2" w:rsidP="00CD4FD2">
      <w:pPr>
        <w:spacing w:line="360" w:lineRule="auto"/>
        <w:jc w:val="both"/>
        <w:rPr>
          <w:rFonts w:ascii="Times New Roman" w:hAnsi="Times New Roman" w:cs="Times New Roman"/>
          <w:b/>
        </w:rPr>
      </w:pPr>
    </w:p>
    <w:p w14:paraId="33A6CEDB" w14:textId="5E4D6B1B" w:rsidR="00CD4FD2" w:rsidRPr="00C62D3C" w:rsidRDefault="00C62D3C" w:rsidP="00CD4FD2">
      <w:pPr>
        <w:spacing w:line="360" w:lineRule="auto"/>
        <w:jc w:val="both"/>
        <w:rPr>
          <w:rFonts w:ascii="Times New Roman" w:hAnsi="Times New Roman" w:cs="Times New Roman"/>
        </w:rPr>
      </w:pPr>
      <w:r w:rsidRPr="00C62D3C">
        <w:rPr>
          <w:rFonts w:ascii="Times New Roman" w:hAnsi="Times New Roman" w:cs="Times New Roman"/>
        </w:rPr>
        <w:t>Y. Gao, Z. Jia, L. Zhao, &amp; S. Han (2023). Activity involvement in middle-aged and older individuals and depression trajectory in later life: A national cohort study (Anton, 2015). Public Health and Surveillance, 9, e44682.</w:t>
      </w:r>
    </w:p>
    <w:p w14:paraId="30F1BB18" w14:textId="4235CB3D" w:rsidR="00CD4FD2" w:rsidRPr="00C62D3C" w:rsidRDefault="00C62D3C" w:rsidP="00CD4FD2">
      <w:pPr>
        <w:pStyle w:val="NormalWeb"/>
        <w:rPr>
          <w:color w:val="000000"/>
        </w:rPr>
      </w:pPr>
      <w:r w:rsidRPr="00C62D3C">
        <w:rPr>
          <w:color w:val="000000"/>
        </w:rPr>
        <w:t xml:space="preserve">A study of 4,818 Chinese people aged ≥45 years explored the correlation between physical and social activity participation and depressive trajectories across 7 years. Authors suggest that physical activity participation helps cope with depression and promotes positive ageing. Latent growth curve modelling shows that physical activity </w:t>
      </w:r>
      <w:r w:rsidRPr="00C62D3C">
        <w:rPr>
          <w:color w:val="000000"/>
        </w:rPr>
        <w:lastRenderedPageBreak/>
        <w:t>participation predicts both initial depression (β = –0.63) and its trajectory (β = 0.46), while social leisure participation only predicts initial Cross-lagged analyses support the idea that activity engagement precedes reduced depressed symptoms, supporting behavioural activation and activity theory (Nilsson, 2015). They found that promoting multiple hobbies may avoid depression and positive ageing.</w:t>
      </w:r>
    </w:p>
    <w:p w14:paraId="44A3592A" w14:textId="254CC47F" w:rsidR="00CD4FD2" w:rsidRPr="00C62D3C" w:rsidRDefault="00C62D3C" w:rsidP="00CD4FD2">
      <w:pPr>
        <w:pStyle w:val="NormalWeb"/>
        <w:rPr>
          <w:color w:val="000000"/>
        </w:rPr>
      </w:pPr>
      <w:r w:rsidRPr="00C62D3C">
        <w:rPr>
          <w:color w:val="000000"/>
        </w:rPr>
        <w:t>Relevance and critique: Longitudinal data shows that physical and social activities protect mental health. The study is limited to a Chinese population and relies on self-reported activity metrics, which may limit its applicability across cultures (Havighurst, 1961). Study implications for health and social workersStructured activity programs and social participation may prevent depression in older persons, supporting activity theory's claim that retaining roles and engagement improves wellbeing (Gillespie, 1993).</w:t>
      </w:r>
    </w:p>
    <w:p w14:paraId="59FADB26" w14:textId="77777777" w:rsidR="00CD4FD2" w:rsidRPr="00CD4FD2" w:rsidRDefault="00CD4FD2" w:rsidP="00CD4FD2">
      <w:pPr>
        <w:spacing w:line="360" w:lineRule="auto"/>
        <w:jc w:val="both"/>
        <w:rPr>
          <w:rFonts w:ascii="Times New Roman" w:hAnsi="Times New Roman" w:cs="Times New Roman"/>
        </w:rPr>
      </w:pPr>
    </w:p>
    <w:p w14:paraId="45FA6CB7" w14:textId="77777777" w:rsidR="00CD4FD2" w:rsidRDefault="00CD4FD2" w:rsidP="00CD4FD2">
      <w:pPr>
        <w:spacing w:line="360" w:lineRule="auto"/>
        <w:jc w:val="both"/>
        <w:rPr>
          <w:rFonts w:ascii="Times New Roman" w:hAnsi="Times New Roman" w:cs="Times New Roman"/>
          <w:b/>
        </w:rPr>
      </w:pPr>
    </w:p>
    <w:p w14:paraId="310E5DD3" w14:textId="7506EF6E" w:rsidR="00CD4FD2" w:rsidRPr="00C62D3C" w:rsidRDefault="00C62D3C" w:rsidP="00CD4FD2">
      <w:pPr>
        <w:spacing w:line="360" w:lineRule="auto"/>
        <w:jc w:val="both"/>
        <w:rPr>
          <w:rFonts w:ascii="Times New Roman" w:hAnsi="Times New Roman" w:cs="Times New Roman"/>
        </w:rPr>
      </w:pPr>
      <w:r w:rsidRPr="00C62D3C">
        <w:rPr>
          <w:rFonts w:ascii="Times New Roman" w:hAnsi="Times New Roman" w:cs="Times New Roman"/>
        </w:rPr>
        <w:t xml:space="preserve">Ali Darvishpour, </w:t>
      </w:r>
      <w:proofErr w:type="spellStart"/>
      <w:r w:rsidRPr="00C62D3C">
        <w:rPr>
          <w:rFonts w:ascii="Times New Roman" w:hAnsi="Times New Roman" w:cs="Times New Roman"/>
        </w:rPr>
        <w:t>Fashtami</w:t>
      </w:r>
      <w:proofErr w:type="spellEnd"/>
      <w:r w:rsidRPr="00C62D3C">
        <w:rPr>
          <w:rFonts w:ascii="Times New Roman" w:hAnsi="Times New Roman" w:cs="Times New Roman"/>
        </w:rPr>
        <w:t xml:space="preserve">, et al. (2026). A cross-sectional study in eastern </w:t>
      </w:r>
      <w:proofErr w:type="spellStart"/>
      <w:r w:rsidRPr="00C62D3C">
        <w:rPr>
          <w:rFonts w:ascii="Times New Roman" w:hAnsi="Times New Roman" w:cs="Times New Roman"/>
        </w:rPr>
        <w:t>Guilan</w:t>
      </w:r>
      <w:proofErr w:type="spellEnd"/>
      <w:r w:rsidRPr="00C62D3C">
        <w:rPr>
          <w:rFonts w:ascii="Times New Roman" w:hAnsi="Times New Roman" w:cs="Times New Roman"/>
        </w:rPr>
        <w:t>, northern Iran, examines the impact of attachment style and lifestyle on life satisfaction in older persons (Gillespie, 1993). Health Sci Reports 9(2</w:t>
      </w:r>
      <w:proofErr w:type="gramStart"/>
      <w:r w:rsidRPr="00C62D3C">
        <w:rPr>
          <w:rFonts w:ascii="Times New Roman" w:hAnsi="Times New Roman" w:cs="Times New Roman"/>
        </w:rPr>
        <w:t>):e</w:t>
      </w:r>
      <w:proofErr w:type="gramEnd"/>
      <w:r w:rsidRPr="00C62D3C">
        <w:rPr>
          <w:rFonts w:ascii="Times New Roman" w:hAnsi="Times New Roman" w:cs="Times New Roman"/>
        </w:rPr>
        <w:t>71844.</w:t>
      </w:r>
    </w:p>
    <w:p w14:paraId="1A174DF2" w14:textId="6D7661DE" w:rsidR="00CD4FD2" w:rsidRPr="00C62D3C" w:rsidRDefault="00C62D3C" w:rsidP="00CD4FD2">
      <w:pPr>
        <w:pStyle w:val="NormalWeb"/>
        <w:rPr>
          <w:color w:val="000000"/>
        </w:rPr>
      </w:pPr>
      <w:r w:rsidRPr="00C62D3C">
        <w:rPr>
          <w:color w:val="000000"/>
        </w:rPr>
        <w:t>A cross-sectional study examined the relationship between attachment type, lifestyle habits, and life satisfaction in 150 Iranian individuals over 60 years old. Most participants had stable attachments and good lifestyles, but after controlling for demographic characteristics, there was no significant connection between attachment style and life happiness (Loue, 2008). In contrast, lifestyle and income explained 22% of life satisfaction variance, underlining the relevance of changeable habits (Anton, 2015). The writers used Bowlby's attachment theory, which states that secure attachment is linked to life satisfaction and psychological adjustment (Nilsson, 2015).</w:t>
      </w:r>
    </w:p>
    <w:p w14:paraId="0B1608F8" w14:textId="2019C745" w:rsidR="00CD4FD2" w:rsidRPr="00C62D3C" w:rsidRDefault="00C62D3C" w:rsidP="00CD4FD2">
      <w:pPr>
        <w:pStyle w:val="NormalWeb"/>
        <w:rPr>
          <w:color w:val="000000"/>
        </w:rPr>
      </w:pPr>
      <w:r w:rsidRPr="00C62D3C">
        <w:rPr>
          <w:color w:val="000000"/>
        </w:rPr>
        <w:t>The study suggests that lifestyle factors may be more important than attachment style in determining life satisfaction, as nutrition, physical activity, and stress management might increase wellbeing. However, the study's small convenience sample and cross-sectional nature limit generalisation and causal conclusion (Nilsson, 2015). Understanding attachment in older individuals and their support helps health and social care workers create holistic therapies centred on supportive relationships and healthy lifestyle practices (Havighurst, 1961).</w:t>
      </w:r>
    </w:p>
    <w:p w14:paraId="31F05001" w14:textId="77777777" w:rsidR="00CD4FD2" w:rsidRPr="00CD4FD2" w:rsidRDefault="00CD4FD2" w:rsidP="00CD4FD2">
      <w:pPr>
        <w:spacing w:line="360" w:lineRule="auto"/>
        <w:jc w:val="both"/>
        <w:rPr>
          <w:rFonts w:ascii="Times New Roman" w:hAnsi="Times New Roman" w:cs="Times New Roman"/>
          <w:b/>
        </w:rPr>
      </w:pPr>
    </w:p>
    <w:p w14:paraId="72D7AB0C" w14:textId="5EF60DDE" w:rsidR="00CD4FD2" w:rsidRPr="00C62D3C" w:rsidRDefault="00C62D3C" w:rsidP="00CD4FD2">
      <w:pPr>
        <w:spacing w:line="360" w:lineRule="auto"/>
        <w:jc w:val="both"/>
        <w:rPr>
          <w:rFonts w:ascii="Times New Roman" w:hAnsi="Times New Roman" w:cs="Times New Roman"/>
        </w:rPr>
      </w:pPr>
      <w:r w:rsidRPr="00C62D3C">
        <w:rPr>
          <w:rFonts w:ascii="Times New Roman" w:hAnsi="Times New Roman" w:cs="Times New Roman"/>
        </w:rPr>
        <w:t xml:space="preserve">K. </w:t>
      </w:r>
      <w:proofErr w:type="spellStart"/>
      <w:r w:rsidRPr="00C62D3C">
        <w:rPr>
          <w:rFonts w:ascii="Times New Roman" w:hAnsi="Times New Roman" w:cs="Times New Roman"/>
        </w:rPr>
        <w:t>Tsiflikioti</w:t>
      </w:r>
      <w:proofErr w:type="spellEnd"/>
      <w:r w:rsidRPr="00C62D3C">
        <w:rPr>
          <w:rFonts w:ascii="Times New Roman" w:hAnsi="Times New Roman" w:cs="Times New Roman"/>
        </w:rPr>
        <w:t xml:space="preserve">, D. Moraitou, C. </w:t>
      </w:r>
      <w:proofErr w:type="spellStart"/>
      <w:r w:rsidRPr="00C62D3C">
        <w:rPr>
          <w:rFonts w:ascii="Times New Roman" w:hAnsi="Times New Roman" w:cs="Times New Roman"/>
        </w:rPr>
        <w:t>Pezirkianidis</w:t>
      </w:r>
      <w:proofErr w:type="spellEnd"/>
      <w:r w:rsidRPr="00C62D3C">
        <w:rPr>
          <w:rFonts w:ascii="Times New Roman" w:hAnsi="Times New Roman" w:cs="Times New Roman"/>
        </w:rPr>
        <w:t>, AND colleagues (2023). Positive psychology interventions improve subjective wellbeing in older adults with amnestic moderate cognitive impairment: A randomized trial (Havighurst, 1961). Behavioral Sciences 13(10):838.</w:t>
      </w:r>
    </w:p>
    <w:p w14:paraId="465D7B53" w14:textId="0EC8E3C6" w:rsidR="00CD4FD2" w:rsidRPr="00C62D3C" w:rsidRDefault="00C62D3C" w:rsidP="00CD4FD2">
      <w:pPr>
        <w:pStyle w:val="NormalWeb"/>
        <w:rPr>
          <w:color w:val="000000"/>
        </w:rPr>
      </w:pPr>
      <w:r w:rsidRPr="00C62D3C">
        <w:rPr>
          <w:color w:val="000000"/>
        </w:rPr>
        <w:lastRenderedPageBreak/>
        <w:t>This randomized pilot trial gave 41 Greek seniors over 65 with amnestic mild cognitive impairment a three-week positive psychology intervention (PPI). The program assessed subjective wellbeing at baseline, post-intervention, and one month after PERMA model exercises. Mixed-measures ANOVAs showed that the PPI improved PERMA scores and general wellbeing, with sustained increases at follow-up. PPIs emphasize positive aspects, strengths, and emotions, rather than pathology (Havighurst, 1961). Gratitude and recollection interventions boost optimism, life satisfaction, and positive affect (Anton, 2015).</w:t>
      </w:r>
    </w:p>
    <w:p w14:paraId="0B50FC38" w14:textId="66F71B05" w:rsidR="00CD4FD2" w:rsidRPr="00C62D3C" w:rsidRDefault="00C62D3C" w:rsidP="00CD4FD2">
      <w:pPr>
        <w:pStyle w:val="NormalWeb"/>
        <w:rPr>
          <w:color w:val="000000"/>
        </w:rPr>
      </w:pPr>
      <w:r w:rsidRPr="00C62D3C">
        <w:rPr>
          <w:color w:val="000000"/>
        </w:rPr>
        <w:t>This study suggests that brief PPIs can improve wellbeing in cognitively challenged older persons, making them a low-cost, non-pharmacological intervention suitable for care settings. The study's small sample and short follow-up limit conclusions, and the individuals were high-functioning, which may not apply to typical care facility residents (Anton, 2015). However, the research supports positive psychology theories emphasizing resilience and meaning and provides health and social care professionals with practical exercises to improve psychological wellness (Anton, 2015).</w:t>
      </w:r>
    </w:p>
    <w:p w14:paraId="2BE1D922" w14:textId="77777777" w:rsidR="00CD4FD2" w:rsidRPr="00CD4FD2" w:rsidRDefault="00CD4FD2" w:rsidP="00CD4FD2">
      <w:pPr>
        <w:spacing w:line="360" w:lineRule="auto"/>
        <w:jc w:val="both"/>
        <w:rPr>
          <w:rFonts w:ascii="Times New Roman" w:hAnsi="Times New Roman" w:cs="Times New Roman"/>
        </w:rPr>
      </w:pPr>
      <w:r w:rsidRPr="00CD4FD2">
        <w:rPr>
          <w:rFonts w:ascii="Times New Roman" w:hAnsi="Times New Roman" w:cs="Times New Roman"/>
        </w:rPr>
        <w:br w:type="page"/>
      </w:r>
    </w:p>
    <w:p w14:paraId="1253BC41" w14:textId="77777777" w:rsidR="00CD4FD2" w:rsidRPr="00CD4FD2" w:rsidRDefault="00CD4FD2" w:rsidP="00CD4FD2">
      <w:pPr>
        <w:pStyle w:val="Heading1"/>
        <w:spacing w:line="360" w:lineRule="auto"/>
        <w:jc w:val="both"/>
        <w:rPr>
          <w:rFonts w:ascii="Times New Roman" w:hAnsi="Times New Roman" w:cs="Times New Roman"/>
          <w:sz w:val="22"/>
          <w:szCs w:val="22"/>
        </w:rPr>
      </w:pPr>
      <w:bookmarkStart w:id="1" w:name="_Toc225311310"/>
      <w:r w:rsidRPr="00CD4FD2">
        <w:rPr>
          <w:rFonts w:ascii="Times New Roman" w:hAnsi="Times New Roman" w:cs="Times New Roman"/>
          <w:sz w:val="22"/>
          <w:szCs w:val="22"/>
        </w:rPr>
        <w:lastRenderedPageBreak/>
        <w:t>Part B: Report: Applying Activity Theory to Enhance Wellbeing in Residential Care</w:t>
      </w:r>
      <w:bookmarkEnd w:id="1"/>
    </w:p>
    <w:p w14:paraId="3169C75B" w14:textId="77777777" w:rsidR="00CD4FD2" w:rsidRPr="00C62D3C" w:rsidRDefault="00CD4FD2" w:rsidP="00CD4FD2">
      <w:pPr>
        <w:spacing w:line="360" w:lineRule="auto"/>
        <w:jc w:val="both"/>
        <w:rPr>
          <w:rFonts w:ascii="Times New Roman" w:hAnsi="Times New Roman" w:cs="Times New Roman"/>
        </w:rPr>
      </w:pPr>
      <w:r w:rsidRPr="00C62D3C">
        <w:rPr>
          <w:rFonts w:ascii="Times New Roman" w:hAnsi="Times New Roman" w:cs="Times New Roman"/>
        </w:rPr>
        <w:t>**Introduction**</w:t>
      </w:r>
    </w:p>
    <w:p w14:paraId="1E7F6817" w14:textId="1788749B" w:rsidR="00CD4FD2" w:rsidRPr="00C62D3C" w:rsidRDefault="00C62D3C" w:rsidP="00CD4FD2">
      <w:pPr>
        <w:pStyle w:val="NormalWeb"/>
        <w:rPr>
          <w:color w:val="000000"/>
        </w:rPr>
      </w:pPr>
      <w:r w:rsidRPr="00C62D3C">
        <w:rPr>
          <w:color w:val="000000"/>
        </w:rPr>
        <w:t>According to population aging, health and social care providers attempt to improve the mental health of older persons in residential care homes. Depression, loneliness, and cognitive decline can lower quality of life, but fulfilling social interactions may protect mental health (Gillespie, 1993). According to activity theory, successful aging involves maintaining roles and social involvement despite age-related deficits (Havighurst et al (Nilsson, 2015).). While disengagement theory views social withdrawal as natural, activity theory says that older persons thrive on meaningful activities and adapt better to age-related challenges.</w:t>
      </w:r>
    </w:p>
    <w:p w14:paraId="18C8ED02" w14:textId="77777777" w:rsidR="00CD4FD2" w:rsidRDefault="00CD4FD2" w:rsidP="00CD4FD2">
      <w:pPr>
        <w:pStyle w:val="NormalWeb"/>
        <w:rPr>
          <w:color w:val="000000"/>
        </w:rPr>
      </w:pPr>
      <w:r>
        <w:rPr>
          <w:color w:val="000000"/>
        </w:rPr>
        <w:t>Using Activity Theory in a Residential Care Context</w:t>
      </w:r>
    </w:p>
    <w:p w14:paraId="6F393779" w14:textId="7BA433BD" w:rsidR="00CD4FD2" w:rsidRPr="00C62D3C" w:rsidRDefault="00C62D3C" w:rsidP="00CD4FD2">
      <w:pPr>
        <w:pStyle w:val="NormalWeb"/>
        <w:rPr>
          <w:color w:val="000000"/>
        </w:rPr>
      </w:pPr>
      <w:r w:rsidRPr="00C62D3C">
        <w:rPr>
          <w:color w:val="000000"/>
        </w:rPr>
        <w:t>Activity theory can help health and social care providers create programs that help residents gain new skills and find purpose. This hypothesis suggests that older persons who lose their occupational/family role should participate in volunteering, recreational groups, intergenerational events, and self-directed hobbies (Gao et al (Nilsson, 2015)., national cohort research, October 2023). proved that physical and social activities were a predictor of lower baseline depression scores and affected the course of depressive symptoms over 7 years. Physical activities (e.g., group exercise, gardening, dance classes) gave residents positive feelings and social interaction, while social leisure activities fostered creativity and connection (Loue, 2008). Second, care facilities can create structured volunteer programs that use residents' interests and abilities to mentor younger volunteers or support community projects to generate generativity.</w:t>
      </w:r>
    </w:p>
    <w:p w14:paraId="0111FD52" w14:textId="77777777" w:rsidR="00CD4FD2" w:rsidRDefault="00CD4FD2" w:rsidP="00CD4FD2">
      <w:pPr>
        <w:pStyle w:val="NormalWeb"/>
        <w:rPr>
          <w:color w:val="000000"/>
        </w:rPr>
      </w:pPr>
      <w:r>
        <w:rPr>
          <w:color w:val="000000"/>
        </w:rPr>
        <w:t>Case Scenario: Mrs H</w:t>
      </w:r>
    </w:p>
    <w:p w14:paraId="2A2FD688" w14:textId="5DCBC72E" w:rsidR="00CD4FD2" w:rsidRPr="00C62D3C" w:rsidRDefault="00C62D3C" w:rsidP="00CD4FD2">
      <w:pPr>
        <w:pStyle w:val="NormalWeb"/>
        <w:rPr>
          <w:color w:val="000000"/>
        </w:rPr>
      </w:pPr>
      <w:r w:rsidRPr="00C62D3C">
        <w:rPr>
          <w:color w:val="000000"/>
        </w:rPr>
        <w:t>Mrs. H, an 82-year-old retired teacher, moved into a care facility after her husband's death. She started out depressed, lonely, and lost. Activity theory guided care personnel in helping Mrs. H find activities that fit her interests and abilities. She led weekly storytelling workshops for neighbourhood schoolchildren using her teaching skills (Havighurst, 1961). She joined an art group that painted vintage scenes (Anton, 2015). These roles gave her purpose and connection. Depressive symptoms decreased and her eating and sleep normalised over months. Staff saw that her participation inspired other residents to participate, strengthening community. Mrs. H demonstrates how personal, meaningful activities rooted in history can boost self-efficacy and wellbeing (Havighurst, 1961).</w:t>
      </w:r>
    </w:p>
    <w:p w14:paraId="0845EB8A" w14:textId="77777777" w:rsidR="00CD4FD2" w:rsidRDefault="00CD4FD2" w:rsidP="00CD4FD2">
      <w:pPr>
        <w:pStyle w:val="NormalWeb"/>
        <w:rPr>
          <w:color w:val="000000"/>
        </w:rPr>
      </w:pPr>
      <w:r>
        <w:rPr>
          <w:color w:val="000000"/>
        </w:rPr>
        <w:t>Challenges and Strategies</w:t>
      </w:r>
    </w:p>
    <w:p w14:paraId="7D69BAB9" w14:textId="70BC88C3" w:rsidR="00CD4FD2" w:rsidRPr="00C62D3C" w:rsidRDefault="00C62D3C" w:rsidP="00CD4FD2">
      <w:pPr>
        <w:pStyle w:val="NormalWeb"/>
        <w:rPr>
          <w:color w:val="000000"/>
        </w:rPr>
      </w:pPr>
      <w:r w:rsidRPr="00C62D3C">
        <w:rPr>
          <w:color w:val="000000"/>
        </w:rPr>
        <w:t xml:space="preserve">Activity-based therapies in care homes are difficult. Many inhabitants lack the physical, cognitive, or inclination to join (Gillespie, 1993). Limited resources and staffing may limit the range of person-centred activities, and some workers may not be appropriately educated. Cultural factors affect inhabitants' willingness to participate in mixed-gender or new activities. A person-centred approach is necessary, adapting activities to individual </w:t>
      </w:r>
      <w:r w:rsidRPr="00C62D3C">
        <w:rPr>
          <w:color w:val="000000"/>
        </w:rPr>
        <w:lastRenderedPageBreak/>
        <w:t>talents and preferences and gradually increasing involvement (Anton, 2015). Occupational therapists can help carers use adaptive equipment or simplify duties for individuals with mobility or cognitive issues. Staff training programs can include motivational interviewing and group facilitation to engage reluctant residents. Community organisations and volunteers can boost resources and offer intergenerational programs. Involving local communities in planning meaningful and culturally appropriate activities promotes sustained involvement and psychological well-being (Anton, 2015).</w:t>
      </w:r>
    </w:p>
    <w:p w14:paraId="5C2D4C7F" w14:textId="77777777" w:rsidR="00CD4FD2" w:rsidRPr="00C62D3C" w:rsidRDefault="00CD4FD2" w:rsidP="00CD4FD2">
      <w:pPr>
        <w:pStyle w:val="NormalWeb"/>
        <w:rPr>
          <w:color w:val="000000"/>
        </w:rPr>
      </w:pPr>
      <w:r w:rsidRPr="00C62D3C">
        <w:rPr>
          <w:color w:val="000000"/>
        </w:rPr>
        <w:t>Conclusion</w:t>
      </w:r>
    </w:p>
    <w:p w14:paraId="50DC7AFA" w14:textId="32AC9145" w:rsidR="00CD4FD2" w:rsidRPr="00C62D3C" w:rsidRDefault="00C62D3C" w:rsidP="00CD4FD2">
      <w:pPr>
        <w:pStyle w:val="NormalWeb"/>
        <w:rPr>
          <w:color w:val="000000"/>
        </w:rPr>
      </w:pPr>
      <w:r w:rsidRPr="00C62D3C">
        <w:rPr>
          <w:color w:val="000000"/>
        </w:rPr>
        <w:t>Activity theory says active involvement and social duties are crucial to optimal ageing. Care home staff can assist older individuals adapt to age-related changes and thrive by offering programs that encourage new responsibilities, meaningful social interactions, and creativity. Mrs. H's case shows how relational activities can restore place identity and community, while problems highlight the need for resources, training, and person-centred methods. Activity theory is an evidence-based method that can improve psychological wellness in older individuals in residential care.</w:t>
      </w:r>
    </w:p>
    <w:p w14:paraId="0566DBCC" w14:textId="77777777" w:rsidR="00CD4FD2" w:rsidRPr="00CD4FD2" w:rsidRDefault="00CD4FD2" w:rsidP="00CD4FD2">
      <w:pPr>
        <w:spacing w:line="360" w:lineRule="auto"/>
        <w:jc w:val="both"/>
        <w:rPr>
          <w:rFonts w:ascii="Times New Roman" w:hAnsi="Times New Roman" w:cs="Times New Roman"/>
        </w:rPr>
      </w:pPr>
    </w:p>
    <w:p w14:paraId="6F9AFF75" w14:textId="15110E26" w:rsidR="005B3151" w:rsidRDefault="00CD4FD2" w:rsidP="00CD4FD2">
      <w:pPr>
        <w:pStyle w:val="Heading1"/>
      </w:pPr>
      <w:r>
        <w:t>References:</w:t>
      </w:r>
    </w:p>
    <w:p w14:paraId="528C4C0E" w14:textId="77777777" w:rsidR="00CD4FD2" w:rsidRDefault="00CD4FD2" w:rsidP="00CD4FD2">
      <w:pPr>
        <w:pStyle w:val="NormalWeb"/>
      </w:pPr>
      <w:r>
        <w:t xml:space="preserve">Anton, S.D., Woods, A.J., Ashizawa, T., Barb, D., Buford, T.W., Carter, C.S., Clark, D.J., Cohen, R.A., Corbett, D.B., Cruz-Almeida, Y. and Dotson, V.M. (2015) ‘Successful aging: Advancing the science of physical independence in older adults’, </w:t>
      </w:r>
      <w:r>
        <w:rPr>
          <w:rStyle w:val="Emphasis"/>
        </w:rPr>
        <w:t>Ageing Research Reviews</w:t>
      </w:r>
      <w:r>
        <w:t xml:space="preserve">, 24, pp. 304–327. </w:t>
      </w:r>
    </w:p>
    <w:p w14:paraId="6B4E9597" w14:textId="77777777" w:rsidR="00CD4FD2" w:rsidRDefault="00CD4FD2" w:rsidP="00CD4FD2">
      <w:pPr>
        <w:pStyle w:val="NormalWeb"/>
      </w:pPr>
      <w:r>
        <w:t xml:space="preserve">Gillespie, C.W.I. (1993) ‘Life satisfaction in old age and activity theory’, </w:t>
      </w:r>
      <w:r>
        <w:rPr>
          <w:rStyle w:val="Emphasis"/>
        </w:rPr>
        <w:t>South African Journal of Gerontology</w:t>
      </w:r>
      <w:r>
        <w:t xml:space="preserve">, 2(1), pp. 16–20. </w:t>
      </w:r>
    </w:p>
    <w:p w14:paraId="40CDC043" w14:textId="77777777" w:rsidR="00CD4FD2" w:rsidRDefault="00CD4FD2" w:rsidP="00CD4FD2">
      <w:pPr>
        <w:pStyle w:val="NormalWeb"/>
      </w:pPr>
      <w:r>
        <w:t xml:space="preserve">Havighurst, R.J. (1961) ‘Successful aging’, </w:t>
      </w:r>
      <w:r>
        <w:rPr>
          <w:rStyle w:val="Emphasis"/>
        </w:rPr>
        <w:t>The Gerontologist</w:t>
      </w:r>
      <w:r>
        <w:t xml:space="preserve">, 1(1), pp. 8–13. </w:t>
      </w:r>
    </w:p>
    <w:p w14:paraId="30558E4D" w14:textId="77777777" w:rsidR="00CD4FD2" w:rsidRDefault="00CD4FD2" w:rsidP="00CD4FD2">
      <w:pPr>
        <w:pStyle w:val="NormalWeb"/>
      </w:pPr>
      <w:r>
        <w:t xml:space="preserve">Lakomý, M. (2023) ‘The effect of roles prescribed by active ageing on quality of life across European regions’, </w:t>
      </w:r>
      <w:r>
        <w:rPr>
          <w:rStyle w:val="Emphasis"/>
        </w:rPr>
        <w:t>Ageing &amp; Society</w:t>
      </w:r>
      <w:r>
        <w:t xml:space="preserve">. </w:t>
      </w:r>
    </w:p>
    <w:p w14:paraId="5D40F025" w14:textId="77777777" w:rsidR="00CD4FD2" w:rsidRDefault="00CD4FD2" w:rsidP="00CD4FD2">
      <w:pPr>
        <w:pStyle w:val="NormalWeb"/>
      </w:pPr>
      <w:r>
        <w:t xml:space="preserve">Loue, S., Sajatovic, M. and Koroukian, S.M. (2008) </w:t>
      </w:r>
      <w:r>
        <w:rPr>
          <w:rStyle w:val="Emphasis"/>
        </w:rPr>
        <w:t>Encyclopedia of Aging and Public Health</w:t>
      </w:r>
      <w:r>
        <w:t xml:space="preserve">. New York: Springer. </w:t>
      </w:r>
    </w:p>
    <w:p w14:paraId="1F49A2EB" w14:textId="77777777" w:rsidR="00CD4FD2" w:rsidRDefault="00CD4FD2" w:rsidP="00CD4FD2">
      <w:pPr>
        <w:pStyle w:val="NormalWeb"/>
      </w:pPr>
      <w:r>
        <w:t xml:space="preserve">Nilsson, H. (2015) ‘Mindful sustainable aging: Advancing a comprehensive approach’, </w:t>
      </w:r>
      <w:r>
        <w:rPr>
          <w:rStyle w:val="Emphasis"/>
        </w:rPr>
        <w:t>Gerontology and Geriatric Medicine</w:t>
      </w:r>
      <w:r>
        <w:t xml:space="preserve">. </w:t>
      </w:r>
    </w:p>
    <w:p w14:paraId="6201E1B3" w14:textId="77777777" w:rsidR="00CD4FD2" w:rsidRPr="00CD4FD2" w:rsidRDefault="00CD4FD2" w:rsidP="00CD4FD2"/>
    <w:sectPr w:rsidR="00CD4FD2" w:rsidRPr="00CD4FD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02143123">
    <w:abstractNumId w:val="8"/>
  </w:num>
  <w:num w:numId="2" w16cid:durableId="1044913523">
    <w:abstractNumId w:val="6"/>
  </w:num>
  <w:num w:numId="3" w16cid:durableId="2094468637">
    <w:abstractNumId w:val="5"/>
  </w:num>
  <w:num w:numId="4" w16cid:durableId="1362970289">
    <w:abstractNumId w:val="4"/>
  </w:num>
  <w:num w:numId="5" w16cid:durableId="750271948">
    <w:abstractNumId w:val="7"/>
  </w:num>
  <w:num w:numId="6" w16cid:durableId="1699310047">
    <w:abstractNumId w:val="3"/>
  </w:num>
  <w:num w:numId="7" w16cid:durableId="490215460">
    <w:abstractNumId w:val="2"/>
  </w:num>
  <w:num w:numId="8" w16cid:durableId="2112165766">
    <w:abstractNumId w:val="1"/>
  </w:num>
  <w:num w:numId="9" w16cid:durableId="1654219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1126A"/>
    <w:rsid w:val="00326F90"/>
    <w:rsid w:val="00461EA7"/>
    <w:rsid w:val="00480CB1"/>
    <w:rsid w:val="005B3151"/>
    <w:rsid w:val="005F57BC"/>
    <w:rsid w:val="006E55B8"/>
    <w:rsid w:val="00AA1D8D"/>
    <w:rsid w:val="00B276BB"/>
    <w:rsid w:val="00B47730"/>
    <w:rsid w:val="00BA3193"/>
    <w:rsid w:val="00C4734D"/>
    <w:rsid w:val="00C62D3C"/>
    <w:rsid w:val="00CA768F"/>
    <w:rsid w:val="00CB0664"/>
    <w:rsid w:val="00CD4FD2"/>
    <w:rsid w:val="00D44F6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C2AD51"/>
  <w14:defaultImageDpi w14:val="300"/>
  <w15:docId w15:val="{D7E8D964-ACBC-8F4A-BDED-08043162B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B3151"/>
    <w:rPr>
      <w:color w:val="0000FF" w:themeColor="hyperlink"/>
      <w:u w:val="single"/>
    </w:rPr>
  </w:style>
  <w:style w:type="character" w:styleId="UnresolvedMention">
    <w:name w:val="Unresolved Mention"/>
    <w:basedOn w:val="DefaultParagraphFont"/>
    <w:uiPriority w:val="99"/>
    <w:semiHidden/>
    <w:unhideWhenUsed/>
    <w:rsid w:val="005B3151"/>
    <w:rPr>
      <w:color w:val="605E5C"/>
      <w:shd w:val="clear" w:color="auto" w:fill="E1DFDD"/>
    </w:rPr>
  </w:style>
  <w:style w:type="paragraph" w:styleId="TOC1">
    <w:name w:val="toc 1"/>
    <w:basedOn w:val="Normal"/>
    <w:next w:val="Normal"/>
    <w:autoRedefine/>
    <w:uiPriority w:val="39"/>
    <w:unhideWhenUsed/>
    <w:rsid w:val="005B3151"/>
    <w:pPr>
      <w:spacing w:before="120" w:after="0"/>
    </w:pPr>
    <w:rPr>
      <w:rFonts w:cs="Times New Roman"/>
      <w:b/>
      <w:bCs/>
      <w:i/>
      <w:iCs/>
      <w:sz w:val="24"/>
      <w:szCs w:val="28"/>
    </w:rPr>
  </w:style>
  <w:style w:type="paragraph" w:styleId="TOC2">
    <w:name w:val="toc 2"/>
    <w:basedOn w:val="Normal"/>
    <w:next w:val="Normal"/>
    <w:autoRedefine/>
    <w:uiPriority w:val="39"/>
    <w:unhideWhenUsed/>
    <w:rsid w:val="005B3151"/>
    <w:pPr>
      <w:spacing w:before="120" w:after="0"/>
      <w:ind w:left="220"/>
    </w:pPr>
    <w:rPr>
      <w:rFonts w:cs="Times New Roman"/>
      <w:b/>
      <w:bCs/>
      <w:szCs w:val="26"/>
    </w:rPr>
  </w:style>
  <w:style w:type="paragraph" w:styleId="TOC3">
    <w:name w:val="toc 3"/>
    <w:basedOn w:val="Normal"/>
    <w:next w:val="Normal"/>
    <w:autoRedefine/>
    <w:uiPriority w:val="39"/>
    <w:semiHidden/>
    <w:unhideWhenUsed/>
    <w:rsid w:val="005B3151"/>
    <w:pPr>
      <w:spacing w:after="0"/>
      <w:ind w:left="440"/>
    </w:pPr>
    <w:rPr>
      <w:rFonts w:cs="Times New Roman"/>
      <w:sz w:val="20"/>
      <w:szCs w:val="24"/>
    </w:rPr>
  </w:style>
  <w:style w:type="paragraph" w:styleId="TOC4">
    <w:name w:val="toc 4"/>
    <w:basedOn w:val="Normal"/>
    <w:next w:val="Normal"/>
    <w:autoRedefine/>
    <w:uiPriority w:val="39"/>
    <w:semiHidden/>
    <w:unhideWhenUsed/>
    <w:rsid w:val="005B3151"/>
    <w:pPr>
      <w:spacing w:after="0"/>
      <w:ind w:left="660"/>
    </w:pPr>
    <w:rPr>
      <w:rFonts w:cs="Times New Roman"/>
      <w:sz w:val="20"/>
      <w:szCs w:val="24"/>
    </w:rPr>
  </w:style>
  <w:style w:type="paragraph" w:styleId="TOC5">
    <w:name w:val="toc 5"/>
    <w:basedOn w:val="Normal"/>
    <w:next w:val="Normal"/>
    <w:autoRedefine/>
    <w:uiPriority w:val="39"/>
    <w:semiHidden/>
    <w:unhideWhenUsed/>
    <w:rsid w:val="005B3151"/>
    <w:pPr>
      <w:spacing w:after="0"/>
      <w:ind w:left="880"/>
    </w:pPr>
    <w:rPr>
      <w:rFonts w:cs="Times New Roman"/>
      <w:sz w:val="20"/>
      <w:szCs w:val="24"/>
    </w:rPr>
  </w:style>
  <w:style w:type="paragraph" w:styleId="TOC6">
    <w:name w:val="toc 6"/>
    <w:basedOn w:val="Normal"/>
    <w:next w:val="Normal"/>
    <w:autoRedefine/>
    <w:uiPriority w:val="39"/>
    <w:semiHidden/>
    <w:unhideWhenUsed/>
    <w:rsid w:val="005B3151"/>
    <w:pPr>
      <w:spacing w:after="0"/>
      <w:ind w:left="1100"/>
    </w:pPr>
    <w:rPr>
      <w:rFonts w:cs="Times New Roman"/>
      <w:sz w:val="20"/>
      <w:szCs w:val="24"/>
    </w:rPr>
  </w:style>
  <w:style w:type="paragraph" w:styleId="TOC7">
    <w:name w:val="toc 7"/>
    <w:basedOn w:val="Normal"/>
    <w:next w:val="Normal"/>
    <w:autoRedefine/>
    <w:uiPriority w:val="39"/>
    <w:semiHidden/>
    <w:unhideWhenUsed/>
    <w:rsid w:val="005B3151"/>
    <w:pPr>
      <w:spacing w:after="0"/>
      <w:ind w:left="1320"/>
    </w:pPr>
    <w:rPr>
      <w:rFonts w:cs="Times New Roman"/>
      <w:sz w:val="20"/>
      <w:szCs w:val="24"/>
    </w:rPr>
  </w:style>
  <w:style w:type="paragraph" w:styleId="TOC8">
    <w:name w:val="toc 8"/>
    <w:basedOn w:val="Normal"/>
    <w:next w:val="Normal"/>
    <w:autoRedefine/>
    <w:uiPriority w:val="39"/>
    <w:semiHidden/>
    <w:unhideWhenUsed/>
    <w:rsid w:val="005B3151"/>
    <w:pPr>
      <w:spacing w:after="0"/>
      <w:ind w:left="1540"/>
    </w:pPr>
    <w:rPr>
      <w:rFonts w:cs="Times New Roman"/>
      <w:sz w:val="20"/>
      <w:szCs w:val="24"/>
    </w:rPr>
  </w:style>
  <w:style w:type="paragraph" w:styleId="TOC9">
    <w:name w:val="toc 9"/>
    <w:basedOn w:val="Normal"/>
    <w:next w:val="Normal"/>
    <w:autoRedefine/>
    <w:uiPriority w:val="39"/>
    <w:semiHidden/>
    <w:unhideWhenUsed/>
    <w:rsid w:val="005B3151"/>
    <w:pPr>
      <w:spacing w:after="0"/>
      <w:ind w:left="1760"/>
    </w:pPr>
    <w:rPr>
      <w:rFonts w:cs="Times New Roman"/>
      <w:sz w:val="20"/>
      <w:szCs w:val="24"/>
    </w:rPr>
  </w:style>
  <w:style w:type="character" w:customStyle="1" w:styleId="apple-converted-space">
    <w:name w:val="apple-converted-space"/>
    <w:basedOn w:val="DefaultParagraphFont"/>
    <w:rsid w:val="00B276BB"/>
  </w:style>
  <w:style w:type="paragraph" w:customStyle="1" w:styleId="TableParagraph">
    <w:name w:val="Table Paragraph"/>
    <w:basedOn w:val="Normal"/>
    <w:uiPriority w:val="1"/>
    <w:qFormat/>
    <w:rsid w:val="00CD4FD2"/>
    <w:pPr>
      <w:widowControl w:val="0"/>
      <w:autoSpaceDE w:val="0"/>
      <w:autoSpaceDN w:val="0"/>
      <w:spacing w:after="0" w:line="240" w:lineRule="auto"/>
    </w:pPr>
    <w:rPr>
      <w:rFonts w:ascii="Arial" w:eastAsia="Arial" w:hAnsi="Arial" w:cs="Arial"/>
    </w:rPr>
  </w:style>
  <w:style w:type="paragraph" w:styleId="NormalWeb">
    <w:name w:val="Normal (Web)"/>
    <w:basedOn w:val="Normal"/>
    <w:uiPriority w:val="99"/>
    <w:semiHidden/>
    <w:unhideWhenUsed/>
    <w:rsid w:val="00CD4FD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923942">
      <w:bodyDiv w:val="1"/>
      <w:marLeft w:val="0"/>
      <w:marRight w:val="0"/>
      <w:marTop w:val="0"/>
      <w:marBottom w:val="0"/>
      <w:divBdr>
        <w:top w:val="none" w:sz="0" w:space="0" w:color="auto"/>
        <w:left w:val="none" w:sz="0" w:space="0" w:color="auto"/>
        <w:bottom w:val="none" w:sz="0" w:space="0" w:color="auto"/>
        <w:right w:val="none" w:sz="0" w:space="0" w:color="auto"/>
      </w:divBdr>
    </w:div>
    <w:div w:id="498735961">
      <w:bodyDiv w:val="1"/>
      <w:marLeft w:val="0"/>
      <w:marRight w:val="0"/>
      <w:marTop w:val="0"/>
      <w:marBottom w:val="0"/>
      <w:divBdr>
        <w:top w:val="none" w:sz="0" w:space="0" w:color="auto"/>
        <w:left w:val="none" w:sz="0" w:space="0" w:color="auto"/>
        <w:bottom w:val="none" w:sz="0" w:space="0" w:color="auto"/>
        <w:right w:val="none" w:sz="0" w:space="0" w:color="auto"/>
      </w:divBdr>
      <w:divsChild>
        <w:div w:id="403113823">
          <w:marLeft w:val="0"/>
          <w:marRight w:val="0"/>
          <w:marTop w:val="0"/>
          <w:marBottom w:val="0"/>
          <w:divBdr>
            <w:top w:val="none" w:sz="0" w:space="0" w:color="auto"/>
            <w:left w:val="none" w:sz="0" w:space="0" w:color="auto"/>
            <w:bottom w:val="none" w:sz="0" w:space="0" w:color="auto"/>
            <w:right w:val="none" w:sz="0" w:space="0" w:color="auto"/>
          </w:divBdr>
        </w:div>
        <w:div w:id="1509099514">
          <w:marLeft w:val="0"/>
          <w:marRight w:val="0"/>
          <w:marTop w:val="0"/>
          <w:marBottom w:val="0"/>
          <w:divBdr>
            <w:top w:val="none" w:sz="0" w:space="0" w:color="auto"/>
            <w:left w:val="none" w:sz="0" w:space="0" w:color="auto"/>
            <w:bottom w:val="none" w:sz="0" w:space="0" w:color="auto"/>
            <w:right w:val="none" w:sz="0" w:space="0" w:color="auto"/>
          </w:divBdr>
        </w:div>
        <w:div w:id="486820836">
          <w:marLeft w:val="0"/>
          <w:marRight w:val="0"/>
          <w:marTop w:val="0"/>
          <w:marBottom w:val="0"/>
          <w:divBdr>
            <w:top w:val="none" w:sz="0" w:space="0" w:color="auto"/>
            <w:left w:val="none" w:sz="0" w:space="0" w:color="auto"/>
            <w:bottom w:val="none" w:sz="0" w:space="0" w:color="auto"/>
            <w:right w:val="none" w:sz="0" w:space="0" w:color="auto"/>
          </w:divBdr>
        </w:div>
        <w:div w:id="389960110">
          <w:marLeft w:val="0"/>
          <w:marRight w:val="0"/>
          <w:marTop w:val="0"/>
          <w:marBottom w:val="0"/>
          <w:divBdr>
            <w:top w:val="none" w:sz="0" w:space="0" w:color="auto"/>
            <w:left w:val="none" w:sz="0" w:space="0" w:color="auto"/>
            <w:bottom w:val="none" w:sz="0" w:space="0" w:color="auto"/>
            <w:right w:val="none" w:sz="0" w:space="0" w:color="auto"/>
          </w:divBdr>
        </w:div>
      </w:divsChild>
    </w:div>
    <w:div w:id="710039692">
      <w:bodyDiv w:val="1"/>
      <w:marLeft w:val="0"/>
      <w:marRight w:val="0"/>
      <w:marTop w:val="0"/>
      <w:marBottom w:val="0"/>
      <w:divBdr>
        <w:top w:val="none" w:sz="0" w:space="0" w:color="auto"/>
        <w:left w:val="none" w:sz="0" w:space="0" w:color="auto"/>
        <w:bottom w:val="none" w:sz="0" w:space="0" w:color="auto"/>
        <w:right w:val="none" w:sz="0" w:space="0" w:color="auto"/>
      </w:divBdr>
    </w:div>
    <w:div w:id="716440801">
      <w:bodyDiv w:val="1"/>
      <w:marLeft w:val="0"/>
      <w:marRight w:val="0"/>
      <w:marTop w:val="0"/>
      <w:marBottom w:val="0"/>
      <w:divBdr>
        <w:top w:val="none" w:sz="0" w:space="0" w:color="auto"/>
        <w:left w:val="none" w:sz="0" w:space="0" w:color="auto"/>
        <w:bottom w:val="none" w:sz="0" w:space="0" w:color="auto"/>
        <w:right w:val="none" w:sz="0" w:space="0" w:color="auto"/>
      </w:divBdr>
    </w:div>
    <w:div w:id="815495173">
      <w:bodyDiv w:val="1"/>
      <w:marLeft w:val="0"/>
      <w:marRight w:val="0"/>
      <w:marTop w:val="0"/>
      <w:marBottom w:val="0"/>
      <w:divBdr>
        <w:top w:val="none" w:sz="0" w:space="0" w:color="auto"/>
        <w:left w:val="none" w:sz="0" w:space="0" w:color="auto"/>
        <w:bottom w:val="none" w:sz="0" w:space="0" w:color="auto"/>
        <w:right w:val="none" w:sz="0" w:space="0" w:color="auto"/>
      </w:divBdr>
    </w:div>
    <w:div w:id="1451363904">
      <w:bodyDiv w:val="1"/>
      <w:marLeft w:val="0"/>
      <w:marRight w:val="0"/>
      <w:marTop w:val="0"/>
      <w:marBottom w:val="0"/>
      <w:divBdr>
        <w:top w:val="none" w:sz="0" w:space="0" w:color="auto"/>
        <w:left w:val="none" w:sz="0" w:space="0" w:color="auto"/>
        <w:bottom w:val="none" w:sz="0" w:space="0" w:color="auto"/>
        <w:right w:val="none" w:sz="0" w:space="0" w:color="auto"/>
      </w:divBdr>
    </w:div>
    <w:div w:id="19997704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84FA3D7-0DC4-424C-A35F-F2961064B361}">
  <we:reference id="9bb7a975-b568-4b2d-9683-39fd2900118f"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1737</Words>
  <Characters>9902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11616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Ronaldo Cristea (2428428)</cp:lastModifiedBy>
  <cp:revision>2</cp:revision>
  <dcterms:created xsi:type="dcterms:W3CDTF">2026-03-26T21:57:00Z</dcterms:created>
  <dcterms:modified xsi:type="dcterms:W3CDTF">2026-03-26T21:57:00Z</dcterms:modified>
  <cp:category/>
</cp:coreProperties>
</file>