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0BD91" w14:textId="5280C5A0" w:rsidR="007A6153" w:rsidRDefault="00392B67">
      <w:r w:rsidRPr="00392B67">
        <w:drawing>
          <wp:inline distT="0" distB="0" distL="0" distR="0" wp14:anchorId="312A5EE5" wp14:editId="7C0BF888">
            <wp:extent cx="5731510" cy="32397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B7A72" w14:textId="48ADDA00" w:rsidR="009A02AB" w:rsidRDefault="009A02AB">
      <w:r w:rsidRPr="009A02AB">
        <w:drawing>
          <wp:inline distT="0" distB="0" distL="0" distR="0" wp14:anchorId="5091077E" wp14:editId="5071AED3">
            <wp:extent cx="5731510" cy="323342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7C7B5" w14:textId="5CDCA11C" w:rsidR="009A02AB" w:rsidRDefault="009A02AB"/>
    <w:p w14:paraId="300831E6" w14:textId="4F562D0B" w:rsidR="00392B67" w:rsidRDefault="00392B67"/>
    <w:p w14:paraId="3E6B8F38" w14:textId="47366824" w:rsidR="00392B67" w:rsidRDefault="00392B67"/>
    <w:p w14:paraId="67CF3558" w14:textId="3A3BC553" w:rsidR="00392B67" w:rsidRDefault="00392B67"/>
    <w:p w14:paraId="727B7934" w14:textId="77777777" w:rsidR="00500A50" w:rsidRDefault="00500A50"/>
    <w:p w14:paraId="55C89B5A" w14:textId="77777777" w:rsidR="00500A50" w:rsidRDefault="00500A50"/>
    <w:p w14:paraId="751CB950" w14:textId="77777777" w:rsidR="00500A50" w:rsidRDefault="00500A50"/>
    <w:p w14:paraId="5412781B" w14:textId="1260E54C" w:rsidR="00500A50" w:rsidRDefault="009A02AB">
      <w:r w:rsidRPr="009A02AB">
        <w:lastRenderedPageBreak/>
        <w:drawing>
          <wp:inline distT="0" distB="0" distL="0" distR="0" wp14:anchorId="2A494085" wp14:editId="22740A64">
            <wp:extent cx="5731510" cy="322262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38A49" w14:textId="4F6A89AF" w:rsidR="009A02AB" w:rsidRDefault="009A02AB">
      <w:r w:rsidRPr="009A02AB">
        <w:drawing>
          <wp:inline distT="0" distB="0" distL="0" distR="0" wp14:anchorId="4530D4D1" wp14:editId="38622166">
            <wp:extent cx="5731510" cy="326390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8687F" w14:textId="2FBF8D17" w:rsidR="009A02AB" w:rsidRDefault="009A02AB">
      <w:r w:rsidRPr="009A02AB">
        <w:lastRenderedPageBreak/>
        <w:drawing>
          <wp:inline distT="0" distB="0" distL="0" distR="0" wp14:anchorId="6294863E" wp14:editId="293AD18E">
            <wp:extent cx="5731510" cy="3254375"/>
            <wp:effectExtent l="0" t="0" r="254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20951" w14:textId="4FCF3F49" w:rsidR="009A02AB" w:rsidRDefault="009A02AB">
      <w:r w:rsidRPr="009A02AB">
        <w:drawing>
          <wp:inline distT="0" distB="0" distL="0" distR="0" wp14:anchorId="5CBBACE8" wp14:editId="2A07CE98">
            <wp:extent cx="5731510" cy="322707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FA88F" w14:textId="6CB6C1AA" w:rsidR="009A02AB" w:rsidRDefault="009A02AB">
      <w:r w:rsidRPr="009A02AB">
        <w:lastRenderedPageBreak/>
        <w:drawing>
          <wp:inline distT="0" distB="0" distL="0" distR="0" wp14:anchorId="3A3098D6" wp14:editId="3E374F80">
            <wp:extent cx="5731510" cy="3234055"/>
            <wp:effectExtent l="0" t="0" r="254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50AB2" w14:textId="343126F7" w:rsidR="009A02AB" w:rsidRDefault="009A02AB">
      <w:r w:rsidRPr="009A02AB">
        <w:drawing>
          <wp:inline distT="0" distB="0" distL="0" distR="0" wp14:anchorId="5CB08F3F" wp14:editId="035CFD4A">
            <wp:extent cx="5731510" cy="324548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BE919" w14:textId="3B39F1EB" w:rsidR="009A02AB" w:rsidRDefault="009A02AB">
      <w:r w:rsidRPr="009A02AB">
        <w:lastRenderedPageBreak/>
        <w:drawing>
          <wp:inline distT="0" distB="0" distL="0" distR="0" wp14:anchorId="39028E8D" wp14:editId="418F5EAA">
            <wp:extent cx="5731510" cy="326263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C9661" w14:textId="77777777" w:rsidR="00500A50" w:rsidRDefault="00500A50"/>
    <w:p w14:paraId="57760939" w14:textId="77777777" w:rsidR="00500A50" w:rsidRDefault="00500A50"/>
    <w:p w14:paraId="29D42635" w14:textId="77777777" w:rsidR="00500A50" w:rsidRDefault="00500A50"/>
    <w:p w14:paraId="5962DF43" w14:textId="68DC5B03" w:rsidR="00500A50" w:rsidRDefault="00500A50"/>
    <w:p w14:paraId="65D14945" w14:textId="77777777" w:rsidR="00500A50" w:rsidRDefault="00500A50"/>
    <w:p w14:paraId="520F9321" w14:textId="59BC728C" w:rsidR="00500A50" w:rsidRDefault="00500A50"/>
    <w:p w14:paraId="30DCD14D" w14:textId="77777777" w:rsidR="00500A50" w:rsidRDefault="00500A50"/>
    <w:p w14:paraId="5FD521DE" w14:textId="77777777" w:rsidR="00500A50" w:rsidRDefault="00500A50"/>
    <w:p w14:paraId="0E1BCD24" w14:textId="77777777" w:rsidR="00500A50" w:rsidRDefault="00500A50"/>
    <w:p w14:paraId="2D6926A6" w14:textId="77777777" w:rsidR="00500A50" w:rsidRDefault="00500A50"/>
    <w:p w14:paraId="300912C4" w14:textId="77777777" w:rsidR="00500A50" w:rsidRDefault="00500A50"/>
    <w:p w14:paraId="14BD34C0" w14:textId="77777777" w:rsidR="00500A50" w:rsidRDefault="00500A50"/>
    <w:p w14:paraId="6544E948" w14:textId="0C732328" w:rsidR="00500A50" w:rsidRDefault="00500A50"/>
    <w:p w14:paraId="5EDD97E3" w14:textId="1CB69F67" w:rsidR="00392B67" w:rsidRDefault="00392B67"/>
    <w:p w14:paraId="7A802118" w14:textId="77777777" w:rsidR="00392B67" w:rsidRDefault="00392B67"/>
    <w:p w14:paraId="4D95E6DB" w14:textId="243C6AA8" w:rsidR="00392B67" w:rsidRDefault="00392B67"/>
    <w:p w14:paraId="348D5196" w14:textId="77777777" w:rsidR="00500A50" w:rsidRDefault="00500A50"/>
    <w:p w14:paraId="3B84D2EC" w14:textId="426B9DF1" w:rsidR="00500A50" w:rsidRDefault="00392B67">
      <w:r w:rsidRPr="00392B67">
        <w:lastRenderedPageBreak/>
        <w:drawing>
          <wp:inline distT="0" distB="0" distL="0" distR="0" wp14:anchorId="3596FA2C" wp14:editId="1A23C875">
            <wp:extent cx="5731510" cy="3236595"/>
            <wp:effectExtent l="0" t="0" r="254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78EB5" w14:textId="77777777" w:rsidR="00500A50" w:rsidRDefault="00500A50"/>
    <w:p w14:paraId="3FA056E6" w14:textId="77777777" w:rsidR="00500A50" w:rsidRDefault="00500A50"/>
    <w:p w14:paraId="016313F8" w14:textId="77777777" w:rsidR="00500A50" w:rsidRDefault="00500A50"/>
    <w:p w14:paraId="4B26EEFD" w14:textId="77777777" w:rsidR="00500A50" w:rsidRDefault="00500A50"/>
    <w:p w14:paraId="57C1E1B0" w14:textId="77777777" w:rsidR="00500A50" w:rsidRDefault="00500A50"/>
    <w:p w14:paraId="2868F7FA" w14:textId="77777777" w:rsidR="000D53F6" w:rsidRDefault="000D53F6"/>
    <w:p w14:paraId="70E21FD0" w14:textId="77777777" w:rsidR="000D53F6" w:rsidRDefault="000D53F6"/>
    <w:p w14:paraId="39D1C04C" w14:textId="77777777" w:rsidR="000D53F6" w:rsidRDefault="000D53F6"/>
    <w:p w14:paraId="0DB48795" w14:textId="77777777" w:rsidR="000D53F6" w:rsidRDefault="000D53F6"/>
    <w:p w14:paraId="6B370E29" w14:textId="77777777" w:rsidR="000D53F6" w:rsidRDefault="000D53F6"/>
    <w:p w14:paraId="0E831ADD" w14:textId="77777777" w:rsidR="000D53F6" w:rsidRDefault="000D53F6"/>
    <w:p w14:paraId="5DE4F6C7" w14:textId="77777777" w:rsidR="000D53F6" w:rsidRDefault="000D53F6"/>
    <w:p w14:paraId="1BE7E73E" w14:textId="77777777" w:rsidR="000D53F6" w:rsidRDefault="000D53F6"/>
    <w:p w14:paraId="2D7195C5" w14:textId="77777777" w:rsidR="000D53F6" w:rsidRDefault="000D53F6"/>
    <w:p w14:paraId="7365FA04" w14:textId="77777777" w:rsidR="000D53F6" w:rsidRDefault="000D53F6"/>
    <w:p w14:paraId="5E645E4B" w14:textId="77777777" w:rsidR="000D53F6" w:rsidRDefault="000D53F6"/>
    <w:p w14:paraId="34A15D2E" w14:textId="77777777" w:rsidR="00500A50" w:rsidRDefault="00500A50"/>
    <w:p w14:paraId="57CAABEF" w14:textId="09CB48DE" w:rsidR="00D46357" w:rsidRPr="00D46357" w:rsidRDefault="00392B67" w:rsidP="00D46357">
      <w:pPr>
        <w:jc w:val="center"/>
        <w:rPr>
          <w:rFonts w:ascii="Arial" w:hAnsi="Arial" w:cs="Arial"/>
        </w:rPr>
      </w:pPr>
      <w:r w:rsidRPr="00392B67">
        <w:rPr>
          <w:rFonts w:ascii="Arial" w:hAnsi="Arial" w:cs="Arial"/>
        </w:rPr>
        <w:lastRenderedPageBreak/>
        <w:t>References</w:t>
      </w:r>
    </w:p>
    <w:p w14:paraId="1532E624" w14:textId="77777777" w:rsidR="00D46357" w:rsidRPr="00D46357" w:rsidRDefault="00D46357" w:rsidP="00D46357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Arial" w:hAnsi="Arial" w:cs="Arial"/>
        </w:rPr>
      </w:pPr>
    </w:p>
    <w:p w14:paraId="5CB39F49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 xml:space="preserve">Ahn, S.J., Levy, L., Eden, A., Won, A.S., </w:t>
      </w:r>
      <w:proofErr w:type="spellStart"/>
      <w:r w:rsidRPr="00392B67">
        <w:rPr>
          <w:rFonts w:ascii="Arial" w:hAnsi="Arial" w:cs="Arial"/>
        </w:rPr>
        <w:t>MacIntyre</w:t>
      </w:r>
      <w:proofErr w:type="spellEnd"/>
      <w:r w:rsidRPr="00392B67">
        <w:rPr>
          <w:rFonts w:ascii="Arial" w:hAnsi="Arial" w:cs="Arial"/>
        </w:rPr>
        <w:t>, B. and Johnsen, K., 2021. IEEEVR2020: Exploring the first steps toward standalone virtual conferences. </w:t>
      </w:r>
      <w:r w:rsidRPr="00392B67">
        <w:rPr>
          <w:rFonts w:ascii="Arial" w:hAnsi="Arial" w:cs="Arial"/>
          <w:i/>
          <w:iCs/>
        </w:rPr>
        <w:t>Frontiers in Virtual Reality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2</w:t>
      </w:r>
      <w:r w:rsidRPr="00392B67">
        <w:rPr>
          <w:rFonts w:ascii="Arial" w:hAnsi="Arial" w:cs="Arial"/>
        </w:rPr>
        <w:t>, p.648575.</w:t>
      </w:r>
    </w:p>
    <w:p w14:paraId="71F293CD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>Berry, G. and Shabana, K.M., 2020. Adding a strategic lens to feasibility analysis. </w:t>
      </w:r>
      <w:r w:rsidRPr="00392B67">
        <w:rPr>
          <w:rFonts w:ascii="Arial" w:hAnsi="Arial" w:cs="Arial"/>
          <w:i/>
          <w:iCs/>
        </w:rPr>
        <w:t>New England Journal of Entrepreneurship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23</w:t>
      </w:r>
      <w:r w:rsidRPr="00392B67">
        <w:rPr>
          <w:rFonts w:ascii="Arial" w:hAnsi="Arial" w:cs="Arial"/>
        </w:rPr>
        <w:t>(2), pp.67-78.</w:t>
      </w:r>
    </w:p>
    <w:p w14:paraId="021D08FA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  <w:lang w:val="en-IN"/>
        </w:rPr>
        <w:t>Bladen, C. et al (2012). Events Management: An Introduction. Abingdon: Routledge Seven.</w:t>
      </w:r>
    </w:p>
    <w:p w14:paraId="2EEE08B5" w14:textId="5145599A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  <w:lang w:val="en-IN"/>
        </w:rPr>
        <w:t xml:space="preserve">  </w:t>
      </w:r>
      <w:proofErr w:type="spellStart"/>
      <w:r w:rsidRPr="00392B67">
        <w:rPr>
          <w:rFonts w:ascii="Arial" w:hAnsi="Arial" w:cs="Arial"/>
          <w:lang w:val="en-IN"/>
        </w:rPr>
        <w:t>Bowdin</w:t>
      </w:r>
      <w:proofErr w:type="spellEnd"/>
      <w:r w:rsidRPr="00392B67">
        <w:rPr>
          <w:rFonts w:ascii="Arial" w:hAnsi="Arial" w:cs="Arial"/>
          <w:lang w:val="en-IN"/>
        </w:rPr>
        <w:t>, G., Allen, J., O’Toole, W., Harris, R.</w:t>
      </w:r>
      <w:r w:rsidR="000D53F6">
        <w:rPr>
          <w:rFonts w:ascii="Arial" w:hAnsi="Arial" w:cs="Arial"/>
          <w:lang w:val="en-IN"/>
        </w:rPr>
        <w:t>,</w:t>
      </w:r>
      <w:r w:rsidRPr="00392B67">
        <w:rPr>
          <w:rFonts w:ascii="Arial" w:hAnsi="Arial" w:cs="Arial"/>
          <w:lang w:val="en-IN"/>
        </w:rPr>
        <w:t xml:space="preserve"> and McDonnell, I. (2023) Events Management. Oxford: Elsevier</w:t>
      </w:r>
    </w:p>
    <w:p w14:paraId="7CD0CFD5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>Corona-</w:t>
      </w:r>
      <w:proofErr w:type="spellStart"/>
      <w:r w:rsidRPr="00392B67">
        <w:rPr>
          <w:rFonts w:ascii="Arial" w:hAnsi="Arial" w:cs="Arial"/>
        </w:rPr>
        <w:t>Sobrino</w:t>
      </w:r>
      <w:proofErr w:type="spellEnd"/>
      <w:r w:rsidRPr="00392B67">
        <w:rPr>
          <w:rFonts w:ascii="Arial" w:hAnsi="Arial" w:cs="Arial"/>
        </w:rPr>
        <w:t>, C., García-</w:t>
      </w:r>
      <w:proofErr w:type="spellStart"/>
      <w:r w:rsidRPr="00392B67">
        <w:rPr>
          <w:rFonts w:ascii="Arial" w:hAnsi="Arial" w:cs="Arial"/>
        </w:rPr>
        <w:t>Melón</w:t>
      </w:r>
      <w:proofErr w:type="spellEnd"/>
      <w:r w:rsidRPr="00392B67">
        <w:rPr>
          <w:rFonts w:ascii="Arial" w:hAnsi="Arial" w:cs="Arial"/>
        </w:rPr>
        <w:t>, M., Poveda-Bautista, R. and González-</w:t>
      </w:r>
      <w:proofErr w:type="spellStart"/>
      <w:r w:rsidRPr="00392B67">
        <w:rPr>
          <w:rFonts w:ascii="Arial" w:hAnsi="Arial" w:cs="Arial"/>
        </w:rPr>
        <w:t>Urango</w:t>
      </w:r>
      <w:proofErr w:type="spellEnd"/>
      <w:r w:rsidRPr="00392B67">
        <w:rPr>
          <w:rFonts w:ascii="Arial" w:hAnsi="Arial" w:cs="Arial"/>
        </w:rPr>
        <w:t>, H., 2020. Closing the gender gap at academic conferences: a tool for monitoring and assessing academic events. </w:t>
      </w:r>
      <w:proofErr w:type="spellStart"/>
      <w:r w:rsidRPr="00392B67">
        <w:rPr>
          <w:rFonts w:ascii="Arial" w:hAnsi="Arial" w:cs="Arial"/>
          <w:i/>
          <w:iCs/>
        </w:rPr>
        <w:t>PLoS</w:t>
      </w:r>
      <w:proofErr w:type="spellEnd"/>
      <w:r w:rsidRPr="00392B67">
        <w:rPr>
          <w:rFonts w:ascii="Arial" w:hAnsi="Arial" w:cs="Arial"/>
          <w:i/>
          <w:iCs/>
        </w:rPr>
        <w:t xml:space="preserve"> One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15</w:t>
      </w:r>
      <w:r w:rsidRPr="00392B67">
        <w:rPr>
          <w:rFonts w:ascii="Arial" w:hAnsi="Arial" w:cs="Arial"/>
        </w:rPr>
        <w:t>(12), p.e0243549.</w:t>
      </w:r>
    </w:p>
    <w:p w14:paraId="71C22B8B" w14:textId="4B825416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>Hagen, D., 2021. Sustainable event management: new perspectives for the meeting industry through innovation and digitalisation? </w:t>
      </w:r>
      <w:r w:rsidRPr="00392B67">
        <w:rPr>
          <w:rFonts w:ascii="Arial" w:hAnsi="Arial" w:cs="Arial"/>
          <w:i/>
          <w:iCs/>
        </w:rPr>
        <w:t>Innovations and Traditions for Sustainable Development</w:t>
      </w:r>
      <w:r w:rsidRPr="00392B67">
        <w:rPr>
          <w:rFonts w:ascii="Arial" w:hAnsi="Arial" w:cs="Arial"/>
        </w:rPr>
        <w:t>, pp.259-275.</w:t>
      </w:r>
    </w:p>
    <w:p w14:paraId="410D556D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 xml:space="preserve">Hendra, F., </w:t>
      </w:r>
      <w:proofErr w:type="spellStart"/>
      <w:r w:rsidRPr="00392B67">
        <w:rPr>
          <w:rFonts w:ascii="Arial" w:hAnsi="Arial" w:cs="Arial"/>
        </w:rPr>
        <w:t>Supriyono</w:t>
      </w:r>
      <w:proofErr w:type="spellEnd"/>
      <w:r w:rsidRPr="00392B67">
        <w:rPr>
          <w:rFonts w:ascii="Arial" w:hAnsi="Arial" w:cs="Arial"/>
        </w:rPr>
        <w:t xml:space="preserve">, S., Efendi, R., Rosalinda, R. and </w:t>
      </w:r>
      <w:proofErr w:type="spellStart"/>
      <w:r w:rsidRPr="00392B67">
        <w:rPr>
          <w:rFonts w:ascii="Arial" w:hAnsi="Arial" w:cs="Arial"/>
        </w:rPr>
        <w:t>Indriyati</w:t>
      </w:r>
      <w:proofErr w:type="spellEnd"/>
      <w:r w:rsidRPr="00392B67">
        <w:rPr>
          <w:rFonts w:ascii="Arial" w:hAnsi="Arial" w:cs="Arial"/>
        </w:rPr>
        <w:t>, R., 2021. A business feasibility analysis of small and medium enterprises for product strategy determination. </w:t>
      </w:r>
      <w:r w:rsidRPr="00392B67">
        <w:rPr>
          <w:rFonts w:ascii="Arial" w:hAnsi="Arial" w:cs="Arial"/>
          <w:i/>
          <w:iCs/>
        </w:rPr>
        <w:t>Scientific Journal of Reflection: Economic, Accounting, Management and Business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4</w:t>
      </w:r>
      <w:r w:rsidRPr="00392B67">
        <w:rPr>
          <w:rFonts w:ascii="Arial" w:hAnsi="Arial" w:cs="Arial"/>
        </w:rPr>
        <w:t>(3), pp.421-431.</w:t>
      </w:r>
    </w:p>
    <w:p w14:paraId="37932006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>Herman, M.I. and Thai, M.T., 2021. Striving for sustainable value chain establishment: a multiple feasibility analysis approach. </w:t>
      </w:r>
      <w:r w:rsidRPr="00392B67">
        <w:rPr>
          <w:rFonts w:ascii="Arial" w:hAnsi="Arial" w:cs="Arial"/>
          <w:i/>
          <w:iCs/>
        </w:rPr>
        <w:t>Journal of Agribusiness in Developing and Emerging Economies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11</w:t>
      </w:r>
      <w:r w:rsidRPr="00392B67">
        <w:rPr>
          <w:rFonts w:ascii="Arial" w:hAnsi="Arial" w:cs="Arial"/>
        </w:rPr>
        <w:t>(4), pp.379-395.</w:t>
      </w:r>
    </w:p>
    <w:p w14:paraId="22404F76" w14:textId="77777777" w:rsidR="00D46357" w:rsidRPr="00D46357" w:rsidRDefault="00D46357" w:rsidP="00D4635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D46357">
        <w:rPr>
          <w:rFonts w:ascii="Arial" w:hAnsi="Arial" w:cs="Arial"/>
        </w:rPr>
        <w:t>Hilton (2023). </w:t>
      </w:r>
      <w:r w:rsidRPr="00D46357">
        <w:rPr>
          <w:rFonts w:ascii="Arial" w:hAnsi="Arial" w:cs="Arial"/>
          <w:i/>
          <w:iCs/>
        </w:rPr>
        <w:t>Hilton Brands | Global Hospitality Company</w:t>
      </w:r>
      <w:r w:rsidRPr="00D46357">
        <w:rPr>
          <w:rFonts w:ascii="Arial" w:hAnsi="Arial" w:cs="Arial"/>
        </w:rPr>
        <w:t xml:space="preserve">. [online] Hilton.com. Available at: </w:t>
      </w:r>
      <w:hyperlink r:id="rId16" w:history="1">
        <w:r w:rsidRPr="00D46357">
          <w:rPr>
            <w:rStyle w:val="Hyperlink"/>
            <w:rFonts w:ascii="Arial" w:hAnsi="Arial" w:cs="Arial"/>
            <w:color w:val="auto"/>
          </w:rPr>
          <w:t>https://www.hilton.com/en/corporate/</w:t>
        </w:r>
      </w:hyperlink>
      <w:r w:rsidRPr="00D46357">
        <w:rPr>
          <w:rFonts w:ascii="Arial" w:hAnsi="Arial" w:cs="Arial"/>
        </w:rPr>
        <w:t>.</w:t>
      </w:r>
    </w:p>
    <w:p w14:paraId="18352E12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hyperlink r:id="rId17" w:history="1">
        <w:r w:rsidRPr="00392B67">
          <w:rPr>
            <w:rStyle w:val="Hyperlink"/>
            <w:rFonts w:ascii="Arial" w:hAnsi="Arial" w:cs="Arial"/>
            <w:color w:val="auto"/>
            <w:u w:val="none"/>
          </w:rPr>
          <w:t>https://www.etsy.com/uk/listing/1086227696/christmas-treasure-hunt-christmas</w:t>
        </w:r>
      </w:hyperlink>
    </w:p>
    <w:p w14:paraId="4B3537F6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hyperlink r:id="rId18" w:history="1">
        <w:r w:rsidRPr="00392B67">
          <w:rPr>
            <w:rStyle w:val="Hyperlink"/>
            <w:rFonts w:ascii="Arial" w:hAnsi="Arial" w:cs="Arial"/>
            <w:color w:val="auto"/>
            <w:u w:val="none"/>
          </w:rPr>
          <w:t>https://www.queen-of-theme-party-games.com/kids-christmas-treasure-hunt.html</w:t>
        </w:r>
      </w:hyperlink>
    </w:p>
    <w:p w14:paraId="53B0C6E3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lastRenderedPageBreak/>
        <w:t>Ignatyeva</w:t>
      </w:r>
      <w:proofErr w:type="spellEnd"/>
      <w:r w:rsidRPr="00392B67">
        <w:rPr>
          <w:rFonts w:ascii="Arial" w:hAnsi="Arial" w:cs="Arial"/>
        </w:rPr>
        <w:t xml:space="preserve">, M., Yurak, V. and </w:t>
      </w:r>
      <w:proofErr w:type="spellStart"/>
      <w:r w:rsidRPr="00392B67">
        <w:rPr>
          <w:rFonts w:ascii="Arial" w:hAnsi="Arial" w:cs="Arial"/>
        </w:rPr>
        <w:t>Pustokhina</w:t>
      </w:r>
      <w:proofErr w:type="spellEnd"/>
      <w:r w:rsidRPr="00392B67">
        <w:rPr>
          <w:rFonts w:ascii="Arial" w:hAnsi="Arial" w:cs="Arial"/>
        </w:rPr>
        <w:t>, N., 2020. Recultivation of post-mining disturbed land: Review of content and comparative law and feasibility study. </w:t>
      </w:r>
      <w:r w:rsidRPr="00392B67">
        <w:rPr>
          <w:rFonts w:ascii="Arial" w:hAnsi="Arial" w:cs="Arial"/>
          <w:i/>
          <w:iCs/>
        </w:rPr>
        <w:t>Resources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9</w:t>
      </w:r>
      <w:r w:rsidRPr="00392B67">
        <w:rPr>
          <w:rFonts w:ascii="Arial" w:hAnsi="Arial" w:cs="Arial"/>
        </w:rPr>
        <w:t>(6), p.73.</w:t>
      </w:r>
    </w:p>
    <w:p w14:paraId="3FCAC93B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gramStart"/>
      <w:r w:rsidRPr="00392B67">
        <w:rPr>
          <w:rFonts w:ascii="Arial" w:hAnsi="Arial" w:cs="Arial"/>
        </w:rPr>
        <w:t>Indeed</w:t>
      </w:r>
      <w:proofErr w:type="gramEnd"/>
      <w:r w:rsidRPr="00392B67">
        <w:rPr>
          <w:rFonts w:ascii="Arial" w:hAnsi="Arial" w:cs="Arial"/>
        </w:rPr>
        <w:t xml:space="preserve"> Editorial Team, 2024. W</w:t>
      </w:r>
      <w:r w:rsidRPr="00392B67">
        <w:rPr>
          <w:rFonts w:ascii="Arial" w:hAnsi="Arial" w:cs="Arial"/>
          <w:i/>
          <w:iCs/>
        </w:rPr>
        <w:t>hat Is a Feasibility Study? Definition, Benefits</w:t>
      </w:r>
      <w:r w:rsidR="00D46357" w:rsidRPr="00D46357">
        <w:rPr>
          <w:rFonts w:ascii="Arial" w:hAnsi="Arial" w:cs="Arial"/>
          <w:i/>
          <w:iCs/>
        </w:rPr>
        <w:t>,</w:t>
      </w:r>
      <w:r w:rsidRPr="00392B67">
        <w:rPr>
          <w:rFonts w:ascii="Arial" w:hAnsi="Arial" w:cs="Arial"/>
          <w:i/>
          <w:iCs/>
        </w:rPr>
        <w:t xml:space="preserve"> and Types. </w:t>
      </w:r>
      <w:r w:rsidRPr="00392B67">
        <w:rPr>
          <w:rFonts w:ascii="Arial" w:hAnsi="Arial" w:cs="Arial"/>
        </w:rPr>
        <w:t>Online. Available through: &lt; https://www.indeed.com/career-advice/career-development/feasibility-studies&gt;</w:t>
      </w:r>
    </w:p>
    <w:p w14:paraId="6196C34F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t>Jothr</w:t>
      </w:r>
      <w:proofErr w:type="spellEnd"/>
      <w:r w:rsidRPr="00392B67">
        <w:rPr>
          <w:rFonts w:ascii="Arial" w:hAnsi="Arial" w:cs="Arial"/>
        </w:rPr>
        <w:t>, O.A., 2024. Developing the Methodology of the Financial Aspect in the Economic Feasibility Studies of Industrial Project. </w:t>
      </w:r>
      <w:r w:rsidRPr="00392B67">
        <w:rPr>
          <w:rFonts w:ascii="Arial" w:hAnsi="Arial" w:cs="Arial"/>
          <w:i/>
          <w:iCs/>
        </w:rPr>
        <w:t>International Journal of Finance and Business Management (IJFBM)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2</w:t>
      </w:r>
      <w:r w:rsidRPr="00392B67">
        <w:rPr>
          <w:rFonts w:ascii="Arial" w:hAnsi="Arial" w:cs="Arial"/>
        </w:rPr>
        <w:t>(2), pp.81-98.</w:t>
      </w:r>
    </w:p>
    <w:p w14:paraId="6FCF9699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t>Kanstrup</w:t>
      </w:r>
      <w:proofErr w:type="spellEnd"/>
      <w:r w:rsidRPr="00392B67">
        <w:rPr>
          <w:rFonts w:ascii="Arial" w:hAnsi="Arial" w:cs="Arial"/>
        </w:rPr>
        <w:t xml:space="preserve">, M., Rudman, A., Göransson, K., Andersson, E., Lauri, K.O., Rapoport, E., </w:t>
      </w:r>
      <w:proofErr w:type="spellStart"/>
      <w:r w:rsidRPr="00392B67">
        <w:rPr>
          <w:rFonts w:ascii="Arial" w:hAnsi="Arial" w:cs="Arial"/>
        </w:rPr>
        <w:t>Sunnergård</w:t>
      </w:r>
      <w:proofErr w:type="spellEnd"/>
      <w:r w:rsidRPr="00392B67">
        <w:rPr>
          <w:rFonts w:ascii="Arial" w:hAnsi="Arial" w:cs="Arial"/>
        </w:rPr>
        <w:t xml:space="preserve">, L., </w:t>
      </w:r>
      <w:proofErr w:type="spellStart"/>
      <w:r w:rsidRPr="00392B67">
        <w:rPr>
          <w:rFonts w:ascii="Arial" w:hAnsi="Arial" w:cs="Arial"/>
        </w:rPr>
        <w:t>Bragesjö</w:t>
      </w:r>
      <w:proofErr w:type="spellEnd"/>
      <w:r w:rsidRPr="00392B67">
        <w:rPr>
          <w:rFonts w:ascii="Arial" w:hAnsi="Arial" w:cs="Arial"/>
        </w:rPr>
        <w:t xml:space="preserve">, M., Andersson, E., </w:t>
      </w:r>
      <w:proofErr w:type="spellStart"/>
      <w:r w:rsidRPr="00392B67">
        <w:rPr>
          <w:rFonts w:ascii="Arial" w:hAnsi="Arial" w:cs="Arial"/>
        </w:rPr>
        <w:t>Iyadurai</w:t>
      </w:r>
      <w:proofErr w:type="spellEnd"/>
      <w:r w:rsidRPr="00392B67">
        <w:rPr>
          <w:rFonts w:ascii="Arial" w:hAnsi="Arial" w:cs="Arial"/>
        </w:rPr>
        <w:t xml:space="preserve">, L. and Holmes, E.A., 2021. Reaching people soon after a traumatic event: an exploratory observational feasibility study of recruitment in the emergency department to deliver a brief </w:t>
      </w:r>
      <w:proofErr w:type="spellStart"/>
      <w:r w:rsidRPr="00392B67">
        <w:rPr>
          <w:rFonts w:ascii="Arial" w:hAnsi="Arial" w:cs="Arial"/>
        </w:rPr>
        <w:t>behavioral</w:t>
      </w:r>
      <w:proofErr w:type="spellEnd"/>
      <w:r w:rsidRPr="00392B67">
        <w:rPr>
          <w:rFonts w:ascii="Arial" w:hAnsi="Arial" w:cs="Arial"/>
        </w:rPr>
        <w:t xml:space="preserve"> intervention via smartphone to prevent intrusive memories of trauma. </w:t>
      </w:r>
      <w:r w:rsidRPr="00392B67">
        <w:rPr>
          <w:rFonts w:ascii="Arial" w:hAnsi="Arial" w:cs="Arial"/>
          <w:i/>
          <w:iCs/>
        </w:rPr>
        <w:t>Pilot and feasibility studies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7</w:t>
      </w:r>
      <w:r w:rsidRPr="00392B67">
        <w:rPr>
          <w:rFonts w:ascii="Arial" w:hAnsi="Arial" w:cs="Arial"/>
        </w:rPr>
        <w:t>, pp.1-10.</w:t>
      </w:r>
    </w:p>
    <w:p w14:paraId="09D150D0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 xml:space="preserve"> Martins, J, 2024.</w:t>
      </w:r>
      <w:r w:rsidRPr="00392B67">
        <w:rPr>
          <w:rFonts w:ascii="Arial" w:hAnsi="Arial" w:cs="Arial"/>
          <w:b/>
          <w:bCs/>
        </w:rPr>
        <w:t xml:space="preserve"> </w:t>
      </w:r>
      <w:r w:rsidRPr="00392B67">
        <w:rPr>
          <w:rFonts w:ascii="Arial" w:hAnsi="Arial" w:cs="Arial"/>
          <w:i/>
          <w:iCs/>
        </w:rPr>
        <w:t>How to conduct a feasibility study: Templates and examples</w:t>
      </w:r>
      <w:r w:rsidRPr="00392B67">
        <w:rPr>
          <w:rFonts w:ascii="Arial" w:hAnsi="Arial" w:cs="Arial"/>
          <w:b/>
          <w:bCs/>
          <w:i/>
          <w:iCs/>
        </w:rPr>
        <w:t>.</w:t>
      </w:r>
      <w:r w:rsidRPr="00392B67">
        <w:rPr>
          <w:rFonts w:ascii="Arial" w:hAnsi="Arial" w:cs="Arial"/>
        </w:rPr>
        <w:t xml:space="preserve"> Online. Available through: &lt; https://asana.com/resources/feasibility-study&gt;</w:t>
      </w:r>
    </w:p>
    <w:p w14:paraId="3E15FE53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t>Nobrega</w:t>
      </w:r>
      <w:proofErr w:type="spellEnd"/>
      <w:r w:rsidRPr="00392B67">
        <w:rPr>
          <w:rFonts w:ascii="Arial" w:hAnsi="Arial" w:cs="Arial"/>
        </w:rPr>
        <w:t xml:space="preserve">, S., </w:t>
      </w:r>
      <w:proofErr w:type="spellStart"/>
      <w:r w:rsidRPr="00392B67">
        <w:rPr>
          <w:rFonts w:ascii="Arial" w:hAnsi="Arial" w:cs="Arial"/>
        </w:rPr>
        <w:t>Ghaziri</w:t>
      </w:r>
      <w:proofErr w:type="spellEnd"/>
      <w:r w:rsidRPr="00392B67">
        <w:rPr>
          <w:rFonts w:ascii="Arial" w:hAnsi="Arial" w:cs="Arial"/>
        </w:rPr>
        <w:t xml:space="preserve">, M.E., </w:t>
      </w:r>
      <w:proofErr w:type="spellStart"/>
      <w:r w:rsidRPr="00392B67">
        <w:rPr>
          <w:rFonts w:ascii="Arial" w:hAnsi="Arial" w:cs="Arial"/>
        </w:rPr>
        <w:t>Giacobbe</w:t>
      </w:r>
      <w:proofErr w:type="spellEnd"/>
      <w:r w:rsidRPr="00392B67">
        <w:rPr>
          <w:rFonts w:ascii="Arial" w:hAnsi="Arial" w:cs="Arial"/>
        </w:rPr>
        <w:t>, L., Rice, S., Punnett, L. and Edwards, K., 2021. Feasibility of virtual focus groups in program impact evaluation. </w:t>
      </w:r>
      <w:r w:rsidRPr="00392B67">
        <w:rPr>
          <w:rFonts w:ascii="Arial" w:hAnsi="Arial" w:cs="Arial"/>
          <w:i/>
          <w:iCs/>
        </w:rPr>
        <w:t>International journal of qualitative methods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20</w:t>
      </w:r>
      <w:r w:rsidRPr="00392B67">
        <w:rPr>
          <w:rFonts w:ascii="Arial" w:hAnsi="Arial" w:cs="Arial"/>
        </w:rPr>
        <w:t>, p.16094069211019896.</w:t>
      </w:r>
    </w:p>
    <w:p w14:paraId="6CCA89EB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t>Nobrega</w:t>
      </w:r>
      <w:proofErr w:type="spellEnd"/>
      <w:r w:rsidRPr="00392B67">
        <w:rPr>
          <w:rFonts w:ascii="Arial" w:hAnsi="Arial" w:cs="Arial"/>
        </w:rPr>
        <w:t xml:space="preserve">, S., </w:t>
      </w:r>
      <w:proofErr w:type="spellStart"/>
      <w:r w:rsidRPr="00392B67">
        <w:rPr>
          <w:rFonts w:ascii="Arial" w:hAnsi="Arial" w:cs="Arial"/>
        </w:rPr>
        <w:t>Ghaziri</w:t>
      </w:r>
      <w:proofErr w:type="spellEnd"/>
      <w:r w:rsidRPr="00392B67">
        <w:rPr>
          <w:rFonts w:ascii="Arial" w:hAnsi="Arial" w:cs="Arial"/>
        </w:rPr>
        <w:t xml:space="preserve">, M.E., </w:t>
      </w:r>
      <w:proofErr w:type="spellStart"/>
      <w:r w:rsidRPr="00392B67">
        <w:rPr>
          <w:rFonts w:ascii="Arial" w:hAnsi="Arial" w:cs="Arial"/>
        </w:rPr>
        <w:t>Giacobbe</w:t>
      </w:r>
      <w:proofErr w:type="spellEnd"/>
      <w:r w:rsidRPr="00392B67">
        <w:rPr>
          <w:rFonts w:ascii="Arial" w:hAnsi="Arial" w:cs="Arial"/>
        </w:rPr>
        <w:t>, L., Rice, S., Punnett, L. and Edwards, K., 2021. Feasibility of virtual focus groups in program impact evaluation. </w:t>
      </w:r>
      <w:r w:rsidRPr="00392B67">
        <w:rPr>
          <w:rFonts w:ascii="Arial" w:hAnsi="Arial" w:cs="Arial"/>
          <w:i/>
          <w:iCs/>
        </w:rPr>
        <w:t>International journal of qualitative methods</w:t>
      </w:r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20</w:t>
      </w:r>
      <w:r w:rsidRPr="00392B67">
        <w:rPr>
          <w:rFonts w:ascii="Arial" w:hAnsi="Arial" w:cs="Arial"/>
        </w:rPr>
        <w:t>, p.16094069211019896.</w:t>
      </w:r>
    </w:p>
    <w:p w14:paraId="3119FF6C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t>Safa’atillah</w:t>
      </w:r>
      <w:proofErr w:type="spellEnd"/>
      <w:r w:rsidRPr="00392B67">
        <w:rPr>
          <w:rFonts w:ascii="Arial" w:hAnsi="Arial" w:cs="Arial"/>
        </w:rPr>
        <w:t xml:space="preserve">, N. and </w:t>
      </w:r>
      <w:proofErr w:type="spellStart"/>
      <w:r w:rsidRPr="00392B67">
        <w:rPr>
          <w:rFonts w:ascii="Arial" w:hAnsi="Arial" w:cs="Arial"/>
        </w:rPr>
        <w:t>Handayati</w:t>
      </w:r>
      <w:proofErr w:type="spellEnd"/>
      <w:r w:rsidRPr="00392B67">
        <w:rPr>
          <w:rFonts w:ascii="Arial" w:hAnsi="Arial" w:cs="Arial"/>
        </w:rPr>
        <w:t>, R., 2023. An Analysis of the Study of Home Industry Business Feasibility. </w:t>
      </w:r>
      <w:proofErr w:type="spellStart"/>
      <w:r w:rsidRPr="00392B67">
        <w:rPr>
          <w:rFonts w:ascii="Arial" w:hAnsi="Arial" w:cs="Arial"/>
          <w:i/>
          <w:iCs/>
        </w:rPr>
        <w:t>Almana</w:t>
      </w:r>
      <w:proofErr w:type="spellEnd"/>
      <w:r w:rsidRPr="00392B67">
        <w:rPr>
          <w:rFonts w:ascii="Arial" w:hAnsi="Arial" w:cs="Arial"/>
          <w:i/>
          <w:iCs/>
        </w:rPr>
        <w:t xml:space="preserve">: </w:t>
      </w:r>
      <w:proofErr w:type="spellStart"/>
      <w:r w:rsidRPr="00392B67">
        <w:rPr>
          <w:rFonts w:ascii="Arial" w:hAnsi="Arial" w:cs="Arial"/>
          <w:i/>
          <w:iCs/>
        </w:rPr>
        <w:t>Jurnal</w:t>
      </w:r>
      <w:proofErr w:type="spellEnd"/>
      <w:r w:rsidRPr="00392B67">
        <w:rPr>
          <w:rFonts w:ascii="Arial" w:hAnsi="Arial" w:cs="Arial"/>
          <w:i/>
          <w:iCs/>
        </w:rPr>
        <w:t xml:space="preserve"> </w:t>
      </w:r>
      <w:proofErr w:type="spellStart"/>
      <w:r w:rsidRPr="00392B67">
        <w:rPr>
          <w:rFonts w:ascii="Arial" w:hAnsi="Arial" w:cs="Arial"/>
          <w:i/>
          <w:iCs/>
        </w:rPr>
        <w:t>Manajemen</w:t>
      </w:r>
      <w:proofErr w:type="spellEnd"/>
      <w:r w:rsidRPr="00392B67">
        <w:rPr>
          <w:rFonts w:ascii="Arial" w:hAnsi="Arial" w:cs="Arial"/>
          <w:i/>
          <w:iCs/>
        </w:rPr>
        <w:t xml:space="preserve"> dan </w:t>
      </w:r>
      <w:proofErr w:type="spellStart"/>
      <w:r w:rsidRPr="00392B67">
        <w:rPr>
          <w:rFonts w:ascii="Arial" w:hAnsi="Arial" w:cs="Arial"/>
          <w:i/>
          <w:iCs/>
        </w:rPr>
        <w:t>Bisnis</w:t>
      </w:r>
      <w:proofErr w:type="spellEnd"/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7</w:t>
      </w:r>
      <w:r w:rsidRPr="00392B67">
        <w:rPr>
          <w:rFonts w:ascii="Arial" w:hAnsi="Arial" w:cs="Arial"/>
        </w:rPr>
        <w:t>(3), pp.508-516.</w:t>
      </w:r>
    </w:p>
    <w:p w14:paraId="4D68A03C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t>Samrose</w:t>
      </w:r>
      <w:proofErr w:type="spellEnd"/>
      <w:r w:rsidRPr="00392B67">
        <w:rPr>
          <w:rFonts w:ascii="Arial" w:hAnsi="Arial" w:cs="Arial"/>
        </w:rPr>
        <w:t xml:space="preserve">, S., McDuff, D., Sim, R., Suh, J., Rowan, K., Hernandez, J., </w:t>
      </w:r>
      <w:proofErr w:type="spellStart"/>
      <w:r w:rsidRPr="00392B67">
        <w:rPr>
          <w:rFonts w:ascii="Arial" w:hAnsi="Arial" w:cs="Arial"/>
        </w:rPr>
        <w:t>Rintel</w:t>
      </w:r>
      <w:proofErr w:type="spellEnd"/>
      <w:r w:rsidRPr="00392B67">
        <w:rPr>
          <w:rFonts w:ascii="Arial" w:hAnsi="Arial" w:cs="Arial"/>
        </w:rPr>
        <w:t xml:space="preserve">, S., Moynihan, K. and Czerwinski, M., 2021, May. </w:t>
      </w:r>
      <w:proofErr w:type="spellStart"/>
      <w:r w:rsidRPr="00392B67">
        <w:rPr>
          <w:rFonts w:ascii="Arial" w:hAnsi="Arial" w:cs="Arial"/>
        </w:rPr>
        <w:t>Meetingcoach</w:t>
      </w:r>
      <w:proofErr w:type="spellEnd"/>
      <w:r w:rsidRPr="00392B67">
        <w:rPr>
          <w:rFonts w:ascii="Arial" w:hAnsi="Arial" w:cs="Arial"/>
        </w:rPr>
        <w:t xml:space="preserve">: An intelligent </w:t>
      </w:r>
      <w:r w:rsidRPr="00392B67">
        <w:rPr>
          <w:rFonts w:ascii="Arial" w:hAnsi="Arial" w:cs="Arial"/>
        </w:rPr>
        <w:lastRenderedPageBreak/>
        <w:t>dashboard for supporting effective &amp; inclusive meetings. In </w:t>
      </w:r>
      <w:r w:rsidRPr="00392B67">
        <w:rPr>
          <w:rFonts w:ascii="Arial" w:hAnsi="Arial" w:cs="Arial"/>
          <w:i/>
          <w:iCs/>
        </w:rPr>
        <w:t>Proceedings of the 2021 CHI Conference on Human Factors in Computing Systems</w:t>
      </w:r>
      <w:r w:rsidRPr="00392B67">
        <w:rPr>
          <w:rFonts w:ascii="Arial" w:hAnsi="Arial" w:cs="Arial"/>
        </w:rPr>
        <w:t> (pp. 1-13).</w:t>
      </w:r>
    </w:p>
    <w:p w14:paraId="41D7FB02" w14:textId="77777777" w:rsidR="00D46357" w:rsidRPr="003737B6" w:rsidRDefault="00D46357" w:rsidP="00D4635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737B6">
        <w:rPr>
          <w:rFonts w:ascii="Arial" w:hAnsi="Arial" w:cs="Arial"/>
        </w:rPr>
        <w:t xml:space="preserve">Stonehill Research (2024). Event Management Services Market Trends, Growth Opportunities, and Forecast Scenarios </w:t>
      </w:r>
      <w:proofErr w:type="gramStart"/>
      <w:r w:rsidRPr="003737B6">
        <w:rPr>
          <w:rFonts w:ascii="Arial" w:hAnsi="Arial" w:cs="Arial"/>
        </w:rPr>
        <w:t>The</w:t>
      </w:r>
      <w:proofErr w:type="gramEnd"/>
      <w:r w:rsidRPr="003737B6">
        <w:rPr>
          <w:rFonts w:ascii="Arial" w:hAnsi="Arial" w:cs="Arial"/>
        </w:rPr>
        <w:t xml:space="preserve"> Event Management Services market research reports provide a comprehensive analysis of the current market conditions, industry trends, and key challenges faced by players in the industry. The reports highlight t. [online] Linkedin.com. Available at: https://www.linkedin.com/pulse/event-management-services-market-trends-analysis-forecasted-7bzrc [Accessed 1</w:t>
      </w:r>
      <w:r w:rsidRPr="003737B6">
        <w:rPr>
          <w:rFonts w:ascii="Arial" w:hAnsi="Arial" w:cs="Arial"/>
        </w:rPr>
        <w:t>5</w:t>
      </w:r>
      <w:r w:rsidRPr="003737B6">
        <w:rPr>
          <w:rFonts w:ascii="Arial" w:hAnsi="Arial" w:cs="Arial"/>
        </w:rPr>
        <w:t xml:space="preserve"> Oct. 2024].</w:t>
      </w:r>
    </w:p>
    <w:p w14:paraId="15C55412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92B67">
        <w:rPr>
          <w:rFonts w:ascii="Arial" w:hAnsi="Arial" w:cs="Arial"/>
        </w:rPr>
        <w:t>Sukardi</w:t>
      </w:r>
      <w:proofErr w:type="spellEnd"/>
      <w:r w:rsidRPr="00392B67">
        <w:rPr>
          <w:rFonts w:ascii="Arial" w:hAnsi="Arial" w:cs="Arial"/>
        </w:rPr>
        <w:t>, L., Ayu, C. and Husni, S., 2022. The Financial and Economic Feasibility Analysis: A Value-Added Approach. </w:t>
      </w:r>
      <w:r w:rsidRPr="00392B67">
        <w:rPr>
          <w:rFonts w:ascii="Arial" w:hAnsi="Arial" w:cs="Arial"/>
          <w:i/>
          <w:iCs/>
        </w:rPr>
        <w:t xml:space="preserve">Tec </w:t>
      </w:r>
      <w:proofErr w:type="spellStart"/>
      <w:r w:rsidRPr="00392B67">
        <w:rPr>
          <w:rFonts w:ascii="Arial" w:hAnsi="Arial" w:cs="Arial"/>
          <w:i/>
          <w:iCs/>
        </w:rPr>
        <w:t>Empresarial</w:t>
      </w:r>
      <w:proofErr w:type="spellEnd"/>
      <w:r w:rsidRPr="00392B67">
        <w:rPr>
          <w:rFonts w:ascii="Arial" w:hAnsi="Arial" w:cs="Arial"/>
        </w:rPr>
        <w:t>, </w:t>
      </w:r>
      <w:r w:rsidRPr="00392B67">
        <w:rPr>
          <w:rFonts w:ascii="Arial" w:hAnsi="Arial" w:cs="Arial"/>
          <w:i/>
          <w:iCs/>
        </w:rPr>
        <w:t>17</w:t>
      </w:r>
      <w:r w:rsidRPr="00392B67">
        <w:rPr>
          <w:rFonts w:ascii="Arial" w:hAnsi="Arial" w:cs="Arial"/>
        </w:rPr>
        <w:t>(2), pp.17-33.</w:t>
      </w:r>
    </w:p>
    <w:p w14:paraId="4E36EFEF" w14:textId="77777777" w:rsidR="00392B67" w:rsidRPr="00392B67" w:rsidRDefault="00392B67" w:rsidP="00D463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2B67">
        <w:rPr>
          <w:rFonts w:ascii="Arial" w:hAnsi="Arial" w:cs="Arial"/>
        </w:rPr>
        <w:t xml:space="preserve">Visit Monmouthshire, 2024.  </w:t>
      </w:r>
      <w:r w:rsidRPr="00392B67">
        <w:rPr>
          <w:rFonts w:ascii="Arial" w:hAnsi="Arial" w:cs="Arial"/>
          <w:i/>
          <w:iCs/>
        </w:rPr>
        <w:t>Event feasibility study</w:t>
      </w:r>
      <w:r w:rsidRPr="00392B67">
        <w:rPr>
          <w:rFonts w:ascii="Arial" w:hAnsi="Arial" w:cs="Arial"/>
        </w:rPr>
        <w:t xml:space="preserve">. Online. Available through: &lt; </w:t>
      </w:r>
      <w:hyperlink r:id="rId19" w:history="1">
        <w:r w:rsidRPr="00392B67">
          <w:rPr>
            <w:rStyle w:val="Hyperlink"/>
            <w:rFonts w:ascii="Arial" w:hAnsi="Arial" w:cs="Arial"/>
            <w:color w:val="auto"/>
          </w:rPr>
          <w:t>https://www.visitmonmouthshire.com/information/events-management/feasibility</w:t>
        </w:r>
      </w:hyperlink>
      <w:r w:rsidRPr="00392B67">
        <w:rPr>
          <w:rFonts w:ascii="Arial" w:hAnsi="Arial" w:cs="Arial"/>
        </w:rPr>
        <w:t>&gt;</w:t>
      </w:r>
    </w:p>
    <w:sectPr w:rsidR="00392B67" w:rsidRPr="00392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82C42"/>
    <w:multiLevelType w:val="hybridMultilevel"/>
    <w:tmpl w:val="49F00C32"/>
    <w:lvl w:ilvl="0" w:tplc="463E333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9C503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F60A8A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7FA3C5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FA4473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57890E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BA8122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F48455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F8075A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B0B09EE"/>
    <w:multiLevelType w:val="hybridMultilevel"/>
    <w:tmpl w:val="48485A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612043">
    <w:abstractNumId w:val="0"/>
  </w:num>
  <w:num w:numId="2" w16cid:durableId="1310012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D3"/>
    <w:rsid w:val="0004053D"/>
    <w:rsid w:val="000D53F6"/>
    <w:rsid w:val="002668EC"/>
    <w:rsid w:val="002F7BF1"/>
    <w:rsid w:val="003157BF"/>
    <w:rsid w:val="003212E4"/>
    <w:rsid w:val="003737B6"/>
    <w:rsid w:val="00392B67"/>
    <w:rsid w:val="004154A2"/>
    <w:rsid w:val="00500A50"/>
    <w:rsid w:val="005B44D8"/>
    <w:rsid w:val="007054CD"/>
    <w:rsid w:val="007A6153"/>
    <w:rsid w:val="008535D3"/>
    <w:rsid w:val="009A02AB"/>
    <w:rsid w:val="00A536E0"/>
    <w:rsid w:val="00B262C3"/>
    <w:rsid w:val="00D46357"/>
    <w:rsid w:val="00ED0C75"/>
    <w:rsid w:val="00F3709F"/>
    <w:rsid w:val="00F5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B6E5B1"/>
  <w15:chartTrackingRefBased/>
  <w15:docId w15:val="{F8AC24B9-6647-4CBB-A82B-BFE8E72B8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5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5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5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5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5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5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5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5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5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5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5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5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5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5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5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5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5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5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5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5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5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5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5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5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5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5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5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5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5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2B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B6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05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16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0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4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89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78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8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53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96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98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10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33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83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98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63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09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3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72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65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56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83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720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38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70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74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864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39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queen-of-theme-party-games.com/kids-christmas-treasure-hunt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www.etsy.com/uk/listing/1086227696/christmas-treasure-hunt-christm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ilton.com/en/corporate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yperlink" Target="https://www.visitmonmouthshire.com/information/events-management/feasibilit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D029C-561D-48E7-BD43-BBD5E9067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9</Pages>
  <Words>639</Words>
  <Characters>4385</Characters>
  <DocSecurity>0</DocSecurity>
  <Lines>125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2024-10-18T09:49:00Z</dcterms:created>
  <dcterms:modified xsi:type="dcterms:W3CDTF">2024-10-18T17:30:00Z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fc23aab8865df1ae78ba658001167b0f1642f5d81b9de75d0dabb31844fca407</vt:lpwstr>
  </property>
</Properties>
</file>