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F12E2" w14:textId="77777777" w:rsidR="003E60A9" w:rsidRDefault="0038429D">
      <w:pPr>
        <w:pStyle w:val="Title"/>
      </w:pPr>
      <w:r>
        <w:t>Iodine clock experiment</w:t>
      </w:r>
    </w:p>
    <w:p w14:paraId="13241D14" w14:textId="77777777" w:rsidR="003E60A9" w:rsidRDefault="003E60A9"/>
    <w:p w14:paraId="6B7C4BD9" w14:textId="77777777" w:rsidR="003E60A9" w:rsidRDefault="003E60A9"/>
    <w:p w14:paraId="1A76BDE5" w14:textId="77777777" w:rsidR="003E60A9" w:rsidRDefault="003E60A9"/>
    <w:p w14:paraId="585FA99F" w14:textId="77777777" w:rsidR="003E60A9" w:rsidRDefault="003E60A9"/>
    <w:p w14:paraId="68FB11C6" w14:textId="77777777" w:rsidR="003E60A9" w:rsidRDefault="003E60A9"/>
    <w:p w14:paraId="02E5D10B" w14:textId="77777777" w:rsidR="003E60A9" w:rsidRDefault="003E60A9"/>
    <w:p w14:paraId="45914CFE" w14:textId="77777777" w:rsidR="003E60A9" w:rsidRDefault="003E60A9"/>
    <w:p w14:paraId="72437661" w14:textId="77777777" w:rsidR="003E60A9" w:rsidRDefault="003E60A9"/>
    <w:p w14:paraId="21214A5F" w14:textId="77777777" w:rsidR="003E60A9" w:rsidRDefault="003E60A9"/>
    <w:p w14:paraId="152EDDFB" w14:textId="77777777" w:rsidR="003E60A9" w:rsidRDefault="003E60A9"/>
    <w:p w14:paraId="420693E4" w14:textId="77777777" w:rsidR="003E60A9" w:rsidRDefault="003E60A9"/>
    <w:p w14:paraId="11646407" w14:textId="77777777" w:rsidR="003E60A9" w:rsidRDefault="003E60A9"/>
    <w:p w14:paraId="535E1DFC" w14:textId="77777777" w:rsidR="003E60A9" w:rsidRDefault="003E60A9"/>
    <w:p w14:paraId="5CB12449" w14:textId="77777777" w:rsidR="003E60A9" w:rsidRDefault="003E60A9"/>
    <w:p w14:paraId="12C9F943" w14:textId="77777777" w:rsidR="003E60A9" w:rsidRDefault="003E60A9"/>
    <w:p w14:paraId="696C32AA" w14:textId="77777777" w:rsidR="003E60A9" w:rsidRDefault="003E60A9"/>
    <w:p w14:paraId="76E08DDA" w14:textId="77777777" w:rsidR="003E60A9" w:rsidRDefault="003E60A9"/>
    <w:p w14:paraId="1FAEEC31" w14:textId="77777777" w:rsidR="003E60A9" w:rsidRDefault="003E60A9"/>
    <w:p w14:paraId="14A7E15B" w14:textId="77777777" w:rsidR="003E60A9" w:rsidRDefault="0038429D">
      <w:r>
        <w:t xml:space="preserve"> </w:t>
      </w:r>
    </w:p>
    <w:p w14:paraId="077D1377" w14:textId="77777777" w:rsidR="003E60A9" w:rsidRDefault="003E60A9"/>
    <w:p w14:paraId="64606092" w14:textId="77777777" w:rsidR="003E60A9" w:rsidRDefault="003E60A9"/>
    <w:p w14:paraId="60659E8C" w14:textId="77777777" w:rsidR="003E60A9" w:rsidRDefault="003E60A9"/>
    <w:p w14:paraId="35805513" w14:textId="77777777" w:rsidR="003E60A9" w:rsidRDefault="003E60A9"/>
    <w:p w14:paraId="174C892E" w14:textId="77777777" w:rsidR="003E60A9" w:rsidRDefault="0038429D">
      <w:pPr>
        <w:rPr>
          <w:rFonts w:eastAsia="Times New Roman"/>
          <w:b/>
          <w:bCs/>
          <w:sz w:val="28"/>
          <w:szCs w:val="28"/>
        </w:rPr>
      </w:pPr>
      <w:r>
        <w:rPr>
          <w:rFonts w:eastAsia="Times New Roman"/>
          <w:b/>
          <w:bCs/>
          <w:sz w:val="28"/>
          <w:szCs w:val="28"/>
        </w:rPr>
        <w:t>By Daniel Garton 2219350</w:t>
      </w:r>
    </w:p>
    <w:p w14:paraId="6E3763ED" w14:textId="77777777" w:rsidR="003E60A9" w:rsidRDefault="0038429D">
      <w:pPr>
        <w:rPr>
          <w:rFonts w:eastAsia="Times New Roman"/>
          <w:b/>
          <w:bCs/>
          <w:sz w:val="28"/>
          <w:szCs w:val="28"/>
        </w:rPr>
      </w:pPr>
      <w:r>
        <w:rPr>
          <w:rFonts w:eastAsia="Times New Roman"/>
          <w:b/>
          <w:bCs/>
          <w:sz w:val="28"/>
          <w:szCs w:val="28"/>
        </w:rPr>
        <w:t>ACDA5021</w:t>
      </w:r>
    </w:p>
    <w:p w14:paraId="5E018078" w14:textId="77777777" w:rsidR="003E60A9" w:rsidRDefault="0038429D">
      <w:hyperlink r:id="rId7" w:history="1">
        <w:r>
          <w:rPr>
            <w:rStyle w:val="Hyperlink"/>
            <w:rFonts w:eastAsia="Times New Roman"/>
            <w:b/>
            <w:bCs/>
            <w:sz w:val="28"/>
            <w:szCs w:val="28"/>
          </w:rPr>
          <w:t>2219350@student.uwtsd.ac.uk</w:t>
        </w:r>
      </w:hyperlink>
    </w:p>
    <w:p w14:paraId="7AAA61B8" w14:textId="77777777" w:rsidR="003E60A9" w:rsidRDefault="0038429D">
      <w:pPr>
        <w:pStyle w:val="TOCHeading"/>
        <w:outlineLvl w:val="9"/>
      </w:pPr>
      <w:r>
        <w:lastRenderedPageBreak/>
        <w:t>Contents</w:t>
      </w:r>
    </w:p>
    <w:p w14:paraId="7573BFC9" w14:textId="77777777" w:rsidR="003E60A9" w:rsidRDefault="0038429D">
      <w:pPr>
        <w:pStyle w:val="TOC1"/>
        <w:tabs>
          <w:tab w:val="right" w:leader="dot" w:pos="9016"/>
        </w:tabs>
      </w:pPr>
      <w:r>
        <w:rPr>
          <w:rFonts w:ascii="Aptos Display" w:eastAsia="Times New Roman" w:hAnsi="Aptos Display"/>
          <w:color w:val="0F4761"/>
          <w:kern w:val="0"/>
          <w:sz w:val="32"/>
          <w:szCs w:val="32"/>
          <w:lang w:eastAsia="en-GB"/>
        </w:rPr>
        <w:fldChar w:fldCharType="begin"/>
      </w:r>
      <w:r>
        <w:instrText xml:space="preserve"> TOC \o "1-3" \u \h </w:instrText>
      </w:r>
      <w:r>
        <w:rPr>
          <w:rFonts w:ascii="Aptos Display" w:eastAsia="Times New Roman" w:hAnsi="Aptos Display"/>
          <w:color w:val="0F4761"/>
          <w:kern w:val="0"/>
          <w:sz w:val="32"/>
          <w:szCs w:val="32"/>
          <w:lang w:eastAsia="en-GB"/>
        </w:rPr>
        <w:fldChar w:fldCharType="separate"/>
      </w:r>
      <w:hyperlink r:id="rId8" w:history="1">
        <w:r>
          <w:rPr>
            <w:rStyle w:val="Hyperlink"/>
            <w:b/>
            <w:bCs/>
          </w:rPr>
          <w:t>Introduction</w:t>
        </w:r>
        <w:r>
          <w:tab/>
          <w:t>2</w:t>
        </w:r>
      </w:hyperlink>
    </w:p>
    <w:p w14:paraId="74916A3E" w14:textId="77777777" w:rsidR="003E60A9" w:rsidRDefault="0038429D">
      <w:pPr>
        <w:pStyle w:val="TOC1"/>
        <w:tabs>
          <w:tab w:val="right" w:leader="dot" w:pos="9016"/>
        </w:tabs>
      </w:pPr>
      <w:hyperlink r:id="rId9" w:history="1">
        <w:r>
          <w:rPr>
            <w:rStyle w:val="Hyperlink"/>
            <w:b/>
            <w:bCs/>
          </w:rPr>
          <w:t>Results</w:t>
        </w:r>
        <w:r>
          <w:tab/>
          <w:t>3</w:t>
        </w:r>
      </w:hyperlink>
    </w:p>
    <w:p w14:paraId="09A5BFD7" w14:textId="77777777" w:rsidR="003E60A9" w:rsidRDefault="0038429D">
      <w:pPr>
        <w:pStyle w:val="TOC1"/>
        <w:tabs>
          <w:tab w:val="right" w:leader="dot" w:pos="9016"/>
        </w:tabs>
      </w:pPr>
      <w:hyperlink r:id="rId10" w:history="1">
        <w:r>
          <w:rPr>
            <w:rStyle w:val="Hyperlink"/>
            <w:b/>
            <w:bCs/>
          </w:rPr>
          <w:t>Discussion</w:t>
        </w:r>
        <w:r>
          <w:tab/>
          <w:t>5</w:t>
        </w:r>
      </w:hyperlink>
    </w:p>
    <w:p w14:paraId="36BD6390" w14:textId="77777777" w:rsidR="003E60A9" w:rsidRDefault="0038429D">
      <w:pPr>
        <w:pStyle w:val="TOC2"/>
        <w:tabs>
          <w:tab w:val="right" w:leader="dot" w:pos="9016"/>
        </w:tabs>
      </w:pPr>
      <w:hyperlink r:id="rId11" w:history="1">
        <w:r>
          <w:rPr>
            <w:rStyle w:val="Hyperlink"/>
          </w:rPr>
          <w:t>Experiment issues</w:t>
        </w:r>
        <w:r>
          <w:tab/>
          <w:t>5</w:t>
        </w:r>
      </w:hyperlink>
    </w:p>
    <w:p w14:paraId="1AA15798" w14:textId="77777777" w:rsidR="003E60A9" w:rsidRDefault="0038429D">
      <w:pPr>
        <w:pStyle w:val="TOC2"/>
        <w:tabs>
          <w:tab w:val="right" w:leader="dot" w:pos="9016"/>
        </w:tabs>
      </w:pPr>
      <w:hyperlink r:id="rId12" w:history="1">
        <w:r>
          <w:rPr>
            <w:rStyle w:val="Hyperlink"/>
          </w:rPr>
          <w:t>Specific issues to the experiment conducted</w:t>
        </w:r>
        <w:r>
          <w:tab/>
          <w:t>5</w:t>
        </w:r>
      </w:hyperlink>
    </w:p>
    <w:p w14:paraId="3AAA1240" w14:textId="77777777" w:rsidR="003E60A9" w:rsidRDefault="0038429D">
      <w:pPr>
        <w:pStyle w:val="TOC1"/>
        <w:tabs>
          <w:tab w:val="right" w:leader="dot" w:pos="9016"/>
        </w:tabs>
      </w:pPr>
      <w:hyperlink r:id="rId13" w:history="1">
        <w:r>
          <w:rPr>
            <w:rStyle w:val="Hyperlink"/>
            <w:b/>
            <w:bCs/>
          </w:rPr>
          <w:t>Conclusion</w:t>
        </w:r>
        <w:r>
          <w:tab/>
          <w:t>6</w:t>
        </w:r>
      </w:hyperlink>
    </w:p>
    <w:p w14:paraId="298AE549" w14:textId="77777777" w:rsidR="003E60A9" w:rsidRDefault="0038429D">
      <w:pPr>
        <w:pStyle w:val="TOC1"/>
        <w:tabs>
          <w:tab w:val="right" w:leader="dot" w:pos="9016"/>
        </w:tabs>
      </w:pPr>
      <w:hyperlink r:id="rId14" w:history="1">
        <w:r>
          <w:rPr>
            <w:rStyle w:val="Hyperlink"/>
          </w:rPr>
          <w:t>Bibliography</w:t>
        </w:r>
        <w:r>
          <w:tab/>
          <w:t>6</w:t>
        </w:r>
      </w:hyperlink>
    </w:p>
    <w:p w14:paraId="508AF8A9" w14:textId="77777777" w:rsidR="003E60A9" w:rsidRDefault="0038429D">
      <w:pPr>
        <w:pStyle w:val="TOC1"/>
        <w:tabs>
          <w:tab w:val="right" w:leader="dot" w:pos="9016"/>
        </w:tabs>
      </w:pPr>
      <w:hyperlink r:id="rId15" w:history="1">
        <w:r>
          <w:rPr>
            <w:rStyle w:val="Hyperlink"/>
          </w:rPr>
          <w:t>Appendix:</w:t>
        </w:r>
        <w:r>
          <w:tab/>
          <w:t>7</w:t>
        </w:r>
      </w:hyperlink>
    </w:p>
    <w:p w14:paraId="7E724EBF" w14:textId="77777777" w:rsidR="003E60A9" w:rsidRDefault="0038429D">
      <w:r>
        <w:fldChar w:fldCharType="end"/>
      </w:r>
    </w:p>
    <w:p w14:paraId="0243F00C" w14:textId="77777777" w:rsidR="003E60A9" w:rsidRDefault="003E60A9">
      <w:pPr>
        <w:rPr>
          <w:rFonts w:eastAsia="Times New Roman"/>
          <w:b/>
          <w:bCs/>
          <w:sz w:val="28"/>
          <w:szCs w:val="28"/>
        </w:rPr>
      </w:pPr>
    </w:p>
    <w:p w14:paraId="035CBD2D" w14:textId="77777777" w:rsidR="003E60A9" w:rsidRDefault="003E60A9"/>
    <w:p w14:paraId="17D21F66" w14:textId="77777777" w:rsidR="003E60A9" w:rsidRDefault="0038429D">
      <w:pPr>
        <w:pStyle w:val="Heading1"/>
      </w:pPr>
      <w:bookmarkStart w:id="0" w:name="_Toc213416912"/>
      <w:r>
        <w:rPr>
          <w:b/>
          <w:bCs/>
        </w:rPr>
        <w:t>Introduction</w:t>
      </w:r>
      <w:bookmarkEnd w:id="0"/>
    </w:p>
    <w:p w14:paraId="730B516D" w14:textId="77777777" w:rsidR="003E60A9" w:rsidRDefault="0038429D">
      <w:r>
        <w:t xml:space="preserve">Experiment Aim – To determine the rate law for the formation of iodine in reaction between hydrogen peroxide and iodide ions in aqueous solution, using vitamin C (Ascorbic acid) as a reducing agent and starch as an indicator. </w:t>
      </w:r>
    </w:p>
    <w:p w14:paraId="143FBB33" w14:textId="77777777" w:rsidR="003E60A9" w:rsidRDefault="0038429D">
      <w:r>
        <w:t xml:space="preserve">Iodine clock was discovered in 1886 [1]by Hans Heinrich Landolt and was the first clear demonstration of reaction kinetics. It is now commonly used in educational institutes. </w:t>
      </w:r>
    </w:p>
    <w:tbl>
      <w:tblPr>
        <w:tblW w:w="7404" w:type="dxa"/>
        <w:tblCellMar>
          <w:left w:w="10" w:type="dxa"/>
          <w:right w:w="10" w:type="dxa"/>
        </w:tblCellMar>
        <w:tblLook w:val="04A0" w:firstRow="1" w:lastRow="0" w:firstColumn="1" w:lastColumn="0" w:noHBand="0" w:noVBand="1"/>
      </w:tblPr>
      <w:tblGrid>
        <w:gridCol w:w="1481"/>
        <w:gridCol w:w="1795"/>
        <w:gridCol w:w="1361"/>
        <w:gridCol w:w="1286"/>
        <w:gridCol w:w="1481"/>
      </w:tblGrid>
      <w:tr w:rsidR="003E60A9" w14:paraId="512C9A56" w14:textId="77777777">
        <w:tblPrEx>
          <w:tblCellMar>
            <w:top w:w="0" w:type="dxa"/>
            <w:bottom w:w="0" w:type="dxa"/>
          </w:tblCellMar>
        </w:tblPrEx>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FD414E" w14:textId="77777777" w:rsidR="003E60A9" w:rsidRDefault="0038429D">
            <w:r>
              <w:t>A: KI 0.20 M (mL) [2]</w:t>
            </w:r>
          </w:p>
        </w:tc>
        <w:tc>
          <w:tcPr>
            <w:tcW w:w="17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F4CDD" w14:textId="77777777" w:rsidR="003E60A9" w:rsidRDefault="0038429D">
            <w:r>
              <w:t>A: Vit C 0.010 M (mL) [3]</w:t>
            </w:r>
          </w:p>
        </w:tc>
        <w:tc>
          <w:tcPr>
            <w:tcW w:w="13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F49A1E" w14:textId="77777777" w:rsidR="003E60A9" w:rsidRDefault="0038429D">
            <w:r>
              <w:t xml:space="preserve">A: </w:t>
            </w:r>
            <w:r>
              <w:t>Starch 1% (mL) [4]</w:t>
            </w:r>
          </w:p>
        </w:tc>
        <w:tc>
          <w:tcPr>
            <w:tcW w:w="1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95706" w14:textId="77777777" w:rsidR="003E60A9" w:rsidRDefault="0038429D">
            <w:r>
              <w:t>A: Water (mL) [5]</w:t>
            </w:r>
          </w:p>
        </w:tc>
        <w:tc>
          <w:tcPr>
            <w:tcW w:w="14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C7120" w14:textId="77777777" w:rsidR="003E60A9" w:rsidRDefault="0038429D">
            <w:r>
              <w:t>B: H₂O₂ 3% (mL) [6]</w:t>
            </w:r>
          </w:p>
        </w:tc>
      </w:tr>
    </w:tbl>
    <w:p w14:paraId="3729BA8C" w14:textId="77777777" w:rsidR="003E60A9" w:rsidRDefault="003E60A9"/>
    <w:p w14:paraId="56E65683" w14:textId="77777777" w:rsidR="003E60A9" w:rsidRDefault="0038429D">
      <w:r>
        <w:t>Hydrogen peroxide and potassium iodide are the main reactants in the experiment; vitamin C is what creates the rapid colour change of the solution. Starch is the visual indicator which creates the blue colouration. H2O was the is volume adjuster.</w:t>
      </w:r>
    </w:p>
    <w:p w14:paraId="5D91CEA2" w14:textId="77777777" w:rsidR="003E60A9" w:rsidRDefault="0038429D">
      <w:r>
        <w:t xml:space="preserve">Using 4 different concentration solutions the rate of reaction can be calculated from the time. Once all the reactants have been used the solutions turns a blue colour. </w:t>
      </w:r>
    </w:p>
    <w:p w14:paraId="3DB0FE09" w14:textId="77777777" w:rsidR="003E60A9" w:rsidRDefault="0038429D">
      <w:r>
        <w:t>Please find the method in the appendix. The variables being controlled in the experiment was the solution volume, the amount of mixing and the operator roles (operator 1 did all the visual checks for the colouration of the experiment). The variables being measured is the duration for the solution to change from clear to blue [7]. For each experiment the solution composition adapted as shown in the table below.</w:t>
      </w:r>
    </w:p>
    <w:p w14:paraId="4A0E694C" w14:textId="77777777" w:rsidR="003E60A9" w:rsidRDefault="003E60A9"/>
    <w:tbl>
      <w:tblPr>
        <w:tblW w:w="7404" w:type="dxa"/>
        <w:tblCellMar>
          <w:left w:w="10" w:type="dxa"/>
          <w:right w:w="10" w:type="dxa"/>
        </w:tblCellMar>
        <w:tblLook w:val="04A0" w:firstRow="1" w:lastRow="0" w:firstColumn="1" w:lastColumn="0" w:noHBand="0" w:noVBand="1"/>
      </w:tblPr>
      <w:tblGrid>
        <w:gridCol w:w="1234"/>
        <w:gridCol w:w="1234"/>
        <w:gridCol w:w="1496"/>
        <w:gridCol w:w="1134"/>
        <w:gridCol w:w="1072"/>
        <w:gridCol w:w="1234"/>
      </w:tblGrid>
      <w:tr w:rsidR="003E60A9" w14:paraId="124C0625"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A7422" w14:textId="77777777" w:rsidR="003E60A9" w:rsidRDefault="0038429D">
            <w:r>
              <w:t>Trial</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7608EE" w14:textId="77777777" w:rsidR="003E60A9" w:rsidRDefault="0038429D">
            <w:r>
              <w:t>A: KI 0.20 M (mL)</w:t>
            </w: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15E5E" w14:textId="77777777" w:rsidR="003E60A9" w:rsidRDefault="0038429D">
            <w:r>
              <w:t>A: Vit C 0.010 M (mL)</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CDEFB3" w14:textId="77777777" w:rsidR="003E60A9" w:rsidRDefault="0038429D">
            <w:r>
              <w:t>A: Starch 1% (mL)</w:t>
            </w:r>
          </w:p>
        </w:tc>
        <w:tc>
          <w:tcPr>
            <w:tcW w:w="1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717EAB" w14:textId="77777777" w:rsidR="003E60A9" w:rsidRDefault="0038429D">
            <w:r>
              <w:t>A: Water (mL)</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1546DA" w14:textId="77777777" w:rsidR="003E60A9" w:rsidRDefault="0038429D">
            <w:r>
              <w:t>B: H₂O₂ 3% (mL)</w:t>
            </w:r>
          </w:p>
        </w:tc>
      </w:tr>
      <w:tr w:rsidR="003E60A9" w14:paraId="7A7483B6"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94711E" w14:textId="77777777" w:rsidR="003E60A9" w:rsidRDefault="0038429D">
            <w:r>
              <w:t>I.1</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43DCE" w14:textId="77777777" w:rsidR="003E60A9" w:rsidRDefault="0038429D">
            <w:r>
              <w:t>3.0</w:t>
            </w: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3BA43" w14:textId="77777777" w:rsidR="003E60A9" w:rsidRDefault="0038429D">
            <w:r>
              <w:t>1.5</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D7F8B" w14:textId="77777777" w:rsidR="003E60A9" w:rsidRDefault="0038429D">
            <w:r>
              <w:t>1.0</w:t>
            </w:r>
          </w:p>
        </w:tc>
        <w:tc>
          <w:tcPr>
            <w:tcW w:w="1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62E438" w14:textId="77777777" w:rsidR="003E60A9" w:rsidRDefault="0038429D">
            <w:r>
              <w:t>18.5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A0166" w14:textId="77777777" w:rsidR="003E60A9" w:rsidRDefault="0038429D">
            <w:r>
              <w:t>1.0</w:t>
            </w:r>
          </w:p>
        </w:tc>
      </w:tr>
      <w:tr w:rsidR="003E60A9" w14:paraId="34FC0C2D"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EDDF44" w14:textId="77777777" w:rsidR="003E60A9" w:rsidRDefault="0038429D">
            <w:r>
              <w:t>I.2</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B212C" w14:textId="77777777" w:rsidR="003E60A9" w:rsidRDefault="0038429D">
            <w:r>
              <w:t>3.0</w:t>
            </w: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547D4A" w14:textId="77777777" w:rsidR="003E60A9" w:rsidRDefault="0038429D">
            <w:r>
              <w:t>1.5</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572D5E" w14:textId="77777777" w:rsidR="003E60A9" w:rsidRDefault="0038429D">
            <w:r>
              <w:t>1.0</w:t>
            </w:r>
          </w:p>
        </w:tc>
        <w:tc>
          <w:tcPr>
            <w:tcW w:w="1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742C70" w14:textId="77777777" w:rsidR="003E60A9" w:rsidRDefault="0038429D">
            <w:r>
              <w:t>17.5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D9B4DB" w14:textId="77777777" w:rsidR="003E60A9" w:rsidRDefault="0038429D">
            <w:r>
              <w:t>2.0</w:t>
            </w:r>
          </w:p>
        </w:tc>
      </w:tr>
      <w:tr w:rsidR="003E60A9" w14:paraId="6C082F48"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6BF34A" w14:textId="77777777" w:rsidR="003E60A9" w:rsidRDefault="0038429D">
            <w:r>
              <w:t>I.3</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128A8" w14:textId="77777777" w:rsidR="003E60A9" w:rsidRDefault="0038429D">
            <w:r>
              <w:t>3.0</w:t>
            </w: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61BFE0" w14:textId="77777777" w:rsidR="003E60A9" w:rsidRDefault="0038429D">
            <w:r>
              <w:t>1.5</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0ABE2E" w14:textId="77777777" w:rsidR="003E60A9" w:rsidRDefault="0038429D">
            <w:r>
              <w:t>1.0</w:t>
            </w:r>
          </w:p>
        </w:tc>
        <w:tc>
          <w:tcPr>
            <w:tcW w:w="1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EC154" w14:textId="77777777" w:rsidR="003E60A9" w:rsidRDefault="0038429D">
            <w:r>
              <w:t>16.5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B8C75" w14:textId="77777777" w:rsidR="003E60A9" w:rsidRDefault="0038429D">
            <w:r>
              <w:t>3.0</w:t>
            </w:r>
          </w:p>
        </w:tc>
      </w:tr>
      <w:tr w:rsidR="003E60A9" w14:paraId="5EF1EFFC"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0AC1A3" w14:textId="77777777" w:rsidR="003E60A9" w:rsidRDefault="0038429D">
            <w:r>
              <w:t>I.4</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B35404" w14:textId="77777777" w:rsidR="003E60A9" w:rsidRDefault="0038429D">
            <w:r>
              <w:t>3.0</w:t>
            </w:r>
          </w:p>
        </w:tc>
        <w:tc>
          <w:tcPr>
            <w:tcW w:w="1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B1A6F" w14:textId="77777777" w:rsidR="003E60A9" w:rsidRDefault="0038429D">
            <w:r>
              <w:t>1.5</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1ED44" w14:textId="77777777" w:rsidR="003E60A9" w:rsidRDefault="0038429D">
            <w:r>
              <w:t>1.0</w:t>
            </w:r>
          </w:p>
        </w:tc>
        <w:tc>
          <w:tcPr>
            <w:tcW w:w="1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98147B" w14:textId="77777777" w:rsidR="003E60A9" w:rsidRDefault="0038429D">
            <w:r>
              <w:t>15.5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569729" w14:textId="77777777" w:rsidR="003E60A9" w:rsidRDefault="0038429D">
            <w:r>
              <w:t>4.0</w:t>
            </w:r>
          </w:p>
        </w:tc>
      </w:tr>
    </w:tbl>
    <w:p w14:paraId="02908C90" w14:textId="77777777" w:rsidR="003E60A9" w:rsidRDefault="003E60A9"/>
    <w:tbl>
      <w:tblPr>
        <w:tblW w:w="7404" w:type="dxa"/>
        <w:tblCellMar>
          <w:left w:w="10" w:type="dxa"/>
          <w:right w:w="10" w:type="dxa"/>
        </w:tblCellMar>
        <w:tblLook w:val="04A0" w:firstRow="1" w:lastRow="0" w:firstColumn="1" w:lastColumn="0" w:noHBand="0" w:noVBand="1"/>
      </w:tblPr>
      <w:tblGrid>
        <w:gridCol w:w="1234"/>
        <w:gridCol w:w="1234"/>
        <w:gridCol w:w="1234"/>
        <w:gridCol w:w="1234"/>
        <w:gridCol w:w="1234"/>
        <w:gridCol w:w="1234"/>
      </w:tblGrid>
      <w:tr w:rsidR="003E60A9" w14:paraId="60E033E5"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D2702" w14:textId="77777777" w:rsidR="003E60A9" w:rsidRDefault="0038429D">
            <w:r>
              <w:t>Trial</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7E687F" w14:textId="77777777" w:rsidR="003E60A9" w:rsidRDefault="0038429D">
            <w:r>
              <w:t>A: KI 0.20 M (mL)</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7BA8C7" w14:textId="77777777" w:rsidR="003E60A9" w:rsidRDefault="0038429D">
            <w:r>
              <w:t>A: Vit C 0.010 M (mL)</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06AF90" w14:textId="77777777" w:rsidR="003E60A9" w:rsidRDefault="0038429D">
            <w:r>
              <w:t>A: Starch 1% (mL)</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9F5E9" w14:textId="77777777" w:rsidR="003E60A9" w:rsidRDefault="0038429D">
            <w:r>
              <w:t>A: Water (mL)</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BDA3D" w14:textId="77777777" w:rsidR="003E60A9" w:rsidRDefault="0038429D">
            <w:r>
              <w:t>B: H₂O₂ 3% (mL)</w:t>
            </w:r>
          </w:p>
        </w:tc>
      </w:tr>
      <w:tr w:rsidR="003E60A9" w14:paraId="3A533D68"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33BAF3" w14:textId="77777777" w:rsidR="003E60A9" w:rsidRDefault="0038429D">
            <w:r>
              <w:t>II.1</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7BF31" w14:textId="77777777" w:rsidR="003E60A9" w:rsidRDefault="0038429D">
            <w:r>
              <w:t>1.0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8E7626" w14:textId="77777777" w:rsidR="003E60A9" w:rsidRDefault="0038429D">
            <w:r>
              <w:t>1.5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73DE3" w14:textId="77777777" w:rsidR="003E60A9" w:rsidRDefault="0038429D">
            <w:r>
              <w:t>1.0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DFC25" w14:textId="77777777" w:rsidR="003E60A9" w:rsidRDefault="0038429D">
            <w:r>
              <w:t>18.5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EC047" w14:textId="77777777" w:rsidR="003E60A9" w:rsidRDefault="0038429D">
            <w:r>
              <w:t>3.0</w:t>
            </w:r>
          </w:p>
        </w:tc>
      </w:tr>
      <w:tr w:rsidR="003E60A9" w14:paraId="37E68321"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7A1EA" w14:textId="77777777" w:rsidR="003E60A9" w:rsidRDefault="0038429D">
            <w:r>
              <w:t>II.2</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B4D65" w14:textId="77777777" w:rsidR="003E60A9" w:rsidRDefault="0038429D">
            <w:r>
              <w:t>2.0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50F28" w14:textId="77777777" w:rsidR="003E60A9" w:rsidRDefault="0038429D">
            <w:r>
              <w:t>1.5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7347EC" w14:textId="77777777" w:rsidR="003E60A9" w:rsidRDefault="0038429D">
            <w:r>
              <w:t>1.0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9B1322" w14:textId="77777777" w:rsidR="003E60A9" w:rsidRDefault="0038429D">
            <w:r>
              <w:t>17.5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9D67F" w14:textId="77777777" w:rsidR="003E60A9" w:rsidRDefault="0038429D">
            <w:r>
              <w:t>3.0</w:t>
            </w:r>
          </w:p>
        </w:tc>
      </w:tr>
      <w:tr w:rsidR="003E60A9" w14:paraId="3FA67A86"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15D49" w14:textId="77777777" w:rsidR="003E60A9" w:rsidRDefault="0038429D">
            <w:r>
              <w:t>II.3</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47A41" w14:textId="77777777" w:rsidR="003E60A9" w:rsidRDefault="0038429D">
            <w:r>
              <w:t>3.0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30D6B" w14:textId="77777777" w:rsidR="003E60A9" w:rsidRDefault="0038429D">
            <w:r>
              <w:t>1.5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69ABD" w14:textId="77777777" w:rsidR="003E60A9" w:rsidRDefault="0038429D">
            <w:r>
              <w:t>1.0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7B0878" w14:textId="77777777" w:rsidR="003E60A9" w:rsidRDefault="0038429D">
            <w:r>
              <w:t>16.5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00CC32" w14:textId="77777777" w:rsidR="003E60A9" w:rsidRDefault="0038429D">
            <w:r>
              <w:t>3.0</w:t>
            </w:r>
          </w:p>
        </w:tc>
      </w:tr>
      <w:tr w:rsidR="003E60A9" w14:paraId="1C37C4CD" w14:textId="77777777">
        <w:tblPrEx>
          <w:tblCellMar>
            <w:top w:w="0" w:type="dxa"/>
            <w:bottom w:w="0" w:type="dxa"/>
          </w:tblCellMar>
        </w:tblPrEx>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730C8" w14:textId="77777777" w:rsidR="003E60A9" w:rsidRDefault="0038429D">
            <w:r>
              <w:t>II.4</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D75B26" w14:textId="77777777" w:rsidR="003E60A9" w:rsidRDefault="0038429D">
            <w:r>
              <w:t>4.0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D08942" w14:textId="77777777" w:rsidR="003E60A9" w:rsidRDefault="0038429D">
            <w:r>
              <w:t>1.5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E9B9D" w14:textId="77777777" w:rsidR="003E60A9" w:rsidRDefault="0038429D">
            <w:r>
              <w:t>1.0</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14D2CB" w14:textId="77777777" w:rsidR="003E60A9" w:rsidRDefault="0038429D">
            <w:r>
              <w:t>15.5</w:t>
            </w:r>
          </w:p>
        </w:tc>
        <w:tc>
          <w:tcPr>
            <w:tcW w:w="12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E779C9" w14:textId="77777777" w:rsidR="003E60A9" w:rsidRDefault="0038429D">
            <w:r>
              <w:t>3.0</w:t>
            </w:r>
          </w:p>
        </w:tc>
      </w:tr>
    </w:tbl>
    <w:p w14:paraId="2285A977" w14:textId="77777777" w:rsidR="003E60A9" w:rsidRDefault="003E60A9"/>
    <w:p w14:paraId="7CC30E85" w14:textId="77777777" w:rsidR="003E60A9" w:rsidRDefault="0038429D">
      <w:r>
        <w:rPr>
          <w:noProof/>
        </w:rPr>
        <w:drawing>
          <wp:inline distT="0" distB="0" distL="0" distR="0" wp14:anchorId="0E82BEC4" wp14:editId="48DD214C">
            <wp:extent cx="5687220" cy="1133636"/>
            <wp:effectExtent l="0" t="0" r="8730" b="9364"/>
            <wp:docPr id="2034637476" name="Picture 1" descr="A white sheet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687220" cy="1133636"/>
                    </a:xfrm>
                    <a:prstGeom prst="rect">
                      <a:avLst/>
                    </a:prstGeom>
                    <a:noFill/>
                    <a:ln>
                      <a:noFill/>
                      <a:prstDash/>
                    </a:ln>
                  </pic:spPr>
                </pic:pic>
              </a:graphicData>
            </a:graphic>
          </wp:inline>
        </w:drawing>
      </w:r>
    </w:p>
    <w:p w14:paraId="621111C7" w14:textId="77777777" w:rsidR="003E60A9" w:rsidRDefault="003E60A9"/>
    <w:p w14:paraId="43E3FD19" w14:textId="77777777" w:rsidR="003E60A9" w:rsidRDefault="0038429D">
      <w:pPr>
        <w:pStyle w:val="Heading1"/>
        <w:rPr>
          <w:b/>
          <w:bCs/>
        </w:rPr>
      </w:pPr>
      <w:bookmarkStart w:id="1" w:name="_Toc213416913"/>
      <w:r>
        <w:rPr>
          <w:b/>
          <w:bCs/>
        </w:rPr>
        <w:t>Results</w:t>
      </w:r>
      <w:bookmarkEnd w:id="1"/>
    </w:p>
    <w:p w14:paraId="1C7180F3" w14:textId="77777777" w:rsidR="003E60A9" w:rsidRDefault="0038429D">
      <w:r>
        <w:t xml:space="preserve">Below are the tables from the 2 experiments on separate graphs. Experiment 1 has a scattered data set suggesting an error in the experiment data or mathematics completed. Whilst experiment 2 follows a trend showing a clearer relationship. </w:t>
      </w:r>
    </w:p>
    <w:p w14:paraId="496CAE16" w14:textId="77777777" w:rsidR="003E60A9" w:rsidRDefault="0038429D">
      <w:r>
        <w:rPr>
          <w:noProof/>
        </w:rPr>
        <w:drawing>
          <wp:inline distT="0" distB="0" distL="0" distR="0" wp14:anchorId="66532E02" wp14:editId="2018F4EB">
            <wp:extent cx="2825752" cy="1892295"/>
            <wp:effectExtent l="0" t="0" r="0" b="0"/>
            <wp:docPr id="98269599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t xml:space="preserve"> </w:t>
      </w:r>
      <w:r>
        <w:rPr>
          <w:noProof/>
        </w:rPr>
        <w:drawing>
          <wp:inline distT="0" distB="0" distL="0" distR="0" wp14:anchorId="7878AE50" wp14:editId="48C43630">
            <wp:extent cx="2698751" cy="1892295"/>
            <wp:effectExtent l="0" t="0" r="0" b="0"/>
            <wp:docPr id="130160285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95F6A97" w14:textId="77777777" w:rsidR="003E60A9" w:rsidRDefault="0038429D">
      <w:r>
        <w:t>The graph below shows the 2 experiements on 1 graph. This continues to show the potential error of the first experiment data.</w:t>
      </w:r>
    </w:p>
    <w:p w14:paraId="0C891294" w14:textId="77777777" w:rsidR="003E60A9" w:rsidRDefault="0038429D">
      <w:r>
        <w:rPr>
          <w:noProof/>
        </w:rPr>
        <w:drawing>
          <wp:inline distT="0" distB="0" distL="0" distR="0" wp14:anchorId="2A5FA47C" wp14:editId="3235E2BE">
            <wp:extent cx="5568952" cy="3843022"/>
            <wp:effectExtent l="0" t="0" r="0" b="0"/>
            <wp:docPr id="11988378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19A6494" w14:textId="77777777" w:rsidR="003E60A9" w:rsidRDefault="0038429D">
      <w:pPr>
        <w:tabs>
          <w:tab w:val="left" w:pos="1416"/>
        </w:tabs>
      </w:pPr>
      <w:r>
        <w:t>In the table below it shows the equation of the line for each experiment as calculated by excel. Using this line M and N can be determined.</w:t>
      </w:r>
      <w:r>
        <w:tab/>
      </w:r>
    </w:p>
    <w:tbl>
      <w:tblPr>
        <w:tblW w:w="6054" w:type="dxa"/>
        <w:tblCellMar>
          <w:left w:w="10" w:type="dxa"/>
          <w:right w:w="10" w:type="dxa"/>
        </w:tblCellMar>
        <w:tblLook w:val="04A0" w:firstRow="1" w:lastRow="0" w:firstColumn="1" w:lastColumn="0" w:noHBand="0" w:noVBand="1"/>
      </w:tblPr>
      <w:tblGrid>
        <w:gridCol w:w="1413"/>
        <w:gridCol w:w="810"/>
        <w:gridCol w:w="2415"/>
        <w:gridCol w:w="1416"/>
      </w:tblGrid>
      <w:tr w:rsidR="003E60A9" w14:paraId="55E650C0" w14:textId="77777777">
        <w:tblPrEx>
          <w:tblCellMar>
            <w:top w:w="0" w:type="dxa"/>
            <w:bottom w:w="0" w:type="dxa"/>
          </w:tblCellMar>
        </w:tblPrEx>
        <w:trPr>
          <w:trHeight w:val="281"/>
        </w:trPr>
        <w:tc>
          <w:tcPr>
            <w:tcW w:w="14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B1126B5"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Blue Line</w:t>
            </w:r>
          </w:p>
        </w:tc>
        <w:tc>
          <w:tcPr>
            <w:tcW w:w="81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C06B648"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exp 1</w:t>
            </w:r>
          </w:p>
        </w:tc>
        <w:tc>
          <w:tcPr>
            <w:tcW w:w="241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88BED45"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y = 1.6047x + 1.1661</w:t>
            </w:r>
          </w:p>
        </w:tc>
        <w:tc>
          <w:tcPr>
            <w:tcW w:w="1416"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B1A2ABD"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M=1.604</w:t>
            </w:r>
          </w:p>
        </w:tc>
      </w:tr>
      <w:tr w:rsidR="003E60A9" w14:paraId="71407FA5" w14:textId="77777777">
        <w:tblPrEx>
          <w:tblCellMar>
            <w:top w:w="0" w:type="dxa"/>
            <w:bottom w:w="0" w:type="dxa"/>
          </w:tblCellMar>
        </w:tblPrEx>
        <w:trPr>
          <w:trHeight w:val="281"/>
        </w:trPr>
        <w:tc>
          <w:tcPr>
            <w:tcW w:w="141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FB4C983"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Orange Line</w:t>
            </w:r>
          </w:p>
        </w:tc>
        <w:tc>
          <w:tcPr>
            <w:tcW w:w="810"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5A398C8"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exp 2</w:t>
            </w:r>
          </w:p>
        </w:tc>
        <w:tc>
          <w:tcPr>
            <w:tcW w:w="2415"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029039B" w14:textId="77777777" w:rsidR="003E60A9" w:rsidRDefault="0038429D">
            <w:pPr>
              <w:suppressAutoHyphens w:val="0"/>
              <w:spacing w:after="0" w:line="240" w:lineRule="auto"/>
              <w:jc w:val="center"/>
              <w:rPr>
                <w:rFonts w:ascii="Aptos Narrow" w:eastAsia="Times New Roman" w:hAnsi="Aptos Narrow"/>
                <w:color w:val="000000"/>
                <w:kern w:val="0"/>
                <w:sz w:val="20"/>
                <w:szCs w:val="20"/>
                <w:lang w:eastAsia="en-GB"/>
              </w:rPr>
            </w:pPr>
            <w:r>
              <w:rPr>
                <w:rFonts w:ascii="Aptos Narrow" w:eastAsia="Times New Roman" w:hAnsi="Aptos Narrow"/>
                <w:color w:val="000000"/>
                <w:kern w:val="0"/>
                <w:sz w:val="20"/>
                <w:szCs w:val="20"/>
                <w:lang w:eastAsia="en-GB"/>
              </w:rPr>
              <w:t>y = 1.1059x + 0.5259</w:t>
            </w:r>
          </w:p>
        </w:tc>
        <w:tc>
          <w:tcPr>
            <w:tcW w:w="1416"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07C07B5"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N = 1.1059</w:t>
            </w:r>
          </w:p>
        </w:tc>
      </w:tr>
    </w:tbl>
    <w:p w14:paraId="526DE3D0" w14:textId="77777777" w:rsidR="003E60A9" w:rsidRDefault="003E60A9">
      <w:pPr>
        <w:tabs>
          <w:tab w:val="left" w:pos="1416"/>
        </w:tabs>
      </w:pPr>
    </w:p>
    <w:p w14:paraId="5CC97A9A" w14:textId="77777777" w:rsidR="003E60A9" w:rsidRDefault="003E60A9">
      <w:pPr>
        <w:tabs>
          <w:tab w:val="left" w:pos="1416"/>
        </w:tabs>
      </w:pPr>
    </w:p>
    <w:p w14:paraId="38715032" w14:textId="77777777" w:rsidR="003E60A9" w:rsidRDefault="0038429D">
      <w:pPr>
        <w:tabs>
          <w:tab w:val="left" w:pos="1416"/>
        </w:tabs>
      </w:pPr>
      <w:r>
        <w:t xml:space="preserve">Below is the table used to find K for each experiment. K is rate constant for the reaction which is calculated from K = </w:t>
      </w:r>
      <w:r>
        <w:t xml:space="preserve">(1/t) / ((H2O2)^M * (I)^N). </w:t>
      </w:r>
    </w:p>
    <w:tbl>
      <w:tblPr>
        <w:tblW w:w="10598" w:type="dxa"/>
        <w:tblCellMar>
          <w:left w:w="10" w:type="dxa"/>
          <w:right w:w="10" w:type="dxa"/>
        </w:tblCellMar>
        <w:tblLook w:val="04A0" w:firstRow="1" w:lastRow="0" w:firstColumn="1" w:lastColumn="0" w:noHBand="0" w:noVBand="1"/>
      </w:tblPr>
      <w:tblGrid>
        <w:gridCol w:w="776"/>
        <w:gridCol w:w="1054"/>
        <w:gridCol w:w="943"/>
        <w:gridCol w:w="1389"/>
        <w:gridCol w:w="1054"/>
        <w:gridCol w:w="590"/>
        <w:gridCol w:w="943"/>
        <w:gridCol w:w="1184"/>
        <w:gridCol w:w="1276"/>
        <w:gridCol w:w="1389"/>
      </w:tblGrid>
      <w:tr w:rsidR="003E60A9" w14:paraId="5CE5B6E2" w14:textId="77777777">
        <w:tblPrEx>
          <w:tblCellMar>
            <w:top w:w="0" w:type="dxa"/>
            <w:bottom w:w="0" w:type="dxa"/>
          </w:tblCellMar>
        </w:tblPrEx>
        <w:trPr>
          <w:trHeight w:val="288"/>
        </w:trPr>
        <w:tc>
          <w:tcPr>
            <w:tcW w:w="776"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bottom"/>
          </w:tcPr>
          <w:p w14:paraId="6E1E575E"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Trial</w:t>
            </w:r>
          </w:p>
        </w:tc>
        <w:tc>
          <w:tcPr>
            <w:tcW w:w="1054"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D0A9CBF"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1/t</w:t>
            </w:r>
          </w:p>
        </w:tc>
        <w:tc>
          <w:tcPr>
            <w:tcW w:w="943"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B2C1EEF"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H2O2</w:t>
            </w:r>
          </w:p>
        </w:tc>
        <w:tc>
          <w:tcPr>
            <w:tcW w:w="1389"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26AB7E9B"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KI</w:t>
            </w:r>
          </w:p>
        </w:tc>
        <w:tc>
          <w:tcPr>
            <w:tcW w:w="1054"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C24DA9A"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K</w:t>
            </w:r>
          </w:p>
        </w:tc>
        <w:tc>
          <w:tcPr>
            <w:tcW w:w="590"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4CE2F4B3"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Trial</w:t>
            </w:r>
          </w:p>
        </w:tc>
        <w:tc>
          <w:tcPr>
            <w:tcW w:w="943"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39D25E0E"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1/t</w:t>
            </w:r>
          </w:p>
        </w:tc>
        <w:tc>
          <w:tcPr>
            <w:tcW w:w="1184"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566F0F8F"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H2O2</w:t>
            </w:r>
          </w:p>
        </w:tc>
        <w:tc>
          <w:tcPr>
            <w:tcW w:w="1276"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7DB4BDEF"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KI</w:t>
            </w:r>
          </w:p>
        </w:tc>
        <w:tc>
          <w:tcPr>
            <w:tcW w:w="1389" w:type="dxa"/>
            <w:tcBorders>
              <w:top w:val="single" w:sz="4" w:space="0" w:color="000000"/>
              <w:bottom w:val="single" w:sz="4" w:space="0" w:color="000000"/>
              <w:right w:val="single" w:sz="4" w:space="0" w:color="000000"/>
            </w:tcBorders>
            <w:noWrap/>
            <w:tcMar>
              <w:top w:w="0" w:type="dxa"/>
              <w:left w:w="108" w:type="dxa"/>
              <w:bottom w:w="0" w:type="dxa"/>
              <w:right w:w="108" w:type="dxa"/>
            </w:tcMar>
            <w:vAlign w:val="bottom"/>
          </w:tcPr>
          <w:p w14:paraId="19E763A0" w14:textId="77777777" w:rsidR="003E60A9" w:rsidRDefault="0038429D">
            <w:pPr>
              <w:suppressAutoHyphens w:val="0"/>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K</w:t>
            </w:r>
          </w:p>
        </w:tc>
      </w:tr>
      <w:tr w:rsidR="003E60A9" w14:paraId="5742CCF7" w14:textId="77777777">
        <w:tblPrEx>
          <w:tblCellMar>
            <w:top w:w="0" w:type="dxa"/>
            <w:bottom w:w="0" w:type="dxa"/>
          </w:tblCellMar>
        </w:tblPrEx>
        <w:trPr>
          <w:trHeight w:val="288"/>
        </w:trPr>
        <w:tc>
          <w:tcPr>
            <w:tcW w:w="77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73A5DA0F"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I1</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3CAB691C"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-2.222716</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16EC3429"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-2.45243</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7E99CC54"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0.003614458</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6D409EA2"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262.11</w:t>
            </w:r>
          </w:p>
        </w:tc>
        <w:tc>
          <w:tcPr>
            <w:tcW w:w="590" w:type="dxa"/>
            <w:tcBorders>
              <w:bottom w:val="single" w:sz="4" w:space="0" w:color="000000"/>
              <w:right w:val="single" w:sz="4" w:space="0" w:color="000000"/>
            </w:tcBorders>
            <w:tcMar>
              <w:top w:w="0" w:type="dxa"/>
              <w:left w:w="108" w:type="dxa"/>
              <w:bottom w:w="0" w:type="dxa"/>
              <w:right w:w="108" w:type="dxa"/>
            </w:tcMar>
            <w:vAlign w:val="center"/>
          </w:tcPr>
          <w:p w14:paraId="6312B13F"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II1</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5F26BC97"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-2.33244</w:t>
            </w:r>
          </w:p>
        </w:tc>
        <w:tc>
          <w:tcPr>
            <w:tcW w:w="1184" w:type="dxa"/>
            <w:tcBorders>
              <w:bottom w:val="single" w:sz="4" w:space="0" w:color="000000"/>
              <w:right w:val="single" w:sz="4" w:space="0" w:color="000000"/>
            </w:tcBorders>
            <w:noWrap/>
            <w:tcMar>
              <w:top w:w="0" w:type="dxa"/>
              <w:left w:w="108" w:type="dxa"/>
              <w:bottom w:w="0" w:type="dxa"/>
              <w:right w:w="108" w:type="dxa"/>
            </w:tcMar>
            <w:vAlign w:val="bottom"/>
          </w:tcPr>
          <w:p w14:paraId="6C1DCC9D"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0.002647</w:t>
            </w:r>
          </w:p>
        </w:tc>
        <w:tc>
          <w:tcPr>
            <w:tcW w:w="1276" w:type="dxa"/>
            <w:tcBorders>
              <w:bottom w:val="single" w:sz="4" w:space="0" w:color="000000"/>
              <w:right w:val="single" w:sz="4" w:space="0" w:color="000000"/>
            </w:tcBorders>
            <w:noWrap/>
            <w:tcMar>
              <w:top w:w="0" w:type="dxa"/>
              <w:left w:w="108" w:type="dxa"/>
              <w:bottom w:w="0" w:type="dxa"/>
              <w:right w:w="108" w:type="dxa"/>
            </w:tcMar>
            <w:vAlign w:val="bottom"/>
          </w:tcPr>
          <w:p w14:paraId="4E3F821E"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-2.0969</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756FA611"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13390.7033</w:t>
            </w:r>
          </w:p>
        </w:tc>
      </w:tr>
      <w:tr w:rsidR="003E60A9" w14:paraId="03669431" w14:textId="77777777">
        <w:tblPrEx>
          <w:tblCellMar>
            <w:top w:w="0" w:type="dxa"/>
            <w:bottom w:w="0" w:type="dxa"/>
          </w:tblCellMar>
        </w:tblPrEx>
        <w:trPr>
          <w:trHeight w:val="288"/>
        </w:trPr>
        <w:tc>
          <w:tcPr>
            <w:tcW w:w="77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38BE040F"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I2</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6CAE959A"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-2.117271</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00AE3334"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-2.1514</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35EF07EA"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0.003614458</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2E0F746D"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3250.413</w:t>
            </w:r>
          </w:p>
        </w:tc>
        <w:tc>
          <w:tcPr>
            <w:tcW w:w="590" w:type="dxa"/>
            <w:tcBorders>
              <w:bottom w:val="single" w:sz="4" w:space="0" w:color="000000"/>
              <w:right w:val="single" w:sz="4" w:space="0" w:color="000000"/>
            </w:tcBorders>
            <w:tcMar>
              <w:top w:w="0" w:type="dxa"/>
              <w:left w:w="108" w:type="dxa"/>
              <w:bottom w:w="0" w:type="dxa"/>
              <w:right w:w="108" w:type="dxa"/>
            </w:tcMar>
            <w:vAlign w:val="center"/>
          </w:tcPr>
          <w:p w14:paraId="21F2456D"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II2</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665E398B"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-2.15229</w:t>
            </w:r>
          </w:p>
        </w:tc>
        <w:tc>
          <w:tcPr>
            <w:tcW w:w="1184" w:type="dxa"/>
            <w:tcBorders>
              <w:bottom w:val="single" w:sz="4" w:space="0" w:color="000000"/>
              <w:right w:val="single" w:sz="4" w:space="0" w:color="000000"/>
            </w:tcBorders>
            <w:noWrap/>
            <w:tcMar>
              <w:top w:w="0" w:type="dxa"/>
              <w:left w:w="108" w:type="dxa"/>
              <w:bottom w:w="0" w:type="dxa"/>
              <w:right w:w="108" w:type="dxa"/>
            </w:tcMar>
            <w:vAlign w:val="bottom"/>
          </w:tcPr>
          <w:p w14:paraId="47D26642"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0.002647</w:t>
            </w:r>
          </w:p>
        </w:tc>
        <w:tc>
          <w:tcPr>
            <w:tcW w:w="1276" w:type="dxa"/>
            <w:tcBorders>
              <w:bottom w:val="single" w:sz="4" w:space="0" w:color="000000"/>
              <w:right w:val="single" w:sz="4" w:space="0" w:color="000000"/>
            </w:tcBorders>
            <w:noWrap/>
            <w:tcMar>
              <w:top w:w="0" w:type="dxa"/>
              <w:left w:w="108" w:type="dxa"/>
              <w:bottom w:w="0" w:type="dxa"/>
              <w:right w:w="108" w:type="dxa"/>
            </w:tcMar>
            <w:vAlign w:val="bottom"/>
          </w:tcPr>
          <w:p w14:paraId="6DA9C6DE"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-1.7959</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253F2B23"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15893.71</w:t>
            </w:r>
          </w:p>
        </w:tc>
      </w:tr>
      <w:tr w:rsidR="003E60A9" w14:paraId="1BF88104" w14:textId="77777777">
        <w:tblPrEx>
          <w:tblCellMar>
            <w:top w:w="0" w:type="dxa"/>
            <w:bottom w:w="0" w:type="dxa"/>
          </w:tblCellMar>
        </w:tblPrEx>
        <w:trPr>
          <w:trHeight w:val="288"/>
        </w:trPr>
        <w:tc>
          <w:tcPr>
            <w:tcW w:w="77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FD14E"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I3</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3E1D44F9"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-1.944483</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03EBE1AC"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-1.9753</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0B3D3577"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0.003614458</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4638CFA0"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372.7798</w:t>
            </w:r>
          </w:p>
        </w:tc>
        <w:tc>
          <w:tcPr>
            <w:tcW w:w="590" w:type="dxa"/>
            <w:tcBorders>
              <w:bottom w:val="single" w:sz="4" w:space="0" w:color="000000"/>
              <w:right w:val="single" w:sz="4" w:space="0" w:color="000000"/>
            </w:tcBorders>
            <w:tcMar>
              <w:top w:w="0" w:type="dxa"/>
              <w:left w:w="108" w:type="dxa"/>
              <w:bottom w:w="0" w:type="dxa"/>
              <w:right w:w="108" w:type="dxa"/>
            </w:tcMar>
            <w:vAlign w:val="center"/>
          </w:tcPr>
          <w:p w14:paraId="0C820C36"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II3</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741B3A59"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-1.95424</w:t>
            </w:r>
          </w:p>
        </w:tc>
        <w:tc>
          <w:tcPr>
            <w:tcW w:w="1184" w:type="dxa"/>
            <w:tcBorders>
              <w:bottom w:val="single" w:sz="4" w:space="0" w:color="000000"/>
              <w:right w:val="single" w:sz="4" w:space="0" w:color="000000"/>
            </w:tcBorders>
            <w:noWrap/>
            <w:tcMar>
              <w:top w:w="0" w:type="dxa"/>
              <w:left w:w="108" w:type="dxa"/>
              <w:bottom w:w="0" w:type="dxa"/>
              <w:right w:w="108" w:type="dxa"/>
            </w:tcMar>
            <w:vAlign w:val="bottom"/>
          </w:tcPr>
          <w:p w14:paraId="539A5427"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0.002647</w:t>
            </w:r>
          </w:p>
        </w:tc>
        <w:tc>
          <w:tcPr>
            <w:tcW w:w="1276" w:type="dxa"/>
            <w:tcBorders>
              <w:bottom w:val="single" w:sz="4" w:space="0" w:color="000000"/>
              <w:right w:val="single" w:sz="4" w:space="0" w:color="000000"/>
            </w:tcBorders>
            <w:noWrap/>
            <w:tcMar>
              <w:top w:w="0" w:type="dxa"/>
              <w:left w:w="108" w:type="dxa"/>
              <w:bottom w:w="0" w:type="dxa"/>
              <w:right w:w="108" w:type="dxa"/>
            </w:tcMar>
            <w:vAlign w:val="bottom"/>
          </w:tcPr>
          <w:p w14:paraId="629B44B1"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-1.6198</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79A7230C"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17457.3739</w:t>
            </w:r>
          </w:p>
        </w:tc>
      </w:tr>
      <w:tr w:rsidR="003E60A9" w14:paraId="1FD97341" w14:textId="77777777">
        <w:tblPrEx>
          <w:tblCellMar>
            <w:top w:w="0" w:type="dxa"/>
            <w:bottom w:w="0" w:type="dxa"/>
          </w:tblCellMar>
        </w:tblPrEx>
        <w:trPr>
          <w:trHeight w:val="288"/>
        </w:trPr>
        <w:tc>
          <w:tcPr>
            <w:tcW w:w="776"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14:paraId="277A4175"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I4</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182DF887"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-1.875061</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36A41069"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-1.85037</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4F165CEB"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0.003614458</w:t>
            </w:r>
          </w:p>
        </w:tc>
        <w:tc>
          <w:tcPr>
            <w:tcW w:w="1054" w:type="dxa"/>
            <w:tcBorders>
              <w:bottom w:val="single" w:sz="4" w:space="0" w:color="000000"/>
              <w:right w:val="single" w:sz="4" w:space="0" w:color="000000"/>
            </w:tcBorders>
            <w:noWrap/>
            <w:tcMar>
              <w:top w:w="0" w:type="dxa"/>
              <w:left w:w="108" w:type="dxa"/>
              <w:bottom w:w="0" w:type="dxa"/>
              <w:right w:w="108" w:type="dxa"/>
            </w:tcMar>
            <w:vAlign w:val="bottom"/>
          </w:tcPr>
          <w:p w14:paraId="27F775DE"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413.98</w:t>
            </w:r>
          </w:p>
        </w:tc>
        <w:tc>
          <w:tcPr>
            <w:tcW w:w="590" w:type="dxa"/>
            <w:tcBorders>
              <w:bottom w:val="single" w:sz="4" w:space="0" w:color="000000"/>
              <w:right w:val="single" w:sz="4" w:space="0" w:color="000000"/>
            </w:tcBorders>
            <w:tcMar>
              <w:top w:w="0" w:type="dxa"/>
              <w:left w:w="108" w:type="dxa"/>
              <w:bottom w:w="0" w:type="dxa"/>
              <w:right w:w="108" w:type="dxa"/>
            </w:tcMar>
            <w:vAlign w:val="center"/>
          </w:tcPr>
          <w:p w14:paraId="5B719EF6" w14:textId="77777777" w:rsidR="003E60A9" w:rsidRDefault="0038429D">
            <w:pPr>
              <w:suppressAutoHyphens w:val="0"/>
              <w:spacing w:after="0" w:line="240" w:lineRule="auto"/>
              <w:rPr>
                <w:rFonts w:ascii="Calibri" w:eastAsia="Times New Roman" w:hAnsi="Calibri" w:cs="Calibri"/>
                <w:color w:val="000000"/>
                <w:kern w:val="0"/>
                <w:sz w:val="22"/>
                <w:szCs w:val="22"/>
                <w:lang w:eastAsia="en-GB"/>
              </w:rPr>
            </w:pPr>
            <w:r>
              <w:rPr>
                <w:rFonts w:ascii="Calibri" w:eastAsia="Times New Roman" w:hAnsi="Calibri" w:cs="Calibri"/>
                <w:color w:val="000000"/>
                <w:kern w:val="0"/>
                <w:sz w:val="22"/>
                <w:szCs w:val="22"/>
                <w:lang w:eastAsia="en-GB"/>
              </w:rPr>
              <w:t>II4</w:t>
            </w:r>
          </w:p>
        </w:tc>
        <w:tc>
          <w:tcPr>
            <w:tcW w:w="943" w:type="dxa"/>
            <w:tcBorders>
              <w:bottom w:val="single" w:sz="4" w:space="0" w:color="000000"/>
              <w:right w:val="single" w:sz="4" w:space="0" w:color="000000"/>
            </w:tcBorders>
            <w:noWrap/>
            <w:tcMar>
              <w:top w:w="0" w:type="dxa"/>
              <w:left w:w="108" w:type="dxa"/>
              <w:bottom w:w="0" w:type="dxa"/>
              <w:right w:w="108" w:type="dxa"/>
            </w:tcMar>
            <w:vAlign w:val="bottom"/>
          </w:tcPr>
          <w:p w14:paraId="30EC30FD"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-1.79934</w:t>
            </w:r>
          </w:p>
        </w:tc>
        <w:tc>
          <w:tcPr>
            <w:tcW w:w="1184" w:type="dxa"/>
            <w:tcBorders>
              <w:bottom w:val="single" w:sz="4" w:space="0" w:color="000000"/>
              <w:right w:val="single" w:sz="4" w:space="0" w:color="000000"/>
            </w:tcBorders>
            <w:noWrap/>
            <w:tcMar>
              <w:top w:w="0" w:type="dxa"/>
              <w:left w:w="108" w:type="dxa"/>
              <w:bottom w:w="0" w:type="dxa"/>
              <w:right w:w="108" w:type="dxa"/>
            </w:tcMar>
            <w:vAlign w:val="bottom"/>
          </w:tcPr>
          <w:p w14:paraId="702029C8"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0.002647</w:t>
            </w:r>
          </w:p>
        </w:tc>
        <w:tc>
          <w:tcPr>
            <w:tcW w:w="1276" w:type="dxa"/>
            <w:tcBorders>
              <w:bottom w:val="single" w:sz="4" w:space="0" w:color="000000"/>
              <w:right w:val="single" w:sz="4" w:space="0" w:color="000000"/>
            </w:tcBorders>
            <w:noWrap/>
            <w:tcMar>
              <w:top w:w="0" w:type="dxa"/>
              <w:left w:w="108" w:type="dxa"/>
              <w:bottom w:w="0" w:type="dxa"/>
              <w:right w:w="108" w:type="dxa"/>
            </w:tcMar>
            <w:vAlign w:val="bottom"/>
          </w:tcPr>
          <w:p w14:paraId="1CEFCFA0"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-1.4949</w:t>
            </w:r>
          </w:p>
        </w:tc>
        <w:tc>
          <w:tcPr>
            <w:tcW w:w="1389" w:type="dxa"/>
            <w:tcBorders>
              <w:bottom w:val="single" w:sz="4" w:space="0" w:color="000000"/>
              <w:right w:val="single" w:sz="4" w:space="0" w:color="000000"/>
            </w:tcBorders>
            <w:noWrap/>
            <w:tcMar>
              <w:top w:w="0" w:type="dxa"/>
              <w:left w:w="108" w:type="dxa"/>
              <w:bottom w:w="0" w:type="dxa"/>
              <w:right w:w="108" w:type="dxa"/>
            </w:tcMar>
            <w:vAlign w:val="bottom"/>
          </w:tcPr>
          <w:p w14:paraId="36FCEB3E" w14:textId="77777777" w:rsidR="003E60A9" w:rsidRDefault="0038429D">
            <w:pPr>
              <w:suppressAutoHyphens w:val="0"/>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19468.50575</w:t>
            </w:r>
          </w:p>
        </w:tc>
      </w:tr>
    </w:tbl>
    <w:p w14:paraId="74275442" w14:textId="77777777" w:rsidR="003E60A9" w:rsidRDefault="003E60A9">
      <w:pPr>
        <w:tabs>
          <w:tab w:val="left" w:pos="1416"/>
        </w:tabs>
      </w:pPr>
    </w:p>
    <w:p w14:paraId="23D86B67" w14:textId="77777777" w:rsidR="003E60A9" w:rsidRDefault="003E60A9">
      <w:pPr>
        <w:tabs>
          <w:tab w:val="left" w:pos="1416"/>
        </w:tabs>
      </w:pPr>
    </w:p>
    <w:p w14:paraId="409D18F9" w14:textId="77777777" w:rsidR="003E60A9" w:rsidRDefault="003E60A9">
      <w:pPr>
        <w:tabs>
          <w:tab w:val="left" w:pos="1416"/>
        </w:tabs>
      </w:pPr>
    </w:p>
    <w:p w14:paraId="65D3D807" w14:textId="77777777" w:rsidR="003E60A9" w:rsidRDefault="003E60A9">
      <w:pPr>
        <w:tabs>
          <w:tab w:val="left" w:pos="1416"/>
        </w:tabs>
      </w:pPr>
    </w:p>
    <w:p w14:paraId="0B138101" w14:textId="77777777" w:rsidR="003E60A9" w:rsidRDefault="003E60A9">
      <w:pPr>
        <w:tabs>
          <w:tab w:val="left" w:pos="1416"/>
        </w:tabs>
      </w:pPr>
    </w:p>
    <w:p w14:paraId="0648AB87" w14:textId="77777777" w:rsidR="003E60A9" w:rsidRDefault="0038429D">
      <w:pPr>
        <w:pStyle w:val="Heading1"/>
      </w:pPr>
      <w:bookmarkStart w:id="2" w:name="_Toc213416914"/>
      <w:r>
        <w:rPr>
          <w:b/>
          <w:bCs/>
        </w:rPr>
        <w:t>Discussion</w:t>
      </w:r>
      <w:bookmarkEnd w:id="2"/>
    </w:p>
    <w:p w14:paraId="2CE91B4F" w14:textId="77777777" w:rsidR="003E60A9" w:rsidRDefault="0038429D">
      <w:r>
        <w:t xml:space="preserve">The general rate law for the experiment was </w:t>
      </w:r>
      <w:r>
        <w:t>K(H2O2)^1.604(I)^1.1059 with an overall reaction order of 2.65. The first experiment data might be unreliable due to the data being scattered showing an error in the data. This discrepancy might be explainable by below.</w:t>
      </w:r>
    </w:p>
    <w:p w14:paraId="05C96132" w14:textId="77777777" w:rsidR="003E60A9" w:rsidRDefault="0038429D">
      <w:pPr>
        <w:pStyle w:val="Heading2"/>
      </w:pPr>
      <w:bookmarkStart w:id="3" w:name="_Toc213416915"/>
      <w:r>
        <w:t>Experiment issues</w:t>
      </w:r>
      <w:bookmarkEnd w:id="3"/>
    </w:p>
    <w:p w14:paraId="19A2772F" w14:textId="77777777" w:rsidR="003E60A9" w:rsidRDefault="0038429D">
      <w:r>
        <w:t xml:space="preserve">The iodine clock has inherent issues with the experiment for repeatable and reliable results. The Iodine clock is based on the solution turning a blue colour. However, it begins faintly and progressively gets darker. The point of result is up to the operator’s discretion. To minimise this effect in the conducted experiment for this paper the same operator was used for all results to reduce risk creating more variation. </w:t>
      </w:r>
    </w:p>
    <w:p w14:paraId="08C30C83" w14:textId="77777777" w:rsidR="003E60A9" w:rsidRDefault="0038429D">
      <w:pPr>
        <w:pStyle w:val="Heading2"/>
      </w:pPr>
      <w:bookmarkStart w:id="4" w:name="_Toc213416916"/>
      <w:r>
        <w:t>Specific issues to the experiment conducted</w:t>
      </w:r>
      <w:bookmarkEnd w:id="4"/>
    </w:p>
    <w:p w14:paraId="3DC3A72D" w14:textId="77777777" w:rsidR="003E60A9" w:rsidRDefault="0038429D">
      <w:r>
        <w:t>The experiment conducted for this paper has area of variation. The stopwatch is controlled by an operator and combined with the previous issue can lead to variation.</w:t>
      </w:r>
    </w:p>
    <w:p w14:paraId="15F13BEC" w14:textId="77777777" w:rsidR="003E60A9" w:rsidRDefault="0038429D">
      <w:r>
        <w:t xml:space="preserve">The same samples were used by multiple teams across 2 sessions which could lead to contamination. The experiment is also affected by the temperature conducted and it was not recorded over the duration of the test. Each sample was measured out via the operator which may lead to variations of measuring due to the meniscus. </w:t>
      </w:r>
    </w:p>
    <w:p w14:paraId="629486A7" w14:textId="77777777" w:rsidR="003E60A9" w:rsidRDefault="0038429D">
      <w:r>
        <w:t>The operators were inexperienced with this experiment and waited for the solution to become a specific shade of blue which will of effect the results of the experiment as the point of measuring the time is supposed to be once the blue colouration begins.</w:t>
      </w:r>
    </w:p>
    <w:p w14:paraId="76FE9E2A" w14:textId="77777777" w:rsidR="003E60A9" w:rsidRDefault="0038429D">
      <w:r>
        <w:t xml:space="preserve">Another improvement of the results would be for the more control over variables such as temperature,  </w:t>
      </w:r>
    </w:p>
    <w:p w14:paraId="2106A7DF" w14:textId="77777777" w:rsidR="003E60A9" w:rsidRDefault="0038429D">
      <w:pPr>
        <w:pStyle w:val="Heading1"/>
      </w:pPr>
      <w:bookmarkStart w:id="5" w:name="_Toc213416917"/>
      <w:r>
        <w:rPr>
          <w:b/>
          <w:bCs/>
        </w:rPr>
        <w:t>Conclusion</w:t>
      </w:r>
      <w:bookmarkEnd w:id="5"/>
    </w:p>
    <w:p w14:paraId="1762DE2C" w14:textId="77777777" w:rsidR="003E60A9" w:rsidRDefault="0038429D">
      <w:r>
        <w:t xml:space="preserve">As stated above the results were as skewed due the operators waiting for a deeper shade meant the true reaction time was recorded and excess I2. This means the results shown in this report are extended longer they the true reaction rate of the experiment. </w:t>
      </w:r>
    </w:p>
    <w:p w14:paraId="46F1EE63" w14:textId="77777777" w:rsidR="003E60A9" w:rsidRDefault="0038429D">
      <w:pPr>
        <w:pStyle w:val="Heading1"/>
      </w:pPr>
      <w:bookmarkStart w:id="6" w:name="_Toc213416918"/>
      <w:r>
        <w:t>Bibliography</w:t>
      </w:r>
      <w:bookmarkEnd w:id="6"/>
    </w:p>
    <w:p w14:paraId="4A5332D7" w14:textId="77777777" w:rsidR="003E60A9" w:rsidRDefault="003E60A9"/>
    <w:tbl>
      <w:tblPr>
        <w:tblW w:w="5000" w:type="pct"/>
        <w:tblCellMar>
          <w:left w:w="10" w:type="dxa"/>
          <w:right w:w="10" w:type="dxa"/>
        </w:tblCellMar>
        <w:tblLook w:val="04A0" w:firstRow="1" w:lastRow="0" w:firstColumn="1" w:lastColumn="0" w:noHBand="0" w:noVBand="1"/>
      </w:tblPr>
      <w:tblGrid>
        <w:gridCol w:w="202"/>
        <w:gridCol w:w="8824"/>
      </w:tblGrid>
      <w:tr w:rsidR="003E60A9" w14:paraId="4DFE6BFB" w14:textId="77777777">
        <w:tblPrEx>
          <w:tblCellMar>
            <w:top w:w="0" w:type="dxa"/>
            <w:bottom w:w="0" w:type="dxa"/>
          </w:tblCellMar>
        </w:tblPrEx>
        <w:tc>
          <w:tcPr>
            <w:tcW w:w="245" w:type="dxa"/>
            <w:tcMar>
              <w:top w:w="15" w:type="dxa"/>
              <w:left w:w="15" w:type="dxa"/>
              <w:bottom w:w="15" w:type="dxa"/>
              <w:right w:w="15" w:type="dxa"/>
            </w:tcMar>
          </w:tcPr>
          <w:p w14:paraId="74D24B01" w14:textId="77777777" w:rsidR="003E60A9" w:rsidRDefault="0038429D">
            <w:pPr>
              <w:pStyle w:val="Bibliography"/>
            </w:pPr>
            <w:r>
              <w:t xml:space="preserve">[1] </w:t>
            </w:r>
          </w:p>
        </w:tc>
        <w:tc>
          <w:tcPr>
            <w:tcW w:w="8781" w:type="dxa"/>
            <w:tcMar>
              <w:top w:w="15" w:type="dxa"/>
              <w:left w:w="15" w:type="dxa"/>
              <w:bottom w:w="15" w:type="dxa"/>
              <w:right w:w="15" w:type="dxa"/>
            </w:tcMar>
          </w:tcPr>
          <w:p w14:paraId="42944A97" w14:textId="77777777" w:rsidR="003E60A9" w:rsidRDefault="0038429D">
            <w:pPr>
              <w:pStyle w:val="Bibliography"/>
            </w:pPr>
            <w:r>
              <w:t>“Iodine clock reaction,” Wikipedia, [Online]. Available: https://en.wikipedia.org/wiki/Iodine_clock_reaction. [Accessed 24 11 2025].</w:t>
            </w:r>
          </w:p>
        </w:tc>
      </w:tr>
      <w:tr w:rsidR="003E60A9" w14:paraId="74160470" w14:textId="77777777">
        <w:tblPrEx>
          <w:tblCellMar>
            <w:top w:w="0" w:type="dxa"/>
            <w:bottom w:w="0" w:type="dxa"/>
          </w:tblCellMar>
        </w:tblPrEx>
        <w:tc>
          <w:tcPr>
            <w:tcW w:w="245" w:type="dxa"/>
            <w:tcMar>
              <w:top w:w="15" w:type="dxa"/>
              <w:left w:w="15" w:type="dxa"/>
              <w:bottom w:w="15" w:type="dxa"/>
              <w:right w:w="15" w:type="dxa"/>
            </w:tcMar>
          </w:tcPr>
          <w:p w14:paraId="34814FF4" w14:textId="77777777" w:rsidR="003E60A9" w:rsidRDefault="0038429D">
            <w:pPr>
              <w:pStyle w:val="Bibliography"/>
            </w:pPr>
            <w:r>
              <w:t xml:space="preserve">[2] </w:t>
            </w:r>
          </w:p>
        </w:tc>
        <w:tc>
          <w:tcPr>
            <w:tcW w:w="8781" w:type="dxa"/>
            <w:tcMar>
              <w:top w:w="15" w:type="dxa"/>
              <w:left w:w="15" w:type="dxa"/>
              <w:bottom w:w="15" w:type="dxa"/>
              <w:right w:w="15" w:type="dxa"/>
            </w:tcMar>
          </w:tcPr>
          <w:p w14:paraId="5FE52053" w14:textId="77777777" w:rsidR="003E60A9" w:rsidRDefault="0038429D">
            <w:pPr>
              <w:pStyle w:val="Bibliography"/>
            </w:pPr>
            <w:r>
              <w:t>“SDS for Potassium Iodide,” 06 11 2025. [Online]. Available: https://www.sigmaaldrich.com/GB/en/sds/sigma/60399?userType=undefined. [Accessed 06 11 2025].</w:t>
            </w:r>
          </w:p>
        </w:tc>
      </w:tr>
      <w:tr w:rsidR="003E60A9" w14:paraId="0A00B503" w14:textId="77777777">
        <w:tblPrEx>
          <w:tblCellMar>
            <w:top w:w="0" w:type="dxa"/>
            <w:bottom w:w="0" w:type="dxa"/>
          </w:tblCellMar>
        </w:tblPrEx>
        <w:tc>
          <w:tcPr>
            <w:tcW w:w="245" w:type="dxa"/>
            <w:tcMar>
              <w:top w:w="15" w:type="dxa"/>
              <w:left w:w="15" w:type="dxa"/>
              <w:bottom w:w="15" w:type="dxa"/>
              <w:right w:w="15" w:type="dxa"/>
            </w:tcMar>
          </w:tcPr>
          <w:p w14:paraId="0BB5394C" w14:textId="77777777" w:rsidR="003E60A9" w:rsidRDefault="0038429D">
            <w:pPr>
              <w:pStyle w:val="Bibliography"/>
            </w:pPr>
            <w:r>
              <w:t xml:space="preserve">[3] </w:t>
            </w:r>
          </w:p>
        </w:tc>
        <w:tc>
          <w:tcPr>
            <w:tcW w:w="8781" w:type="dxa"/>
            <w:tcMar>
              <w:top w:w="15" w:type="dxa"/>
              <w:left w:w="15" w:type="dxa"/>
              <w:bottom w:w="15" w:type="dxa"/>
              <w:right w:w="15" w:type="dxa"/>
            </w:tcMar>
          </w:tcPr>
          <w:p w14:paraId="4263CEC8" w14:textId="77777777" w:rsidR="003E60A9" w:rsidRDefault="0038429D">
            <w:pPr>
              <w:pStyle w:val="Bibliography"/>
            </w:pPr>
            <w:r>
              <w:t xml:space="preserve">“SDS Vitamin C,” 2023. [Online]. Available: </w:t>
            </w:r>
            <w:r>
              <w:t>https://www.sigmaaldrich.com/GB/en/sds/sial/a92902?userType=anonymous. [Accessed 06 11 2025].</w:t>
            </w:r>
          </w:p>
        </w:tc>
      </w:tr>
      <w:tr w:rsidR="003E60A9" w14:paraId="07490FF2" w14:textId="77777777">
        <w:tblPrEx>
          <w:tblCellMar>
            <w:top w:w="0" w:type="dxa"/>
            <w:bottom w:w="0" w:type="dxa"/>
          </w:tblCellMar>
        </w:tblPrEx>
        <w:tc>
          <w:tcPr>
            <w:tcW w:w="245" w:type="dxa"/>
            <w:tcMar>
              <w:top w:w="15" w:type="dxa"/>
              <w:left w:w="15" w:type="dxa"/>
              <w:bottom w:w="15" w:type="dxa"/>
              <w:right w:w="15" w:type="dxa"/>
            </w:tcMar>
          </w:tcPr>
          <w:p w14:paraId="582CEC36" w14:textId="77777777" w:rsidR="003E60A9" w:rsidRDefault="0038429D">
            <w:pPr>
              <w:pStyle w:val="Bibliography"/>
            </w:pPr>
            <w:r>
              <w:t xml:space="preserve">[4] </w:t>
            </w:r>
          </w:p>
        </w:tc>
        <w:tc>
          <w:tcPr>
            <w:tcW w:w="8781" w:type="dxa"/>
            <w:tcMar>
              <w:top w:w="15" w:type="dxa"/>
              <w:left w:w="15" w:type="dxa"/>
              <w:bottom w:w="15" w:type="dxa"/>
              <w:right w:w="15" w:type="dxa"/>
            </w:tcMar>
          </w:tcPr>
          <w:p w14:paraId="4E6EAF54" w14:textId="77777777" w:rsidR="003E60A9" w:rsidRDefault="0038429D">
            <w:pPr>
              <w:pStyle w:val="Bibliography"/>
            </w:pPr>
            <w:r>
              <w:t>“SDS for Starch,” 21 08 2025. [Online]. Available: https://www.sigmaaldrich.com/GB/en/sds/sial/16911?srsltid=AfmBOopGkKmHelXzpZY3a_EoN3l9TcwDJiTNWxuQbwKutnVJqrfZVKLW. [Accessed 06 11 2025].</w:t>
            </w:r>
          </w:p>
        </w:tc>
      </w:tr>
      <w:tr w:rsidR="003E60A9" w14:paraId="374F0671" w14:textId="77777777">
        <w:tblPrEx>
          <w:tblCellMar>
            <w:top w:w="0" w:type="dxa"/>
            <w:bottom w:w="0" w:type="dxa"/>
          </w:tblCellMar>
        </w:tblPrEx>
        <w:tc>
          <w:tcPr>
            <w:tcW w:w="245" w:type="dxa"/>
            <w:tcMar>
              <w:top w:w="15" w:type="dxa"/>
              <w:left w:w="15" w:type="dxa"/>
              <w:bottom w:w="15" w:type="dxa"/>
              <w:right w:w="15" w:type="dxa"/>
            </w:tcMar>
          </w:tcPr>
          <w:p w14:paraId="18F57602" w14:textId="77777777" w:rsidR="003E60A9" w:rsidRDefault="0038429D">
            <w:pPr>
              <w:pStyle w:val="Bibliography"/>
            </w:pPr>
            <w:r>
              <w:t xml:space="preserve">[5] </w:t>
            </w:r>
          </w:p>
        </w:tc>
        <w:tc>
          <w:tcPr>
            <w:tcW w:w="8781" w:type="dxa"/>
            <w:tcMar>
              <w:top w:w="15" w:type="dxa"/>
              <w:left w:w="15" w:type="dxa"/>
              <w:bottom w:w="15" w:type="dxa"/>
              <w:right w:w="15" w:type="dxa"/>
            </w:tcMar>
          </w:tcPr>
          <w:p w14:paraId="1BBCDBF5" w14:textId="77777777" w:rsidR="003E60A9" w:rsidRDefault="0038429D">
            <w:pPr>
              <w:pStyle w:val="Bibliography"/>
            </w:pPr>
            <w:r>
              <w:t>“SDS for water,” 14 09 2025. [Online]. Available: https://www.sigmaaldrich.com/GB/en/sds/sigma/w4502?userType=undefined. [Accessed 06 11 2025].</w:t>
            </w:r>
          </w:p>
        </w:tc>
      </w:tr>
      <w:tr w:rsidR="003E60A9" w14:paraId="3C93663B" w14:textId="77777777">
        <w:tblPrEx>
          <w:tblCellMar>
            <w:top w:w="0" w:type="dxa"/>
            <w:bottom w:w="0" w:type="dxa"/>
          </w:tblCellMar>
        </w:tblPrEx>
        <w:tc>
          <w:tcPr>
            <w:tcW w:w="245" w:type="dxa"/>
            <w:tcMar>
              <w:top w:w="15" w:type="dxa"/>
              <w:left w:w="15" w:type="dxa"/>
              <w:bottom w:w="15" w:type="dxa"/>
              <w:right w:w="15" w:type="dxa"/>
            </w:tcMar>
          </w:tcPr>
          <w:p w14:paraId="6DB6FEFB" w14:textId="77777777" w:rsidR="003E60A9" w:rsidRDefault="0038429D">
            <w:pPr>
              <w:pStyle w:val="Bibliography"/>
            </w:pPr>
            <w:r>
              <w:t xml:space="preserve">[6] </w:t>
            </w:r>
          </w:p>
        </w:tc>
        <w:tc>
          <w:tcPr>
            <w:tcW w:w="8781" w:type="dxa"/>
            <w:tcMar>
              <w:top w:w="15" w:type="dxa"/>
              <w:left w:w="15" w:type="dxa"/>
              <w:bottom w:w="15" w:type="dxa"/>
              <w:right w:w="15" w:type="dxa"/>
            </w:tcMar>
          </w:tcPr>
          <w:p w14:paraId="2060CC89" w14:textId="77777777" w:rsidR="003E60A9" w:rsidRDefault="0038429D">
            <w:pPr>
              <w:pStyle w:val="Bibliography"/>
            </w:pPr>
            <w:r>
              <w:t>“SDS for Hydrogen Peroxide,” 12 03 2025. [Online]. Available: https://www.sigmaaldrich.com/GB/en/sds/sial/16911?srsltid=AfmBOopGkKmHelXzpZY3a_EoN3l9TcwDJiTNWxuQbwKutnVJqrfZVKLW. [Accessed 06 11 2025].</w:t>
            </w:r>
          </w:p>
        </w:tc>
      </w:tr>
      <w:tr w:rsidR="003E60A9" w14:paraId="11C2D076" w14:textId="77777777">
        <w:tblPrEx>
          <w:tblCellMar>
            <w:top w:w="0" w:type="dxa"/>
            <w:bottom w:w="0" w:type="dxa"/>
          </w:tblCellMar>
        </w:tblPrEx>
        <w:tc>
          <w:tcPr>
            <w:tcW w:w="245" w:type="dxa"/>
            <w:tcMar>
              <w:top w:w="15" w:type="dxa"/>
              <w:left w:w="15" w:type="dxa"/>
              <w:bottom w:w="15" w:type="dxa"/>
              <w:right w:w="15" w:type="dxa"/>
            </w:tcMar>
          </w:tcPr>
          <w:p w14:paraId="7DC5C3B1" w14:textId="77777777" w:rsidR="003E60A9" w:rsidRDefault="0038429D">
            <w:pPr>
              <w:pStyle w:val="Bibliography"/>
            </w:pPr>
            <w:r>
              <w:t xml:space="preserve">[7] </w:t>
            </w:r>
          </w:p>
        </w:tc>
        <w:tc>
          <w:tcPr>
            <w:tcW w:w="8781" w:type="dxa"/>
            <w:tcMar>
              <w:top w:w="15" w:type="dxa"/>
              <w:left w:w="15" w:type="dxa"/>
              <w:bottom w:w="15" w:type="dxa"/>
              <w:right w:w="15" w:type="dxa"/>
            </w:tcMar>
          </w:tcPr>
          <w:p w14:paraId="26F14A79" w14:textId="77777777" w:rsidR="003E60A9" w:rsidRDefault="0038429D">
            <w:pPr>
              <w:pStyle w:val="Bibliography"/>
            </w:pPr>
            <w:r>
              <w:t xml:space="preserve">S. Hird, “Iodine clock reaction,” SaveMyExams, 26 11 2024. [Online]. Available: </w:t>
            </w:r>
            <w:r>
              <w:t>https://www.savemyexams.com/a-level/chemistry/aqa/17/revision-notes/8-advanced-practical-skills/8-1-physical-chemistry-practicals/8-1-5-iodine-clock-reaction. [Accessed 05 11 2025].</w:t>
            </w:r>
          </w:p>
        </w:tc>
      </w:tr>
      <w:tr w:rsidR="003E60A9" w14:paraId="00572C92" w14:textId="77777777">
        <w:tblPrEx>
          <w:tblCellMar>
            <w:top w:w="0" w:type="dxa"/>
            <w:bottom w:w="0" w:type="dxa"/>
          </w:tblCellMar>
        </w:tblPrEx>
        <w:tc>
          <w:tcPr>
            <w:tcW w:w="245" w:type="dxa"/>
            <w:tcMar>
              <w:top w:w="15" w:type="dxa"/>
              <w:left w:w="15" w:type="dxa"/>
              <w:bottom w:w="15" w:type="dxa"/>
              <w:right w:w="15" w:type="dxa"/>
            </w:tcMar>
          </w:tcPr>
          <w:p w14:paraId="79C403CC" w14:textId="77777777" w:rsidR="003E60A9" w:rsidRDefault="0038429D">
            <w:pPr>
              <w:pStyle w:val="Bibliography"/>
            </w:pPr>
            <w:r>
              <w:t xml:space="preserve">[8] </w:t>
            </w:r>
          </w:p>
        </w:tc>
        <w:tc>
          <w:tcPr>
            <w:tcW w:w="8781" w:type="dxa"/>
            <w:tcMar>
              <w:top w:w="15" w:type="dxa"/>
              <w:left w:w="15" w:type="dxa"/>
              <w:bottom w:w="15" w:type="dxa"/>
              <w:right w:w="15" w:type="dxa"/>
            </w:tcMar>
          </w:tcPr>
          <w:p w14:paraId="6FD2AD81" w14:textId="77777777" w:rsidR="003E60A9" w:rsidRDefault="0038429D">
            <w:pPr>
              <w:pStyle w:val="Bibliography"/>
            </w:pPr>
            <w:r>
              <w:t>“Investigate the Kinetics of the Color Changing Iodine Clock Reaction,” Science Buddies, [Online]. Available: https://www.sciencebuddies.org/science-fair-projects/project-ideas/Chem_p091/chemistry/iodine-clock-reaction-kinetics. [Accessed 06 11 2025].</w:t>
            </w:r>
          </w:p>
        </w:tc>
      </w:tr>
    </w:tbl>
    <w:p w14:paraId="2B559683" w14:textId="77777777" w:rsidR="003E60A9" w:rsidRDefault="003E60A9">
      <w:pPr>
        <w:rPr>
          <w:rFonts w:eastAsia="Times New Roman"/>
        </w:rPr>
      </w:pPr>
    </w:p>
    <w:p w14:paraId="0D7BDF49" w14:textId="77777777" w:rsidR="003E60A9" w:rsidRDefault="003E60A9"/>
    <w:p w14:paraId="64319E27" w14:textId="77777777" w:rsidR="003E60A9" w:rsidRDefault="0038429D">
      <w:pPr>
        <w:pStyle w:val="Heading1"/>
      </w:pPr>
      <w:bookmarkStart w:id="7" w:name="_Toc213416919"/>
      <w:r>
        <w:t>Appendix:</w:t>
      </w:r>
      <w:bookmarkEnd w:id="7"/>
      <w:r>
        <w:t xml:space="preserve"> </w:t>
      </w:r>
    </w:p>
    <w:p w14:paraId="5E8D2591" w14:textId="77777777" w:rsidR="003E60A9" w:rsidRDefault="0038429D">
      <w:r>
        <w:t>Chemicals</w:t>
      </w:r>
    </w:p>
    <w:p w14:paraId="67E71EFD" w14:textId="77777777" w:rsidR="003E60A9" w:rsidRDefault="0038429D">
      <w:pPr>
        <w:pStyle w:val="ListParagraph"/>
        <w:numPr>
          <w:ilvl w:val="0"/>
          <w:numId w:val="1"/>
        </w:numPr>
      </w:pPr>
      <w:r>
        <w:t>KI</w:t>
      </w:r>
    </w:p>
    <w:p w14:paraId="289CBEA8" w14:textId="77777777" w:rsidR="003E60A9" w:rsidRDefault="0038429D">
      <w:pPr>
        <w:pStyle w:val="ListParagraph"/>
        <w:numPr>
          <w:ilvl w:val="0"/>
          <w:numId w:val="1"/>
        </w:numPr>
      </w:pPr>
      <w:r>
        <w:t>Vit C</w:t>
      </w:r>
    </w:p>
    <w:p w14:paraId="204AF858" w14:textId="77777777" w:rsidR="003E60A9" w:rsidRDefault="0038429D">
      <w:pPr>
        <w:pStyle w:val="ListParagraph"/>
        <w:numPr>
          <w:ilvl w:val="0"/>
          <w:numId w:val="1"/>
        </w:numPr>
      </w:pPr>
      <w:r>
        <w:t>Starch</w:t>
      </w:r>
    </w:p>
    <w:p w14:paraId="7725FC1E" w14:textId="77777777" w:rsidR="003E60A9" w:rsidRDefault="0038429D">
      <w:pPr>
        <w:pStyle w:val="ListParagraph"/>
        <w:numPr>
          <w:ilvl w:val="0"/>
          <w:numId w:val="1"/>
        </w:numPr>
      </w:pPr>
      <w:r>
        <w:t>Water</w:t>
      </w:r>
    </w:p>
    <w:p w14:paraId="0745F4ED" w14:textId="77777777" w:rsidR="003E60A9" w:rsidRDefault="0038429D">
      <w:pPr>
        <w:pStyle w:val="ListParagraph"/>
        <w:numPr>
          <w:ilvl w:val="0"/>
          <w:numId w:val="1"/>
        </w:numPr>
      </w:pPr>
      <w:r>
        <w:t>H2O2</w:t>
      </w:r>
    </w:p>
    <w:p w14:paraId="21D1DC7A" w14:textId="77777777" w:rsidR="003E60A9" w:rsidRDefault="0038429D">
      <w:r>
        <w:t>Equipment</w:t>
      </w:r>
    </w:p>
    <w:p w14:paraId="0B03E687" w14:textId="77777777" w:rsidR="003E60A9" w:rsidRDefault="0038429D">
      <w:pPr>
        <w:pStyle w:val="ListParagraph"/>
        <w:numPr>
          <w:ilvl w:val="0"/>
          <w:numId w:val="2"/>
        </w:numPr>
      </w:pPr>
      <w:r>
        <w:t>Flask</w:t>
      </w:r>
    </w:p>
    <w:p w14:paraId="2FAF70FB" w14:textId="77777777" w:rsidR="003E60A9" w:rsidRDefault="0038429D">
      <w:pPr>
        <w:pStyle w:val="ListParagraph"/>
        <w:numPr>
          <w:ilvl w:val="0"/>
          <w:numId w:val="2"/>
        </w:numPr>
      </w:pPr>
      <w:r>
        <w:t>Pipette</w:t>
      </w:r>
    </w:p>
    <w:p w14:paraId="788E1FE7" w14:textId="77777777" w:rsidR="003E60A9" w:rsidRDefault="0038429D">
      <w:pPr>
        <w:pStyle w:val="ListParagraph"/>
        <w:numPr>
          <w:ilvl w:val="0"/>
          <w:numId w:val="2"/>
        </w:numPr>
      </w:pPr>
      <w:r>
        <w:t>Glass stirrer</w:t>
      </w:r>
    </w:p>
    <w:p w14:paraId="7F6ACF22" w14:textId="77777777" w:rsidR="003E60A9" w:rsidRDefault="0038429D">
      <w:pPr>
        <w:pStyle w:val="ListParagraph"/>
        <w:numPr>
          <w:ilvl w:val="0"/>
          <w:numId w:val="2"/>
        </w:numPr>
      </w:pPr>
      <w:r>
        <w:t xml:space="preserve">Stopwatch </w:t>
      </w:r>
    </w:p>
    <w:p w14:paraId="3F99530C" w14:textId="77777777" w:rsidR="003E60A9" w:rsidRDefault="0038429D">
      <w:pPr>
        <w:pStyle w:val="ListParagraph"/>
        <w:numPr>
          <w:ilvl w:val="0"/>
          <w:numId w:val="2"/>
        </w:numPr>
      </w:pPr>
      <w:r>
        <w:t>Test tube</w:t>
      </w:r>
    </w:p>
    <w:p w14:paraId="7813CB66" w14:textId="77777777" w:rsidR="003E60A9" w:rsidRDefault="0038429D">
      <w:r>
        <w:t>Methodology</w:t>
      </w:r>
    </w:p>
    <w:p w14:paraId="2A6EF24E" w14:textId="77777777" w:rsidR="003E60A9" w:rsidRDefault="0038429D">
      <w:pPr>
        <w:snapToGrid w:val="0"/>
        <w:spacing w:line="360" w:lineRule="auto"/>
      </w:pPr>
      <w:r>
        <w:rPr>
          <w:rFonts w:cs="Aptos"/>
          <w:u w:val="single"/>
        </w:rPr>
        <w:t>Procedure:</w:t>
      </w:r>
      <w:r>
        <w:rPr>
          <w:rFonts w:cs="Aptos"/>
          <w:b/>
          <w:bCs/>
        </w:rPr>
        <w:t xml:space="preserve"> </w:t>
      </w:r>
    </w:p>
    <w:p w14:paraId="7D5263B0" w14:textId="77777777" w:rsidR="003E60A9" w:rsidRDefault="0038429D">
      <w:pPr>
        <w:pStyle w:val="ListParagraph"/>
        <w:numPr>
          <w:ilvl w:val="0"/>
          <w:numId w:val="3"/>
        </w:numPr>
        <w:suppressAutoHyphens w:val="0"/>
        <w:snapToGrid w:val="0"/>
        <w:spacing w:line="360" w:lineRule="auto"/>
      </w:pPr>
      <w:r>
        <w:rPr>
          <w:rFonts w:cs="Aptos"/>
          <w:b/>
          <w:bCs/>
        </w:rPr>
        <w:t>Order of the reaction in [H</w:t>
      </w:r>
      <w:r>
        <w:rPr>
          <w:rFonts w:cs="Aptos"/>
          <w:b/>
          <w:bCs/>
          <w:vertAlign w:val="subscript"/>
        </w:rPr>
        <w:t>2</w:t>
      </w:r>
      <w:r>
        <w:rPr>
          <w:rFonts w:cs="Aptos"/>
          <w:b/>
          <w:bCs/>
        </w:rPr>
        <w:t>O</w:t>
      </w:r>
      <w:r>
        <w:rPr>
          <w:rFonts w:cs="Aptos"/>
          <w:b/>
          <w:bCs/>
          <w:vertAlign w:val="subscript"/>
        </w:rPr>
        <w:t>2</w:t>
      </w:r>
      <w:r>
        <w:rPr>
          <w:rFonts w:cs="Aptos"/>
          <w:b/>
          <w:bCs/>
        </w:rPr>
        <w:t>]</w:t>
      </w:r>
    </w:p>
    <w:p w14:paraId="5CC75078" w14:textId="77777777" w:rsidR="003E60A9" w:rsidRDefault="0038429D">
      <w:pPr>
        <w:pStyle w:val="ListParagraph"/>
        <w:numPr>
          <w:ilvl w:val="0"/>
          <w:numId w:val="4"/>
        </w:numPr>
        <w:suppressAutoHyphens w:val="0"/>
        <w:spacing w:line="256" w:lineRule="auto"/>
        <w:rPr>
          <w:rFonts w:cs="Aptos"/>
          <w:bCs/>
        </w:rPr>
      </w:pPr>
      <w:r>
        <w:rPr>
          <w:rFonts w:cs="Aptos"/>
          <w:bCs/>
        </w:rPr>
        <w:t xml:space="preserve">In four conical flasks prepare solution A according to the table. Use one glass pipette to measure the required volumes of KI and Vit C solutions. Add ~1 mL of starch solution. </w:t>
      </w:r>
    </w:p>
    <w:p w14:paraId="6566FD68" w14:textId="77777777" w:rsidR="003E60A9" w:rsidRDefault="0038429D">
      <w:pPr>
        <w:pStyle w:val="ListParagraph"/>
        <w:numPr>
          <w:ilvl w:val="0"/>
          <w:numId w:val="4"/>
        </w:numPr>
        <w:suppressAutoHyphens w:val="0"/>
        <w:spacing w:line="256" w:lineRule="auto"/>
      </w:pPr>
      <w:r>
        <w:rPr>
          <w:rFonts w:cs="Aptos"/>
          <w:bCs/>
        </w:rPr>
        <w:t>With the second glass pipette measure the required volume of H</w:t>
      </w:r>
      <w:r>
        <w:rPr>
          <w:rFonts w:cs="Aptos"/>
          <w:bCs/>
          <w:vertAlign w:val="subscript"/>
        </w:rPr>
        <w:t>2</w:t>
      </w:r>
      <w:r>
        <w:rPr>
          <w:rFonts w:cs="Aptos"/>
          <w:bCs/>
        </w:rPr>
        <w:t>O</w:t>
      </w:r>
      <w:r>
        <w:rPr>
          <w:rFonts w:cs="Aptos"/>
          <w:bCs/>
          <w:vertAlign w:val="subscript"/>
        </w:rPr>
        <w:t>2</w:t>
      </w:r>
      <w:r>
        <w:rPr>
          <w:rFonts w:cs="Aptos"/>
          <w:bCs/>
        </w:rPr>
        <w:t xml:space="preserve"> (solution B) and transfer it in the test tube. </w:t>
      </w:r>
    </w:p>
    <w:p w14:paraId="3B147B9D" w14:textId="77777777" w:rsidR="003E60A9" w:rsidRDefault="0038429D">
      <w:pPr>
        <w:pStyle w:val="ListParagraph"/>
        <w:numPr>
          <w:ilvl w:val="0"/>
          <w:numId w:val="4"/>
        </w:numPr>
        <w:suppressAutoHyphens w:val="0"/>
        <w:spacing w:line="256" w:lineRule="auto"/>
        <w:rPr>
          <w:rFonts w:cs="Aptos"/>
          <w:bCs/>
        </w:rPr>
      </w:pPr>
      <w:r>
        <w:rPr>
          <w:rFonts w:cs="Aptos"/>
          <w:bCs/>
        </w:rPr>
        <w:t>Pour quickly solution B from the test tube to solution A in the conical flask, stir and start the timer as soon as the solutions are mixed.</w:t>
      </w:r>
    </w:p>
    <w:p w14:paraId="1BD7010A" w14:textId="77777777" w:rsidR="003E60A9" w:rsidRDefault="0038429D">
      <w:pPr>
        <w:pStyle w:val="ListParagraph"/>
        <w:numPr>
          <w:ilvl w:val="0"/>
          <w:numId w:val="4"/>
        </w:numPr>
        <w:suppressAutoHyphens w:val="0"/>
        <w:spacing w:line="256" w:lineRule="auto"/>
        <w:rPr>
          <w:rFonts w:cs="Aptos"/>
          <w:bCs/>
        </w:rPr>
      </w:pPr>
      <w:r>
        <w:rPr>
          <w:rFonts w:cs="Aptos"/>
          <w:bCs/>
        </w:rPr>
        <w:t>Record the time until the first permanent blue colour appears.</w:t>
      </w:r>
    </w:p>
    <w:p w14:paraId="224FAFA8" w14:textId="77777777" w:rsidR="003E60A9" w:rsidRDefault="003E60A9">
      <w:pPr>
        <w:rPr>
          <w:rFonts w:cs="Aptos"/>
          <w:bCs/>
        </w:rPr>
      </w:pPr>
    </w:p>
    <w:p w14:paraId="66127D65" w14:textId="77777777" w:rsidR="003E60A9" w:rsidRDefault="0038429D">
      <w:pPr>
        <w:pStyle w:val="ListParagraph"/>
        <w:numPr>
          <w:ilvl w:val="0"/>
          <w:numId w:val="3"/>
        </w:numPr>
        <w:suppressAutoHyphens w:val="0"/>
        <w:snapToGrid w:val="0"/>
        <w:spacing w:line="360" w:lineRule="auto"/>
      </w:pPr>
      <w:r>
        <w:rPr>
          <w:rFonts w:cs="Aptos"/>
          <w:b/>
          <w:bCs/>
        </w:rPr>
        <w:t>Order of the reaction in [I</w:t>
      </w:r>
      <w:r>
        <w:rPr>
          <w:rFonts w:cs="Aptos"/>
          <w:b/>
          <w:bCs/>
          <w:vertAlign w:val="superscript"/>
        </w:rPr>
        <w:t>-</w:t>
      </w:r>
      <w:r>
        <w:rPr>
          <w:rFonts w:cs="Aptos"/>
          <w:b/>
          <w:bCs/>
        </w:rPr>
        <w:t>]</w:t>
      </w:r>
    </w:p>
    <w:p w14:paraId="6E6182D3" w14:textId="77777777" w:rsidR="003E60A9" w:rsidRDefault="0038429D">
      <w:pPr>
        <w:pStyle w:val="ListParagraph"/>
        <w:numPr>
          <w:ilvl w:val="0"/>
          <w:numId w:val="4"/>
        </w:numPr>
        <w:suppressAutoHyphens w:val="0"/>
        <w:spacing w:line="256" w:lineRule="auto"/>
        <w:rPr>
          <w:rFonts w:cs="Aptos"/>
          <w:bCs/>
        </w:rPr>
      </w:pPr>
      <w:r>
        <w:rPr>
          <w:rFonts w:cs="Aptos"/>
          <w:bCs/>
        </w:rPr>
        <w:t xml:space="preserve">In four conical flasks prepare solution A according to the table. Use one glass pipette to measure the required volumes of KI and Vit C </w:t>
      </w:r>
      <w:r>
        <w:rPr>
          <w:rFonts w:cs="Aptos"/>
          <w:bCs/>
        </w:rPr>
        <w:t xml:space="preserve">solutions. Add ~1 mL of starch solution. </w:t>
      </w:r>
    </w:p>
    <w:p w14:paraId="2DE4D183" w14:textId="77777777" w:rsidR="003E60A9" w:rsidRDefault="0038429D">
      <w:pPr>
        <w:pStyle w:val="ListParagraph"/>
        <w:numPr>
          <w:ilvl w:val="0"/>
          <w:numId w:val="4"/>
        </w:numPr>
        <w:suppressAutoHyphens w:val="0"/>
        <w:spacing w:line="256" w:lineRule="auto"/>
      </w:pPr>
      <w:r>
        <w:rPr>
          <w:rFonts w:cs="Aptos"/>
          <w:bCs/>
        </w:rPr>
        <w:t>With the second glass pipette measure the required volume of H</w:t>
      </w:r>
      <w:r>
        <w:rPr>
          <w:rFonts w:cs="Aptos"/>
          <w:bCs/>
          <w:vertAlign w:val="subscript"/>
        </w:rPr>
        <w:t>2</w:t>
      </w:r>
      <w:r>
        <w:rPr>
          <w:rFonts w:cs="Aptos"/>
          <w:bCs/>
        </w:rPr>
        <w:t>O</w:t>
      </w:r>
      <w:r>
        <w:rPr>
          <w:rFonts w:cs="Aptos"/>
          <w:bCs/>
          <w:vertAlign w:val="subscript"/>
        </w:rPr>
        <w:t>2</w:t>
      </w:r>
      <w:r>
        <w:rPr>
          <w:rFonts w:cs="Aptos"/>
          <w:bCs/>
        </w:rPr>
        <w:t xml:space="preserve"> (solution B) and transfer it in the test tube. </w:t>
      </w:r>
    </w:p>
    <w:p w14:paraId="3E4667FB" w14:textId="77777777" w:rsidR="003E60A9" w:rsidRDefault="0038429D">
      <w:pPr>
        <w:pStyle w:val="ListParagraph"/>
        <w:numPr>
          <w:ilvl w:val="0"/>
          <w:numId w:val="4"/>
        </w:numPr>
        <w:suppressAutoHyphens w:val="0"/>
        <w:spacing w:line="256" w:lineRule="auto"/>
        <w:rPr>
          <w:rFonts w:cs="Aptos"/>
          <w:bCs/>
        </w:rPr>
      </w:pPr>
      <w:r>
        <w:rPr>
          <w:rFonts w:cs="Aptos"/>
          <w:bCs/>
        </w:rPr>
        <w:t>Pour quickly solution B from the test tube to solution A in conical flask, stir and start the timer as soon as the solutions are mixed.</w:t>
      </w:r>
    </w:p>
    <w:p w14:paraId="2E0FD669" w14:textId="77777777" w:rsidR="003E60A9" w:rsidRDefault="0038429D">
      <w:pPr>
        <w:pStyle w:val="ListParagraph"/>
        <w:numPr>
          <w:ilvl w:val="0"/>
          <w:numId w:val="4"/>
        </w:numPr>
        <w:suppressAutoHyphens w:val="0"/>
        <w:spacing w:line="256" w:lineRule="auto"/>
        <w:rPr>
          <w:rFonts w:cs="Aptos"/>
          <w:bCs/>
        </w:rPr>
      </w:pPr>
      <w:r>
        <w:rPr>
          <w:rFonts w:cs="Aptos"/>
          <w:bCs/>
        </w:rPr>
        <w:t>Record the time until the first permanent blue colour appears.</w:t>
      </w:r>
    </w:p>
    <w:p w14:paraId="30A145E6" w14:textId="77777777" w:rsidR="003E60A9" w:rsidRDefault="003E60A9">
      <w:pPr>
        <w:pStyle w:val="ListParagraph"/>
        <w:rPr>
          <w:rFonts w:cs="Aptos"/>
          <w:bCs/>
        </w:rPr>
      </w:pPr>
    </w:p>
    <w:p w14:paraId="36035488" w14:textId="77777777" w:rsidR="003E60A9" w:rsidRDefault="0038429D">
      <w:pPr>
        <w:pStyle w:val="ListParagraph"/>
      </w:pPr>
      <w:r>
        <w:t>The Excel spreadsheet used for all equations</w:t>
      </w:r>
    </w:p>
    <w:p w14:paraId="38CEC64A" w14:textId="77777777" w:rsidR="003E60A9" w:rsidRDefault="003E60A9">
      <w:pPr>
        <w:pStyle w:val="ListParagraph"/>
      </w:pPr>
    </w:p>
    <w:p w14:paraId="6F99D966" w14:textId="77777777" w:rsidR="003E60A9" w:rsidRDefault="0038429D">
      <w:pPr>
        <w:pStyle w:val="ListParagraph"/>
      </w:pPr>
      <w:r>
        <w:rPr>
          <w:noProof/>
        </w:rPr>
        <w:drawing>
          <wp:inline distT="0" distB="0" distL="0" distR="0" wp14:anchorId="5848679E" wp14:editId="6CBBF502">
            <wp:extent cx="5731514" cy="2652390"/>
            <wp:effectExtent l="0" t="0" r="2536" b="0"/>
            <wp:docPr id="1860833993"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731514" cy="2652390"/>
                    </a:xfrm>
                    <a:prstGeom prst="rect">
                      <a:avLst/>
                    </a:prstGeom>
                    <a:noFill/>
                    <a:ln>
                      <a:noFill/>
                      <a:prstDash/>
                    </a:ln>
                  </pic:spPr>
                </pic:pic>
              </a:graphicData>
            </a:graphic>
          </wp:inline>
        </w:drawing>
      </w:r>
    </w:p>
    <w:p w14:paraId="7C361A0F" w14:textId="77777777" w:rsidR="003E60A9" w:rsidRDefault="0038429D">
      <w:r>
        <w:rPr>
          <w:noProof/>
        </w:rPr>
        <w:drawing>
          <wp:inline distT="0" distB="0" distL="0" distR="0" wp14:anchorId="01B33B0D" wp14:editId="53ED15CC">
            <wp:extent cx="5731514" cy="3269610"/>
            <wp:effectExtent l="0" t="0" r="2536" b="6990"/>
            <wp:docPr id="1189738276" name="Picture 1" descr="A screenshot of a graph&#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4" cy="3269610"/>
                    </a:xfrm>
                    <a:prstGeom prst="rect">
                      <a:avLst/>
                    </a:prstGeom>
                    <a:noFill/>
                    <a:ln>
                      <a:noFill/>
                      <a:prstDash/>
                    </a:ln>
                  </pic:spPr>
                </pic:pic>
              </a:graphicData>
            </a:graphic>
          </wp:inline>
        </w:drawing>
      </w:r>
    </w:p>
    <w:p w14:paraId="4292A2F7" w14:textId="77777777" w:rsidR="003E60A9" w:rsidRDefault="003E60A9"/>
    <w:sectPr w:rsidR="003E60A9">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AD1BE" w14:textId="77777777" w:rsidR="0038429D" w:rsidRDefault="0038429D">
      <w:pPr>
        <w:spacing w:after="0" w:line="240" w:lineRule="auto"/>
      </w:pPr>
      <w:r>
        <w:separator/>
      </w:r>
    </w:p>
  </w:endnote>
  <w:endnote w:type="continuationSeparator" w:id="0">
    <w:p w14:paraId="288CBF60" w14:textId="77777777" w:rsidR="0038429D" w:rsidRDefault="003842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13F0D" w14:textId="77777777" w:rsidR="0038429D" w:rsidRDefault="0038429D">
      <w:pPr>
        <w:spacing w:after="0" w:line="240" w:lineRule="auto"/>
      </w:pPr>
      <w:r>
        <w:rPr>
          <w:color w:val="000000"/>
        </w:rPr>
        <w:separator/>
      </w:r>
    </w:p>
  </w:footnote>
  <w:footnote w:type="continuationSeparator" w:id="0">
    <w:p w14:paraId="03C1D9B9" w14:textId="77777777" w:rsidR="0038429D" w:rsidRDefault="003842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3B6A"/>
    <w:multiLevelType w:val="multilevel"/>
    <w:tmpl w:val="318C41B2"/>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1" w15:restartNumberingAfterBreak="0">
    <w:nsid w:val="0E2667DC"/>
    <w:multiLevelType w:val="multilevel"/>
    <w:tmpl w:val="51E05F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402D4735"/>
    <w:multiLevelType w:val="multilevel"/>
    <w:tmpl w:val="E8080CF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4C55EE1"/>
    <w:multiLevelType w:val="multilevel"/>
    <w:tmpl w:val="3F32C8DE"/>
    <w:lvl w:ilvl="0">
      <w:start w:val="1"/>
      <w:numFmt w:val="upperRoman"/>
      <w:lvlText w:val="%1."/>
      <w:lvlJc w:val="left"/>
      <w:pPr>
        <w:ind w:left="1080" w:hanging="720"/>
      </w:pPr>
      <w:rPr>
        <w:b/>
        <w:u w:val="none"/>
      </w:r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num w:numId="1" w16cid:durableId="1508859059">
    <w:abstractNumId w:val="2"/>
  </w:num>
  <w:num w:numId="2" w16cid:durableId="754479563">
    <w:abstractNumId w:val="1"/>
  </w:num>
  <w:num w:numId="3" w16cid:durableId="1165777652">
    <w:abstractNumId w:val="3"/>
  </w:num>
  <w:num w:numId="4" w16cid:durableId="1344018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E60A9"/>
    <w:rsid w:val="0038429D"/>
    <w:rsid w:val="003E60A9"/>
    <w:rsid w:val="00E402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63F8"/>
  <w15:docId w15:val="{422AEAB4-3B5A-428E-A424-C8BD55FA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TOCHeading">
    <w:name w:val="TOC Heading"/>
    <w:basedOn w:val="Heading1"/>
    <w:next w:val="Normal"/>
    <w:pPr>
      <w:suppressAutoHyphens w:val="0"/>
      <w:spacing w:before="240" w:after="0" w:line="256" w:lineRule="auto"/>
    </w:pPr>
    <w:rPr>
      <w:kern w:val="0"/>
      <w:sz w:val="32"/>
      <w:szCs w:val="32"/>
      <w:lang w:eastAsia="en-GB"/>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_Toc213416912" TargetMode="External"/><Relationship Id="rId13" Type="http://schemas.openxmlformats.org/officeDocument/2006/relationships/hyperlink" Target="#_Toc213416917" TargetMode="External"/><Relationship Id="rId18" Type="http://schemas.openxmlformats.org/officeDocument/2006/relationships/chart" Target="charts/chart2.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hyperlink" Target="mailto:2219350@student.uwtsd.ac.uk" TargetMode="External"/><Relationship Id="rId12" Type="http://schemas.openxmlformats.org/officeDocument/2006/relationships/hyperlink" Target="#_Toc213416916" TargetMode="External"/><Relationship Id="rId17" Type="http://schemas.openxmlformats.org/officeDocument/2006/relationships/chart" Target="charts/chart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Toc213416915" TargetMode="External"/><Relationship Id="rId5" Type="http://schemas.openxmlformats.org/officeDocument/2006/relationships/footnotes" Target="footnotes.xml"/><Relationship Id="rId15" Type="http://schemas.openxmlformats.org/officeDocument/2006/relationships/hyperlink" Target="#_Toc213416919" TargetMode="External"/><Relationship Id="rId23" Type="http://schemas.openxmlformats.org/officeDocument/2006/relationships/theme" Target="theme/theme1.xml"/><Relationship Id="rId10" Type="http://schemas.openxmlformats.org/officeDocument/2006/relationships/hyperlink" Target="#_Toc213416914" TargetMode="External"/><Relationship Id="rId19"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hyperlink" Target="#_Toc213416913" TargetMode="External"/><Relationship Id="rId14" Type="http://schemas.openxmlformats.org/officeDocument/2006/relationships/hyperlink" Target="#_Toc213416918"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Narrow"/>
              </a:defRPr>
            </a:pPr>
            <a:r>
              <a:rPr lang="en-US" sz="1400" b="0" i="0" u="none" strike="noStrike" kern="1200" cap="none" spc="0" baseline="0">
                <a:solidFill>
                  <a:srgbClr val="595959"/>
                </a:solidFill>
                <a:uFillTx/>
                <a:latin typeface="Aptos Narrow"/>
              </a:rPr>
              <a:t>Experiment 1</a:t>
            </a:r>
          </a:p>
        </c:rich>
      </c:tx>
      <c:overlay val="0"/>
      <c:spPr>
        <a:noFill/>
        <a:ln>
          <a:noFill/>
        </a:ln>
      </c:spPr>
    </c:title>
    <c:autoTitleDeleted val="0"/>
    <c:plotArea>
      <c:layout/>
      <c:scatterChart>
        <c:scatterStyle val="lineMarker"/>
        <c:varyColors val="0"/>
        <c:ser>
          <c:idx val="0"/>
          <c:order val="0"/>
          <c:tx>
            <c:v>Log ex1</c:v>
          </c:tx>
          <c:spPr>
            <a:ln w="19046" cap="rnd">
              <a:solidFill>
                <a:srgbClr val="156082"/>
              </a:solidFill>
              <a:prstDash val="solid"/>
              <a:round/>
            </a:ln>
          </c:spPr>
          <c:marker>
            <c:symbol val="circle"/>
            <c:size val="5"/>
          </c:marker>
          <c:xVal>
            <c:numLit>
              <c:formatCode>General</c:formatCode>
              <c:ptCount val="4"/>
              <c:pt idx="0">
                <c:v>-2.2227164711475833</c:v>
              </c:pt>
              <c:pt idx="1">
                <c:v>-2.1172712956557644</c:v>
              </c:pt>
              <c:pt idx="2">
                <c:v>-1.9444826721501687</c:v>
              </c:pt>
              <c:pt idx="3">
                <c:v>-1.8750612633917001</c:v>
              </c:pt>
            </c:numLit>
          </c:xVal>
          <c:yVal>
            <c:numLit>
              <c:formatCode>General</c:formatCode>
              <c:ptCount val="4"/>
              <c:pt idx="0">
                <c:v>-2.4524253858850975</c:v>
              </c:pt>
              <c:pt idx="1">
                <c:v>-2.1513953902211163</c:v>
              </c:pt>
              <c:pt idx="2">
                <c:v>-1.9753041311654349</c:v>
              </c:pt>
              <c:pt idx="3">
                <c:v>-1.850365394557135</c:v>
              </c:pt>
            </c:numLit>
          </c:yVal>
          <c:smooth val="0"/>
          <c:extLst>
            <c:ext xmlns:c16="http://schemas.microsoft.com/office/drawing/2014/chart" uri="{C3380CC4-5D6E-409C-BE32-E72D297353CC}">
              <c16:uniqueId val="{00000000-C06E-4FEB-8316-E60C1E0920A6}"/>
            </c:ext>
          </c:extLst>
        </c:ser>
        <c:dLbls>
          <c:showLegendKey val="0"/>
          <c:showVal val="0"/>
          <c:showCatName val="0"/>
          <c:showSerName val="0"/>
          <c:showPercent val="0"/>
          <c:showBubbleSize val="0"/>
        </c:dLbls>
        <c:axId val="939340847"/>
        <c:axId val="939330767"/>
      </c:scatterChart>
      <c:valAx>
        <c:axId val="939330767"/>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Narrow"/>
              </a:defRPr>
            </a:pPr>
            <a:endParaRPr lang="en-US"/>
          </a:p>
        </c:txPr>
        <c:crossAx val="939340847"/>
        <c:crosses val="autoZero"/>
        <c:crossBetween val="midCat"/>
      </c:valAx>
      <c:valAx>
        <c:axId val="939340847"/>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Narrow"/>
              </a:defRPr>
            </a:pPr>
            <a:endParaRPr lang="en-US"/>
          </a:p>
        </c:txPr>
        <c:crossAx val="939330767"/>
        <c:crosses val="autoZero"/>
        <c:crossBetween val="midCat"/>
      </c:val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Aptos Narrow"/>
              </a:defRPr>
            </a:pPr>
            <a:r>
              <a:rPr lang="en-US" sz="1400" b="0" i="0" u="none" strike="noStrike" kern="1200" cap="none" spc="0" baseline="0">
                <a:solidFill>
                  <a:srgbClr val="595959"/>
                </a:solidFill>
                <a:uFillTx/>
                <a:latin typeface="Aptos Narrow"/>
              </a:rPr>
              <a:t>Experiment 2</a:t>
            </a:r>
          </a:p>
        </c:rich>
      </c:tx>
      <c:overlay val="0"/>
      <c:spPr>
        <a:noFill/>
        <a:ln>
          <a:noFill/>
        </a:ln>
      </c:spPr>
    </c:title>
    <c:autoTitleDeleted val="0"/>
    <c:plotArea>
      <c:layout/>
      <c:scatterChart>
        <c:scatterStyle val="lineMarker"/>
        <c:varyColors val="0"/>
        <c:ser>
          <c:idx val="0"/>
          <c:order val="0"/>
          <c:tx>
            <c:v>Series1</c:v>
          </c:tx>
          <c:spPr>
            <a:ln w="19046" cap="rnd">
              <a:solidFill>
                <a:srgbClr val="156082"/>
              </a:solidFill>
              <a:prstDash val="solid"/>
              <a:round/>
            </a:ln>
          </c:spPr>
          <c:marker>
            <c:symbol val="circle"/>
            <c:size val="5"/>
          </c:marker>
          <c:xVal>
            <c:numLit>
              <c:formatCode>General</c:formatCode>
              <c:ptCount val="4"/>
              <c:pt idx="0">
                <c:v>-2.3324384599156054</c:v>
              </c:pt>
              <c:pt idx="1">
                <c:v>-2.1522883443830563</c:v>
              </c:pt>
              <c:pt idx="2">
                <c:v>-1.9542425094393248</c:v>
              </c:pt>
              <c:pt idx="3">
                <c:v>-1.7993405494535817</c:v>
              </c:pt>
            </c:numLit>
          </c:xVal>
          <c:yVal>
            <c:numLit>
              <c:formatCode>General</c:formatCode>
              <c:ptCount val="4"/>
              <c:pt idx="0">
                <c:v>-2.0969000000000002</c:v>
              </c:pt>
              <c:pt idx="1">
                <c:v>-1.7959000000000001</c:v>
              </c:pt>
              <c:pt idx="2">
                <c:v>-1.6197999999999999</c:v>
              </c:pt>
              <c:pt idx="3">
                <c:v>-1.4948999999999999</c:v>
              </c:pt>
            </c:numLit>
          </c:yVal>
          <c:smooth val="0"/>
          <c:extLst>
            <c:ext xmlns:c16="http://schemas.microsoft.com/office/drawing/2014/chart" uri="{C3380CC4-5D6E-409C-BE32-E72D297353CC}">
              <c16:uniqueId val="{00000000-48F5-4580-B6FF-91A23A167926}"/>
            </c:ext>
          </c:extLst>
        </c:ser>
        <c:dLbls>
          <c:showLegendKey val="0"/>
          <c:showVal val="0"/>
          <c:showCatName val="0"/>
          <c:showSerName val="0"/>
          <c:showPercent val="0"/>
          <c:showBubbleSize val="0"/>
        </c:dLbls>
        <c:axId val="939343247"/>
        <c:axId val="939346127"/>
      </c:scatterChart>
      <c:valAx>
        <c:axId val="939346127"/>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Narrow"/>
              </a:defRPr>
            </a:pPr>
            <a:endParaRPr lang="en-US"/>
          </a:p>
        </c:txPr>
        <c:crossAx val="939343247"/>
        <c:crosses val="autoZero"/>
        <c:crossBetween val="midCat"/>
      </c:valAx>
      <c:valAx>
        <c:axId val="939343247"/>
        <c:scaling>
          <c:orientation val="minMax"/>
        </c:scaling>
        <c:delete val="0"/>
        <c:axPos val="b"/>
        <c:majorGridlines>
          <c:spPr>
            <a:ln w="9528" cap="flat">
              <a:solidFill>
                <a:srgbClr val="D9D9D9"/>
              </a:solidFill>
              <a:prstDash val="solid"/>
              <a:round/>
            </a:ln>
          </c:spPr>
        </c:majorGridlines>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Aptos Narrow"/>
              </a:defRPr>
            </a:pPr>
            <a:endParaRPr lang="en-US"/>
          </a:p>
        </c:txPr>
        <c:crossAx val="939346127"/>
        <c:crosses val="autoZero"/>
        <c:crossBetween val="midCat"/>
      </c:val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c:style val="2"/>
  <c:chart>
    <c:title>
      <c:tx>
        <c:rich>
          <a:bodyPr lIns="0" tIns="0" rIns="0" bIns="0"/>
          <a:lstStyle/>
          <a:p>
            <a:pPr marL="0" marR="0" indent="0" algn="ctr" defTabSz="914400" fontAlgn="auto" hangingPunct="1">
              <a:lnSpc>
                <a:spcPct val="100000"/>
              </a:lnSpc>
              <a:spcBef>
                <a:spcPts val="0"/>
              </a:spcBef>
              <a:spcAft>
                <a:spcPts val="0"/>
              </a:spcAft>
              <a:tabLst/>
              <a:defRPr lang="en-US" sz="1200" b="0" i="0" u="none" strike="noStrike" kern="1200" baseline="0">
                <a:solidFill>
                  <a:srgbClr val="000000"/>
                </a:solidFill>
                <a:latin typeface="Aptos Narrow"/>
              </a:defRPr>
            </a:pPr>
            <a:r>
              <a:rPr lang="en-US" sz="1200" b="0" i="0" u="none" strike="noStrike" kern="1200" cap="none" spc="0" baseline="0">
                <a:solidFill>
                  <a:srgbClr val="000000"/>
                </a:solidFill>
                <a:uFillTx/>
                <a:latin typeface="Aptos Narrow"/>
              </a:rPr>
              <a:t>Compare the experiements</a:t>
            </a:r>
          </a:p>
        </c:rich>
      </c:tx>
      <c:overlay val="0"/>
      <c:spPr>
        <a:noFill/>
        <a:ln>
          <a:noFill/>
        </a:ln>
      </c:spPr>
    </c:title>
    <c:autoTitleDeleted val="0"/>
    <c:plotArea>
      <c:layout/>
      <c:scatterChart>
        <c:scatterStyle val="lineMarker"/>
        <c:varyColors val="0"/>
        <c:ser>
          <c:idx val="0"/>
          <c:order val="0"/>
          <c:tx>
            <c:v>Log ex1</c:v>
          </c:tx>
          <c:spPr>
            <a:ln w="19046" cap="rnd">
              <a:solidFill>
                <a:srgbClr val="156082"/>
              </a:solidFill>
              <a:prstDash val="solid"/>
              <a:round/>
            </a:ln>
          </c:spPr>
          <c:marker>
            <c:symbol val="circle"/>
            <c:size val="5"/>
          </c:marker>
          <c:xVal>
            <c:numLit>
              <c:formatCode>General</c:formatCode>
              <c:ptCount val="4"/>
              <c:pt idx="0">
                <c:v>-2.2227164711475833</c:v>
              </c:pt>
              <c:pt idx="1">
                <c:v>-2.1172712956557644</c:v>
              </c:pt>
              <c:pt idx="2">
                <c:v>-1.9444826721501687</c:v>
              </c:pt>
              <c:pt idx="3">
                <c:v>-1.8750612633917001</c:v>
              </c:pt>
            </c:numLit>
          </c:xVal>
          <c:yVal>
            <c:numLit>
              <c:formatCode>General</c:formatCode>
              <c:ptCount val="4"/>
              <c:pt idx="0">
                <c:v>-2.4524253858850975</c:v>
              </c:pt>
              <c:pt idx="1">
                <c:v>-2.1513953902211163</c:v>
              </c:pt>
              <c:pt idx="2">
                <c:v>-1.9753041311654349</c:v>
              </c:pt>
              <c:pt idx="3">
                <c:v>-1.850365394557135</c:v>
              </c:pt>
            </c:numLit>
          </c:yVal>
          <c:smooth val="0"/>
          <c:extLst>
            <c:ext xmlns:c16="http://schemas.microsoft.com/office/drawing/2014/chart" uri="{C3380CC4-5D6E-409C-BE32-E72D297353CC}">
              <c16:uniqueId val="{00000000-7E37-4746-B2A4-98BFD71161B0}"/>
            </c:ext>
          </c:extLst>
        </c:ser>
        <c:ser>
          <c:idx val="1"/>
          <c:order val="1"/>
          <c:tx>
            <c:v>Log ex2</c:v>
          </c:tx>
          <c:spPr>
            <a:ln w="38103" cap="rnd">
              <a:solidFill>
                <a:srgbClr val="E97132"/>
              </a:solidFill>
              <a:prstDash val="solid"/>
              <a:round/>
            </a:ln>
          </c:spPr>
          <c:xVal>
            <c:numLit>
              <c:formatCode>General</c:formatCode>
              <c:ptCount val="5"/>
              <c:pt idx="0">
                <c:v>-2.3324384599156054</c:v>
              </c:pt>
              <c:pt idx="1">
                <c:v>-2.1522883443830563</c:v>
              </c:pt>
              <c:pt idx="2">
                <c:v>-1.9542425094393248</c:v>
              </c:pt>
              <c:pt idx="3">
                <c:v>-1.7993405494535817</c:v>
              </c:pt>
              <c:pt idx="4">
                <c:v>0</c:v>
              </c:pt>
            </c:numLit>
          </c:xVal>
          <c:yVal>
            <c:numLit>
              <c:formatCode>General</c:formatCode>
              <c:ptCount val="5"/>
              <c:pt idx="0">
                <c:v>-2.0969000000000002</c:v>
              </c:pt>
              <c:pt idx="1">
                <c:v>-1.7959000000000001</c:v>
              </c:pt>
              <c:pt idx="2">
                <c:v>-1.6197999999999999</c:v>
              </c:pt>
              <c:pt idx="3">
                <c:v>-1.4948999999999999</c:v>
              </c:pt>
              <c:pt idx="4">
                <c:v>0</c:v>
              </c:pt>
            </c:numLit>
          </c:yVal>
          <c:smooth val="0"/>
          <c:extLst>
            <c:ext xmlns:c16="http://schemas.microsoft.com/office/drawing/2014/chart" uri="{C3380CC4-5D6E-409C-BE32-E72D297353CC}">
              <c16:uniqueId val="{00000001-7E37-4746-B2A4-98BFD71161B0}"/>
            </c:ext>
          </c:extLst>
        </c:ser>
        <c:dLbls>
          <c:showLegendKey val="0"/>
          <c:showVal val="0"/>
          <c:showCatName val="0"/>
          <c:showSerName val="0"/>
          <c:showPercent val="0"/>
          <c:showBubbleSize val="0"/>
        </c:dLbls>
        <c:axId val="939346607"/>
        <c:axId val="939329807"/>
      </c:scatterChart>
      <c:valAx>
        <c:axId val="939329807"/>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r>
                  <a:rPr lang="en-US" sz="1000" b="0" i="0" u="none" strike="noStrike" kern="1200" cap="none" spc="0" baseline="0">
                    <a:solidFill>
                      <a:srgbClr val="000000"/>
                    </a:solidFill>
                    <a:uFillTx/>
                    <a:latin typeface="Aptos Narrow"/>
                  </a:rPr>
                  <a:t>Log rate</a:t>
                </a:r>
              </a:p>
            </c:rich>
          </c:tx>
          <c:overlay val="0"/>
          <c:spPr>
            <a:noFill/>
            <a:ln>
              <a:noFill/>
            </a:ln>
          </c:spPr>
        </c:title>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endParaRPr lang="en-US"/>
          </a:p>
        </c:txPr>
        <c:crossAx val="939346607"/>
        <c:crosses val="autoZero"/>
        <c:crossBetween val="midCat"/>
      </c:valAx>
      <c:valAx>
        <c:axId val="939346607"/>
        <c:scaling>
          <c:orientation val="minMax"/>
        </c:scaling>
        <c:delete val="0"/>
        <c:axPos val="b"/>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r>
                  <a:rPr lang="en-US" sz="1000" b="0" i="0" u="none" strike="noStrike" kern="1200" cap="none" spc="0" baseline="0">
                    <a:solidFill>
                      <a:srgbClr val="000000"/>
                    </a:solidFill>
                    <a:uFillTx/>
                    <a:latin typeface="Aptos Narrow"/>
                  </a:rPr>
                  <a:t>Log (1/T)</a:t>
                </a:r>
              </a:p>
            </c:rich>
          </c:tx>
          <c:overlay val="0"/>
          <c:spPr>
            <a:noFill/>
            <a:ln>
              <a:noFill/>
            </a:ln>
          </c:spPr>
        </c:title>
        <c:numFmt formatCode="General" sourceLinked="0"/>
        <c:majorTickMark val="none"/>
        <c:minorTickMark val="none"/>
        <c:tickLblPos val="nextTo"/>
        <c:spPr>
          <a:noFill/>
          <a:ln w="9528" cap="flat">
            <a:solidFill>
              <a:srgbClr val="BFBFBF"/>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endParaRPr lang="en-US"/>
          </a:p>
        </c:txPr>
        <c:crossAx val="939329807"/>
        <c:crosses val="autoZero"/>
        <c:crossBetween val="midCat"/>
      </c:val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Aptos Narrow"/>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1218</Words>
  <Characters>6949</Characters>
  <Application>Microsoft Office Word</Application>
  <DocSecurity>0</DocSecurity>
  <Lines>57</Lines>
  <Paragraphs>16</Paragraphs>
  <ScaleCrop>false</ScaleCrop>
  <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Garton</dc:creator>
  <dc:description/>
  <cp:lastModifiedBy>daniel Garton</cp:lastModifiedBy>
  <cp:revision>2</cp:revision>
  <dcterms:created xsi:type="dcterms:W3CDTF">2025-11-07T14:28:00Z</dcterms:created>
  <dcterms:modified xsi:type="dcterms:W3CDTF">2025-11-07T14:28:00Z</dcterms:modified>
</cp:coreProperties>
</file>