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711F2" w:rsidRDefault="00B711F2">
      <w:pPr>
        <w:spacing w:before="240" w:after="240"/>
        <w:jc w:val="center"/>
        <w:rPr>
          <w:b/>
          <w:sz w:val="40"/>
          <w:szCs w:val="40"/>
        </w:rPr>
      </w:pPr>
    </w:p>
    <w:p w14:paraId="00000002" w14:textId="77777777" w:rsidR="00B711F2" w:rsidRDefault="00B711F2">
      <w:pPr>
        <w:spacing w:before="240" w:after="240"/>
        <w:jc w:val="center"/>
        <w:rPr>
          <w:b/>
          <w:sz w:val="40"/>
          <w:szCs w:val="40"/>
        </w:rPr>
      </w:pPr>
    </w:p>
    <w:p w14:paraId="00000003" w14:textId="77777777" w:rsidR="00B711F2" w:rsidRDefault="00B711F2">
      <w:pPr>
        <w:spacing w:before="240" w:after="240"/>
        <w:jc w:val="center"/>
        <w:rPr>
          <w:b/>
          <w:sz w:val="40"/>
          <w:szCs w:val="40"/>
        </w:rPr>
      </w:pPr>
    </w:p>
    <w:p w14:paraId="00000004" w14:textId="77777777" w:rsidR="00B711F2" w:rsidRDefault="00B711F2">
      <w:pPr>
        <w:spacing w:before="240" w:after="240"/>
        <w:jc w:val="center"/>
        <w:rPr>
          <w:b/>
          <w:sz w:val="40"/>
          <w:szCs w:val="40"/>
        </w:rPr>
      </w:pPr>
    </w:p>
    <w:p w14:paraId="00000005" w14:textId="77777777" w:rsidR="00B711F2" w:rsidRDefault="00B711F2">
      <w:pPr>
        <w:spacing w:before="240" w:after="240"/>
        <w:jc w:val="center"/>
        <w:rPr>
          <w:b/>
          <w:sz w:val="40"/>
          <w:szCs w:val="40"/>
        </w:rPr>
      </w:pPr>
    </w:p>
    <w:p w14:paraId="00000006" w14:textId="77777777" w:rsidR="00B711F2" w:rsidRDefault="000B13C7">
      <w:pPr>
        <w:spacing w:before="240" w:after="240"/>
        <w:jc w:val="center"/>
        <w:rPr>
          <w:b/>
          <w:sz w:val="40"/>
          <w:szCs w:val="40"/>
        </w:rPr>
      </w:pPr>
      <w:r>
        <w:rPr>
          <w:b/>
          <w:sz w:val="40"/>
          <w:szCs w:val="40"/>
        </w:rPr>
        <w:t>Student number: 2115561</w:t>
      </w:r>
    </w:p>
    <w:p w14:paraId="00000007" w14:textId="77777777" w:rsidR="00B711F2" w:rsidRDefault="000B13C7">
      <w:pPr>
        <w:spacing w:before="240" w:after="240"/>
        <w:jc w:val="center"/>
        <w:rPr>
          <w:b/>
          <w:sz w:val="40"/>
          <w:szCs w:val="40"/>
        </w:rPr>
      </w:pPr>
      <w:r>
        <w:rPr>
          <w:b/>
          <w:sz w:val="40"/>
          <w:szCs w:val="40"/>
        </w:rPr>
        <w:t>Module code: BMSA4001</w:t>
      </w:r>
    </w:p>
    <w:p w14:paraId="00000008" w14:textId="77777777" w:rsidR="00B711F2" w:rsidRDefault="000B13C7">
      <w:pPr>
        <w:spacing w:before="240" w:after="240"/>
        <w:jc w:val="center"/>
        <w:rPr>
          <w:b/>
          <w:sz w:val="40"/>
          <w:szCs w:val="40"/>
        </w:rPr>
      </w:pPr>
      <w:r>
        <w:rPr>
          <w:b/>
          <w:sz w:val="40"/>
          <w:szCs w:val="40"/>
        </w:rPr>
        <w:t>Module coordinator: Dr Nalda Wainwright</w:t>
      </w:r>
    </w:p>
    <w:p w14:paraId="00000009" w14:textId="77777777" w:rsidR="00B711F2" w:rsidRDefault="000B13C7">
      <w:pPr>
        <w:spacing w:before="240" w:after="240"/>
        <w:jc w:val="center"/>
        <w:rPr>
          <w:b/>
          <w:sz w:val="40"/>
          <w:szCs w:val="40"/>
        </w:rPr>
      </w:pPr>
      <w:r>
        <w:rPr>
          <w:b/>
          <w:sz w:val="40"/>
          <w:szCs w:val="40"/>
        </w:rPr>
        <w:t>Module title: Developing &amp; Supporting Early Childhood Physical Development</w:t>
      </w:r>
    </w:p>
    <w:p w14:paraId="0000000A" w14:textId="77777777" w:rsidR="00B711F2" w:rsidRDefault="00B711F2">
      <w:pPr>
        <w:spacing w:before="240" w:after="240"/>
        <w:jc w:val="center"/>
        <w:rPr>
          <w:b/>
          <w:sz w:val="40"/>
          <w:szCs w:val="40"/>
        </w:rPr>
      </w:pPr>
    </w:p>
    <w:p w14:paraId="0000000B" w14:textId="77777777" w:rsidR="00B711F2" w:rsidRDefault="00B711F2">
      <w:pPr>
        <w:spacing w:before="240" w:after="240"/>
        <w:jc w:val="center"/>
        <w:rPr>
          <w:b/>
          <w:sz w:val="40"/>
          <w:szCs w:val="40"/>
        </w:rPr>
      </w:pPr>
    </w:p>
    <w:p w14:paraId="0000000C" w14:textId="77777777" w:rsidR="00B711F2" w:rsidRDefault="00B711F2">
      <w:pPr>
        <w:spacing w:before="240" w:after="240"/>
        <w:jc w:val="center"/>
        <w:rPr>
          <w:b/>
          <w:sz w:val="40"/>
          <w:szCs w:val="40"/>
        </w:rPr>
      </w:pPr>
    </w:p>
    <w:p w14:paraId="0000000D" w14:textId="77777777" w:rsidR="00B711F2" w:rsidRDefault="00B711F2">
      <w:pPr>
        <w:spacing w:before="240" w:after="240"/>
        <w:jc w:val="center"/>
        <w:rPr>
          <w:b/>
          <w:sz w:val="40"/>
          <w:szCs w:val="40"/>
        </w:rPr>
      </w:pPr>
    </w:p>
    <w:p w14:paraId="0000000E" w14:textId="77777777" w:rsidR="00B711F2" w:rsidRDefault="00B711F2">
      <w:pPr>
        <w:spacing w:before="240" w:after="240"/>
        <w:jc w:val="center"/>
        <w:rPr>
          <w:b/>
          <w:sz w:val="40"/>
          <w:szCs w:val="40"/>
        </w:rPr>
      </w:pPr>
    </w:p>
    <w:p w14:paraId="0000000F" w14:textId="77777777" w:rsidR="00B711F2" w:rsidRDefault="00B711F2">
      <w:pPr>
        <w:spacing w:before="240" w:after="240"/>
        <w:jc w:val="center"/>
        <w:rPr>
          <w:b/>
          <w:sz w:val="40"/>
          <w:szCs w:val="40"/>
        </w:rPr>
      </w:pPr>
    </w:p>
    <w:p w14:paraId="00000010" w14:textId="77777777" w:rsidR="00B711F2" w:rsidRDefault="00B711F2">
      <w:pPr>
        <w:spacing w:before="240" w:after="240"/>
        <w:rPr>
          <w:b/>
          <w:sz w:val="40"/>
          <w:szCs w:val="40"/>
        </w:rPr>
      </w:pPr>
    </w:p>
    <w:p w14:paraId="00000011" w14:textId="77777777" w:rsidR="00B711F2" w:rsidRDefault="00B711F2">
      <w:pPr>
        <w:spacing w:before="240" w:after="240"/>
        <w:rPr>
          <w:b/>
          <w:sz w:val="40"/>
          <w:szCs w:val="40"/>
        </w:rPr>
      </w:pPr>
    </w:p>
    <w:p w14:paraId="00000012" w14:textId="77777777" w:rsidR="00B711F2" w:rsidRDefault="000B13C7">
      <w:pPr>
        <w:rPr>
          <w:b/>
        </w:rPr>
      </w:pPr>
      <w:r>
        <w:rPr>
          <w:b/>
        </w:rPr>
        <w:lastRenderedPageBreak/>
        <w:t xml:space="preserve">                       </w:t>
      </w:r>
    </w:p>
    <w:p w14:paraId="00000013" w14:textId="77777777" w:rsidR="00B711F2" w:rsidRDefault="00B711F2"/>
    <w:p w14:paraId="00000014" w14:textId="77777777" w:rsidR="00B711F2" w:rsidRDefault="000B13C7">
      <w:r>
        <w:t xml:space="preserve">I completed the following SKIP Cymru progression cycles within my school setting in a deprived area of Newport. The ethos which underpins the SKIP Cymru (Wainwright </w:t>
      </w:r>
      <w:r>
        <w:rPr>
          <w:i/>
        </w:rPr>
        <w:t xml:space="preserve">et al., </w:t>
      </w:r>
      <w:r>
        <w:t>2020)</w:t>
      </w:r>
      <w:r>
        <w:rPr>
          <w:i/>
        </w:rPr>
        <w:t xml:space="preserve"> </w:t>
      </w:r>
      <w:r>
        <w:t>is relevant within the area which I work within, as “</w:t>
      </w:r>
      <w:r>
        <w:rPr>
          <w:color w:val="333333"/>
        </w:rPr>
        <w:t>SKIP-Cymru combines advo</w:t>
      </w:r>
      <w:r>
        <w:rPr>
          <w:color w:val="333333"/>
        </w:rPr>
        <w:t xml:space="preserve">cacy with leadership, training and mentoring for staff and parental engagement” </w:t>
      </w:r>
      <w:r>
        <w:t xml:space="preserve">(Wainwright </w:t>
      </w:r>
      <w:r>
        <w:rPr>
          <w:i/>
        </w:rPr>
        <w:t xml:space="preserve">et al., </w:t>
      </w:r>
      <w:r>
        <w:t>2020)</w:t>
      </w:r>
      <w:r>
        <w:rPr>
          <w:color w:val="333333"/>
        </w:rPr>
        <w:t>. The school looks to reach out to parents within the community to support children’s learning. The demand for children’s development of physical liter</w:t>
      </w:r>
      <w:r>
        <w:rPr>
          <w:color w:val="333333"/>
        </w:rPr>
        <w:t xml:space="preserve">acy is profound. </w:t>
      </w:r>
    </w:p>
    <w:p w14:paraId="00000015" w14:textId="77777777" w:rsidR="00B711F2" w:rsidRDefault="000B13C7">
      <w:r>
        <w:t>Observations and teacher assessment show that children are entering the school with poor physical literacy. Children do not have access to opportunities where they can play outdoors, due to high crime rates and lack of safety. When assess</w:t>
      </w:r>
      <w:r>
        <w:t xml:space="preserve">ing the children, it was alarming to observe the </w:t>
      </w:r>
      <w:proofErr w:type="gramStart"/>
      <w:r>
        <w:t>amount</w:t>
      </w:r>
      <w:proofErr w:type="gramEnd"/>
      <w:r>
        <w:t xml:space="preserve"> of children of whom were not meeting the stage of development.</w:t>
      </w:r>
    </w:p>
    <w:p w14:paraId="00000016" w14:textId="77777777" w:rsidR="00B711F2" w:rsidRDefault="00B711F2"/>
    <w:p w14:paraId="00000017" w14:textId="77777777" w:rsidR="00B711F2" w:rsidRDefault="000B13C7">
      <w:pPr>
        <w:rPr>
          <w:b/>
        </w:rPr>
      </w:pPr>
      <w:r>
        <w:rPr>
          <w:b/>
        </w:rPr>
        <w:t>Cycle One</w:t>
      </w:r>
    </w:p>
    <w:p w14:paraId="00000018" w14:textId="77777777" w:rsidR="00B711F2" w:rsidRDefault="00B711F2">
      <w:pPr>
        <w:rPr>
          <w:b/>
        </w:rPr>
      </w:pPr>
    </w:p>
    <w:p w14:paraId="00000019" w14:textId="77777777" w:rsidR="00B711F2" w:rsidRDefault="000B13C7">
      <w:r>
        <w:t xml:space="preserve">The first reflective session was completed during the initial weeks of implementing SKIP Cymru sessions with a new Reception </w:t>
      </w:r>
      <w:r>
        <w:t>class. I utilised a cycle of four stations with small groups of two or three children to move around, where there were a range of opportunities for children to develop their gross motor skills and integration of movement (Davies, 2003, p. 4). The garden wa</w:t>
      </w:r>
      <w:r>
        <w:t xml:space="preserve">s set up to target the children’s tracking skills (Davies, 2003, p. 6) after I had assessed that this was a focus point for my group of children. </w:t>
      </w:r>
    </w:p>
    <w:p w14:paraId="0000001A" w14:textId="77777777" w:rsidR="00B711F2" w:rsidRDefault="00B711F2"/>
    <w:p w14:paraId="0000001B" w14:textId="77777777" w:rsidR="00B711F2" w:rsidRDefault="000B13C7">
      <w:r>
        <w:t xml:space="preserve">I had observed a specific child using the stage three (Gallahue </w:t>
      </w:r>
      <w:r>
        <w:rPr>
          <w:i/>
        </w:rPr>
        <w:t xml:space="preserve">et al., 2012, </w:t>
      </w:r>
      <w:r>
        <w:t>p. 224) scooping action to cat</w:t>
      </w:r>
      <w:r>
        <w:t>ch a ball. To ensure the correct environment constraints were provided, I encouraged his partner to use the ‘rainbow throw’ and ensured that they stood at an appropriate distance apart. This teaching situation also involved using the concept of space which</w:t>
      </w:r>
      <w:r>
        <w:t xml:space="preserve"> I had previously worked on with the class. My role here was to break the movement down, by using the example of the ‘X zone' and getting the children to physically feel this so that they become familiar with this catching area.</w:t>
      </w:r>
    </w:p>
    <w:p w14:paraId="0000001C" w14:textId="77777777" w:rsidR="00B711F2" w:rsidRDefault="00B711F2"/>
    <w:p w14:paraId="0000001D" w14:textId="77777777" w:rsidR="00B711F2" w:rsidRDefault="000B13C7">
      <w:pPr>
        <w:rPr>
          <w:color w:val="FF0000"/>
        </w:rPr>
      </w:pPr>
      <w:r>
        <w:t xml:space="preserve">Leading on from this session I observed the child showing traits of a stage five catcher (Gallahue </w:t>
      </w:r>
      <w:r>
        <w:rPr>
          <w:i/>
        </w:rPr>
        <w:t xml:space="preserve">et al., </w:t>
      </w:r>
      <w:r>
        <w:t>p. 224) by moving to receive a ball. My initial reaction was that he had progressed to a stage five catcher as he moved to receive the ball and caugh</w:t>
      </w:r>
      <w:r>
        <w:t>t it outside of the X zone. Although this shows progression, I would not yet encourage this as he did not possess competent throwing skills. This observation informed my judgement of progression, as there must be consistency of proficient movement. An arti</w:t>
      </w:r>
      <w:r>
        <w:t>cle from Haywood and Gretchel (2019, p. 223) suggests “development is a continuous process of change”. This article talks about change as a cumulative process, though in practise I have observed development occurring at different paces through different st</w:t>
      </w:r>
      <w:r>
        <w:t>ages with different children (Newell, 2009).</w:t>
      </w:r>
    </w:p>
    <w:p w14:paraId="0000001E" w14:textId="77777777" w:rsidR="00B711F2" w:rsidRDefault="00B711F2"/>
    <w:p w14:paraId="0000001F" w14:textId="77777777" w:rsidR="00B711F2" w:rsidRDefault="000B13C7">
      <w:r>
        <w:t xml:space="preserve">Additionally, I found the availability of a variety of equipment useful when adjusting the task constraints (Stodden </w:t>
      </w:r>
      <w:r>
        <w:rPr>
          <w:i/>
        </w:rPr>
        <w:t>et al, 2008</w:t>
      </w:r>
      <w:r>
        <w:t>). Haywood and Gretchell’s (2009) model of constraints shows that task constraints</w:t>
      </w:r>
      <w:r>
        <w:t xml:space="preserve"> are an important aspect of developing proficient movement. This is also supported by Seedfeldt’s model of proficiency (1980, p.137). I had a range of different sized balls readily available during target teaching in a tracking garden in order to meet the </w:t>
      </w:r>
      <w:r>
        <w:t xml:space="preserve">needs of the children. I feel that this particularly helped the children in seeing their progress. They felt that they had achieved something when they could use a different ball, though this </w:t>
      </w:r>
      <w:r>
        <w:lastRenderedPageBreak/>
        <w:t>is not something that they were conscious of being suited to whe</w:t>
      </w:r>
      <w:r>
        <w:t>ther they were a ‘good thrower’ or not.</w:t>
      </w:r>
    </w:p>
    <w:p w14:paraId="00000020" w14:textId="77777777" w:rsidR="00B711F2" w:rsidRDefault="00B711F2"/>
    <w:p w14:paraId="00000021" w14:textId="77777777" w:rsidR="00B711F2" w:rsidRDefault="000B13C7">
      <w:r>
        <w:t xml:space="preserve">The cohort of children whom I work with have a diverse range of needs. Although I worked with them individually in the garden, it became apparent that they would not all benefit from one opportunity to work with an </w:t>
      </w:r>
      <w:r>
        <w:t>adult per session. Moving forwards, it will be necessary to utilise more gardens during the session and give the children the opportunity to work on a different variant of the skill with the teaching assistant.</w:t>
      </w:r>
      <w:r>
        <w:rPr>
          <w:color w:val="FF0000"/>
        </w:rPr>
        <w:t xml:space="preserve"> </w:t>
      </w:r>
      <w:r>
        <w:t>Making this change would allow the children t</w:t>
      </w:r>
      <w:r>
        <w:t>o apply their skills in a range of different contexts and become more consistent in their movement. For the children to benefit from working in this way, it will be necessary for me to equip the additional adults with the skills to support the children and</w:t>
      </w:r>
      <w:r>
        <w:t xml:space="preserve"> recognise the stages of proficiency (Gallahue </w:t>
      </w:r>
      <w:r>
        <w:rPr>
          <w:i/>
        </w:rPr>
        <w:t xml:space="preserve">et al., </w:t>
      </w:r>
      <w:r>
        <w:t xml:space="preserve">p. 224). In reflection, I have learned the importance of knowing the specific stages of proficiency (Gallahue </w:t>
      </w:r>
      <w:r>
        <w:rPr>
          <w:i/>
        </w:rPr>
        <w:t xml:space="preserve">et al. </w:t>
      </w:r>
      <w:r>
        <w:t>2011) and where to intervene when the technique is incorrect.</w:t>
      </w:r>
    </w:p>
    <w:p w14:paraId="00000022" w14:textId="77777777" w:rsidR="00B711F2" w:rsidRDefault="00B711F2"/>
    <w:p w14:paraId="00000023" w14:textId="77777777" w:rsidR="00B711F2" w:rsidRDefault="000B13C7">
      <w:pPr>
        <w:rPr>
          <w:b/>
        </w:rPr>
      </w:pPr>
      <w:r>
        <w:rPr>
          <w:b/>
        </w:rPr>
        <w:t>Cycle Two</w:t>
      </w:r>
    </w:p>
    <w:p w14:paraId="00000024" w14:textId="77777777" w:rsidR="00B711F2" w:rsidRDefault="00B711F2">
      <w:pPr>
        <w:rPr>
          <w:b/>
        </w:rPr>
      </w:pPr>
    </w:p>
    <w:p w14:paraId="00000025" w14:textId="77777777" w:rsidR="00B711F2" w:rsidRDefault="000B13C7">
      <w:r>
        <w:t>After enga</w:t>
      </w:r>
      <w:r>
        <w:t>ging with session three of four SKIP Cymru sessions, I refined my knowledge of the stages of development for kicking and other movements. This allowed me to plan progression within my sessions and exemplify competent movement. I was observed by a member of</w:t>
      </w:r>
      <w:r>
        <w:t xml:space="preserve"> the senior management team during one of my SKIP sessions. It was reflected that my lesson was </w:t>
      </w:r>
      <w:proofErr w:type="gramStart"/>
      <w:r>
        <w:t>engaging, and</w:t>
      </w:r>
      <w:proofErr w:type="gramEnd"/>
      <w:r>
        <w:t xml:space="preserve"> had clear links to cross curricular subjects. The children responded well to naming their spots and focusing on their Welsh colour and shape. This</w:t>
      </w:r>
      <w:r>
        <w:t xml:space="preserve"> created a sense of ownership for the children and motivated their learning. When working with the spots, I observed a high proportion of my class struggling with balance. Hence before learning to kick, I needed to target the development of the vestibular </w:t>
      </w:r>
      <w:r>
        <w:t>system (Ayres, J., 2005). Reflecting on this allowed me to plan purposeful incidental classroom activities to support the development of their vestibular systems.</w:t>
      </w:r>
    </w:p>
    <w:p w14:paraId="00000026" w14:textId="77777777" w:rsidR="00B711F2" w:rsidRDefault="00B711F2"/>
    <w:p w14:paraId="00000027" w14:textId="77777777" w:rsidR="00B711F2" w:rsidRDefault="000B13C7">
      <w:r>
        <w:t>At the time of this session, the children were more familiar with the equipment and movement</w:t>
      </w:r>
      <w:r>
        <w:t xml:space="preserve"> tasks and were showing progression accordingly. I took this as an opportunity for the children to develop independence in their learning and set the expectation that they would set up and change their own parts of an obstacle course to challenge themselve</w:t>
      </w:r>
      <w:r>
        <w:t>s. I set the expectation that I wanted to see them moving creatively, in different ways and if they were finding the tasks easy, they could change the constraints themselves to make this more challenging. Some children were engaged by this and pushed thems</w:t>
      </w:r>
      <w:r>
        <w:t>elves, though it became apparent that this may not benefit children within the earlier stages of development. It was clear that some children were unaware of their ability and saw this as a competition. I took this opportunity to set up a garden for the tw</w:t>
      </w:r>
      <w:r>
        <w:t>o children in this situation and used the ‘treasure chest’ activity where they had to collect treasure from the hoop and move back in different ways. I encouraged the children to move backwards as this was their target for the session. Giving these childre</w:t>
      </w:r>
      <w:r>
        <w:t>n the opportunity to practise this in a safe space allowed them to develop confidence. I also encouraged them to practise this throughout the day between classroom transitions.</w:t>
      </w:r>
    </w:p>
    <w:p w14:paraId="00000028" w14:textId="77777777" w:rsidR="00B711F2" w:rsidRDefault="00B711F2"/>
    <w:p w14:paraId="00000029" w14:textId="77777777" w:rsidR="00B711F2" w:rsidRDefault="000B13C7">
      <w:r>
        <w:t>Using Ayre’s research on playful pedagogy, I learned that ‘‘play consists of a</w:t>
      </w:r>
      <w:r>
        <w:t xml:space="preserve"> series of adaptive responses that make sensory integration happen’ (Ayres, 2005). As a practitioner, this means providing meaningful opportunities for children to engage with movement. As a </w:t>
      </w:r>
      <w:r>
        <w:lastRenderedPageBreak/>
        <w:t>Foundation Phase Welsh Curriculum teacher, I took the opportunity</w:t>
      </w:r>
      <w:r>
        <w:t xml:space="preserve"> to provide outdoor experiences where the children could develop their motor skills and become involved in their own independent learning and discovery. Relating to playful pedagogy, I found that fundamental movement skills (Gallahue </w:t>
      </w:r>
      <w:r>
        <w:rPr>
          <w:i/>
        </w:rPr>
        <w:t xml:space="preserve">et al., </w:t>
      </w:r>
      <w:r>
        <w:t>2012) are deve</w:t>
      </w:r>
      <w:r>
        <w:t>loped through fun and imaginative activities. Although this helps develop physical literacy, I found in my practise that children need a model to support their creative movement and play. I provided this by using chalk on the exterior walls and outdoor sla</w:t>
      </w:r>
      <w:r>
        <w:t xml:space="preserve">bs to create an engaging learning environment which encouraged children to move in different ways, directions and levels. The children became motivated by this and independently created their own. </w:t>
      </w:r>
    </w:p>
    <w:p w14:paraId="0000002A" w14:textId="77777777" w:rsidR="00B711F2" w:rsidRDefault="00B711F2"/>
    <w:p w14:paraId="0000002B" w14:textId="77777777" w:rsidR="00B711F2" w:rsidRDefault="000B13C7">
      <w:r>
        <w:t>Ayres reflects that ​​“Children are designed to enjoy act</w:t>
      </w:r>
      <w:r>
        <w:t>ivities that challenge them to experience new sensations and develop new motor functions. It is fun to integrate sensations and form adaptive responses” (Ayres, 2005, p. 14) I reflected on this in my practise by adapting my teaching based on children’s res</w:t>
      </w:r>
      <w:r>
        <w:t xml:space="preserve">ponses. This was particularly effective when I discovered that </w:t>
      </w:r>
      <w:proofErr w:type="gramStart"/>
      <w:r>
        <w:t>a majority of</w:t>
      </w:r>
      <w:proofErr w:type="gramEnd"/>
      <w:r>
        <w:t xml:space="preserve"> children in my class struggled with crossing the midline in an exercise where they had to touch opposing toes with their hands. I planned opportunities for children to practise th</w:t>
      </w:r>
      <w:r>
        <w:t>is every morning when they came in before registration and saw good progression. Goddard supports this, stating that “both sides of the brain are involved in the period of entrainment, and that the partner that succeeds supremacy to the other side continue</w:t>
      </w:r>
      <w:r>
        <w:t>s to provide a supporting, if secondary role” (Goddard Blythe, 2005, p.101).</w:t>
      </w:r>
    </w:p>
    <w:p w14:paraId="0000002C" w14:textId="77777777" w:rsidR="00B711F2" w:rsidRDefault="00B711F2"/>
    <w:p w14:paraId="0000002D" w14:textId="77777777" w:rsidR="00B711F2" w:rsidRDefault="000B13C7">
      <w:r>
        <w:t>Similarly, I used the outdoor environment to develop stage 4 throwing skills by giving the children a spot on the wall behind them to wind back. This was successful for exemplify</w:t>
      </w:r>
      <w:r>
        <w:t>ing competent throwing skills. Moving forwards, I could use scarves to encourage children to bring through their dominant leg to the other side of their body when following through with the throw. Additionally, it is important for demonstrations to be clea</w:t>
      </w:r>
      <w:r>
        <w:t>r. Instead of showing movement processes in a step-by-step process, it is better to show the flow of movement within one action.</w:t>
      </w:r>
    </w:p>
    <w:p w14:paraId="0000002E" w14:textId="77777777" w:rsidR="00B711F2" w:rsidRDefault="00B711F2"/>
    <w:p w14:paraId="0000002F" w14:textId="77777777" w:rsidR="00B711F2" w:rsidRDefault="000B13C7">
      <w:r>
        <w:t>Reflecting on the demographic in the area which I work within, it is evident that parents and carers are not equipped with the</w:t>
      </w:r>
      <w:r>
        <w:t xml:space="preserve"> knowledge or experience of providing their children with purposeful movement. “We have seen how movement is an essential ingredient for a child’s development and capacity to learn, but children of today have less movement opportunities in their daily live</w:t>
      </w:r>
      <w:r>
        <w:t>s than any other generation” (Goddard Blythe, 2005: 130).</w:t>
      </w:r>
      <w:r>
        <w:rPr>
          <w:b/>
        </w:rPr>
        <w:t xml:space="preserve"> </w:t>
      </w:r>
      <w:r>
        <w:t>This is a constraint which may be difficult to overcome. To increase parental engagement, I worked with my partner teacher to create activity cards for the parents to use at home with their children</w:t>
      </w:r>
      <w:r>
        <w:t xml:space="preserve"> to access meaningful physical activity. This action was highlighted as part of the school’s Health and Wellbeing team action plan and discussed as a positive way of reaching out to the community. </w:t>
      </w:r>
    </w:p>
    <w:p w14:paraId="00000030" w14:textId="77777777" w:rsidR="00B711F2" w:rsidRDefault="00B711F2"/>
    <w:p w14:paraId="00000031" w14:textId="77777777" w:rsidR="00B711F2" w:rsidRDefault="000B13C7">
      <w:r>
        <w:t>Having a high percentage of children with additional lear</w:t>
      </w:r>
      <w:r>
        <w:t>ning needs within the class means that I have observed a diverse range of developmental stages throughout my time completing the SKIP Cymru project. Overall, I have found that children have made exceptional progress and benefited greatly from participating</w:t>
      </w:r>
      <w:r>
        <w:t xml:space="preserve"> in the sessions. Children ask everyday “Miss Hipkiss, is it PE today?”. This makes me reflect on my personal influence on the children and how I have developed my knowledge to allow me to meet their needs. Though we know that there are many factors which </w:t>
      </w:r>
      <w:r>
        <w:t xml:space="preserve">inhibit children’s learning, I found that </w:t>
      </w:r>
      <w:r>
        <w:lastRenderedPageBreak/>
        <w:t xml:space="preserve">behaviour and focus improved </w:t>
      </w:r>
      <w:proofErr w:type="gramStart"/>
      <w:r>
        <w:t>on the whole</w:t>
      </w:r>
      <w:proofErr w:type="gramEnd"/>
      <w:r>
        <w:t xml:space="preserve"> as a result of regular physical development sessions and that children were rewarded by seeing their progress.</w:t>
      </w:r>
    </w:p>
    <w:p w14:paraId="00000032" w14:textId="77777777" w:rsidR="00B711F2" w:rsidRDefault="00B711F2"/>
    <w:p w14:paraId="00000033" w14:textId="77777777" w:rsidR="00B711F2" w:rsidRDefault="000B13C7">
      <w:r>
        <w:t>In reflection of the second teaching cycle, I found myself m</w:t>
      </w:r>
      <w:r>
        <w:t xml:space="preserve">ore confident knowing the play pedagogy (Ayres, 2005) and the stages of development (Gallahue </w:t>
      </w:r>
      <w:r>
        <w:rPr>
          <w:i/>
        </w:rPr>
        <w:t xml:space="preserve">et al, </w:t>
      </w:r>
      <w:r>
        <w:t>2012) better. As I embarked on my SKIP Cymru development at the beginning of the year, I found that I became more familiar with the children and understood</w:t>
      </w:r>
      <w:r>
        <w:t xml:space="preserve"> their needs, relating to the stages of proficiency. To support my school and ensure teachers can provide appropriate physical development opportunities, it will be necessary to support my colleagues and show them what high quality physical development ped</w:t>
      </w:r>
      <w:r>
        <w:t>agogy looks like in practice. I wish to continue embedding the SKIP Cymru principles into my practice and support progression in physical literacy, having a positive impact on many children’s learning and development.</w:t>
      </w:r>
    </w:p>
    <w:p w14:paraId="00000034" w14:textId="77777777" w:rsidR="00B711F2" w:rsidRDefault="00B711F2"/>
    <w:p w14:paraId="00000035" w14:textId="77777777" w:rsidR="00B711F2" w:rsidRDefault="000B13C7">
      <w:pPr>
        <w:rPr>
          <w:i/>
        </w:rPr>
      </w:pPr>
      <w:r>
        <w:rPr>
          <w:i/>
        </w:rPr>
        <w:t>1904 words</w:t>
      </w:r>
    </w:p>
    <w:p w14:paraId="00000036" w14:textId="77777777" w:rsidR="00B711F2" w:rsidRDefault="00B711F2"/>
    <w:p w14:paraId="00000037" w14:textId="77777777" w:rsidR="00B711F2" w:rsidRDefault="000B13C7">
      <w:pPr>
        <w:rPr>
          <w:b/>
        </w:rPr>
      </w:pPr>
      <w:r>
        <w:rPr>
          <w:b/>
        </w:rPr>
        <w:t>References</w:t>
      </w:r>
    </w:p>
    <w:p w14:paraId="00000038" w14:textId="77777777" w:rsidR="00B711F2" w:rsidRDefault="00B711F2">
      <w:pPr>
        <w:rPr>
          <w:i/>
        </w:rPr>
      </w:pPr>
    </w:p>
    <w:p w14:paraId="00000039" w14:textId="77777777" w:rsidR="00B711F2" w:rsidRDefault="000B13C7">
      <w:pPr>
        <w:spacing w:line="523" w:lineRule="auto"/>
        <w:ind w:right="-60"/>
        <w:rPr>
          <w:i/>
          <w:highlight w:val="white"/>
        </w:rPr>
      </w:pPr>
      <w:r>
        <w:rPr>
          <w:i/>
          <w:highlight w:val="white"/>
        </w:rPr>
        <w:t xml:space="preserve">Ayres, A. J., &amp; Robbins, J. (2005). </w:t>
      </w:r>
      <w:r>
        <w:rPr>
          <w:i/>
        </w:rPr>
        <w:t>Sensory integration and the child: Understanding hidden sensory challenges</w:t>
      </w:r>
      <w:r>
        <w:rPr>
          <w:i/>
          <w:highlight w:val="white"/>
        </w:rPr>
        <w:t>. Western Psychological Services.</w:t>
      </w:r>
    </w:p>
    <w:p w14:paraId="0000003A" w14:textId="77777777" w:rsidR="00B711F2" w:rsidRDefault="000B13C7">
      <w:pPr>
        <w:spacing w:line="523" w:lineRule="auto"/>
        <w:ind w:right="-60"/>
        <w:rPr>
          <w:highlight w:val="white"/>
        </w:rPr>
      </w:pPr>
      <w:r>
        <w:rPr>
          <w:highlight w:val="white"/>
        </w:rPr>
        <w:t xml:space="preserve">Davies, M. (2003) </w:t>
      </w:r>
      <w:r>
        <w:rPr>
          <w:i/>
          <w:highlight w:val="white"/>
        </w:rPr>
        <w:t xml:space="preserve">Movement and Dance in Early Childhood. </w:t>
      </w:r>
      <w:r>
        <w:rPr>
          <w:highlight w:val="white"/>
        </w:rPr>
        <w:t>London: Paul Chapman Publishing.</w:t>
      </w:r>
    </w:p>
    <w:p w14:paraId="0000003B" w14:textId="77777777" w:rsidR="00B711F2" w:rsidRDefault="000B13C7">
      <w:pPr>
        <w:spacing w:line="523" w:lineRule="auto"/>
        <w:ind w:right="-60"/>
        <w:rPr>
          <w:i/>
          <w:highlight w:val="white"/>
        </w:rPr>
      </w:pPr>
      <w:r>
        <w:rPr>
          <w:i/>
          <w:highlight w:val="white"/>
        </w:rPr>
        <w:t>Gallahue, D., Ozmun, J</w:t>
      </w:r>
      <w:r>
        <w:rPr>
          <w:i/>
          <w:highlight w:val="white"/>
        </w:rPr>
        <w:t xml:space="preserve">. and Goodway, J. (2012). Understanding motor development: Infants, children, adolescents, adults. 7th ed. New York: McGraw Hill Higher Education. </w:t>
      </w:r>
    </w:p>
    <w:p w14:paraId="0000003C" w14:textId="77777777" w:rsidR="00B711F2" w:rsidRDefault="000B13C7">
      <w:pPr>
        <w:spacing w:line="366" w:lineRule="auto"/>
        <w:ind w:right="160"/>
        <w:rPr>
          <w:i/>
          <w:highlight w:val="white"/>
        </w:rPr>
      </w:pPr>
      <w:r>
        <w:rPr>
          <w:i/>
          <w:highlight w:val="white"/>
        </w:rPr>
        <w:t xml:space="preserve">Goddard Blythe, S., (2005) The </w:t>
      </w:r>
      <w:proofErr w:type="gramStart"/>
      <w:r>
        <w:rPr>
          <w:i/>
          <w:highlight w:val="white"/>
        </w:rPr>
        <w:t>Well Balanced</w:t>
      </w:r>
      <w:proofErr w:type="gramEnd"/>
      <w:r>
        <w:rPr>
          <w:i/>
          <w:highlight w:val="white"/>
        </w:rPr>
        <w:t xml:space="preserve"> Child (2</w:t>
      </w:r>
      <w:r>
        <w:rPr>
          <w:i/>
          <w:highlight w:val="white"/>
          <w:vertAlign w:val="superscript"/>
        </w:rPr>
        <w:t>nd</w:t>
      </w:r>
      <w:r>
        <w:rPr>
          <w:i/>
          <w:highlight w:val="white"/>
        </w:rPr>
        <w:t xml:space="preserve"> edition) Glouscester, Hawthorn Press.</w:t>
      </w:r>
    </w:p>
    <w:p w14:paraId="0000003D" w14:textId="77777777" w:rsidR="00B711F2" w:rsidRDefault="000B13C7">
      <w:pPr>
        <w:spacing w:line="523" w:lineRule="auto"/>
        <w:ind w:right="-60"/>
        <w:rPr>
          <w:i/>
        </w:rPr>
      </w:pPr>
      <w:r>
        <w:rPr>
          <w:i/>
          <w:highlight w:val="white"/>
        </w:rPr>
        <w:t>Newell, (2009)</w:t>
      </w:r>
      <w:r>
        <w:rPr>
          <w:i/>
          <w:highlight w:val="white"/>
        </w:rPr>
        <w:t xml:space="preserve"> Newell’s Theory of Constraints - Cognitive and Motor Development for the Physical Education Classroom. [Online] Available at: </w:t>
      </w:r>
      <w:hyperlink r:id="rId6">
        <w:r>
          <w:rPr>
            <w:i/>
            <w:color w:val="1155CC"/>
            <w:highlight w:val="white"/>
            <w:u w:val="single"/>
          </w:rPr>
          <w:t>http://teamgymshorts4.weebly.com/newells-t</w:t>
        </w:r>
        <w:r>
          <w:rPr>
            <w:i/>
            <w:color w:val="1155CC"/>
            <w:highlight w:val="white"/>
            <w:u w:val="single"/>
          </w:rPr>
          <w:t>heory-of-constraints.html</w:t>
        </w:r>
      </w:hyperlink>
      <w:r>
        <w:rPr>
          <w:i/>
          <w:highlight w:val="white"/>
        </w:rPr>
        <w:t xml:space="preserve"> (Accessed: 12/11/21)</w:t>
      </w:r>
    </w:p>
    <w:p w14:paraId="0000003E" w14:textId="77777777" w:rsidR="00B711F2" w:rsidRDefault="000B13C7">
      <w:pPr>
        <w:spacing w:line="523" w:lineRule="auto"/>
        <w:ind w:right="-60"/>
        <w:rPr>
          <w:highlight w:val="white"/>
        </w:rPr>
      </w:pPr>
      <w:r>
        <w:rPr>
          <w:highlight w:val="white"/>
        </w:rPr>
        <w:t xml:space="preserve">Seefeldt, V. (1980). Developmental motor patterns: Implications for elementary school physical education. </w:t>
      </w:r>
      <w:r>
        <w:rPr>
          <w:i/>
        </w:rPr>
        <w:t>Psychology of motor behavior and sport</w:t>
      </w:r>
      <w:r>
        <w:rPr>
          <w:highlight w:val="white"/>
        </w:rPr>
        <w:t xml:space="preserve">, </w:t>
      </w:r>
      <w:r>
        <w:rPr>
          <w:i/>
        </w:rPr>
        <w:t>36</w:t>
      </w:r>
      <w:r>
        <w:rPr>
          <w:highlight w:val="white"/>
        </w:rPr>
        <w:t>(6), 314-323.</w:t>
      </w:r>
    </w:p>
    <w:p w14:paraId="0000003F" w14:textId="77777777" w:rsidR="00B711F2" w:rsidRDefault="000B13C7">
      <w:pPr>
        <w:spacing w:line="523" w:lineRule="auto"/>
        <w:ind w:right="-60"/>
        <w:rPr>
          <w:highlight w:val="white"/>
        </w:rPr>
      </w:pPr>
      <w:r>
        <w:rPr>
          <w:highlight w:val="white"/>
        </w:rPr>
        <w:t>Stodden, D. F., Goodway, J. D., Langendorfer, S</w:t>
      </w:r>
      <w:r>
        <w:rPr>
          <w:highlight w:val="white"/>
        </w:rPr>
        <w:t xml:space="preserve">. J., Roberton, M. A., Rudisill, M. E., Garcia, C., &amp; Garcia, L. E. (2008). A developmental perspective on the role of motor skill competence in physical activity: An emergent relationship. </w:t>
      </w:r>
      <w:r>
        <w:rPr>
          <w:i/>
        </w:rPr>
        <w:t>Quest</w:t>
      </w:r>
      <w:r>
        <w:rPr>
          <w:highlight w:val="white"/>
        </w:rPr>
        <w:t xml:space="preserve">, </w:t>
      </w:r>
      <w:r>
        <w:rPr>
          <w:i/>
        </w:rPr>
        <w:t>60</w:t>
      </w:r>
      <w:r>
        <w:rPr>
          <w:highlight w:val="white"/>
        </w:rPr>
        <w:t>(2), 290-306.</w:t>
      </w:r>
    </w:p>
    <w:p w14:paraId="00000040" w14:textId="77777777" w:rsidR="00B711F2" w:rsidRDefault="000B13C7">
      <w:pPr>
        <w:spacing w:line="523" w:lineRule="auto"/>
        <w:ind w:right="-60"/>
        <w:rPr>
          <w:b/>
          <w:sz w:val="20"/>
          <w:szCs w:val="20"/>
        </w:rPr>
      </w:pPr>
      <w:r>
        <w:rPr>
          <w:color w:val="333333"/>
          <w:highlight w:val="white"/>
        </w:rPr>
        <w:lastRenderedPageBreak/>
        <w:t>Wainwright, N., Goodway, J., John, A., Thom</w:t>
      </w:r>
      <w:r>
        <w:rPr>
          <w:color w:val="333333"/>
          <w:highlight w:val="white"/>
        </w:rPr>
        <w:t xml:space="preserve">as, K., Piper, K., Williams, K. &amp; Gardener, G. (2020) </w:t>
      </w:r>
      <w:r>
        <w:rPr>
          <w:i/>
          <w:color w:val="333333"/>
          <w:highlight w:val="white"/>
        </w:rPr>
        <w:t>Developing children’s motor skills in the Foundation Phase in Wales to support physical literacy</w:t>
      </w:r>
      <w:r>
        <w:rPr>
          <w:color w:val="333333"/>
          <w:highlight w:val="white"/>
        </w:rPr>
        <w:t xml:space="preserve">, Education 3-13, 48:5, 565-579, DOI: </w:t>
      </w:r>
      <w:hyperlink r:id="rId7">
        <w:r>
          <w:rPr>
            <w:color w:val="333333"/>
            <w:highlight w:val="white"/>
            <w:u w:val="single"/>
          </w:rPr>
          <w:t>10.</w:t>
        </w:r>
        <w:r>
          <w:rPr>
            <w:color w:val="333333"/>
            <w:highlight w:val="white"/>
            <w:u w:val="single"/>
          </w:rPr>
          <w:t>1080/03004279.2019.1633374</w:t>
        </w:r>
      </w:hyperlink>
    </w:p>
    <w:p w14:paraId="00000041" w14:textId="77777777" w:rsidR="00B711F2" w:rsidRDefault="00B711F2">
      <w:pPr>
        <w:rPr>
          <w:sz w:val="20"/>
          <w:szCs w:val="20"/>
        </w:rPr>
      </w:pPr>
    </w:p>
    <w:p w14:paraId="00000042" w14:textId="77777777" w:rsidR="00B711F2" w:rsidRDefault="00B711F2">
      <w:pPr>
        <w:rPr>
          <w:sz w:val="20"/>
          <w:szCs w:val="20"/>
        </w:rPr>
      </w:pPr>
    </w:p>
    <w:sectPr w:rsidR="00B711F2">
      <w:headerReference w:type="default" r:id="rId8"/>
      <w:footerReference w:type="default" r:id="rId9"/>
      <w:footerReference w:type="first" r:id="rId10"/>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3E3581" w14:textId="77777777" w:rsidR="000B13C7" w:rsidRDefault="000B13C7">
      <w:pPr>
        <w:spacing w:line="240" w:lineRule="auto"/>
      </w:pPr>
      <w:r>
        <w:separator/>
      </w:r>
    </w:p>
  </w:endnote>
  <w:endnote w:type="continuationSeparator" w:id="0">
    <w:p w14:paraId="36B0C90E" w14:textId="77777777" w:rsidR="000B13C7" w:rsidRDefault="000B13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5" w14:textId="4D9DAA38" w:rsidR="00B711F2" w:rsidRDefault="000B13C7">
    <w:pPr>
      <w:jc w:val="right"/>
    </w:pPr>
    <w:r>
      <w:fldChar w:fldCharType="begin"/>
    </w:r>
    <w:r>
      <w:instrText>PAGE</w:instrText>
    </w:r>
    <w:r>
      <w:fldChar w:fldCharType="separate"/>
    </w:r>
    <w:r w:rsidR="000B1A0B">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4" w14:textId="77777777" w:rsidR="00B711F2" w:rsidRDefault="00B711F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AE066" w14:textId="77777777" w:rsidR="000B13C7" w:rsidRDefault="000B13C7">
      <w:pPr>
        <w:spacing w:line="240" w:lineRule="auto"/>
      </w:pPr>
      <w:r>
        <w:separator/>
      </w:r>
    </w:p>
  </w:footnote>
  <w:footnote w:type="continuationSeparator" w:id="0">
    <w:p w14:paraId="74CDDD7E" w14:textId="77777777" w:rsidR="000B13C7" w:rsidRDefault="000B13C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43" w14:textId="77777777" w:rsidR="00B711F2" w:rsidRDefault="000B13C7">
    <w:r>
      <w:t>2115561            BMSA4001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11F2"/>
    <w:rsid w:val="000B13C7"/>
    <w:rsid w:val="000B1A0B"/>
    <w:rsid w:val="00974528"/>
    <w:rsid w:val="00B711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docId w15:val="{4828DDFD-EA61-4243-92FF-65CE8AB32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1080/03004279.2019.1633374"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teamgymshorts4.weebly.com/newells-theory-of-constraints.html"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2015</Words>
  <Characters>11486</Characters>
  <Application>Microsoft Office Word</Application>
  <DocSecurity>0</DocSecurity>
  <Lines>95</Lines>
  <Paragraphs>26</Paragraphs>
  <ScaleCrop>false</ScaleCrop>
  <Company/>
  <LinksUpToDate>false</LinksUpToDate>
  <CharactersWithSpaces>13475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Hipkiss, Hollie</cp:lastModifiedBy>
  <cp:revision>2</cp:revision>
  <dcterms:created xsi:type="dcterms:W3CDTF">2021-11-19T23:59:00Z</dcterms:created>
  <dcterms:modified xsi:type="dcterms:W3CDTF">2021-11-19T23:59:00Z</dcterms:modified>
</cp:coreProperties>
</file>