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B3E6AB" w14:textId="1F71D5E5" w:rsidR="00CE01B9" w:rsidRDefault="00CE01B9">
      <w:pPr>
        <w:rPr>
          <w:lang w:val="en-AU"/>
        </w:rPr>
      </w:pPr>
      <w:r w:rsidRPr="007E03CB">
        <w:rPr>
          <w:noProof/>
        </w:rPr>
        <mc:AlternateContent>
          <mc:Choice Requires="wpg">
            <w:drawing>
              <wp:anchor distT="0" distB="0" distL="114300" distR="114300" simplePos="0" relativeHeight="251659264" behindDoc="1" locked="0" layoutInCell="1" allowOverlap="1" wp14:anchorId="11FA76FA" wp14:editId="3F3581B6">
                <wp:simplePos x="0" y="0"/>
                <wp:positionH relativeFrom="page">
                  <wp:posOffset>457200</wp:posOffset>
                </wp:positionH>
                <wp:positionV relativeFrom="page">
                  <wp:posOffset>381000</wp:posOffset>
                </wp:positionV>
                <wp:extent cx="6858000" cy="9347835"/>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347835"/>
                          <a:chOff x="0" y="-76200"/>
                          <a:chExt cx="6858000" cy="93479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834ED1" w14:textId="77777777" w:rsidR="001004C0" w:rsidRDefault="001004C0">
                              <w:pPr>
                                <w:pStyle w:val="aa"/>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76200"/>
                            <a:ext cx="6858000" cy="72847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4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70A5EA1" w14:textId="77777777" w:rsidR="001004C0" w:rsidRPr="003F3515" w:rsidRDefault="003F3515">
                                  <w:pPr>
                                    <w:pStyle w:val="aa"/>
                                    <w:pBdr>
                                      <w:bottom w:val="single" w:sz="6" w:space="4" w:color="7F7F7F" w:themeColor="text1" w:themeTint="80"/>
                                    </w:pBdr>
                                    <w:rPr>
                                      <w:rFonts w:asciiTheme="majorHAnsi" w:eastAsiaTheme="majorEastAsia" w:hAnsiTheme="majorHAnsi" w:cstheme="majorBidi"/>
                                      <w:color w:val="595959" w:themeColor="text1" w:themeTint="A6"/>
                                      <w:sz w:val="48"/>
                                      <w:szCs w:val="108"/>
                                    </w:rPr>
                                  </w:pPr>
                                  <w:r w:rsidRPr="003F3515">
                                    <w:rPr>
                                      <w:rFonts w:asciiTheme="majorHAnsi" w:eastAsiaTheme="majorEastAsia" w:hAnsiTheme="majorHAnsi" w:cstheme="majorBidi"/>
                                      <w:color w:val="595959" w:themeColor="text1" w:themeTint="A6"/>
                                      <w:sz w:val="48"/>
                                      <w:szCs w:val="108"/>
                                    </w:rPr>
                                    <w:t>Customer, strategic and human resource analysis</w:t>
                                  </w:r>
                                </w:p>
                              </w:sdtContent>
                            </w:sdt>
                            <w:sdt>
                              <w:sdtPr>
                                <w:rPr>
                                  <w:caps/>
                                  <w:color w:val="00000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3DD3310" w14:textId="02BDF11F" w:rsidR="001004C0" w:rsidRDefault="003F3515" w:rsidP="003F3515">
                                  <w:pPr>
                                    <w:pStyle w:val="aa"/>
                                    <w:spacing w:before="240"/>
                                    <w:jc w:val="center"/>
                                    <w:rPr>
                                      <w:caps/>
                                      <w:color w:val="000000" w:themeColor="text2"/>
                                      <w:sz w:val="24"/>
                                      <w:szCs w:val="40"/>
                                    </w:rPr>
                                  </w:pPr>
                                  <w:r w:rsidRPr="00CE01B9">
                                    <w:rPr>
                                      <w:caps/>
                                      <w:color w:val="000000" w:themeColor="text2"/>
                                      <w:sz w:val="36"/>
                                      <w:szCs w:val="36"/>
                                    </w:rPr>
                                    <w:t>The case of rightmove plc.</w:t>
                                  </w:r>
                                </w:p>
                              </w:sdtContent>
                            </w:sdt>
                            <w:p w14:paraId="4C4A8C43" w14:textId="77777777" w:rsidR="00CE01B9" w:rsidRDefault="00CE01B9" w:rsidP="003F3515">
                              <w:pPr>
                                <w:pStyle w:val="aa"/>
                                <w:spacing w:before="240"/>
                                <w:jc w:val="center"/>
                                <w:rPr>
                                  <w:caps/>
                                  <w:color w:val="000000" w:themeColor="text2"/>
                                  <w:sz w:val="24"/>
                                  <w:szCs w:val="40"/>
                                </w:rPr>
                              </w:pPr>
                            </w:p>
                            <w:p w14:paraId="4BD7E91C" w14:textId="68FCFB88" w:rsidR="00CE01B9" w:rsidRDefault="00CE01B9" w:rsidP="003F3515">
                              <w:pPr>
                                <w:pStyle w:val="aa"/>
                                <w:spacing w:before="240"/>
                                <w:jc w:val="center"/>
                                <w:rPr>
                                  <w:caps/>
                                  <w:color w:val="000000" w:themeColor="text2"/>
                                  <w:sz w:val="24"/>
                                  <w:szCs w:val="40"/>
                                </w:rPr>
                              </w:pPr>
                              <w:r>
                                <w:rPr>
                                  <w:caps/>
                                  <w:color w:val="000000" w:themeColor="text2"/>
                                  <w:sz w:val="24"/>
                                  <w:szCs w:val="40"/>
                                </w:rPr>
                                <w:t>by</w:t>
                              </w:r>
                            </w:p>
                            <w:p w14:paraId="75884205" w14:textId="6DE10319" w:rsidR="00CE01B9" w:rsidRDefault="00CE01B9" w:rsidP="00CE01B9">
                              <w:pPr>
                                <w:pStyle w:val="aa"/>
                                <w:spacing w:before="240"/>
                                <w:jc w:val="center"/>
                                <w:rPr>
                                  <w:caps/>
                                  <w:color w:val="000000" w:themeColor="text2"/>
                                  <w:sz w:val="24"/>
                                  <w:szCs w:val="40"/>
                                </w:rPr>
                              </w:pPr>
                              <w:r>
                                <w:rPr>
                                  <w:caps/>
                                  <w:color w:val="000000" w:themeColor="text2"/>
                                  <w:sz w:val="24"/>
                                  <w:szCs w:val="40"/>
                                </w:rPr>
                                <w:t>KALINA BONEVa</w:t>
                              </w:r>
                            </w:p>
                            <w:p w14:paraId="6C40CD84" w14:textId="36A1FBCB" w:rsidR="00CE01B9" w:rsidRDefault="00CE01B9" w:rsidP="00CE01B9">
                              <w:pPr>
                                <w:pStyle w:val="aa"/>
                                <w:spacing w:before="240"/>
                                <w:jc w:val="center"/>
                                <w:rPr>
                                  <w:caps/>
                                  <w:color w:val="000000" w:themeColor="text2"/>
                                  <w:sz w:val="24"/>
                                  <w:szCs w:val="40"/>
                                </w:rPr>
                              </w:pPr>
                              <w:r>
                                <w:rPr>
                                  <w:caps/>
                                  <w:color w:val="000000" w:themeColor="text2"/>
                                  <w:sz w:val="24"/>
                                  <w:szCs w:val="40"/>
                                </w:rPr>
                                <w:t>student number: 2007655</w:t>
                              </w:r>
                            </w:p>
                            <w:p w14:paraId="7F457ABA" w14:textId="4FFC7ABC" w:rsidR="00CE01B9" w:rsidRDefault="00CE01B9" w:rsidP="00CE01B9">
                              <w:pPr>
                                <w:pStyle w:val="aa"/>
                                <w:spacing w:before="240"/>
                                <w:jc w:val="center"/>
                                <w:rPr>
                                  <w:caps/>
                                  <w:color w:val="000000" w:themeColor="text2"/>
                                  <w:sz w:val="24"/>
                                  <w:szCs w:val="40"/>
                                </w:rPr>
                              </w:pPr>
                              <w:r>
                                <w:rPr>
                                  <w:caps/>
                                  <w:color w:val="000000" w:themeColor="text2"/>
                                  <w:sz w:val="24"/>
                                  <w:szCs w:val="40"/>
                                </w:rPr>
                                <w:t>modul: Community engagement</w:t>
                              </w:r>
                            </w:p>
                            <w:p w14:paraId="23FD6879" w14:textId="1DCEA459" w:rsidR="00CE01B9" w:rsidRPr="00CE01B9" w:rsidRDefault="00CE01B9" w:rsidP="00CE01B9">
                              <w:pPr>
                                <w:pStyle w:val="aa"/>
                                <w:spacing w:before="240"/>
                                <w:jc w:val="center"/>
                                <w:rPr>
                                  <w:caps/>
                                  <w:color w:val="000000" w:themeColor="text2"/>
                                  <w:sz w:val="24"/>
                                  <w:szCs w:val="40"/>
                                </w:rPr>
                              </w:pPr>
                              <w:r>
                                <w:rPr>
                                  <w:caps/>
                                  <w:color w:val="000000" w:themeColor="text2"/>
                                  <w:sz w:val="24"/>
                                  <w:szCs w:val="40"/>
                                </w:rPr>
                                <w:t>mODUL LECTURER NAME: DALE CLARKE</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1FA76FA" id="Group 119" o:spid="_x0000_s1026" style="position:absolute;left:0;text-align:left;margin-left:36pt;margin-top:30pt;width:540pt;height:736.05pt;z-index:-251657216;mso-position-horizontal-relative:page;mso-position-vertical-relative:page" coordorigin=",-762" coordsize="68580,934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ddd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b2b2b2 [3205]" stroked="f" strokeweight="1pt">
                  <v:textbox inset="36pt,14.4pt,36pt,36pt">
                    <w:txbxContent>
                      <w:p w14:paraId="11834ED1" w14:textId="77777777" w:rsidR="001004C0" w:rsidRDefault="001004C0">
                        <w:pPr>
                          <w:pStyle w:val="aa"/>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top:-762;width:68580;height:728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4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70A5EA1" w14:textId="77777777" w:rsidR="001004C0" w:rsidRPr="003F3515" w:rsidRDefault="003F3515">
                            <w:pPr>
                              <w:pStyle w:val="aa"/>
                              <w:pBdr>
                                <w:bottom w:val="single" w:sz="6" w:space="4" w:color="7F7F7F" w:themeColor="text1" w:themeTint="80"/>
                              </w:pBdr>
                              <w:rPr>
                                <w:rFonts w:asciiTheme="majorHAnsi" w:eastAsiaTheme="majorEastAsia" w:hAnsiTheme="majorHAnsi" w:cstheme="majorBidi"/>
                                <w:color w:val="595959" w:themeColor="text1" w:themeTint="A6"/>
                                <w:sz w:val="48"/>
                                <w:szCs w:val="108"/>
                              </w:rPr>
                            </w:pPr>
                            <w:r w:rsidRPr="003F3515">
                              <w:rPr>
                                <w:rFonts w:asciiTheme="majorHAnsi" w:eastAsiaTheme="majorEastAsia" w:hAnsiTheme="majorHAnsi" w:cstheme="majorBidi"/>
                                <w:color w:val="595959" w:themeColor="text1" w:themeTint="A6"/>
                                <w:sz w:val="48"/>
                                <w:szCs w:val="108"/>
                              </w:rPr>
                              <w:t>Customer, strategic and human resource analysis</w:t>
                            </w:r>
                          </w:p>
                        </w:sdtContent>
                      </w:sdt>
                      <w:sdt>
                        <w:sdtPr>
                          <w:rPr>
                            <w:caps/>
                            <w:color w:val="00000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3DD3310" w14:textId="02BDF11F" w:rsidR="001004C0" w:rsidRDefault="003F3515" w:rsidP="003F3515">
                            <w:pPr>
                              <w:pStyle w:val="aa"/>
                              <w:spacing w:before="240"/>
                              <w:jc w:val="center"/>
                              <w:rPr>
                                <w:caps/>
                                <w:color w:val="000000" w:themeColor="text2"/>
                                <w:sz w:val="24"/>
                                <w:szCs w:val="40"/>
                              </w:rPr>
                            </w:pPr>
                            <w:r w:rsidRPr="00CE01B9">
                              <w:rPr>
                                <w:caps/>
                                <w:color w:val="000000" w:themeColor="text2"/>
                                <w:sz w:val="36"/>
                                <w:szCs w:val="36"/>
                              </w:rPr>
                              <w:t>The case of rightmove plc.</w:t>
                            </w:r>
                          </w:p>
                        </w:sdtContent>
                      </w:sdt>
                      <w:p w14:paraId="4C4A8C43" w14:textId="77777777" w:rsidR="00CE01B9" w:rsidRDefault="00CE01B9" w:rsidP="003F3515">
                        <w:pPr>
                          <w:pStyle w:val="aa"/>
                          <w:spacing w:before="240"/>
                          <w:jc w:val="center"/>
                          <w:rPr>
                            <w:caps/>
                            <w:color w:val="000000" w:themeColor="text2"/>
                            <w:sz w:val="24"/>
                            <w:szCs w:val="40"/>
                          </w:rPr>
                        </w:pPr>
                      </w:p>
                      <w:p w14:paraId="4BD7E91C" w14:textId="68FCFB88" w:rsidR="00CE01B9" w:rsidRDefault="00CE01B9" w:rsidP="003F3515">
                        <w:pPr>
                          <w:pStyle w:val="aa"/>
                          <w:spacing w:before="240"/>
                          <w:jc w:val="center"/>
                          <w:rPr>
                            <w:caps/>
                            <w:color w:val="000000" w:themeColor="text2"/>
                            <w:sz w:val="24"/>
                            <w:szCs w:val="40"/>
                          </w:rPr>
                        </w:pPr>
                        <w:r>
                          <w:rPr>
                            <w:caps/>
                            <w:color w:val="000000" w:themeColor="text2"/>
                            <w:sz w:val="24"/>
                            <w:szCs w:val="40"/>
                          </w:rPr>
                          <w:t>by</w:t>
                        </w:r>
                      </w:p>
                      <w:p w14:paraId="75884205" w14:textId="6DE10319" w:rsidR="00CE01B9" w:rsidRDefault="00CE01B9" w:rsidP="00CE01B9">
                        <w:pPr>
                          <w:pStyle w:val="aa"/>
                          <w:spacing w:before="240"/>
                          <w:jc w:val="center"/>
                          <w:rPr>
                            <w:caps/>
                            <w:color w:val="000000" w:themeColor="text2"/>
                            <w:sz w:val="24"/>
                            <w:szCs w:val="40"/>
                          </w:rPr>
                        </w:pPr>
                        <w:r>
                          <w:rPr>
                            <w:caps/>
                            <w:color w:val="000000" w:themeColor="text2"/>
                            <w:sz w:val="24"/>
                            <w:szCs w:val="40"/>
                          </w:rPr>
                          <w:t>KALINA BONEVa</w:t>
                        </w:r>
                      </w:p>
                      <w:p w14:paraId="6C40CD84" w14:textId="36A1FBCB" w:rsidR="00CE01B9" w:rsidRDefault="00CE01B9" w:rsidP="00CE01B9">
                        <w:pPr>
                          <w:pStyle w:val="aa"/>
                          <w:spacing w:before="240"/>
                          <w:jc w:val="center"/>
                          <w:rPr>
                            <w:caps/>
                            <w:color w:val="000000" w:themeColor="text2"/>
                            <w:sz w:val="24"/>
                            <w:szCs w:val="40"/>
                          </w:rPr>
                        </w:pPr>
                        <w:r>
                          <w:rPr>
                            <w:caps/>
                            <w:color w:val="000000" w:themeColor="text2"/>
                            <w:sz w:val="24"/>
                            <w:szCs w:val="40"/>
                          </w:rPr>
                          <w:t>student number: 2007655</w:t>
                        </w:r>
                      </w:p>
                      <w:p w14:paraId="7F457ABA" w14:textId="4FFC7ABC" w:rsidR="00CE01B9" w:rsidRDefault="00CE01B9" w:rsidP="00CE01B9">
                        <w:pPr>
                          <w:pStyle w:val="aa"/>
                          <w:spacing w:before="240"/>
                          <w:jc w:val="center"/>
                          <w:rPr>
                            <w:caps/>
                            <w:color w:val="000000" w:themeColor="text2"/>
                            <w:sz w:val="24"/>
                            <w:szCs w:val="40"/>
                          </w:rPr>
                        </w:pPr>
                        <w:r>
                          <w:rPr>
                            <w:caps/>
                            <w:color w:val="000000" w:themeColor="text2"/>
                            <w:sz w:val="24"/>
                            <w:szCs w:val="40"/>
                          </w:rPr>
                          <w:t>modul: Community engagement</w:t>
                        </w:r>
                      </w:p>
                      <w:p w14:paraId="23FD6879" w14:textId="1DCEA459" w:rsidR="00CE01B9" w:rsidRPr="00CE01B9" w:rsidRDefault="00CE01B9" w:rsidP="00CE01B9">
                        <w:pPr>
                          <w:pStyle w:val="aa"/>
                          <w:spacing w:before="240"/>
                          <w:jc w:val="center"/>
                          <w:rPr>
                            <w:caps/>
                            <w:color w:val="000000" w:themeColor="text2"/>
                            <w:sz w:val="24"/>
                            <w:szCs w:val="40"/>
                          </w:rPr>
                        </w:pPr>
                        <w:r>
                          <w:rPr>
                            <w:caps/>
                            <w:color w:val="000000" w:themeColor="text2"/>
                            <w:sz w:val="24"/>
                            <w:szCs w:val="40"/>
                          </w:rPr>
                          <w:t>mODUL LECTURER NAME: DALE CLARKE</w:t>
                        </w:r>
                      </w:p>
                    </w:txbxContent>
                  </v:textbox>
                </v:shape>
                <w10:wrap anchorx="page" anchory="page"/>
              </v:group>
            </w:pict>
          </mc:Fallback>
        </mc:AlternateContent>
      </w:r>
    </w:p>
    <w:sdt>
      <w:sdtPr>
        <w:rPr>
          <w:lang w:val="en-AU"/>
        </w:rPr>
        <w:id w:val="-1986384728"/>
        <w:docPartObj>
          <w:docPartGallery w:val="Cover Pages"/>
          <w:docPartUnique/>
        </w:docPartObj>
      </w:sdtPr>
      <w:sdtEndPr/>
      <w:sdtContent>
        <w:p w14:paraId="4EDAECC5" w14:textId="3DC3E696" w:rsidR="000F2ED2" w:rsidRPr="007E03CB" w:rsidRDefault="000F2ED2">
          <w:pPr>
            <w:rPr>
              <w:lang w:val="en-AU"/>
            </w:rPr>
          </w:pPr>
        </w:p>
        <w:p w14:paraId="3FBA2479" w14:textId="77777777" w:rsidR="000F2ED2" w:rsidRPr="007E03CB" w:rsidRDefault="000F2ED2">
          <w:pPr>
            <w:rPr>
              <w:lang w:val="en-AU"/>
            </w:rPr>
          </w:pPr>
          <w:r w:rsidRPr="007E03CB">
            <w:rPr>
              <w:lang w:val="en-AU"/>
            </w:rPr>
            <w:br w:type="page"/>
          </w:r>
        </w:p>
      </w:sdtContent>
    </w:sdt>
    <w:sdt>
      <w:sdtPr>
        <w:rPr>
          <w:smallCaps w:val="0"/>
          <w:spacing w:val="0"/>
          <w:sz w:val="24"/>
          <w:szCs w:val="20"/>
          <w:lang w:val="en-AU"/>
        </w:rPr>
        <w:id w:val="-1335524440"/>
        <w:docPartObj>
          <w:docPartGallery w:val="Table of Contents"/>
          <w:docPartUnique/>
        </w:docPartObj>
      </w:sdtPr>
      <w:sdtEndPr>
        <w:rPr>
          <w:b/>
          <w:bCs/>
          <w:noProof/>
        </w:rPr>
      </w:sdtEndPr>
      <w:sdtContent>
        <w:p w14:paraId="631606CE" w14:textId="77777777" w:rsidR="000E1CDE" w:rsidRPr="007E03CB" w:rsidRDefault="000E1CDE">
          <w:pPr>
            <w:pStyle w:val="af5"/>
            <w:rPr>
              <w:lang w:val="en-AU"/>
            </w:rPr>
          </w:pPr>
          <w:r w:rsidRPr="007E03CB">
            <w:rPr>
              <w:lang w:val="en-AU"/>
            </w:rPr>
            <w:t>Table of Contents</w:t>
          </w:r>
        </w:p>
        <w:p w14:paraId="5F0FE64C" w14:textId="77777777" w:rsidR="00DE699F" w:rsidRDefault="000E1CDE">
          <w:pPr>
            <w:pStyle w:val="11"/>
            <w:tabs>
              <w:tab w:val="right" w:leader="dot" w:pos="9350"/>
            </w:tabs>
            <w:rPr>
              <w:rFonts w:asciiTheme="minorHAnsi" w:hAnsiTheme="minorHAnsi"/>
              <w:noProof/>
              <w:sz w:val="22"/>
              <w:szCs w:val="22"/>
            </w:rPr>
          </w:pPr>
          <w:r w:rsidRPr="007E03CB">
            <w:rPr>
              <w:lang w:val="en-AU"/>
            </w:rPr>
            <w:fldChar w:fldCharType="begin"/>
          </w:r>
          <w:r w:rsidRPr="007E03CB">
            <w:rPr>
              <w:lang w:val="en-AU"/>
            </w:rPr>
            <w:instrText xml:space="preserve"> TOC \o "1-3" \h \z \u </w:instrText>
          </w:r>
          <w:r w:rsidRPr="007E03CB">
            <w:rPr>
              <w:lang w:val="en-AU"/>
            </w:rPr>
            <w:fldChar w:fldCharType="separate"/>
          </w:r>
          <w:hyperlink w:anchor="_Toc64440303" w:history="1">
            <w:r w:rsidR="00DE699F" w:rsidRPr="00D861EC">
              <w:rPr>
                <w:rStyle w:val="af6"/>
                <w:noProof/>
                <w:lang w:val="en-AU"/>
              </w:rPr>
              <w:t>Introduction</w:t>
            </w:r>
            <w:r w:rsidR="00DE699F">
              <w:rPr>
                <w:noProof/>
                <w:webHidden/>
              </w:rPr>
              <w:tab/>
            </w:r>
            <w:r w:rsidR="00DE699F">
              <w:rPr>
                <w:noProof/>
                <w:webHidden/>
              </w:rPr>
              <w:fldChar w:fldCharType="begin"/>
            </w:r>
            <w:r w:rsidR="00DE699F">
              <w:rPr>
                <w:noProof/>
                <w:webHidden/>
              </w:rPr>
              <w:instrText xml:space="preserve"> PAGEREF _Toc64440303 \h </w:instrText>
            </w:r>
            <w:r w:rsidR="00DE699F">
              <w:rPr>
                <w:noProof/>
                <w:webHidden/>
              </w:rPr>
            </w:r>
            <w:r w:rsidR="00DE699F">
              <w:rPr>
                <w:noProof/>
                <w:webHidden/>
              </w:rPr>
              <w:fldChar w:fldCharType="separate"/>
            </w:r>
            <w:r w:rsidR="00DE699F">
              <w:rPr>
                <w:noProof/>
                <w:webHidden/>
              </w:rPr>
              <w:t>2</w:t>
            </w:r>
            <w:r w:rsidR="00DE699F">
              <w:rPr>
                <w:noProof/>
                <w:webHidden/>
              </w:rPr>
              <w:fldChar w:fldCharType="end"/>
            </w:r>
          </w:hyperlink>
        </w:p>
        <w:p w14:paraId="0002ED2C" w14:textId="77777777" w:rsidR="00DE699F" w:rsidRDefault="00816C23">
          <w:pPr>
            <w:pStyle w:val="11"/>
            <w:tabs>
              <w:tab w:val="right" w:leader="dot" w:pos="9350"/>
            </w:tabs>
            <w:rPr>
              <w:rFonts w:asciiTheme="minorHAnsi" w:hAnsiTheme="minorHAnsi"/>
              <w:noProof/>
              <w:sz w:val="22"/>
              <w:szCs w:val="22"/>
            </w:rPr>
          </w:pPr>
          <w:hyperlink w:anchor="_Toc64440304" w:history="1">
            <w:r w:rsidR="00DE699F" w:rsidRPr="00D861EC">
              <w:rPr>
                <w:rStyle w:val="af6"/>
                <w:noProof/>
                <w:lang w:val="en-AU"/>
              </w:rPr>
              <w:t>Background of the company</w:t>
            </w:r>
            <w:r w:rsidR="00DE699F">
              <w:rPr>
                <w:noProof/>
                <w:webHidden/>
              </w:rPr>
              <w:tab/>
            </w:r>
            <w:r w:rsidR="00DE699F">
              <w:rPr>
                <w:noProof/>
                <w:webHidden/>
              </w:rPr>
              <w:fldChar w:fldCharType="begin"/>
            </w:r>
            <w:r w:rsidR="00DE699F">
              <w:rPr>
                <w:noProof/>
                <w:webHidden/>
              </w:rPr>
              <w:instrText xml:space="preserve"> PAGEREF _Toc64440304 \h </w:instrText>
            </w:r>
            <w:r w:rsidR="00DE699F">
              <w:rPr>
                <w:noProof/>
                <w:webHidden/>
              </w:rPr>
            </w:r>
            <w:r w:rsidR="00DE699F">
              <w:rPr>
                <w:noProof/>
                <w:webHidden/>
              </w:rPr>
              <w:fldChar w:fldCharType="separate"/>
            </w:r>
            <w:r w:rsidR="00DE699F">
              <w:rPr>
                <w:noProof/>
                <w:webHidden/>
              </w:rPr>
              <w:t>2</w:t>
            </w:r>
            <w:r w:rsidR="00DE699F">
              <w:rPr>
                <w:noProof/>
                <w:webHidden/>
              </w:rPr>
              <w:fldChar w:fldCharType="end"/>
            </w:r>
          </w:hyperlink>
        </w:p>
        <w:p w14:paraId="0B515242" w14:textId="77777777" w:rsidR="00DE699F" w:rsidRDefault="00816C23">
          <w:pPr>
            <w:pStyle w:val="21"/>
            <w:tabs>
              <w:tab w:val="right" w:leader="dot" w:pos="9350"/>
            </w:tabs>
            <w:rPr>
              <w:rFonts w:asciiTheme="minorHAnsi" w:hAnsiTheme="minorHAnsi"/>
              <w:noProof/>
              <w:sz w:val="22"/>
              <w:szCs w:val="22"/>
            </w:rPr>
          </w:pPr>
          <w:hyperlink w:anchor="_Toc64440305" w:history="1">
            <w:r w:rsidR="00DE699F" w:rsidRPr="00D861EC">
              <w:rPr>
                <w:rStyle w:val="af6"/>
                <w:noProof/>
                <w:lang w:val="en-AU"/>
              </w:rPr>
              <w:t>Size and Structure</w:t>
            </w:r>
            <w:r w:rsidR="00DE699F">
              <w:rPr>
                <w:noProof/>
                <w:webHidden/>
              </w:rPr>
              <w:tab/>
            </w:r>
            <w:r w:rsidR="00DE699F">
              <w:rPr>
                <w:noProof/>
                <w:webHidden/>
              </w:rPr>
              <w:fldChar w:fldCharType="begin"/>
            </w:r>
            <w:r w:rsidR="00DE699F">
              <w:rPr>
                <w:noProof/>
                <w:webHidden/>
              </w:rPr>
              <w:instrText xml:space="preserve"> PAGEREF _Toc64440305 \h </w:instrText>
            </w:r>
            <w:r w:rsidR="00DE699F">
              <w:rPr>
                <w:noProof/>
                <w:webHidden/>
              </w:rPr>
            </w:r>
            <w:r w:rsidR="00DE699F">
              <w:rPr>
                <w:noProof/>
                <w:webHidden/>
              </w:rPr>
              <w:fldChar w:fldCharType="separate"/>
            </w:r>
            <w:r w:rsidR="00DE699F">
              <w:rPr>
                <w:noProof/>
                <w:webHidden/>
              </w:rPr>
              <w:t>2</w:t>
            </w:r>
            <w:r w:rsidR="00DE699F">
              <w:rPr>
                <w:noProof/>
                <w:webHidden/>
              </w:rPr>
              <w:fldChar w:fldCharType="end"/>
            </w:r>
          </w:hyperlink>
        </w:p>
        <w:p w14:paraId="49CD53F7" w14:textId="77777777" w:rsidR="00DE699F" w:rsidRDefault="00816C23">
          <w:pPr>
            <w:pStyle w:val="21"/>
            <w:tabs>
              <w:tab w:val="right" w:leader="dot" w:pos="9350"/>
            </w:tabs>
            <w:rPr>
              <w:rFonts w:asciiTheme="minorHAnsi" w:hAnsiTheme="minorHAnsi"/>
              <w:noProof/>
              <w:sz w:val="22"/>
              <w:szCs w:val="22"/>
            </w:rPr>
          </w:pPr>
          <w:hyperlink w:anchor="_Toc64440306" w:history="1">
            <w:r w:rsidR="00DE699F" w:rsidRPr="00D861EC">
              <w:rPr>
                <w:rStyle w:val="af6"/>
                <w:noProof/>
                <w:lang w:val="en-AU"/>
              </w:rPr>
              <w:t>Goals and Mission</w:t>
            </w:r>
            <w:r w:rsidR="00DE699F">
              <w:rPr>
                <w:noProof/>
                <w:webHidden/>
              </w:rPr>
              <w:tab/>
            </w:r>
            <w:r w:rsidR="00DE699F">
              <w:rPr>
                <w:noProof/>
                <w:webHidden/>
              </w:rPr>
              <w:fldChar w:fldCharType="begin"/>
            </w:r>
            <w:r w:rsidR="00DE699F">
              <w:rPr>
                <w:noProof/>
                <w:webHidden/>
              </w:rPr>
              <w:instrText xml:space="preserve"> PAGEREF _Toc64440306 \h </w:instrText>
            </w:r>
            <w:r w:rsidR="00DE699F">
              <w:rPr>
                <w:noProof/>
                <w:webHidden/>
              </w:rPr>
            </w:r>
            <w:r w:rsidR="00DE699F">
              <w:rPr>
                <w:noProof/>
                <w:webHidden/>
              </w:rPr>
              <w:fldChar w:fldCharType="separate"/>
            </w:r>
            <w:r w:rsidR="00DE699F">
              <w:rPr>
                <w:noProof/>
                <w:webHidden/>
              </w:rPr>
              <w:t>2</w:t>
            </w:r>
            <w:r w:rsidR="00DE699F">
              <w:rPr>
                <w:noProof/>
                <w:webHidden/>
              </w:rPr>
              <w:fldChar w:fldCharType="end"/>
            </w:r>
          </w:hyperlink>
        </w:p>
        <w:p w14:paraId="651B15EC" w14:textId="77777777" w:rsidR="00DE699F" w:rsidRDefault="00816C23">
          <w:pPr>
            <w:pStyle w:val="21"/>
            <w:tabs>
              <w:tab w:val="right" w:leader="dot" w:pos="9350"/>
            </w:tabs>
            <w:rPr>
              <w:rFonts w:asciiTheme="minorHAnsi" w:hAnsiTheme="minorHAnsi"/>
              <w:noProof/>
              <w:sz w:val="22"/>
              <w:szCs w:val="22"/>
            </w:rPr>
          </w:pPr>
          <w:hyperlink w:anchor="_Toc64440307" w:history="1">
            <w:r w:rsidR="00DE699F" w:rsidRPr="00D861EC">
              <w:rPr>
                <w:rStyle w:val="af6"/>
                <w:noProof/>
                <w:lang w:val="en-AU"/>
              </w:rPr>
              <w:t>Values</w:t>
            </w:r>
            <w:r w:rsidR="00DE699F">
              <w:rPr>
                <w:noProof/>
                <w:webHidden/>
              </w:rPr>
              <w:tab/>
            </w:r>
            <w:r w:rsidR="00DE699F">
              <w:rPr>
                <w:noProof/>
                <w:webHidden/>
              </w:rPr>
              <w:fldChar w:fldCharType="begin"/>
            </w:r>
            <w:r w:rsidR="00DE699F">
              <w:rPr>
                <w:noProof/>
                <w:webHidden/>
              </w:rPr>
              <w:instrText xml:space="preserve"> PAGEREF _Toc64440307 \h </w:instrText>
            </w:r>
            <w:r w:rsidR="00DE699F">
              <w:rPr>
                <w:noProof/>
                <w:webHidden/>
              </w:rPr>
            </w:r>
            <w:r w:rsidR="00DE699F">
              <w:rPr>
                <w:noProof/>
                <w:webHidden/>
              </w:rPr>
              <w:fldChar w:fldCharType="separate"/>
            </w:r>
            <w:r w:rsidR="00DE699F">
              <w:rPr>
                <w:noProof/>
                <w:webHidden/>
              </w:rPr>
              <w:t>3</w:t>
            </w:r>
            <w:r w:rsidR="00DE699F">
              <w:rPr>
                <w:noProof/>
                <w:webHidden/>
              </w:rPr>
              <w:fldChar w:fldCharType="end"/>
            </w:r>
          </w:hyperlink>
        </w:p>
        <w:p w14:paraId="5B24F4BF" w14:textId="77777777" w:rsidR="00DE699F" w:rsidRDefault="00816C23">
          <w:pPr>
            <w:pStyle w:val="11"/>
            <w:tabs>
              <w:tab w:val="right" w:leader="dot" w:pos="9350"/>
            </w:tabs>
            <w:rPr>
              <w:rFonts w:asciiTheme="minorHAnsi" w:hAnsiTheme="minorHAnsi"/>
              <w:noProof/>
              <w:sz w:val="22"/>
              <w:szCs w:val="22"/>
            </w:rPr>
          </w:pPr>
          <w:hyperlink w:anchor="_Toc64440308" w:history="1">
            <w:r w:rsidR="00DE699F" w:rsidRPr="00D861EC">
              <w:rPr>
                <w:rStyle w:val="af6"/>
                <w:noProof/>
                <w:lang w:val="en-AU"/>
              </w:rPr>
              <w:t>Customers and their expectations</w:t>
            </w:r>
            <w:r w:rsidR="00DE699F">
              <w:rPr>
                <w:noProof/>
                <w:webHidden/>
              </w:rPr>
              <w:tab/>
            </w:r>
            <w:r w:rsidR="00DE699F">
              <w:rPr>
                <w:noProof/>
                <w:webHidden/>
              </w:rPr>
              <w:fldChar w:fldCharType="begin"/>
            </w:r>
            <w:r w:rsidR="00DE699F">
              <w:rPr>
                <w:noProof/>
                <w:webHidden/>
              </w:rPr>
              <w:instrText xml:space="preserve"> PAGEREF _Toc64440308 \h </w:instrText>
            </w:r>
            <w:r w:rsidR="00DE699F">
              <w:rPr>
                <w:noProof/>
                <w:webHidden/>
              </w:rPr>
            </w:r>
            <w:r w:rsidR="00DE699F">
              <w:rPr>
                <w:noProof/>
                <w:webHidden/>
              </w:rPr>
              <w:fldChar w:fldCharType="separate"/>
            </w:r>
            <w:r w:rsidR="00DE699F">
              <w:rPr>
                <w:noProof/>
                <w:webHidden/>
              </w:rPr>
              <w:t>3</w:t>
            </w:r>
            <w:r w:rsidR="00DE699F">
              <w:rPr>
                <w:noProof/>
                <w:webHidden/>
              </w:rPr>
              <w:fldChar w:fldCharType="end"/>
            </w:r>
          </w:hyperlink>
        </w:p>
        <w:p w14:paraId="33CE2073" w14:textId="77777777" w:rsidR="00DE699F" w:rsidRDefault="00816C23">
          <w:pPr>
            <w:pStyle w:val="11"/>
            <w:tabs>
              <w:tab w:val="right" w:leader="dot" w:pos="9350"/>
            </w:tabs>
            <w:rPr>
              <w:rFonts w:asciiTheme="minorHAnsi" w:hAnsiTheme="minorHAnsi"/>
              <w:noProof/>
              <w:sz w:val="22"/>
              <w:szCs w:val="22"/>
            </w:rPr>
          </w:pPr>
          <w:hyperlink w:anchor="_Toc64440309" w:history="1">
            <w:r w:rsidR="00DE699F" w:rsidRPr="00D861EC">
              <w:rPr>
                <w:rStyle w:val="af6"/>
                <w:noProof/>
                <w:lang w:val="en-AU"/>
              </w:rPr>
              <w:t>Micro and macro analysis</w:t>
            </w:r>
            <w:r w:rsidR="00DE699F">
              <w:rPr>
                <w:noProof/>
                <w:webHidden/>
              </w:rPr>
              <w:tab/>
            </w:r>
            <w:r w:rsidR="00DE699F">
              <w:rPr>
                <w:noProof/>
                <w:webHidden/>
              </w:rPr>
              <w:fldChar w:fldCharType="begin"/>
            </w:r>
            <w:r w:rsidR="00DE699F">
              <w:rPr>
                <w:noProof/>
                <w:webHidden/>
              </w:rPr>
              <w:instrText xml:space="preserve"> PAGEREF _Toc64440309 \h </w:instrText>
            </w:r>
            <w:r w:rsidR="00DE699F">
              <w:rPr>
                <w:noProof/>
                <w:webHidden/>
              </w:rPr>
            </w:r>
            <w:r w:rsidR="00DE699F">
              <w:rPr>
                <w:noProof/>
                <w:webHidden/>
              </w:rPr>
              <w:fldChar w:fldCharType="separate"/>
            </w:r>
            <w:r w:rsidR="00DE699F">
              <w:rPr>
                <w:noProof/>
                <w:webHidden/>
              </w:rPr>
              <w:t>3</w:t>
            </w:r>
            <w:r w:rsidR="00DE699F">
              <w:rPr>
                <w:noProof/>
                <w:webHidden/>
              </w:rPr>
              <w:fldChar w:fldCharType="end"/>
            </w:r>
          </w:hyperlink>
        </w:p>
        <w:p w14:paraId="05BFA62F" w14:textId="77777777" w:rsidR="00DE699F" w:rsidRDefault="00816C23">
          <w:pPr>
            <w:pStyle w:val="21"/>
            <w:tabs>
              <w:tab w:val="right" w:leader="dot" w:pos="9350"/>
            </w:tabs>
            <w:rPr>
              <w:rFonts w:asciiTheme="minorHAnsi" w:hAnsiTheme="minorHAnsi"/>
              <w:noProof/>
              <w:sz w:val="22"/>
              <w:szCs w:val="22"/>
            </w:rPr>
          </w:pPr>
          <w:hyperlink w:anchor="_Toc64440310" w:history="1">
            <w:r w:rsidR="00DE699F" w:rsidRPr="00D861EC">
              <w:rPr>
                <w:rStyle w:val="af6"/>
                <w:noProof/>
                <w:lang w:val="en-AU"/>
              </w:rPr>
              <w:t>PEST Analysis</w:t>
            </w:r>
            <w:r w:rsidR="00DE699F">
              <w:rPr>
                <w:noProof/>
                <w:webHidden/>
              </w:rPr>
              <w:tab/>
            </w:r>
            <w:r w:rsidR="00DE699F">
              <w:rPr>
                <w:noProof/>
                <w:webHidden/>
              </w:rPr>
              <w:fldChar w:fldCharType="begin"/>
            </w:r>
            <w:r w:rsidR="00DE699F">
              <w:rPr>
                <w:noProof/>
                <w:webHidden/>
              </w:rPr>
              <w:instrText xml:space="preserve"> PAGEREF _Toc64440310 \h </w:instrText>
            </w:r>
            <w:r w:rsidR="00DE699F">
              <w:rPr>
                <w:noProof/>
                <w:webHidden/>
              </w:rPr>
            </w:r>
            <w:r w:rsidR="00DE699F">
              <w:rPr>
                <w:noProof/>
                <w:webHidden/>
              </w:rPr>
              <w:fldChar w:fldCharType="separate"/>
            </w:r>
            <w:r w:rsidR="00DE699F">
              <w:rPr>
                <w:noProof/>
                <w:webHidden/>
              </w:rPr>
              <w:t>3</w:t>
            </w:r>
            <w:r w:rsidR="00DE699F">
              <w:rPr>
                <w:noProof/>
                <w:webHidden/>
              </w:rPr>
              <w:fldChar w:fldCharType="end"/>
            </w:r>
          </w:hyperlink>
        </w:p>
        <w:p w14:paraId="24571AB7" w14:textId="77777777" w:rsidR="00DE699F" w:rsidRDefault="00816C23">
          <w:pPr>
            <w:pStyle w:val="31"/>
            <w:tabs>
              <w:tab w:val="right" w:leader="dot" w:pos="9350"/>
            </w:tabs>
            <w:rPr>
              <w:rFonts w:asciiTheme="minorHAnsi" w:hAnsiTheme="minorHAnsi"/>
              <w:noProof/>
              <w:sz w:val="22"/>
              <w:szCs w:val="22"/>
            </w:rPr>
          </w:pPr>
          <w:hyperlink w:anchor="_Toc64440311" w:history="1">
            <w:r w:rsidR="00DE699F" w:rsidRPr="00D861EC">
              <w:rPr>
                <w:rStyle w:val="af6"/>
                <w:noProof/>
                <w:lang w:val="en-AU"/>
              </w:rPr>
              <w:t>Political</w:t>
            </w:r>
            <w:r w:rsidR="00DE699F">
              <w:rPr>
                <w:noProof/>
                <w:webHidden/>
              </w:rPr>
              <w:tab/>
            </w:r>
            <w:r w:rsidR="00DE699F">
              <w:rPr>
                <w:noProof/>
                <w:webHidden/>
              </w:rPr>
              <w:fldChar w:fldCharType="begin"/>
            </w:r>
            <w:r w:rsidR="00DE699F">
              <w:rPr>
                <w:noProof/>
                <w:webHidden/>
              </w:rPr>
              <w:instrText xml:space="preserve"> PAGEREF _Toc64440311 \h </w:instrText>
            </w:r>
            <w:r w:rsidR="00DE699F">
              <w:rPr>
                <w:noProof/>
                <w:webHidden/>
              </w:rPr>
            </w:r>
            <w:r w:rsidR="00DE699F">
              <w:rPr>
                <w:noProof/>
                <w:webHidden/>
              </w:rPr>
              <w:fldChar w:fldCharType="separate"/>
            </w:r>
            <w:r w:rsidR="00DE699F">
              <w:rPr>
                <w:noProof/>
                <w:webHidden/>
              </w:rPr>
              <w:t>3</w:t>
            </w:r>
            <w:r w:rsidR="00DE699F">
              <w:rPr>
                <w:noProof/>
                <w:webHidden/>
              </w:rPr>
              <w:fldChar w:fldCharType="end"/>
            </w:r>
          </w:hyperlink>
        </w:p>
        <w:p w14:paraId="3CA89674" w14:textId="77777777" w:rsidR="00DE699F" w:rsidRDefault="00816C23">
          <w:pPr>
            <w:pStyle w:val="31"/>
            <w:tabs>
              <w:tab w:val="right" w:leader="dot" w:pos="9350"/>
            </w:tabs>
            <w:rPr>
              <w:rFonts w:asciiTheme="minorHAnsi" w:hAnsiTheme="minorHAnsi"/>
              <w:noProof/>
              <w:sz w:val="22"/>
              <w:szCs w:val="22"/>
            </w:rPr>
          </w:pPr>
          <w:hyperlink w:anchor="_Toc64440312" w:history="1">
            <w:r w:rsidR="00DE699F" w:rsidRPr="00D861EC">
              <w:rPr>
                <w:rStyle w:val="af6"/>
                <w:noProof/>
                <w:lang w:val="en-AU"/>
              </w:rPr>
              <w:t>Economic</w:t>
            </w:r>
            <w:r w:rsidR="00DE699F">
              <w:rPr>
                <w:noProof/>
                <w:webHidden/>
              </w:rPr>
              <w:tab/>
            </w:r>
            <w:r w:rsidR="00DE699F">
              <w:rPr>
                <w:noProof/>
                <w:webHidden/>
              </w:rPr>
              <w:fldChar w:fldCharType="begin"/>
            </w:r>
            <w:r w:rsidR="00DE699F">
              <w:rPr>
                <w:noProof/>
                <w:webHidden/>
              </w:rPr>
              <w:instrText xml:space="preserve"> PAGEREF _Toc64440312 \h </w:instrText>
            </w:r>
            <w:r w:rsidR="00DE699F">
              <w:rPr>
                <w:noProof/>
                <w:webHidden/>
              </w:rPr>
            </w:r>
            <w:r w:rsidR="00DE699F">
              <w:rPr>
                <w:noProof/>
                <w:webHidden/>
              </w:rPr>
              <w:fldChar w:fldCharType="separate"/>
            </w:r>
            <w:r w:rsidR="00DE699F">
              <w:rPr>
                <w:noProof/>
                <w:webHidden/>
              </w:rPr>
              <w:t>4</w:t>
            </w:r>
            <w:r w:rsidR="00DE699F">
              <w:rPr>
                <w:noProof/>
                <w:webHidden/>
              </w:rPr>
              <w:fldChar w:fldCharType="end"/>
            </w:r>
          </w:hyperlink>
        </w:p>
        <w:p w14:paraId="2AA0ADEB" w14:textId="77777777" w:rsidR="00DE699F" w:rsidRDefault="00816C23">
          <w:pPr>
            <w:pStyle w:val="31"/>
            <w:tabs>
              <w:tab w:val="right" w:leader="dot" w:pos="9350"/>
            </w:tabs>
            <w:rPr>
              <w:rFonts w:asciiTheme="minorHAnsi" w:hAnsiTheme="minorHAnsi"/>
              <w:noProof/>
              <w:sz w:val="22"/>
              <w:szCs w:val="22"/>
            </w:rPr>
          </w:pPr>
          <w:hyperlink w:anchor="_Toc64440313" w:history="1">
            <w:r w:rsidR="00DE699F" w:rsidRPr="00D861EC">
              <w:rPr>
                <w:rStyle w:val="af6"/>
                <w:noProof/>
                <w:lang w:val="en-AU"/>
              </w:rPr>
              <w:t>Social</w:t>
            </w:r>
            <w:r w:rsidR="00DE699F">
              <w:rPr>
                <w:noProof/>
                <w:webHidden/>
              </w:rPr>
              <w:tab/>
            </w:r>
            <w:r w:rsidR="00DE699F">
              <w:rPr>
                <w:noProof/>
                <w:webHidden/>
              </w:rPr>
              <w:fldChar w:fldCharType="begin"/>
            </w:r>
            <w:r w:rsidR="00DE699F">
              <w:rPr>
                <w:noProof/>
                <w:webHidden/>
              </w:rPr>
              <w:instrText xml:space="preserve"> PAGEREF _Toc64440313 \h </w:instrText>
            </w:r>
            <w:r w:rsidR="00DE699F">
              <w:rPr>
                <w:noProof/>
                <w:webHidden/>
              </w:rPr>
            </w:r>
            <w:r w:rsidR="00DE699F">
              <w:rPr>
                <w:noProof/>
                <w:webHidden/>
              </w:rPr>
              <w:fldChar w:fldCharType="separate"/>
            </w:r>
            <w:r w:rsidR="00DE699F">
              <w:rPr>
                <w:noProof/>
                <w:webHidden/>
              </w:rPr>
              <w:t>4</w:t>
            </w:r>
            <w:r w:rsidR="00DE699F">
              <w:rPr>
                <w:noProof/>
                <w:webHidden/>
              </w:rPr>
              <w:fldChar w:fldCharType="end"/>
            </w:r>
          </w:hyperlink>
        </w:p>
        <w:p w14:paraId="713CD8AD" w14:textId="46C361DD" w:rsidR="00DE699F" w:rsidRDefault="00816C23">
          <w:pPr>
            <w:pStyle w:val="31"/>
            <w:tabs>
              <w:tab w:val="right" w:leader="dot" w:pos="9350"/>
            </w:tabs>
            <w:rPr>
              <w:noProof/>
            </w:rPr>
          </w:pPr>
          <w:hyperlink w:anchor="_Toc64440314" w:history="1">
            <w:r w:rsidR="00DE699F" w:rsidRPr="00D861EC">
              <w:rPr>
                <w:rStyle w:val="af6"/>
                <w:noProof/>
                <w:lang w:val="en-AU"/>
              </w:rPr>
              <w:t>Technological</w:t>
            </w:r>
            <w:r w:rsidR="00DE699F">
              <w:rPr>
                <w:noProof/>
                <w:webHidden/>
              </w:rPr>
              <w:tab/>
            </w:r>
            <w:r w:rsidR="00DE699F">
              <w:rPr>
                <w:noProof/>
                <w:webHidden/>
              </w:rPr>
              <w:fldChar w:fldCharType="begin"/>
            </w:r>
            <w:r w:rsidR="00DE699F">
              <w:rPr>
                <w:noProof/>
                <w:webHidden/>
              </w:rPr>
              <w:instrText xml:space="preserve"> PAGEREF _Toc64440314 \h </w:instrText>
            </w:r>
            <w:r w:rsidR="00DE699F">
              <w:rPr>
                <w:noProof/>
                <w:webHidden/>
              </w:rPr>
            </w:r>
            <w:r w:rsidR="00DE699F">
              <w:rPr>
                <w:noProof/>
                <w:webHidden/>
              </w:rPr>
              <w:fldChar w:fldCharType="separate"/>
            </w:r>
            <w:r w:rsidR="00DE699F">
              <w:rPr>
                <w:noProof/>
                <w:webHidden/>
              </w:rPr>
              <w:t>4</w:t>
            </w:r>
            <w:r w:rsidR="00DE699F">
              <w:rPr>
                <w:noProof/>
                <w:webHidden/>
              </w:rPr>
              <w:fldChar w:fldCharType="end"/>
            </w:r>
          </w:hyperlink>
        </w:p>
        <w:p w14:paraId="508E3C2B" w14:textId="04C1483A" w:rsidR="006922C3" w:rsidRPr="006922C3" w:rsidRDefault="006922C3" w:rsidP="006922C3">
          <w:r>
            <w:t>SWOT Analysis…………………………………………………………………………………4</w:t>
          </w:r>
        </w:p>
        <w:p w14:paraId="4651498D" w14:textId="77777777" w:rsidR="00DE699F" w:rsidRDefault="00816C23">
          <w:pPr>
            <w:pStyle w:val="21"/>
            <w:tabs>
              <w:tab w:val="right" w:leader="dot" w:pos="9350"/>
            </w:tabs>
            <w:rPr>
              <w:rFonts w:asciiTheme="minorHAnsi" w:hAnsiTheme="minorHAnsi"/>
              <w:noProof/>
              <w:sz w:val="22"/>
              <w:szCs w:val="22"/>
            </w:rPr>
          </w:pPr>
          <w:hyperlink w:anchor="_Toc64440315" w:history="1">
            <w:r w:rsidR="00DE699F" w:rsidRPr="00D861EC">
              <w:rPr>
                <w:rStyle w:val="af6"/>
                <w:noProof/>
                <w:lang w:val="en-AU"/>
              </w:rPr>
              <w:t>Porter’s five forces analysis</w:t>
            </w:r>
            <w:r w:rsidR="00DE699F">
              <w:rPr>
                <w:noProof/>
                <w:webHidden/>
              </w:rPr>
              <w:tab/>
            </w:r>
            <w:r w:rsidR="00DE699F">
              <w:rPr>
                <w:noProof/>
                <w:webHidden/>
              </w:rPr>
              <w:fldChar w:fldCharType="begin"/>
            </w:r>
            <w:r w:rsidR="00DE699F">
              <w:rPr>
                <w:noProof/>
                <w:webHidden/>
              </w:rPr>
              <w:instrText xml:space="preserve"> PAGEREF _Toc64440315 \h </w:instrText>
            </w:r>
            <w:r w:rsidR="00DE699F">
              <w:rPr>
                <w:noProof/>
                <w:webHidden/>
              </w:rPr>
            </w:r>
            <w:r w:rsidR="00DE699F">
              <w:rPr>
                <w:noProof/>
                <w:webHidden/>
              </w:rPr>
              <w:fldChar w:fldCharType="separate"/>
            </w:r>
            <w:r w:rsidR="00DE699F">
              <w:rPr>
                <w:noProof/>
                <w:webHidden/>
              </w:rPr>
              <w:t>4</w:t>
            </w:r>
            <w:r w:rsidR="00DE699F">
              <w:rPr>
                <w:noProof/>
                <w:webHidden/>
              </w:rPr>
              <w:fldChar w:fldCharType="end"/>
            </w:r>
          </w:hyperlink>
        </w:p>
        <w:p w14:paraId="377F84DC" w14:textId="77777777" w:rsidR="00DE699F" w:rsidRDefault="00816C23">
          <w:pPr>
            <w:pStyle w:val="11"/>
            <w:tabs>
              <w:tab w:val="right" w:leader="dot" w:pos="9350"/>
            </w:tabs>
            <w:rPr>
              <w:rFonts w:asciiTheme="minorHAnsi" w:hAnsiTheme="minorHAnsi"/>
              <w:noProof/>
              <w:sz w:val="22"/>
              <w:szCs w:val="22"/>
            </w:rPr>
          </w:pPr>
          <w:hyperlink w:anchor="_Toc64440316" w:history="1">
            <w:r w:rsidR="00DE699F" w:rsidRPr="00D861EC">
              <w:rPr>
                <w:rStyle w:val="af6"/>
                <w:noProof/>
                <w:lang w:val="en-AU"/>
              </w:rPr>
              <w:t>Role of Chief Product &amp; Technology Officer</w:t>
            </w:r>
            <w:r w:rsidR="00DE699F">
              <w:rPr>
                <w:noProof/>
                <w:webHidden/>
              </w:rPr>
              <w:tab/>
            </w:r>
            <w:r w:rsidR="00DE699F">
              <w:rPr>
                <w:noProof/>
                <w:webHidden/>
              </w:rPr>
              <w:fldChar w:fldCharType="begin"/>
            </w:r>
            <w:r w:rsidR="00DE699F">
              <w:rPr>
                <w:noProof/>
                <w:webHidden/>
              </w:rPr>
              <w:instrText xml:space="preserve"> PAGEREF _Toc64440316 \h </w:instrText>
            </w:r>
            <w:r w:rsidR="00DE699F">
              <w:rPr>
                <w:noProof/>
                <w:webHidden/>
              </w:rPr>
            </w:r>
            <w:r w:rsidR="00DE699F">
              <w:rPr>
                <w:noProof/>
                <w:webHidden/>
              </w:rPr>
              <w:fldChar w:fldCharType="separate"/>
            </w:r>
            <w:r w:rsidR="00DE699F">
              <w:rPr>
                <w:noProof/>
                <w:webHidden/>
              </w:rPr>
              <w:t>5</w:t>
            </w:r>
            <w:r w:rsidR="00DE699F">
              <w:rPr>
                <w:noProof/>
                <w:webHidden/>
              </w:rPr>
              <w:fldChar w:fldCharType="end"/>
            </w:r>
          </w:hyperlink>
        </w:p>
        <w:p w14:paraId="3218AF35" w14:textId="77777777" w:rsidR="00DE699F" w:rsidRDefault="00816C23">
          <w:pPr>
            <w:pStyle w:val="21"/>
            <w:tabs>
              <w:tab w:val="right" w:leader="dot" w:pos="9350"/>
            </w:tabs>
            <w:rPr>
              <w:rFonts w:asciiTheme="minorHAnsi" w:hAnsiTheme="minorHAnsi"/>
              <w:noProof/>
              <w:sz w:val="22"/>
              <w:szCs w:val="22"/>
            </w:rPr>
          </w:pPr>
          <w:hyperlink w:anchor="_Toc64440317" w:history="1">
            <w:r w:rsidR="00DE699F" w:rsidRPr="00D861EC">
              <w:rPr>
                <w:rStyle w:val="af6"/>
                <w:noProof/>
                <w:lang w:val="en-AU"/>
              </w:rPr>
              <w:t>Importance of the role</w:t>
            </w:r>
            <w:r w:rsidR="00DE699F">
              <w:rPr>
                <w:noProof/>
                <w:webHidden/>
              </w:rPr>
              <w:tab/>
            </w:r>
            <w:r w:rsidR="00DE699F">
              <w:rPr>
                <w:noProof/>
                <w:webHidden/>
              </w:rPr>
              <w:fldChar w:fldCharType="begin"/>
            </w:r>
            <w:r w:rsidR="00DE699F">
              <w:rPr>
                <w:noProof/>
                <w:webHidden/>
              </w:rPr>
              <w:instrText xml:space="preserve"> PAGEREF _Toc64440317 \h </w:instrText>
            </w:r>
            <w:r w:rsidR="00DE699F">
              <w:rPr>
                <w:noProof/>
                <w:webHidden/>
              </w:rPr>
            </w:r>
            <w:r w:rsidR="00DE699F">
              <w:rPr>
                <w:noProof/>
                <w:webHidden/>
              </w:rPr>
              <w:fldChar w:fldCharType="separate"/>
            </w:r>
            <w:r w:rsidR="00DE699F">
              <w:rPr>
                <w:noProof/>
                <w:webHidden/>
              </w:rPr>
              <w:t>5</w:t>
            </w:r>
            <w:r w:rsidR="00DE699F">
              <w:rPr>
                <w:noProof/>
                <w:webHidden/>
              </w:rPr>
              <w:fldChar w:fldCharType="end"/>
            </w:r>
          </w:hyperlink>
        </w:p>
        <w:p w14:paraId="78066270" w14:textId="77777777" w:rsidR="00DE699F" w:rsidRDefault="00816C23">
          <w:pPr>
            <w:pStyle w:val="21"/>
            <w:tabs>
              <w:tab w:val="right" w:leader="dot" w:pos="9350"/>
            </w:tabs>
            <w:rPr>
              <w:rFonts w:asciiTheme="minorHAnsi" w:hAnsiTheme="minorHAnsi"/>
              <w:noProof/>
              <w:sz w:val="22"/>
              <w:szCs w:val="22"/>
            </w:rPr>
          </w:pPr>
          <w:hyperlink w:anchor="_Toc64440318" w:history="1">
            <w:r w:rsidR="00DE699F" w:rsidRPr="00D861EC">
              <w:rPr>
                <w:rStyle w:val="af6"/>
                <w:noProof/>
                <w:lang w:val="en-AU"/>
              </w:rPr>
              <w:t>Skills and knowledge needed</w:t>
            </w:r>
            <w:r w:rsidR="00DE699F">
              <w:rPr>
                <w:noProof/>
                <w:webHidden/>
              </w:rPr>
              <w:tab/>
            </w:r>
            <w:r w:rsidR="00DE699F">
              <w:rPr>
                <w:noProof/>
                <w:webHidden/>
              </w:rPr>
              <w:fldChar w:fldCharType="begin"/>
            </w:r>
            <w:r w:rsidR="00DE699F">
              <w:rPr>
                <w:noProof/>
                <w:webHidden/>
              </w:rPr>
              <w:instrText xml:space="preserve"> PAGEREF _Toc64440318 \h </w:instrText>
            </w:r>
            <w:r w:rsidR="00DE699F">
              <w:rPr>
                <w:noProof/>
                <w:webHidden/>
              </w:rPr>
            </w:r>
            <w:r w:rsidR="00DE699F">
              <w:rPr>
                <w:noProof/>
                <w:webHidden/>
              </w:rPr>
              <w:fldChar w:fldCharType="separate"/>
            </w:r>
            <w:r w:rsidR="00DE699F">
              <w:rPr>
                <w:noProof/>
                <w:webHidden/>
              </w:rPr>
              <w:t>6</w:t>
            </w:r>
            <w:r w:rsidR="00DE699F">
              <w:rPr>
                <w:noProof/>
                <w:webHidden/>
              </w:rPr>
              <w:fldChar w:fldCharType="end"/>
            </w:r>
          </w:hyperlink>
        </w:p>
        <w:p w14:paraId="27FB48E4" w14:textId="77777777" w:rsidR="00DE699F" w:rsidRDefault="00816C23">
          <w:pPr>
            <w:pStyle w:val="21"/>
            <w:tabs>
              <w:tab w:val="right" w:leader="dot" w:pos="9350"/>
            </w:tabs>
            <w:rPr>
              <w:rFonts w:asciiTheme="minorHAnsi" w:hAnsiTheme="minorHAnsi"/>
              <w:noProof/>
              <w:sz w:val="22"/>
              <w:szCs w:val="22"/>
            </w:rPr>
          </w:pPr>
          <w:hyperlink w:anchor="_Toc64440319" w:history="1">
            <w:r w:rsidR="00DE699F" w:rsidRPr="00D861EC">
              <w:rPr>
                <w:rStyle w:val="af6"/>
                <w:noProof/>
                <w:lang w:val="en-AU"/>
              </w:rPr>
              <w:t>Requirements for training and development</w:t>
            </w:r>
            <w:r w:rsidR="00DE699F">
              <w:rPr>
                <w:noProof/>
                <w:webHidden/>
              </w:rPr>
              <w:tab/>
            </w:r>
            <w:r w:rsidR="00DE699F">
              <w:rPr>
                <w:noProof/>
                <w:webHidden/>
              </w:rPr>
              <w:fldChar w:fldCharType="begin"/>
            </w:r>
            <w:r w:rsidR="00DE699F">
              <w:rPr>
                <w:noProof/>
                <w:webHidden/>
              </w:rPr>
              <w:instrText xml:space="preserve"> PAGEREF _Toc64440319 \h </w:instrText>
            </w:r>
            <w:r w:rsidR="00DE699F">
              <w:rPr>
                <w:noProof/>
                <w:webHidden/>
              </w:rPr>
            </w:r>
            <w:r w:rsidR="00DE699F">
              <w:rPr>
                <w:noProof/>
                <w:webHidden/>
              </w:rPr>
              <w:fldChar w:fldCharType="separate"/>
            </w:r>
            <w:r w:rsidR="00DE699F">
              <w:rPr>
                <w:noProof/>
                <w:webHidden/>
              </w:rPr>
              <w:t>6</w:t>
            </w:r>
            <w:r w:rsidR="00DE699F">
              <w:rPr>
                <w:noProof/>
                <w:webHidden/>
              </w:rPr>
              <w:fldChar w:fldCharType="end"/>
            </w:r>
          </w:hyperlink>
        </w:p>
        <w:p w14:paraId="6E282360" w14:textId="77777777" w:rsidR="00DE699F" w:rsidRDefault="00816C23">
          <w:pPr>
            <w:pStyle w:val="11"/>
            <w:tabs>
              <w:tab w:val="right" w:leader="dot" w:pos="9350"/>
            </w:tabs>
            <w:rPr>
              <w:rFonts w:asciiTheme="minorHAnsi" w:hAnsiTheme="minorHAnsi"/>
              <w:noProof/>
              <w:sz w:val="22"/>
              <w:szCs w:val="22"/>
            </w:rPr>
          </w:pPr>
          <w:hyperlink w:anchor="_Toc64440320" w:history="1">
            <w:r w:rsidR="00DE699F" w:rsidRPr="00D861EC">
              <w:rPr>
                <w:rStyle w:val="af6"/>
                <w:noProof/>
                <w:lang w:val="en-AU"/>
              </w:rPr>
              <w:t>Conclusion</w:t>
            </w:r>
            <w:r w:rsidR="00DE699F">
              <w:rPr>
                <w:noProof/>
                <w:webHidden/>
              </w:rPr>
              <w:tab/>
            </w:r>
            <w:r w:rsidR="00DE699F">
              <w:rPr>
                <w:noProof/>
                <w:webHidden/>
              </w:rPr>
              <w:fldChar w:fldCharType="begin"/>
            </w:r>
            <w:r w:rsidR="00DE699F">
              <w:rPr>
                <w:noProof/>
                <w:webHidden/>
              </w:rPr>
              <w:instrText xml:space="preserve"> PAGEREF _Toc64440320 \h </w:instrText>
            </w:r>
            <w:r w:rsidR="00DE699F">
              <w:rPr>
                <w:noProof/>
                <w:webHidden/>
              </w:rPr>
            </w:r>
            <w:r w:rsidR="00DE699F">
              <w:rPr>
                <w:noProof/>
                <w:webHidden/>
              </w:rPr>
              <w:fldChar w:fldCharType="separate"/>
            </w:r>
            <w:r w:rsidR="00DE699F">
              <w:rPr>
                <w:noProof/>
                <w:webHidden/>
              </w:rPr>
              <w:t>6</w:t>
            </w:r>
            <w:r w:rsidR="00DE699F">
              <w:rPr>
                <w:noProof/>
                <w:webHidden/>
              </w:rPr>
              <w:fldChar w:fldCharType="end"/>
            </w:r>
          </w:hyperlink>
        </w:p>
        <w:p w14:paraId="14E1FDD5" w14:textId="77777777" w:rsidR="00DE699F" w:rsidRDefault="00816C23">
          <w:pPr>
            <w:pStyle w:val="11"/>
            <w:tabs>
              <w:tab w:val="right" w:leader="dot" w:pos="9350"/>
            </w:tabs>
            <w:rPr>
              <w:rFonts w:asciiTheme="minorHAnsi" w:hAnsiTheme="minorHAnsi"/>
              <w:noProof/>
              <w:sz w:val="22"/>
              <w:szCs w:val="22"/>
            </w:rPr>
          </w:pPr>
          <w:hyperlink w:anchor="_Toc64440321" w:history="1">
            <w:r w:rsidR="00DE699F" w:rsidRPr="00D861EC">
              <w:rPr>
                <w:rStyle w:val="af6"/>
                <w:noProof/>
                <w:lang w:val="en-AU"/>
              </w:rPr>
              <w:t>References</w:t>
            </w:r>
            <w:r w:rsidR="00DE699F">
              <w:rPr>
                <w:noProof/>
                <w:webHidden/>
              </w:rPr>
              <w:tab/>
            </w:r>
            <w:r w:rsidR="00DE699F">
              <w:rPr>
                <w:noProof/>
                <w:webHidden/>
              </w:rPr>
              <w:fldChar w:fldCharType="begin"/>
            </w:r>
            <w:r w:rsidR="00DE699F">
              <w:rPr>
                <w:noProof/>
                <w:webHidden/>
              </w:rPr>
              <w:instrText xml:space="preserve"> PAGEREF _Toc64440321 \h </w:instrText>
            </w:r>
            <w:r w:rsidR="00DE699F">
              <w:rPr>
                <w:noProof/>
                <w:webHidden/>
              </w:rPr>
            </w:r>
            <w:r w:rsidR="00DE699F">
              <w:rPr>
                <w:noProof/>
                <w:webHidden/>
              </w:rPr>
              <w:fldChar w:fldCharType="separate"/>
            </w:r>
            <w:r w:rsidR="00DE699F">
              <w:rPr>
                <w:noProof/>
                <w:webHidden/>
              </w:rPr>
              <w:t>8</w:t>
            </w:r>
            <w:r w:rsidR="00DE699F">
              <w:rPr>
                <w:noProof/>
                <w:webHidden/>
              </w:rPr>
              <w:fldChar w:fldCharType="end"/>
            </w:r>
          </w:hyperlink>
        </w:p>
        <w:p w14:paraId="3CD393D8" w14:textId="77777777" w:rsidR="00DE699F" w:rsidRDefault="00816C23">
          <w:pPr>
            <w:pStyle w:val="11"/>
            <w:tabs>
              <w:tab w:val="right" w:leader="dot" w:pos="9350"/>
            </w:tabs>
            <w:rPr>
              <w:rFonts w:asciiTheme="minorHAnsi" w:hAnsiTheme="minorHAnsi"/>
              <w:noProof/>
              <w:sz w:val="22"/>
              <w:szCs w:val="22"/>
            </w:rPr>
          </w:pPr>
          <w:hyperlink w:anchor="_Toc64440322" w:history="1">
            <w:r w:rsidR="00DE699F" w:rsidRPr="00D861EC">
              <w:rPr>
                <w:rStyle w:val="af6"/>
                <w:noProof/>
                <w:lang w:val="en-AU"/>
              </w:rPr>
              <w:t>Appendices</w:t>
            </w:r>
            <w:r w:rsidR="00DE699F">
              <w:rPr>
                <w:noProof/>
                <w:webHidden/>
              </w:rPr>
              <w:tab/>
            </w:r>
            <w:r w:rsidR="00DE699F">
              <w:rPr>
                <w:noProof/>
                <w:webHidden/>
              </w:rPr>
              <w:fldChar w:fldCharType="begin"/>
            </w:r>
            <w:r w:rsidR="00DE699F">
              <w:rPr>
                <w:noProof/>
                <w:webHidden/>
              </w:rPr>
              <w:instrText xml:space="preserve"> PAGEREF _Toc64440322 \h </w:instrText>
            </w:r>
            <w:r w:rsidR="00DE699F">
              <w:rPr>
                <w:noProof/>
                <w:webHidden/>
              </w:rPr>
            </w:r>
            <w:r w:rsidR="00DE699F">
              <w:rPr>
                <w:noProof/>
                <w:webHidden/>
              </w:rPr>
              <w:fldChar w:fldCharType="separate"/>
            </w:r>
            <w:r w:rsidR="00DE699F">
              <w:rPr>
                <w:noProof/>
                <w:webHidden/>
              </w:rPr>
              <w:t>10</w:t>
            </w:r>
            <w:r w:rsidR="00DE699F">
              <w:rPr>
                <w:noProof/>
                <w:webHidden/>
              </w:rPr>
              <w:fldChar w:fldCharType="end"/>
            </w:r>
          </w:hyperlink>
        </w:p>
        <w:p w14:paraId="1BDB998A" w14:textId="77777777" w:rsidR="00DE699F" w:rsidRDefault="00816C23">
          <w:pPr>
            <w:pStyle w:val="21"/>
            <w:tabs>
              <w:tab w:val="right" w:leader="dot" w:pos="9350"/>
            </w:tabs>
            <w:rPr>
              <w:rFonts w:asciiTheme="minorHAnsi" w:hAnsiTheme="minorHAnsi"/>
              <w:noProof/>
              <w:sz w:val="22"/>
              <w:szCs w:val="22"/>
            </w:rPr>
          </w:pPr>
          <w:hyperlink w:anchor="_Toc64440323" w:history="1">
            <w:r w:rsidR="00DE699F" w:rsidRPr="00D861EC">
              <w:rPr>
                <w:rStyle w:val="af6"/>
                <w:noProof/>
                <w:lang w:val="en-AU"/>
              </w:rPr>
              <w:t>Appendix 1: Income statement of Rightmove Plc.</w:t>
            </w:r>
            <w:r w:rsidR="00DE699F">
              <w:rPr>
                <w:noProof/>
                <w:webHidden/>
              </w:rPr>
              <w:tab/>
            </w:r>
            <w:r w:rsidR="00DE699F">
              <w:rPr>
                <w:noProof/>
                <w:webHidden/>
              </w:rPr>
              <w:fldChar w:fldCharType="begin"/>
            </w:r>
            <w:r w:rsidR="00DE699F">
              <w:rPr>
                <w:noProof/>
                <w:webHidden/>
              </w:rPr>
              <w:instrText xml:space="preserve"> PAGEREF _Toc64440323 \h </w:instrText>
            </w:r>
            <w:r w:rsidR="00DE699F">
              <w:rPr>
                <w:noProof/>
                <w:webHidden/>
              </w:rPr>
            </w:r>
            <w:r w:rsidR="00DE699F">
              <w:rPr>
                <w:noProof/>
                <w:webHidden/>
              </w:rPr>
              <w:fldChar w:fldCharType="separate"/>
            </w:r>
            <w:r w:rsidR="00DE699F">
              <w:rPr>
                <w:noProof/>
                <w:webHidden/>
              </w:rPr>
              <w:t>10</w:t>
            </w:r>
            <w:r w:rsidR="00DE699F">
              <w:rPr>
                <w:noProof/>
                <w:webHidden/>
              </w:rPr>
              <w:fldChar w:fldCharType="end"/>
            </w:r>
          </w:hyperlink>
        </w:p>
        <w:p w14:paraId="15A51B53" w14:textId="1FF63ED5" w:rsidR="00DE699F" w:rsidRDefault="00816C23" w:rsidP="000875AB">
          <w:pPr>
            <w:pStyle w:val="21"/>
            <w:tabs>
              <w:tab w:val="right" w:leader="dot" w:pos="9350"/>
            </w:tabs>
            <w:rPr>
              <w:rFonts w:asciiTheme="minorHAnsi" w:hAnsiTheme="minorHAnsi"/>
              <w:noProof/>
              <w:sz w:val="22"/>
              <w:szCs w:val="22"/>
            </w:rPr>
          </w:pPr>
          <w:hyperlink w:anchor="_Toc64440324" w:history="1">
            <w:r w:rsidR="00DE699F" w:rsidRPr="00D861EC">
              <w:rPr>
                <w:rStyle w:val="af6"/>
                <w:noProof/>
                <w:lang w:val="en-AU"/>
              </w:rPr>
              <w:t>Appendix 2: Training plan</w:t>
            </w:r>
            <w:r w:rsidR="00DE699F">
              <w:rPr>
                <w:noProof/>
                <w:webHidden/>
              </w:rPr>
              <w:tab/>
            </w:r>
            <w:r w:rsidR="00DE699F">
              <w:rPr>
                <w:noProof/>
                <w:webHidden/>
              </w:rPr>
              <w:fldChar w:fldCharType="begin"/>
            </w:r>
            <w:r w:rsidR="00DE699F">
              <w:rPr>
                <w:noProof/>
                <w:webHidden/>
              </w:rPr>
              <w:instrText xml:space="preserve"> PAGEREF _Toc64440324 \h </w:instrText>
            </w:r>
            <w:r w:rsidR="00DE699F">
              <w:rPr>
                <w:noProof/>
                <w:webHidden/>
              </w:rPr>
            </w:r>
            <w:r w:rsidR="00DE699F">
              <w:rPr>
                <w:noProof/>
                <w:webHidden/>
              </w:rPr>
              <w:fldChar w:fldCharType="separate"/>
            </w:r>
            <w:r w:rsidR="00DE699F">
              <w:rPr>
                <w:noProof/>
                <w:webHidden/>
              </w:rPr>
              <w:t>10</w:t>
            </w:r>
            <w:r w:rsidR="00DE699F">
              <w:rPr>
                <w:noProof/>
                <w:webHidden/>
              </w:rPr>
              <w:fldChar w:fldCharType="end"/>
            </w:r>
          </w:hyperlink>
        </w:p>
        <w:p w14:paraId="7A15F087" w14:textId="77777777" w:rsidR="00DE699F" w:rsidRDefault="00816C23">
          <w:pPr>
            <w:pStyle w:val="21"/>
            <w:tabs>
              <w:tab w:val="right" w:leader="dot" w:pos="9350"/>
            </w:tabs>
            <w:rPr>
              <w:rFonts w:asciiTheme="minorHAnsi" w:hAnsiTheme="minorHAnsi"/>
              <w:noProof/>
              <w:sz w:val="22"/>
              <w:szCs w:val="22"/>
            </w:rPr>
          </w:pPr>
          <w:hyperlink w:anchor="_Toc64440326" w:history="1">
            <w:r w:rsidR="00DE699F" w:rsidRPr="00D861EC">
              <w:rPr>
                <w:rStyle w:val="af6"/>
                <w:noProof/>
                <w:lang w:val="en-AU"/>
              </w:rPr>
              <w:t>Appendix 3: The business model canvas of Rightmove Plc.</w:t>
            </w:r>
            <w:r w:rsidR="00DE699F">
              <w:rPr>
                <w:noProof/>
                <w:webHidden/>
              </w:rPr>
              <w:tab/>
            </w:r>
            <w:r w:rsidR="00DE699F">
              <w:rPr>
                <w:noProof/>
                <w:webHidden/>
              </w:rPr>
              <w:fldChar w:fldCharType="begin"/>
            </w:r>
            <w:r w:rsidR="00DE699F">
              <w:rPr>
                <w:noProof/>
                <w:webHidden/>
              </w:rPr>
              <w:instrText xml:space="preserve"> PAGEREF _Toc64440326 \h </w:instrText>
            </w:r>
            <w:r w:rsidR="00DE699F">
              <w:rPr>
                <w:noProof/>
                <w:webHidden/>
              </w:rPr>
            </w:r>
            <w:r w:rsidR="00DE699F">
              <w:rPr>
                <w:noProof/>
                <w:webHidden/>
              </w:rPr>
              <w:fldChar w:fldCharType="separate"/>
            </w:r>
            <w:r w:rsidR="00DE699F">
              <w:rPr>
                <w:noProof/>
                <w:webHidden/>
              </w:rPr>
              <w:t>11</w:t>
            </w:r>
            <w:r w:rsidR="00DE699F">
              <w:rPr>
                <w:noProof/>
                <w:webHidden/>
              </w:rPr>
              <w:fldChar w:fldCharType="end"/>
            </w:r>
          </w:hyperlink>
        </w:p>
        <w:p w14:paraId="36B95FC8" w14:textId="77777777" w:rsidR="000E1CDE" w:rsidRPr="007E03CB" w:rsidRDefault="000E1CDE">
          <w:pPr>
            <w:rPr>
              <w:lang w:val="en-AU"/>
            </w:rPr>
          </w:pPr>
          <w:r w:rsidRPr="007E03CB">
            <w:rPr>
              <w:b/>
              <w:bCs/>
              <w:noProof/>
              <w:lang w:val="en-AU"/>
            </w:rPr>
            <w:fldChar w:fldCharType="end"/>
          </w:r>
        </w:p>
      </w:sdtContent>
    </w:sdt>
    <w:p w14:paraId="009C5580" w14:textId="77777777" w:rsidR="000E1CDE" w:rsidRPr="007E03CB" w:rsidRDefault="000E1CDE">
      <w:pPr>
        <w:rPr>
          <w:lang w:val="en-AU"/>
        </w:rPr>
      </w:pPr>
      <w:r w:rsidRPr="007E03CB">
        <w:rPr>
          <w:lang w:val="en-AU"/>
        </w:rPr>
        <w:br/>
      </w:r>
    </w:p>
    <w:p w14:paraId="0888BAD0" w14:textId="77777777" w:rsidR="000E1CDE" w:rsidRPr="007E03CB" w:rsidRDefault="000E1CDE">
      <w:pPr>
        <w:rPr>
          <w:lang w:val="en-AU"/>
        </w:rPr>
      </w:pPr>
      <w:r w:rsidRPr="007E03CB">
        <w:rPr>
          <w:lang w:val="en-AU"/>
        </w:rPr>
        <w:br w:type="page"/>
      </w:r>
    </w:p>
    <w:p w14:paraId="00737098" w14:textId="77777777" w:rsidR="00182299" w:rsidRPr="007E03CB" w:rsidRDefault="000E1CDE" w:rsidP="002B6441">
      <w:pPr>
        <w:pStyle w:val="1"/>
        <w:rPr>
          <w:lang w:val="en-AU"/>
        </w:rPr>
      </w:pPr>
      <w:bookmarkStart w:id="0" w:name="_Toc64440303"/>
      <w:r w:rsidRPr="007E03CB">
        <w:rPr>
          <w:lang w:val="en-AU"/>
        </w:rPr>
        <w:lastRenderedPageBreak/>
        <w:t>Introduction</w:t>
      </w:r>
      <w:bookmarkEnd w:id="0"/>
    </w:p>
    <w:p w14:paraId="67B32A94" w14:textId="77777777" w:rsidR="00873278" w:rsidRPr="007E03CB" w:rsidRDefault="007E03CB" w:rsidP="00873278">
      <w:pPr>
        <w:rPr>
          <w:lang w:val="en-AU"/>
        </w:rPr>
      </w:pPr>
      <w:r w:rsidRPr="007E03CB">
        <w:rPr>
          <w:lang w:val="en-AU"/>
        </w:rPr>
        <w:t>In a cut-through competition of today’s market, it is inevitable for business organisations to critically review their markets</w:t>
      </w:r>
      <w:r w:rsidR="001004C0">
        <w:rPr>
          <w:lang w:val="en-AU"/>
        </w:rPr>
        <w:t xml:space="preserve"> </w:t>
      </w:r>
      <w:r w:rsidR="001004C0">
        <w:rPr>
          <w:lang w:val="en-AU"/>
        </w:rPr>
        <w:fldChar w:fldCharType="begin" w:fldLock="1"/>
      </w:r>
      <w:r w:rsidR="001004C0">
        <w:rPr>
          <w:lang w:val="en-AU"/>
        </w:rPr>
        <w:instrText>ADDIN CSL_CITATION {"citationItems":[{"id":"ITEM-1","itemData":{"DOI":"10.1017/CBO9781139192675","ISBN":"9781139192675","abstract":"Strategic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readers.","author":[{"dropping-particle":"","family":"Freeman","given":"R. Edward","non-dropping-particle":"","parse-names":false,"suffix":""}],"container-title":"Strategic Management: A Stakeholder Approach","id":"ITEM-1","issued":{"date-parts":[["2015"]]},"title":"Strategic management: A stakeholder approach","type":"book"},"uris":["http://www.mendeley.com/documents/?uuid=bf81c862-2bcf-4682-82ec-1420ba859833"]},{"id":"ITEM-2","itemData":{"DOI":"10.1016/j.ijinfomgt.2011.02.003","ISBN":"0268-4012","ISSN":"02684012","PMID":"22686620","abstract":"Our aim is to shed light on the consequences of knowledge management (KM) strategies on firm's innovation and corporate performance. Organisations are not aware of the real implications that KM may have. Based on an empirical study consisted of 310 Spanish organisations and structural equations modelling, results show that both KM strategies (codification and personalisation) impacts on innovation and organisational performance directly and indirectly (through an increase on innovation capability). Also, findings demonstrate a different effect of KM strategies on diverse dimensions of organisational performance. Our conclusions may help academics and managers in designing KM strategic programs in order to achieve higher innovation, effectiveness, efficiency and profitability. © 2011 Elsevier Ltd. All rights reserved.","author":[{"dropping-particle":"","family":"López-Nicolás","given":"Carolina","non-dropping-particle":"","parse-names":false,"suffix":""},{"dropping-particle":"","family":"Meroño-Cerdán","given":"Ángel L.","non-dropping-particle":"","parse-names":false,"suffix":""}],"container-title":"International Journal of Information Management","id":"ITEM-2","issued":{"date-parts":[["2011"]]},"title":"Strategic knowledge management, innovation and performance","type":"article-journal"},"uris":["http://www.mendeley.com/documents/?uuid=1c6f718e-5056-4ba8-84de-44d246919524"]}],"mendeley":{"formattedCitation":"(López-Nicolás and Meroño-Cerdán, 2011; Freeman, 2015)","plainTextFormattedCitation":"(López-Nicolás and Meroño-Cerdán, 2011; Freeman, 2015)","previouslyFormattedCitation":"(López-Nicolás and Meroño-Cerdán, 2011; Freeman, 2015)"},"properties":{"noteIndex":0},"schema":"https://github.com/citation-style-language/schema/raw/master/csl-citation.json"}</w:instrText>
      </w:r>
      <w:r w:rsidR="001004C0">
        <w:rPr>
          <w:lang w:val="en-AU"/>
        </w:rPr>
        <w:fldChar w:fldCharType="separate"/>
      </w:r>
      <w:r w:rsidR="001004C0" w:rsidRPr="001004C0">
        <w:rPr>
          <w:noProof/>
          <w:lang w:val="en-AU"/>
        </w:rPr>
        <w:t>(López-Nicolás and Meroño-Cerdán, 2011; Freeman, 2015)</w:t>
      </w:r>
      <w:r w:rsidR="001004C0">
        <w:rPr>
          <w:lang w:val="en-AU"/>
        </w:rPr>
        <w:fldChar w:fldCharType="end"/>
      </w:r>
      <w:r w:rsidRPr="007E03CB">
        <w:rPr>
          <w:lang w:val="en-AU"/>
        </w:rPr>
        <w:t xml:space="preserve">. </w:t>
      </w:r>
      <w:r>
        <w:rPr>
          <w:lang w:val="en-AU"/>
        </w:rPr>
        <w:t xml:space="preserve">A review of the markets will essentially involve the understanding of the needs of the customers. </w:t>
      </w:r>
      <w:r w:rsidR="005B333A">
        <w:rPr>
          <w:lang w:val="en-AU"/>
        </w:rPr>
        <w:t>Besides, this will also require an understanding of micro and macro environmental factor, which will substantially contribute to organisational success</w:t>
      </w:r>
      <w:r w:rsidR="001004C0">
        <w:rPr>
          <w:lang w:val="en-AU"/>
        </w:rPr>
        <w:t xml:space="preserve"> </w:t>
      </w:r>
      <w:r w:rsidR="001004C0">
        <w:rPr>
          <w:lang w:val="en-AU"/>
        </w:rPr>
        <w:fldChar w:fldCharType="begin" w:fldLock="1"/>
      </w:r>
      <w:r w:rsidR="001004C0">
        <w:rPr>
          <w:lang w:val="en-AU"/>
        </w:rPr>
        <w:instrText>ADDIN CSL_CITATION {"citationItems":[{"id":"ITEM-1","itemData":{"DOI":"10.4324/9781315762043","ISBN":"9781315762043","abstract":"This book considers marketing management within the overall corporate system of business policy-making, strategic planning and the implementation and control of effective plans. The information requirements of marketing management are highlighted and the marketing information system concept is developed within the framework of managerial information systems. In the chapters which deal with the elements of the marketing ‘mix’, the interrelated nature of these variables is emphasized. The book illustrates how the successful marketing manager can master each ‘weapon’ in the marketing ‘armoury’ and how (s)he can integrate those weapons to achieve the right mix for each product. The accent on integrated marketing continues in the final section where differentiated marketing is presented as an integrative framework and where the systematic control of marketing operations is described. This book is for students who will one day be managers: its emphasis is therefore on what is possible in marketing management and the most effective means by which marketing objectives can be attained.","author":[{"dropping-particle":"","family":"Foxall","given":"Gordon R.","non-dropping-particle":"","parse-names":false,"suffix":""}],"container-title":"Strategic Marketing Management","id":"ITEM-1","issued":{"date-parts":[["2014"]]},"title":"Strategic marketing management","type":"book"},"uris":["http://www.mendeley.com/documents/?uuid=a55eced3-64d3-43b6-94f3-06d2b4e681fe"]}],"mendeley":{"formattedCitation":"(Foxall, 2014)","plainTextFormattedCitation":"(Foxall, 2014)","previouslyFormattedCitation":"(Foxall, 2014)"},"properties":{"noteIndex":0},"schema":"https://github.com/citation-style-language/schema/raw/master/csl-citation.json"}</w:instrText>
      </w:r>
      <w:r w:rsidR="001004C0">
        <w:rPr>
          <w:lang w:val="en-AU"/>
        </w:rPr>
        <w:fldChar w:fldCharType="separate"/>
      </w:r>
      <w:r w:rsidR="001004C0" w:rsidRPr="001004C0">
        <w:rPr>
          <w:noProof/>
          <w:lang w:val="en-AU"/>
        </w:rPr>
        <w:t>(Foxall, 2014)</w:t>
      </w:r>
      <w:r w:rsidR="001004C0">
        <w:rPr>
          <w:lang w:val="en-AU"/>
        </w:rPr>
        <w:fldChar w:fldCharType="end"/>
      </w:r>
      <w:r w:rsidR="005B333A">
        <w:rPr>
          <w:lang w:val="en-AU"/>
        </w:rPr>
        <w:t>. For different performance outcomes, each role in the organisation will have its value. It is also important to understand this importance as this can help to identify the gaps, based on which, a training plan can be developed</w:t>
      </w:r>
      <w:r w:rsidR="001004C0">
        <w:rPr>
          <w:lang w:val="en-AU"/>
        </w:rPr>
        <w:t xml:space="preserve"> </w:t>
      </w:r>
      <w:r w:rsidR="001004C0">
        <w:rPr>
          <w:lang w:val="en-AU"/>
        </w:rPr>
        <w:fldChar w:fldCharType="begin" w:fldLock="1"/>
      </w:r>
      <w:r w:rsidR="001004C0">
        <w:rPr>
          <w:lang w:val="en-AU"/>
        </w:rPr>
        <w:instrText>ADDIN CSL_CITATION {"citationItems":[{"id":"ITEM-1","itemData":{"DOI":"10.4135/9781526435736","abstract":"ESSENTIALS OF STRATEGIC MANAGEMENT, 2E, is a brief version of the authors' market-leading text STRATEGIC MANAGEMENT: AN INTEGRATED APPROACH, 8E, helping students identify and focus on core concepts in the field in a more succinct, streamlined format. Based on real-world practices and current thinking, the text's presentation of strategic management features an increased emphasis on the \"business model\" concept as a way of framing the issues of competitive advantage. Cutting-edge research, new strategic management theory, and a hands-on approach allow students to explore major topics in management, including corporate performance, governance, strategic leadership, technology, and business ethics. Its high-quality case program examines small, medium, and large companies-both domestic and international-so that students gain practice putting chapter concepts into action.","author":[{"dropping-particle":"","family":"Pitt","given":"Martyn","non-dropping-particle":"","parse-names":false,"suffix":""},{"dropping-particle":"","family":"Koufopoulos","given":"Dimitrios","non-dropping-particle":"","parse-names":false,"suffix":""}],"container-title":"Essentials of Strategic Management","id":"ITEM-1","issued":{"date-parts":[["2017"]]},"title":"Essentials of Strategic Management","type":"book"},"uris":["http://www.mendeley.com/documents/?uuid=ba46bde9-0f0a-41b1-bc9f-b5d717bdf75f"]},{"id":"ITEM-2","itemData":{"DOI":"10.7551/mitpress/9780262015998.003.0002","abstract":"Thefirst thing you will noticeas you look through this edition of our book is that it contin ues to be much shorter than most textbookson strategic management. There is not the usual \"later edition\" increase in numberof pages and bulk. We're strong proponentsof the philosophy that,often, lessismore. Thegeneral tendency is fortextbooks to getlongerand longer as authors make sure that their books leave out nothing that is in other books.We take a different approach. Our guiding principle in deciding what to include is; \"Does this concept help students analyze cases and realbusiness situations?\" Formanyconcepts we considered, the answer is no. But,where the answer Isyes, the conceptis in the book. VRIO","author":[{"dropping-particle":"","family":"Chevalier-Roignant","given":"Benoît","non-dropping-particle":"","parse-names":false,"suffix":""},{"dropping-particle":"","family":"Trigeorgis","given":"Lenos","non-dropping-particle":"","parse-names":false,"suffix":""},{"dropping-particle":"","family":"Chevalier-Roignant","given":"Benoît","non-dropping-particle":"","parse-names":false,"suffix":""},{"dropping-particle":"","family":"Trigeorgis","given":"Lenos","non-dropping-particle":"","parse-names":false,"suffix":""}],"container-title":"Competitive Strategy","id":"ITEM-2","issued":{"date-parts":[["2013"]]},"title":"Strategic Management and Competitive Advantage","type":"chapter"},"uris":["http://www.mendeley.com/documents/?uuid=3eafc8c9-ec20-4257-9af4-5a944daa50d2"]}],"mendeley":{"formattedCitation":"(Chevalier-Roignant &lt;i&gt;et al.&lt;/i&gt;, 2013; Pitt and Koufopoulos, 2017)","plainTextFormattedCitation":"(Chevalier-Roignant et al., 2013; Pitt and Koufopoulos, 2017)","previouslyFormattedCitation":"(Chevalier-Roignant &lt;i&gt;et al.&lt;/i&gt;, 2013; Pitt and Koufopoulos, 2017)"},"properties":{"noteIndex":0},"schema":"https://github.com/citation-style-language/schema/raw/master/csl-citation.json"}</w:instrText>
      </w:r>
      <w:r w:rsidR="001004C0">
        <w:rPr>
          <w:lang w:val="en-AU"/>
        </w:rPr>
        <w:fldChar w:fldCharType="separate"/>
      </w:r>
      <w:r w:rsidR="001004C0" w:rsidRPr="001004C0">
        <w:rPr>
          <w:noProof/>
          <w:lang w:val="en-AU"/>
        </w:rPr>
        <w:t xml:space="preserve">(Chevalier-Roignant </w:t>
      </w:r>
      <w:r w:rsidR="001004C0" w:rsidRPr="001004C0">
        <w:rPr>
          <w:i/>
          <w:noProof/>
          <w:lang w:val="en-AU"/>
        </w:rPr>
        <w:t>et al.</w:t>
      </w:r>
      <w:r w:rsidR="001004C0" w:rsidRPr="001004C0">
        <w:rPr>
          <w:noProof/>
          <w:lang w:val="en-AU"/>
        </w:rPr>
        <w:t>, 2013; Pitt and Koufopoulos, 2017)</w:t>
      </w:r>
      <w:r w:rsidR="001004C0">
        <w:rPr>
          <w:lang w:val="en-AU"/>
        </w:rPr>
        <w:fldChar w:fldCharType="end"/>
      </w:r>
      <w:r w:rsidR="005B333A">
        <w:rPr>
          <w:lang w:val="en-AU"/>
        </w:rPr>
        <w:t>. In</w:t>
      </w:r>
      <w:r w:rsidR="008B2BD5">
        <w:rPr>
          <w:lang w:val="en-AU"/>
        </w:rPr>
        <w:t xml:space="preserve"> this paper, a review of Rightm</w:t>
      </w:r>
      <w:r w:rsidR="005B333A">
        <w:rPr>
          <w:lang w:val="en-AU"/>
        </w:rPr>
        <w:t xml:space="preserve">ove Plc. will be conducted. Starting from an introduction and background of the company, the needs of the customers will be identified. This will be followed by a detailed macro and microanalysis of the company. Subsequently, the importance of the role of Chief Product and Technology Officer (CPTO) will be presented along with the required skills and training plan to conclude the paper. </w:t>
      </w:r>
    </w:p>
    <w:p w14:paraId="5F757088" w14:textId="77777777" w:rsidR="000E1CDE" w:rsidRDefault="000E1CDE" w:rsidP="002B6441">
      <w:pPr>
        <w:pStyle w:val="1"/>
        <w:rPr>
          <w:lang w:val="en-AU"/>
        </w:rPr>
      </w:pPr>
      <w:bookmarkStart w:id="1" w:name="_Toc64440304"/>
      <w:r w:rsidRPr="007E03CB">
        <w:rPr>
          <w:lang w:val="en-AU"/>
        </w:rPr>
        <w:t>Background of the company</w:t>
      </w:r>
      <w:bookmarkEnd w:id="1"/>
    </w:p>
    <w:p w14:paraId="376AE94C" w14:textId="77777777" w:rsidR="005B333A" w:rsidRPr="005B333A" w:rsidRDefault="008B2BD5" w:rsidP="005B333A">
      <w:pPr>
        <w:rPr>
          <w:lang w:val="en-AU"/>
        </w:rPr>
      </w:pPr>
      <w:r>
        <w:rPr>
          <w:lang w:val="en-AU"/>
        </w:rPr>
        <w:t>Rightmove is the largest online property retailer operating in the United Kingdom (UK). The company has been established in 2000 as a result of mergers of four major property agents in the UK, including Royal &amp; Sun Alliance, Countrywide Plc, Connells and Halifax</w:t>
      </w:r>
      <w:r w:rsidR="001004C0">
        <w:rPr>
          <w:lang w:val="en-AU"/>
        </w:rPr>
        <w:t xml:space="preserve"> </w:t>
      </w:r>
      <w:r w:rsidR="001004C0">
        <w:rPr>
          <w:lang w:val="en-AU"/>
        </w:rPr>
        <w:fldChar w:fldCharType="begin" w:fldLock="1"/>
      </w:r>
      <w:r w:rsidR="001004C0">
        <w:rPr>
          <w:lang w:val="en-AU"/>
        </w:rPr>
        <w:instrText>ADDIN CSL_CITATION {"citationItems":[{"id":"ITEM-1","itemData":{"abstract":"To contact the reporter on this story: Fergal O'Brien in London at fobrien@bloomberg.net First-time home buyers in London are getting more and more squeezed out of the market as prices soar while demand shows no sign of abating, according to a survey by Rightmove Plc. [Extracted from the article]","author":[{"dropping-particle":"","family":"O'Brien","given":"Fergal","non-dropping-particle":"","parse-names":false,"suffix":""}],"container-title":"Bloomberg.com","id":"ITEM-1","issued":{"date-parts":[["2015"]]},"title":"London housing demand intensifies squeeze on first time buyers.","type":"article-journal"},"uris":["http://www.mendeley.com/documents/?uuid=c984f2ce-0f55-4b58-b0ad-d0ad82a7c6c5","http://www.mendeley.com/documents/?uuid=3c1e9f21-5ab2-47f7-b1e9-df8929e35353"]}],"mendeley":{"formattedCitation":"(O’Brien, 2015)","plainTextFormattedCitation":"(O’Brien, 2015)","previouslyFormattedCitation":"(O’Brien, 2015)"},"properties":{"noteIndex":0},"schema":"https://github.com/citation-style-language/schema/raw/master/csl-citation.json"}</w:instrText>
      </w:r>
      <w:r w:rsidR="001004C0">
        <w:rPr>
          <w:lang w:val="en-AU"/>
        </w:rPr>
        <w:fldChar w:fldCharType="separate"/>
      </w:r>
      <w:r w:rsidR="001004C0" w:rsidRPr="001004C0">
        <w:rPr>
          <w:noProof/>
          <w:lang w:val="en-AU"/>
        </w:rPr>
        <w:t>(O’Brien, 2015)</w:t>
      </w:r>
      <w:r w:rsidR="001004C0">
        <w:rPr>
          <w:lang w:val="en-AU"/>
        </w:rPr>
        <w:fldChar w:fldCharType="end"/>
      </w:r>
      <w:r>
        <w:rPr>
          <w:lang w:val="en-AU"/>
        </w:rPr>
        <w:t xml:space="preserve">. Specific details about the company are as hereunder: </w:t>
      </w:r>
    </w:p>
    <w:p w14:paraId="1B84E4EC" w14:textId="77777777" w:rsidR="000E1CDE" w:rsidRDefault="008B2BD5" w:rsidP="002B6441">
      <w:pPr>
        <w:pStyle w:val="2"/>
        <w:rPr>
          <w:lang w:val="en-AU"/>
        </w:rPr>
      </w:pPr>
      <w:bookmarkStart w:id="2" w:name="_Toc64440305"/>
      <w:r>
        <w:rPr>
          <w:lang w:val="en-AU"/>
        </w:rPr>
        <w:t xml:space="preserve">Size and </w:t>
      </w:r>
      <w:r w:rsidR="000E1CDE" w:rsidRPr="007E03CB">
        <w:rPr>
          <w:lang w:val="en-AU"/>
        </w:rPr>
        <w:t>Structure</w:t>
      </w:r>
      <w:bookmarkEnd w:id="2"/>
      <w:r w:rsidR="000E1CDE" w:rsidRPr="007E03CB">
        <w:rPr>
          <w:lang w:val="en-AU"/>
        </w:rPr>
        <w:t xml:space="preserve"> </w:t>
      </w:r>
    </w:p>
    <w:p w14:paraId="544F032E" w14:textId="77777777" w:rsidR="008B2BD5" w:rsidRDefault="008B2BD5" w:rsidP="008B2BD5">
      <w:pPr>
        <w:rPr>
          <w:lang w:val="en-AU"/>
        </w:rPr>
      </w:pPr>
      <w:r>
        <w:rPr>
          <w:lang w:val="en-AU"/>
        </w:rPr>
        <w:t>The company operates through an online portal that allows the property agents to list properties and the individual customers can view the advertisements. As a revenue stream, the company charge the estate agents for listing the properties on its website. Besides this, the company also offer agents other advertisement options that are paid</w:t>
      </w:r>
      <w:r w:rsidR="001004C0">
        <w:rPr>
          <w:lang w:val="en-AU"/>
        </w:rPr>
        <w:t xml:space="preserve"> </w:t>
      </w:r>
      <w:r w:rsidR="001004C0">
        <w:rPr>
          <w:lang w:val="en-AU"/>
        </w:rPr>
        <w:fldChar w:fldCharType="begin" w:fldLock="1"/>
      </w:r>
      <w:r w:rsidR="001004C0">
        <w:rPr>
          <w:lang w:val="en-AU"/>
        </w:rPr>
        <w:instrText>ADDIN CSL_CITATION {"citationItems":[{"id":"ITEM-1","itemData":{"URL":"https://plc.rightmove.co.uk/about-us/company-overview.aspx","accessed":{"date-parts":[["2021","2","16"]]},"author":[{"dropping-particle":"","family":"Rightmove","given":"","non-dropping-particle":"","parse-names":false,"suffix":""}],"id":"ITEM-1","issued":{"date-parts":[["2021"]]},"title":"About Rightmove – Rightmove Investor Centre","type":"webpage"},"uris":["http://www.mendeley.com/documents/?uuid=e0b4bb82-1b7e-3fb5-a7cb-4abe9f79d80a"]}],"mendeley":{"formattedCitation":"(Rightmove, 2021)","plainTextFormattedCitation":"(Rightmove, 2021)","previouslyFormattedCitation":"(Rightmove, 2021)"},"properties":{"noteIndex":0},"schema":"https://github.com/citation-style-language/schema/raw/master/csl-citation.json"}</w:instrText>
      </w:r>
      <w:r w:rsidR="001004C0">
        <w:rPr>
          <w:lang w:val="en-AU"/>
        </w:rPr>
        <w:fldChar w:fldCharType="separate"/>
      </w:r>
      <w:r w:rsidR="001004C0" w:rsidRPr="001004C0">
        <w:rPr>
          <w:noProof/>
          <w:lang w:val="en-AU"/>
        </w:rPr>
        <w:t>(Rightmove, 2021)</w:t>
      </w:r>
      <w:r w:rsidR="001004C0">
        <w:rPr>
          <w:lang w:val="en-AU"/>
        </w:rPr>
        <w:fldChar w:fldCharType="end"/>
      </w:r>
      <w:r>
        <w:rPr>
          <w:lang w:val="en-AU"/>
        </w:rPr>
        <w:t xml:space="preserve">. The users can explore the property of the desired area to make a deal with </w:t>
      </w:r>
      <w:r w:rsidR="00063EFA">
        <w:rPr>
          <w:lang w:val="en-AU"/>
        </w:rPr>
        <w:t xml:space="preserve">the </w:t>
      </w:r>
      <w:r>
        <w:rPr>
          <w:lang w:val="en-AU"/>
        </w:rPr>
        <w:t xml:space="preserve">relevant estate agent. </w:t>
      </w:r>
    </w:p>
    <w:p w14:paraId="7639E68E" w14:textId="77777777" w:rsidR="008B2BD5" w:rsidRPr="008B2BD5" w:rsidRDefault="008B2BD5" w:rsidP="008B2BD5">
      <w:pPr>
        <w:rPr>
          <w:lang w:val="en-AU"/>
        </w:rPr>
      </w:pPr>
      <w:r>
        <w:rPr>
          <w:lang w:val="en-AU"/>
        </w:rPr>
        <w:t xml:space="preserve">As far as the structure of the organisation is concerned, it is headed by the Chief Executive Officer (CEO), which is Peter Brooks-Johnson, currently. Chief Financial Officer (CFO) and Company Secretary are directly reported to </w:t>
      </w:r>
      <w:r w:rsidR="00063EFA">
        <w:rPr>
          <w:lang w:val="en-AU"/>
        </w:rPr>
        <w:t xml:space="preserve">the </w:t>
      </w:r>
      <w:r>
        <w:rPr>
          <w:lang w:val="en-AU"/>
        </w:rPr>
        <w:t>CEO of the company. For the board members, the company has four non-executive board members, a chairman and a senior independent director</w:t>
      </w:r>
      <w:r w:rsidR="001004C0">
        <w:rPr>
          <w:lang w:val="en-AU"/>
        </w:rPr>
        <w:t xml:space="preserve"> </w:t>
      </w:r>
      <w:r w:rsidR="001004C0">
        <w:rPr>
          <w:lang w:val="en-AU"/>
        </w:rPr>
        <w:fldChar w:fldCharType="begin" w:fldLock="1"/>
      </w:r>
      <w:r w:rsidR="001004C0">
        <w:rPr>
          <w:lang w:val="en-AU"/>
        </w:rPr>
        <w:instrText>ADDIN CSL_CITATION {"citationItems":[{"id":"ITEM-1","itemData":{"URL":"https://plc.rightmove.co.uk/about-us/company-overview.aspx","accessed":{"date-parts":[["2021","2","16"]]},"author":[{"dropping-particle":"","family":"Rightmove","given":"","non-dropping-particle":"","parse-names":false,"suffix":""}],"id":"ITEM-1","issued":{"date-parts":[["2021"]]},"title":"About Rightmove – Rightmove Investor Centre","type":"webpage"},"uris":["http://www.mendeley.com/documents/?uuid=e0b4bb82-1b7e-3fb5-a7cb-4abe9f79d80a"]}],"mendeley":{"formattedCitation":"(Rightmove, 2021)","plainTextFormattedCitation":"(Rightmove, 2021)","previouslyFormattedCitation":"(Rightmove, 2021)"},"properties":{"noteIndex":0},"schema":"https://github.com/citation-style-language/schema/raw/master/csl-citation.json"}</w:instrText>
      </w:r>
      <w:r w:rsidR="001004C0">
        <w:rPr>
          <w:lang w:val="en-AU"/>
        </w:rPr>
        <w:fldChar w:fldCharType="separate"/>
      </w:r>
      <w:r w:rsidR="001004C0" w:rsidRPr="001004C0">
        <w:rPr>
          <w:noProof/>
          <w:lang w:val="en-AU"/>
        </w:rPr>
        <w:t>(Rightmove, 2021)</w:t>
      </w:r>
      <w:r w:rsidR="001004C0">
        <w:rPr>
          <w:lang w:val="en-AU"/>
        </w:rPr>
        <w:fldChar w:fldCharType="end"/>
      </w:r>
      <w:r>
        <w:rPr>
          <w:lang w:val="en-AU"/>
        </w:rPr>
        <w:t xml:space="preserve">. </w:t>
      </w:r>
    </w:p>
    <w:p w14:paraId="264ED68A" w14:textId="77777777" w:rsidR="000E1CDE" w:rsidRDefault="000E1CDE" w:rsidP="002B6441">
      <w:pPr>
        <w:pStyle w:val="2"/>
        <w:rPr>
          <w:lang w:val="en-AU"/>
        </w:rPr>
      </w:pPr>
      <w:bookmarkStart w:id="3" w:name="_Toc64440306"/>
      <w:r w:rsidRPr="007E03CB">
        <w:rPr>
          <w:lang w:val="en-AU"/>
        </w:rPr>
        <w:t>Goals</w:t>
      </w:r>
      <w:r w:rsidR="008B2BD5">
        <w:rPr>
          <w:lang w:val="en-AU"/>
        </w:rPr>
        <w:t xml:space="preserve"> and </w:t>
      </w:r>
      <w:r w:rsidRPr="007E03CB">
        <w:rPr>
          <w:lang w:val="en-AU"/>
        </w:rPr>
        <w:t>Mission</w:t>
      </w:r>
      <w:bookmarkEnd w:id="3"/>
      <w:r w:rsidRPr="007E03CB">
        <w:rPr>
          <w:lang w:val="en-AU"/>
        </w:rPr>
        <w:t xml:space="preserve"> </w:t>
      </w:r>
    </w:p>
    <w:p w14:paraId="398936D6" w14:textId="77777777" w:rsidR="008B2BD5" w:rsidRDefault="00CB7463" w:rsidP="008B2BD5">
      <w:pPr>
        <w:rPr>
          <w:lang w:val="en-AU"/>
        </w:rPr>
      </w:pPr>
      <w:r>
        <w:rPr>
          <w:lang w:val="en-AU"/>
        </w:rPr>
        <w:t xml:space="preserve">The company has </w:t>
      </w:r>
      <w:r w:rsidR="00063EFA">
        <w:rPr>
          <w:lang w:val="en-AU"/>
        </w:rPr>
        <w:t>the</w:t>
      </w:r>
      <w:r>
        <w:rPr>
          <w:lang w:val="en-AU"/>
        </w:rPr>
        <w:t xml:space="preserve"> ultimate goal to </w:t>
      </w:r>
      <w:r w:rsidRPr="00CB7463">
        <w:rPr>
          <w:i/>
          <w:lang w:val="en-AU"/>
        </w:rPr>
        <w:t xml:space="preserve">“empower the UK’s decision around </w:t>
      </w:r>
      <w:r w:rsidR="00063EFA">
        <w:rPr>
          <w:i/>
          <w:lang w:val="en-AU"/>
        </w:rPr>
        <w:t xml:space="preserve">the </w:t>
      </w:r>
      <w:r w:rsidRPr="00CB7463">
        <w:rPr>
          <w:i/>
          <w:lang w:val="en-AU"/>
        </w:rPr>
        <w:t>property”</w:t>
      </w:r>
      <w:r>
        <w:rPr>
          <w:lang w:val="en-AU"/>
        </w:rPr>
        <w:t>. For this, the company claims that the state-of-the-art web portal provides simple and easy access to various properties along with relevant information to the buyers. This makes it easy to quickly decide the property of their choice</w:t>
      </w:r>
      <w:r w:rsidR="001004C0">
        <w:rPr>
          <w:lang w:val="en-AU"/>
        </w:rPr>
        <w:t xml:space="preserve"> </w:t>
      </w:r>
      <w:r w:rsidR="001004C0">
        <w:rPr>
          <w:lang w:val="en-AU"/>
        </w:rPr>
        <w:fldChar w:fldCharType="begin" w:fldLock="1"/>
      </w:r>
      <w:r w:rsidR="001004C0">
        <w:rPr>
          <w:lang w:val="en-AU"/>
        </w:rPr>
        <w:instrText>ADDIN CSL_CITATION {"citationItems":[{"id":"ITEM-1","itemData":{"URL":"https://plc.rightmove.co.uk/about-us/company-overview.aspx","accessed":{"date-parts":[["2021","2","16"]]},"author":[{"dropping-particle":"","family":"Rightmove","given":"","non-dropping-particle":"","parse-names":false,"suffix":""}],"id":"ITEM-1","issued":{"date-parts":[["2021"]]},"title":"About Rightmove – Rightmove Investor Centre","type":"webpage"},"uris":["http://www.mendeley.com/documents/?uuid=e0b4bb82-1b7e-3fb5-a7cb-4abe9f79d80a"]}],"mendeley":{"formattedCitation":"(Rightmove, 2021)","plainTextFormattedCitation":"(Rightmove, 2021)","previouslyFormattedCitation":"(Rightmove, 2021)"},"properties":{"noteIndex":0},"schema":"https://github.com/citation-style-language/schema/raw/master/csl-citation.json"}</w:instrText>
      </w:r>
      <w:r w:rsidR="001004C0">
        <w:rPr>
          <w:lang w:val="en-AU"/>
        </w:rPr>
        <w:fldChar w:fldCharType="separate"/>
      </w:r>
      <w:r w:rsidR="001004C0" w:rsidRPr="001004C0">
        <w:rPr>
          <w:noProof/>
          <w:lang w:val="en-AU"/>
        </w:rPr>
        <w:t>(Rightmove, 2021)</w:t>
      </w:r>
      <w:r w:rsidR="001004C0">
        <w:rPr>
          <w:lang w:val="en-AU"/>
        </w:rPr>
        <w:fldChar w:fldCharType="end"/>
      </w:r>
      <w:r>
        <w:rPr>
          <w:lang w:val="en-AU"/>
        </w:rPr>
        <w:t xml:space="preserve">. </w:t>
      </w:r>
    </w:p>
    <w:p w14:paraId="60098D40" w14:textId="77777777" w:rsidR="001004C0" w:rsidRPr="008B2BD5" w:rsidRDefault="001004C0" w:rsidP="008B2BD5">
      <w:pPr>
        <w:rPr>
          <w:lang w:val="en-AU"/>
        </w:rPr>
      </w:pPr>
    </w:p>
    <w:p w14:paraId="697CC476" w14:textId="77777777" w:rsidR="000E1CDE" w:rsidRDefault="000E1CDE" w:rsidP="002B6441">
      <w:pPr>
        <w:pStyle w:val="2"/>
        <w:rPr>
          <w:lang w:val="en-AU"/>
        </w:rPr>
      </w:pPr>
      <w:bookmarkStart w:id="4" w:name="_Toc64440307"/>
      <w:r w:rsidRPr="007E03CB">
        <w:rPr>
          <w:lang w:val="en-AU"/>
        </w:rPr>
        <w:lastRenderedPageBreak/>
        <w:t>Values</w:t>
      </w:r>
      <w:bookmarkEnd w:id="4"/>
      <w:r w:rsidRPr="007E03CB">
        <w:rPr>
          <w:lang w:val="en-AU"/>
        </w:rPr>
        <w:t xml:space="preserve"> </w:t>
      </w:r>
    </w:p>
    <w:p w14:paraId="7289D880" w14:textId="77777777" w:rsidR="00CB7463" w:rsidRPr="00CB7463" w:rsidRDefault="00CB7463" w:rsidP="00CB7463">
      <w:pPr>
        <w:rPr>
          <w:lang w:val="en-AU"/>
        </w:rPr>
      </w:pPr>
      <w:r>
        <w:rPr>
          <w:lang w:val="en-AU"/>
        </w:rPr>
        <w:t>The company operates around the values of operational efficiency, teamwork, empowerment and technology. Rightmove aspires to be a place where when a customer interacts, it should turn first and engage with the property of its choice. Through software, data and other technological tools, the company want to empower the decision-making of its customers as well as the general audience</w:t>
      </w:r>
      <w:r w:rsidR="001004C0">
        <w:rPr>
          <w:lang w:val="en-AU"/>
        </w:rPr>
        <w:t xml:space="preserve"> </w:t>
      </w:r>
      <w:r w:rsidR="001004C0">
        <w:rPr>
          <w:lang w:val="en-AU"/>
        </w:rPr>
        <w:fldChar w:fldCharType="begin" w:fldLock="1"/>
      </w:r>
      <w:r w:rsidR="001004C0">
        <w:rPr>
          <w:lang w:val="en-AU"/>
        </w:rPr>
        <w:instrText>ADDIN CSL_CITATION {"citationItems":[{"id":"ITEM-1","itemData":{"URL":"https://plc.rightmove.co.uk/about-us/company-overview.aspx","accessed":{"date-parts":[["2021","2","16"]]},"author":[{"dropping-particle":"","family":"Rightmove","given":"","non-dropping-particle":"","parse-names":false,"suffix":""}],"id":"ITEM-1","issued":{"date-parts":[["2021"]]},"title":"About Rightmove – Rightmove Investor Centre","type":"webpage"},"uris":["http://www.mendeley.com/documents/?uuid=e0b4bb82-1b7e-3fb5-a7cb-4abe9f79d80a"]}],"mendeley":{"formattedCitation":"(Rightmove, 2021)","plainTextFormattedCitation":"(Rightmove, 2021)","previouslyFormattedCitation":"(Rightmove, 2021)"},"properties":{"noteIndex":0},"schema":"https://github.com/citation-style-language/schema/raw/master/csl-citation.json"}</w:instrText>
      </w:r>
      <w:r w:rsidR="001004C0">
        <w:rPr>
          <w:lang w:val="en-AU"/>
        </w:rPr>
        <w:fldChar w:fldCharType="separate"/>
      </w:r>
      <w:r w:rsidR="001004C0" w:rsidRPr="001004C0">
        <w:rPr>
          <w:noProof/>
          <w:lang w:val="en-AU"/>
        </w:rPr>
        <w:t>(Rightmove, 2021)</w:t>
      </w:r>
      <w:r w:rsidR="001004C0">
        <w:rPr>
          <w:lang w:val="en-AU"/>
        </w:rPr>
        <w:fldChar w:fldCharType="end"/>
      </w:r>
      <w:r>
        <w:rPr>
          <w:lang w:val="en-AU"/>
        </w:rPr>
        <w:t xml:space="preserve">. </w:t>
      </w:r>
    </w:p>
    <w:p w14:paraId="2D43AD73" w14:textId="77777777" w:rsidR="000E1CDE" w:rsidRDefault="000E1CDE" w:rsidP="002B6441">
      <w:pPr>
        <w:pStyle w:val="1"/>
        <w:rPr>
          <w:lang w:val="en-AU"/>
        </w:rPr>
      </w:pPr>
      <w:bookmarkStart w:id="5" w:name="_Toc64440308"/>
      <w:r w:rsidRPr="007E03CB">
        <w:rPr>
          <w:lang w:val="en-AU"/>
        </w:rPr>
        <w:t>Customers and their expectations</w:t>
      </w:r>
      <w:bookmarkEnd w:id="5"/>
    </w:p>
    <w:p w14:paraId="1861CD80" w14:textId="77777777" w:rsidR="00CB7463" w:rsidRDefault="0039025B" w:rsidP="00CB7463">
      <w:pPr>
        <w:rPr>
          <w:lang w:val="en-AU"/>
        </w:rPr>
      </w:pPr>
      <w:r>
        <w:rPr>
          <w:lang w:val="en-AU"/>
        </w:rPr>
        <w:t xml:space="preserve">As demonstrated earlier, the expectations of the customers are essential to identify. This helps an organisation to understand if it is operating according to the needs of the customer. The gaps in this specific area will help the company to improve the outcomes. For Rightmove, the customers of the company include estate agents, letting agents, and new home developers </w:t>
      </w:r>
      <w:r>
        <w:rPr>
          <w:lang w:val="en-AU"/>
        </w:rPr>
        <w:fldChar w:fldCharType="begin" w:fldLock="1"/>
      </w:r>
      <w:r w:rsidR="001004C0">
        <w:rPr>
          <w:lang w:val="en-AU"/>
        </w:rPr>
        <w:instrText>ADDIN CSL_CITATION {"citationItems":[{"id":"ITEM-1","itemData":{"URL":"https://plc.rightmove.co.uk/about-us/company-overview.aspx","accessed":{"date-parts":[["2021","2","16"]]},"author":[{"dropping-particle":"","family":"Rightmove","given":"","non-dropping-particle":"","parse-names":false,"suffix":""}],"id":"ITEM-1","issued":{"date-parts":[["2021"]]},"title":"About Rightmove – Rightmove Investor Centre","type":"webpage"},"uris":["http://www.mendeley.com/documents/?uuid=e0b4bb82-1b7e-3fb5-a7cb-4abe9f79d80a"]}],"mendeley":{"formattedCitation":"(Rightmove, 2021)","plainTextFormattedCitation":"(Rightmove, 2021)","previouslyFormattedCitation":"(Rightmove, 2021)"},"properties":{"noteIndex":0},"schema":"https://github.com/citation-style-language/schema/raw/master/csl-citation.json"}</w:instrText>
      </w:r>
      <w:r>
        <w:rPr>
          <w:lang w:val="en-AU"/>
        </w:rPr>
        <w:fldChar w:fldCharType="separate"/>
      </w:r>
      <w:r w:rsidRPr="0039025B">
        <w:rPr>
          <w:noProof/>
          <w:lang w:val="en-AU"/>
        </w:rPr>
        <w:t>(Rightmove, 2021)</w:t>
      </w:r>
      <w:r>
        <w:rPr>
          <w:lang w:val="en-AU"/>
        </w:rPr>
        <w:fldChar w:fldCharType="end"/>
      </w:r>
      <w:r>
        <w:rPr>
          <w:lang w:val="en-AU"/>
        </w:rPr>
        <w:t xml:space="preserve">. As identified earlier, the company generate revenue from these customer segments by offering advertisement products in the form of different packages. The services that </w:t>
      </w:r>
      <w:r w:rsidR="00063EFA">
        <w:rPr>
          <w:lang w:val="en-AU"/>
        </w:rPr>
        <w:t xml:space="preserve">the </w:t>
      </w:r>
      <w:r>
        <w:rPr>
          <w:lang w:val="en-AU"/>
        </w:rPr>
        <w:t>company offers to the customer include access to the property buyers through which these agents can maximise their sales. Specifically, the expectations of the customers will include</w:t>
      </w:r>
      <w:r w:rsidR="001004C0">
        <w:rPr>
          <w:lang w:val="en-AU"/>
        </w:rPr>
        <w:t xml:space="preserve"> </w:t>
      </w:r>
      <w:r w:rsidR="001004C0">
        <w:rPr>
          <w:lang w:val="en-AU"/>
        </w:rPr>
        <w:fldChar w:fldCharType="begin" w:fldLock="1"/>
      </w:r>
      <w:r w:rsidR="001004C0">
        <w:rPr>
          <w:lang w:val="en-AU"/>
        </w:rPr>
        <w:instrText>ADDIN CSL_CITATION {"citationItems":[{"id":"ITEM-1","itemData":{"URL":"https://plc.rightmove.co.uk/about-us/company-overview.aspx","accessed":{"date-parts":[["2021","2","16"]]},"author":[{"dropping-particle":"","family":"Rightmove","given":"","non-dropping-particle":"","parse-names":false,"suffix":""}],"id":"ITEM-1","issued":{"date-parts":[["2021"]]},"title":"About Rightmove – Rightmove Investor Centre","type":"webpage"},"uris":["http://www.mendeley.com/documents/?uuid=e0b4bb82-1b7e-3fb5-a7cb-4abe9f79d80a"]}],"mendeley":{"formattedCitation":"(Rightmove, 2021)","plainTextFormattedCitation":"(Rightmove, 2021)","previouslyFormattedCitation":"(Rightmove, 2021)"},"properties":{"noteIndex":0},"schema":"https://github.com/citation-style-language/schema/raw/master/csl-citation.json"}</w:instrText>
      </w:r>
      <w:r w:rsidR="001004C0">
        <w:rPr>
          <w:lang w:val="en-AU"/>
        </w:rPr>
        <w:fldChar w:fldCharType="separate"/>
      </w:r>
      <w:r w:rsidR="001004C0" w:rsidRPr="001004C0">
        <w:rPr>
          <w:noProof/>
          <w:lang w:val="en-AU"/>
        </w:rPr>
        <w:t>(Rightmove, 2021)</w:t>
      </w:r>
      <w:r w:rsidR="001004C0">
        <w:rPr>
          <w:lang w:val="en-AU"/>
        </w:rPr>
        <w:fldChar w:fldCharType="end"/>
      </w:r>
      <w:r>
        <w:rPr>
          <w:lang w:val="en-AU"/>
        </w:rPr>
        <w:t xml:space="preserve">: </w:t>
      </w:r>
    </w:p>
    <w:p w14:paraId="7B156E3B" w14:textId="77777777" w:rsidR="0039025B" w:rsidRDefault="00A33870" w:rsidP="0039025B">
      <w:pPr>
        <w:pStyle w:val="af7"/>
        <w:numPr>
          <w:ilvl w:val="0"/>
          <w:numId w:val="1"/>
        </w:numPr>
        <w:rPr>
          <w:lang w:val="en-AU"/>
        </w:rPr>
      </w:pPr>
      <w:r>
        <w:rPr>
          <w:lang w:val="en-AU"/>
        </w:rPr>
        <w:t xml:space="preserve">Maximum lead generation, i.e. the advertisement of the property should have maximum relevant viewers to increase the likelihood of its sales at a better price. </w:t>
      </w:r>
    </w:p>
    <w:p w14:paraId="0032B942" w14:textId="77777777" w:rsidR="00A33870" w:rsidRDefault="00A33870" w:rsidP="0039025B">
      <w:pPr>
        <w:pStyle w:val="af7"/>
        <w:numPr>
          <w:ilvl w:val="0"/>
          <w:numId w:val="1"/>
        </w:numPr>
        <w:rPr>
          <w:lang w:val="en-AU"/>
        </w:rPr>
      </w:pPr>
      <w:r>
        <w:rPr>
          <w:lang w:val="en-AU"/>
        </w:rPr>
        <w:t>State-of-the-art and technology</w:t>
      </w:r>
      <w:r w:rsidR="00063EFA">
        <w:rPr>
          <w:lang w:val="en-AU"/>
        </w:rPr>
        <w:t>-</w:t>
      </w:r>
      <w:r>
        <w:rPr>
          <w:lang w:val="en-AU"/>
        </w:rPr>
        <w:t xml:space="preserve">driven online web portal that must be easy to use for the property buyers with convenient options to explore the properties. </w:t>
      </w:r>
    </w:p>
    <w:p w14:paraId="34F9DB24" w14:textId="77777777" w:rsidR="00A33870" w:rsidRPr="00A33870" w:rsidRDefault="00A33870" w:rsidP="00A33870">
      <w:pPr>
        <w:pStyle w:val="af7"/>
        <w:numPr>
          <w:ilvl w:val="0"/>
          <w:numId w:val="1"/>
        </w:numPr>
        <w:rPr>
          <w:lang w:val="en-AU"/>
        </w:rPr>
      </w:pPr>
      <w:r>
        <w:rPr>
          <w:lang w:val="en-AU"/>
        </w:rPr>
        <w:t xml:space="preserve">Competitive prices as compared to other property listing portals and advertisement agencies operating within the UK. </w:t>
      </w:r>
    </w:p>
    <w:p w14:paraId="7058B677" w14:textId="77777777" w:rsidR="000E1CDE" w:rsidRDefault="000E1CDE" w:rsidP="008108B3">
      <w:pPr>
        <w:pStyle w:val="1"/>
        <w:rPr>
          <w:lang w:val="en-AU"/>
        </w:rPr>
      </w:pPr>
      <w:bookmarkStart w:id="6" w:name="_Toc64440309"/>
      <w:r w:rsidRPr="007E03CB">
        <w:rPr>
          <w:lang w:val="en-AU"/>
        </w:rPr>
        <w:t>Micro and macro analysis</w:t>
      </w:r>
      <w:bookmarkEnd w:id="6"/>
    </w:p>
    <w:p w14:paraId="165CD8E9" w14:textId="77777777" w:rsidR="00A33870" w:rsidRPr="00A33870" w:rsidRDefault="00DB6EE5" w:rsidP="00A33870">
      <w:pPr>
        <w:rPr>
          <w:lang w:val="en-AU"/>
        </w:rPr>
      </w:pPr>
      <w:r>
        <w:rPr>
          <w:lang w:val="en-AU"/>
        </w:rPr>
        <w:t xml:space="preserve">After identification of the customers’ expectations for the Rightmove, this section will present a micro and macro environmental analysis for the company. The objective of this analysis is to identify the areas that may need attention while meeting the above expectations of the customers. Afterwards, it will be linked with a specific role within the organisation: </w:t>
      </w:r>
    </w:p>
    <w:p w14:paraId="02FA28DB" w14:textId="77777777" w:rsidR="000E1CDE" w:rsidRDefault="008108B3" w:rsidP="002B6441">
      <w:pPr>
        <w:pStyle w:val="2"/>
        <w:rPr>
          <w:lang w:val="en-AU"/>
        </w:rPr>
      </w:pPr>
      <w:bookmarkStart w:id="7" w:name="_Toc64440310"/>
      <w:r w:rsidRPr="007E03CB">
        <w:rPr>
          <w:lang w:val="en-AU"/>
        </w:rPr>
        <w:t>PEST Analysis</w:t>
      </w:r>
      <w:bookmarkEnd w:id="7"/>
    </w:p>
    <w:p w14:paraId="51FE149A" w14:textId="77777777" w:rsidR="00DB6EE5" w:rsidRDefault="00DB6EE5" w:rsidP="00DB6EE5">
      <w:pPr>
        <w:rPr>
          <w:lang w:val="en-AU"/>
        </w:rPr>
      </w:pPr>
      <w:r>
        <w:rPr>
          <w:lang w:val="en-AU"/>
        </w:rPr>
        <w:t>PEST analysis provides an overview of the macro environment of the organisation</w:t>
      </w:r>
      <w:r w:rsidR="001004C0">
        <w:rPr>
          <w:lang w:val="en-AU"/>
        </w:rPr>
        <w:t xml:space="preserve"> </w:t>
      </w:r>
      <w:r w:rsidR="001004C0">
        <w:rPr>
          <w:lang w:val="en-AU"/>
        </w:rPr>
        <w:fldChar w:fldCharType="begin" w:fldLock="1"/>
      </w:r>
      <w:r w:rsidR="001004C0">
        <w:rPr>
          <w:lang w:val="en-AU"/>
        </w:rPr>
        <w:instrText>ADDIN CSL_CITATION {"citationItems":[{"id":"ITEM-1","itemData":{"DOI":"10.1002/9781118785317.weom120113","abstract":"PEST is an acronym for four sources of change: political, economic, social, and technological. PEST analysis is a powerful and widely used tool for understanding strategic risk. It identifies the changes and the effects of the external macro environment on a firm's competitive position. Strategists seek to understand external factors and evaluate how business models will have to evolve to adapt to their environment. The impacts of external factors are mitigated through preemptive strategy and new opportunities are exploited in the wake of new competitive positions that may be created in the process. PEST analysis is used in conjunction with SWOT (internal strengths and weaknesses, external opportunities and threats) and Porter's five forces model (encompassing the external effect of suppliers, consumer demand, new entrants, substitute product, and competitive rivalry). PEST analysis works best when the environmental factors are analyzed from the perspective of the firm's resources, capabilities, and core competences. The process involved in exploring a firm's external macro environment involves five main stages: identifying PEST factors, analyzing possible effects on the firm, categorizing into opportunities and threats, prioritizing factors, and developing corrective or preemptive strategic action.","author":[{"dropping-particle":"","family":"Sammut-Bonnici","given":"Tanya","non-dropping-particle":"","parse-names":false,"suffix":""},{"dropping-particle":"","family":"Galea","given":"David","non-dropping-particle":"","parse-names":false,"suffix":""}],"container-title":"Wiley Encyclopedia of Management","id":"ITEM-1","issued":{"date-parts":[["2015"]]},"title":"PEST analysis","type":"chapter"},"uris":["http://www.mendeley.com/documents/?uuid=a7b2262f-121c-4656-b1b0-3cc8b9a694df","http://www.mendeley.com/documents/?uuid=430d1a18-08b4-4059-959e-462205fdfe15"]}],"mendeley":{"formattedCitation":"(Sammut-Bonnici and Galea, 2015)","plainTextFormattedCitation":"(Sammut-Bonnici and Galea, 2015)","previouslyFormattedCitation":"(Sammut-Bonnici and Galea, 2015)"},"properties":{"noteIndex":0},"schema":"https://github.com/citation-style-language/schema/raw/master/csl-citation.json"}</w:instrText>
      </w:r>
      <w:r w:rsidR="001004C0">
        <w:rPr>
          <w:lang w:val="en-AU"/>
        </w:rPr>
        <w:fldChar w:fldCharType="separate"/>
      </w:r>
      <w:r w:rsidR="001004C0" w:rsidRPr="001004C0">
        <w:rPr>
          <w:noProof/>
          <w:lang w:val="en-AU"/>
        </w:rPr>
        <w:t>(Sammut-Bonnici and Galea, 2015)</w:t>
      </w:r>
      <w:r w:rsidR="001004C0">
        <w:rPr>
          <w:lang w:val="en-AU"/>
        </w:rPr>
        <w:fldChar w:fldCharType="end"/>
      </w:r>
      <w:r>
        <w:rPr>
          <w:lang w:val="en-AU"/>
        </w:rPr>
        <w:t xml:space="preserve">. Specifically, for Rightmove, the details are as hereunder: </w:t>
      </w:r>
    </w:p>
    <w:p w14:paraId="1B6936E2" w14:textId="77777777" w:rsidR="00DB6EE5" w:rsidRDefault="00DB6EE5" w:rsidP="00DB6EE5">
      <w:pPr>
        <w:pStyle w:val="3"/>
        <w:rPr>
          <w:lang w:val="en-AU"/>
        </w:rPr>
      </w:pPr>
      <w:bookmarkStart w:id="8" w:name="_Toc64440311"/>
      <w:r>
        <w:rPr>
          <w:lang w:val="en-AU"/>
        </w:rPr>
        <w:t>Political</w:t>
      </w:r>
      <w:bookmarkEnd w:id="8"/>
    </w:p>
    <w:p w14:paraId="2E6B4BE7" w14:textId="77777777" w:rsidR="00DB6EE5" w:rsidRPr="00DB6EE5" w:rsidRDefault="00DB6EE5" w:rsidP="00DB6EE5">
      <w:pPr>
        <w:rPr>
          <w:lang w:val="en-AU"/>
        </w:rPr>
      </w:pPr>
      <w:r>
        <w:rPr>
          <w:lang w:val="en-AU"/>
        </w:rPr>
        <w:t>The political environment of the country plays a major role in the success of an organisation operating in the real</w:t>
      </w:r>
      <w:r w:rsidR="00063EFA">
        <w:rPr>
          <w:lang w:val="en-AU"/>
        </w:rPr>
        <w:t xml:space="preserve"> </w:t>
      </w:r>
      <w:r>
        <w:rPr>
          <w:lang w:val="en-AU"/>
        </w:rPr>
        <w:t>estate agency. Specifically, it influences the performance by regulating property prices, taxation, anti-trust laws in property sales, minimum wage, and privacy laws</w:t>
      </w:r>
      <w:r w:rsidR="001004C0">
        <w:rPr>
          <w:lang w:val="en-AU"/>
        </w:rPr>
        <w:t xml:space="preserve"> </w:t>
      </w:r>
      <w:r w:rsidR="001004C0">
        <w:rPr>
          <w:lang w:val="en-AU"/>
        </w:rPr>
        <w:fldChar w:fldCharType="begin" w:fldLock="1"/>
      </w:r>
      <w:r w:rsidR="001004C0">
        <w:rPr>
          <w:lang w:val="en-AU"/>
        </w:rPr>
        <w:instrText>ADDIN CSL_CITATION {"citationItems":[{"id":"ITEM-1","itemData":{"DOI":"10.1108/14630011211231419","ISSN":"14791048","abstract":"The purpose of the paper is test whether what property companies say they do with respect to corporate social responsibility (CSR) in general and the environment in particular has an impact on corporate value as expressed by their return on assets (ROA). The annual report for any UK-listed company is a statutory document with its contents prescribed by legislation. This paper is concerned with a comparison of how real estate companies present themselves in their annual reports with their actual performance. To extract that information systematically, word frequency analysis (WFA) was undertaken on the contents of the annual reports of the top 20 UK-listed property companies by value using a CSR vocabulary of words and phrases. The frequency of each of these was established in each annual report between 2001 and 2010. Two indices were created: a general CSR index based on the occurrence of a CSR vocabulary; and a green index based on the environmental vocabulary. These indices were then modelled against the ROA for each company. As expected, ROA is positively related with both indices and is statistically significant in the GREEN equation, suggesting the firms with good performance are likely to invest more in sustainability. The size of firms is positively associated with both indices, indicating larger firms have better defined CSR. Return has a significantly positive coefficient with both indices, suggesting that the “greener” companies outperform others in the stock market. The research uses new content analysis techniques to identify the relative commitment of property companies to CSR and the environment. The documents analysed are statutory and therefore less likely to be used to present aspiration rather than action. Overall the paper addresses only one aspect of corporate activity and will be best viewed in coordination with other approaches. © 2012, Emerald Group Publishing Limited","author":[{"dropping-particle":"","family":"Wilkinson","given":"Sara","non-dropping-particle":"","parse-names":false,"suffix":""},{"dropping-particle":"","family":"Thompson","given":"Bob","non-dropping-particle":"","parse-names":false,"suffix":""},{"dropping-particle":"","family":"ke","given":"Qiulin","non-dropping-particle":"","parse-names":false,"suffix":""}],"container-title":"Journal of Corporate Real Estate","id":"ITEM-1","issued":{"date-parts":[["2012"]]},"title":"Whether environmental factors matter: Some evidence from UK property companies","type":"article-journal"},"uris":["http://www.mendeley.com/documents/?uuid=509b8e18-fc63-4f97-90a7-9ceabdcd3bd7","http://www.mendeley.com/documents/?uuid=21546b62-fbe4-42ac-a27d-d91cfd60b545"]}],"mendeley":{"formattedCitation":"(Wilkinson, Thompson and ke, 2012)","plainTextFormattedCitation":"(Wilkinson, Thompson and ke, 2012)","previouslyFormattedCitation":"(Wilkinson, Thompson and ke, 2012)"},"properties":{"noteIndex":0},"schema":"https://github.com/citation-style-language/schema/raw/master/csl-citation.json"}</w:instrText>
      </w:r>
      <w:r w:rsidR="001004C0">
        <w:rPr>
          <w:lang w:val="en-AU"/>
        </w:rPr>
        <w:fldChar w:fldCharType="separate"/>
      </w:r>
      <w:r w:rsidR="001004C0" w:rsidRPr="001004C0">
        <w:rPr>
          <w:noProof/>
          <w:lang w:val="en-AU"/>
        </w:rPr>
        <w:t>(Wilkinson, Thompson and ke, 2012)</w:t>
      </w:r>
      <w:r w:rsidR="001004C0">
        <w:rPr>
          <w:lang w:val="en-AU"/>
        </w:rPr>
        <w:fldChar w:fldCharType="end"/>
      </w:r>
      <w:r>
        <w:rPr>
          <w:lang w:val="en-AU"/>
        </w:rPr>
        <w:t xml:space="preserve">. For Rightmove, as of now, the political environment is stable as the company complies with all relevant laws. </w:t>
      </w:r>
    </w:p>
    <w:p w14:paraId="654BA18D" w14:textId="77777777" w:rsidR="00DB6EE5" w:rsidRDefault="00DB6EE5" w:rsidP="00DB6EE5">
      <w:pPr>
        <w:pStyle w:val="3"/>
        <w:rPr>
          <w:lang w:val="en-AU"/>
        </w:rPr>
      </w:pPr>
      <w:bookmarkStart w:id="9" w:name="_Toc64440312"/>
      <w:r>
        <w:rPr>
          <w:lang w:val="en-AU"/>
        </w:rPr>
        <w:lastRenderedPageBreak/>
        <w:t>Economic</w:t>
      </w:r>
      <w:bookmarkEnd w:id="9"/>
      <w:r>
        <w:rPr>
          <w:lang w:val="en-AU"/>
        </w:rPr>
        <w:t xml:space="preserve"> </w:t>
      </w:r>
    </w:p>
    <w:p w14:paraId="218186C0" w14:textId="77777777" w:rsidR="00DB6EE5" w:rsidRDefault="00DB6EE5" w:rsidP="00DB6EE5">
      <w:pPr>
        <w:rPr>
          <w:lang w:val="en-AU"/>
        </w:rPr>
      </w:pPr>
      <w:r>
        <w:rPr>
          <w:lang w:val="en-AU"/>
        </w:rPr>
        <w:t xml:space="preserve">The property and real estate market has a major link with the economic situation of the country. In case of a downturn in the economy, the real estate market will suffer the most. This is mainly because the disposable income will reduce and the buying power of the consumers will also decline </w:t>
      </w:r>
      <w:r w:rsidR="00063EFA">
        <w:rPr>
          <w:lang w:val="en-AU"/>
        </w:rPr>
        <w:t>to result</w:t>
      </w:r>
      <w:r>
        <w:rPr>
          <w:lang w:val="en-AU"/>
        </w:rPr>
        <w:t xml:space="preserve"> in low sales and purchase of the property</w:t>
      </w:r>
      <w:r w:rsidR="001004C0">
        <w:rPr>
          <w:lang w:val="en-AU"/>
        </w:rPr>
        <w:t xml:space="preserve"> </w:t>
      </w:r>
      <w:r w:rsidR="001004C0">
        <w:rPr>
          <w:lang w:val="en-AU"/>
        </w:rPr>
        <w:fldChar w:fldCharType="begin" w:fldLock="1"/>
      </w:r>
      <w:r w:rsidR="001004C0">
        <w:rPr>
          <w:lang w:val="en-AU"/>
        </w:rPr>
        <w:instrText>ADDIN CSL_CITATION {"citationItems":[{"id":"ITEM-1","itemData":{"DOI":"10.1016/j.jfs.2013.05.003","ISSN":"15723089","abstract":"The financial crisis showed, once again, that neglecting real estate booms can have disastrous consequences. In this paper, we spell out the circumstances under which a more active policy agenda on this front would be justified. Then, we offer insights on the pros and cons as well as implementation challenges of various policy tools that can be used to contain the damage to the financial system and the economy from real estate boom-bust episodes. These insights derive from econometric analysis, when possible, and case studies of country experiences. Broadly, booms financed through credit and involving leverage are more likely to warrant a policy response. In that context, macroprudential measures can be targeted more precisely to specific sources of risk, but they may prove ineffective because of circumvention. In that case, monetary policy may have to be used to lean against the wind. © 2013 Elsevier B.V.","author":[{"dropping-particle":"","family":"Crowe","given":"Christopher","non-dropping-particle":"","parse-names":false,"suffix":""},{"dropping-particle":"","family":"Dell'Ariccia","given":"Giovanni","non-dropping-particle":"","parse-names":false,"suffix":""},{"dropping-particle":"","family":"Igan","given":"Deniz","non-dropping-particle":"","parse-names":false,"suffix":""},{"dropping-particle":"","family":"Rabanal","given":"Pau","non-dropping-particle":"","parse-names":false,"suffix":""}],"container-title":"Journal of Financial Stability","id":"ITEM-1","issued":{"date-parts":[["2013"]]},"title":"How to deal with real estate booms: Lessons from country experiences","type":"article-journal"},"uris":["http://www.mendeley.com/documents/?uuid=8093ecdc-fe2b-4bb4-9d0b-021128c73afa","http://www.mendeley.com/documents/?uuid=0ec835d8-3ec2-46c2-9e14-ef9ae96e803a"]}],"mendeley":{"formattedCitation":"(Crowe &lt;i&gt;et al.&lt;/i&gt;, 2013)","plainTextFormattedCitation":"(Crowe et al., 2013)","previouslyFormattedCitation":"(Crowe &lt;i&gt;et al.&lt;/i&gt;, 2013)"},"properties":{"noteIndex":0},"schema":"https://github.com/citation-style-language/schema/raw/master/csl-citation.json"}</w:instrText>
      </w:r>
      <w:r w:rsidR="001004C0">
        <w:rPr>
          <w:lang w:val="en-AU"/>
        </w:rPr>
        <w:fldChar w:fldCharType="separate"/>
      </w:r>
      <w:r w:rsidR="001004C0" w:rsidRPr="001004C0">
        <w:rPr>
          <w:noProof/>
          <w:lang w:val="en-AU"/>
        </w:rPr>
        <w:t xml:space="preserve">(Crowe </w:t>
      </w:r>
      <w:r w:rsidR="001004C0" w:rsidRPr="001004C0">
        <w:rPr>
          <w:i/>
          <w:noProof/>
          <w:lang w:val="en-AU"/>
        </w:rPr>
        <w:t>et al.</w:t>
      </w:r>
      <w:r w:rsidR="001004C0" w:rsidRPr="001004C0">
        <w:rPr>
          <w:noProof/>
          <w:lang w:val="en-AU"/>
        </w:rPr>
        <w:t>, 2013)</w:t>
      </w:r>
      <w:r w:rsidR="001004C0">
        <w:rPr>
          <w:lang w:val="en-AU"/>
        </w:rPr>
        <w:fldChar w:fldCharType="end"/>
      </w:r>
      <w:r>
        <w:rPr>
          <w:lang w:val="en-AU"/>
        </w:rPr>
        <w:t>. For the UK, the first quarter of 2020 observed a significant decline in terms of the economy due to COVID-19</w:t>
      </w:r>
      <w:r w:rsidR="001004C0">
        <w:rPr>
          <w:lang w:val="en-AU"/>
        </w:rPr>
        <w:t xml:space="preserve"> </w:t>
      </w:r>
      <w:r w:rsidR="001004C0">
        <w:rPr>
          <w:lang w:val="en-AU"/>
        </w:rPr>
        <w:fldChar w:fldCharType="begin" w:fldLock="1"/>
      </w:r>
      <w:r w:rsidR="00C27582">
        <w:rPr>
          <w:lang w:val="en-AU"/>
        </w:rPr>
        <w:instrText>ADDIN CSL_CITATION {"citationItems":[{"id":"ITEM-1","itemData":{"DOI":"10.3390/SOCSCI9070114","ISSN":"20760760","abstract":"The COVID-19 (also called \"SARS-CoV-2\") pandemic is causing a dramatic reduction in consumption, with a further drop in prices and a decrease in workers' per capita income. To this will be added an increase in unemployment, which will further depress consumption. The real estate market, as for other productive and commercial sectors, in the short and mid-run, will not tend to move independently from the context of the aforementioned economic variables. The effect of pandemics or health emergencies on housing markets is an unexplored topic in international literature. For this reason, firstly, the few specific studies found are reported and, by analogy, studies on the effects of terrorism attacks and natural disasters on real estate prices are examined too. Subsequently, beginning from the real estate dynamics and economic indicators of the Campania region before the COVID-19 emergency, the current COVID-19 scenario is defined (focusing on unemployment, personal and household income, real estate judicial execution, real estate dynamics). Finally, a real estate pricing model is developed, evaluating the short and mid-run COVID-19 effects on housing prices. To predict possible changes in the mid-run of real estate judicial execution and real estate dynamics, the economic model of Lotka-Volterra (also known as the \"prey-predator\" model) was applied. Results of the model indicate a housing prices drop of 4.16% in the short-run and 6.49% in the mid-run (late 2020-early 2021).","author":[{"dropping-particle":"","family":"Giudice","given":"Vincenzo","non-dropping-particle":"Del","parse-names":false,"suffix":""},{"dropping-particle":"","family":"Paola","given":"Pierfrancesco","non-dropping-particle":"De","parse-names":false,"suffix":""},{"dropping-particle":"","family":"Giudice","given":"Francesco Paolo","non-dropping-particle":"Del","parse-names":false,"suffix":""}],"container-title":"Social Sciences","id":"ITEM-1","issued":{"date-parts":[["2020"]]},"title":"COVID-19 infects real estate markets: Short and mid-run effects on housing prices in Campania region (Italy)","type":"article-journal"},"uris":["http://www.mendeley.com/documents/?uuid=53297e5e-2cde-49d2-9942-7b2e0739f5e1","http://www.mendeley.com/documents/?uuid=95282857-eb7f-40c8-9544-ce4d7cd63b9a"]},{"id":"ITEM-2","itemData":{"DOI":"10.3390/su12114382","ISSN":"20711050","abstract":"The real estate sector is receiving mix responses throughout the world, with some countries like USA receiving lesser and European and Asia Pacific markets receiving more transactions in recent years. Among the concerning factors, post-purchase regrets by the real estate owners or renters are on the rise, which have never been assessed to date through scholarly research. These regrets can further increase in the time of lockdowns and bans on inspections due to Corona Virus Disease 2019 (COVID-19) and social distancing rules enforced by various countries such as Australia. The current study aims at investigating the key post-purchase regret factors of real estate and property owners and renters over the last decade using published literature and online threads. Based on pertinent literature, 118 systematically identified and text-mined articles, and four online threads with 135 responses, the current study develops system dynamics models to assess and predict the increase in consumers' regrets over the last decade. Further, a user-generated thread with 23 responses involving seven real estate managers and five agents with more than 20 years of experience, 10 buyers with at least three successful rentals or purchases, and a photographer with more than 10 years of experience, is initiated on five online discussion platforms whereby the respondents are involved in a detailed discussion to highlight the regret reasons specific to real estate purchases based on online information. General architecture for text mining (GATE) software has been utilised to mine the text from both types of threads: Published and user generated. Overall, the articles and threads published over the last decade are studied under two periods: P1 (2010-2014) and P2 (2015-2019) to highlight the post-purchase or rent-related regret reasons. The results show that regret levels of the real estate consumers based on published post-purchase data are at an alarmingly high level of 88%, which compared to 2015, has increased by 18%. Among the major cited reasons, complicated buy-sell process, lack or accuracy of information, housing costs, house size, mortgages, agents, inspections, and emotional decision making are key reasons of regret. Overall, a total of 10% and 8% increases have occurred in the regrets related to the buy-sell process and lack of inspections, respectively. On the other hand, regrets related to agents and housing costs have decreased drastically by 40% mainly due to the goo…","author":[{"dropping-particle":"","family":"Ullah","given":"Fahim","non-dropping-particle":"","parse-names":false,"suffix":""},{"dropping-particle":"","family":"Sepasgozar","given":"Samad M.E.","non-dropping-particle":"","parse-names":false,"suffix":""}],"container-title":"Sustainability (Switzerland)","id":"ITEM-2","issued":{"date-parts":[["2020"]]},"title":"Key factors influencing purchase or rent decisions in smart real estate investments: A system dynamics approach using online forum thread data","type":"article-journal"},"uris":["http://www.mendeley.com/documents/?uuid=7f928ac2-7497-4557-bff5-7a164dff16b4","http://www.mendeley.com/documents/?uuid=fdbb08c5-066c-4f34-971e-0c3d8cf0b28d"]}],"mendeley":{"formattedCitation":"(Del Giudice, De Paola and Del Giudice, 2020; Ullah and Sepasgozar, 2020)","plainTextFormattedCitation":"(Del Giudice, De Paola and Del Giudice, 2020; Ullah and Sepasgozar, 2020)","previouslyFormattedCitation":"(Del Giudice, De Paola and Del Giudice, 2020; Ullah and Sepasgozar, 2020)"},"properties":{"noteIndex":0},"schema":"https://github.com/citation-style-language/schema/raw/master/csl-citation.json"}</w:instrText>
      </w:r>
      <w:r w:rsidR="001004C0">
        <w:rPr>
          <w:lang w:val="en-AU"/>
        </w:rPr>
        <w:fldChar w:fldCharType="separate"/>
      </w:r>
      <w:r w:rsidR="001004C0" w:rsidRPr="001004C0">
        <w:rPr>
          <w:noProof/>
          <w:lang w:val="en-AU"/>
        </w:rPr>
        <w:t>(Del Giudice, De Paola and Del Giudice, 2020; Ullah and Sepasgozar, 2020)</w:t>
      </w:r>
      <w:r w:rsidR="001004C0">
        <w:rPr>
          <w:lang w:val="en-AU"/>
        </w:rPr>
        <w:fldChar w:fldCharType="end"/>
      </w:r>
      <w:r>
        <w:rPr>
          <w:lang w:val="en-AU"/>
        </w:rPr>
        <w:t xml:space="preserve">. However, as the situation improves, the economy is becoming stable and the same impact can be seen on the financial performance (share prices) of the Rightmove (Figure 1). </w:t>
      </w:r>
    </w:p>
    <w:p w14:paraId="011B3624" w14:textId="77777777" w:rsidR="00DB6EE5" w:rsidRDefault="00DB6EE5" w:rsidP="00DB6EE5">
      <w:pPr>
        <w:keepNext/>
      </w:pPr>
      <w:r w:rsidRPr="007E03CB">
        <w:rPr>
          <w:noProof/>
        </w:rPr>
        <w:drawing>
          <wp:inline distT="0" distB="0" distL="0" distR="0" wp14:anchorId="001B543C" wp14:editId="337B20E5">
            <wp:extent cx="5943600" cy="19361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936115"/>
                    </a:xfrm>
                    <a:prstGeom prst="rect">
                      <a:avLst/>
                    </a:prstGeom>
                  </pic:spPr>
                </pic:pic>
              </a:graphicData>
            </a:graphic>
          </wp:inline>
        </w:drawing>
      </w:r>
    </w:p>
    <w:p w14:paraId="0BF8B403" w14:textId="77777777" w:rsidR="001004C0" w:rsidRPr="001004C0" w:rsidRDefault="00DB6EE5" w:rsidP="001004C0">
      <w:pPr>
        <w:pStyle w:val="a3"/>
        <w:jc w:val="left"/>
      </w:pPr>
      <w:r>
        <w:t xml:space="preserve">Figure </w:t>
      </w:r>
      <w:fldSimple w:instr=" SEQ Figure \* ARABIC ">
        <w:r w:rsidR="003856D5">
          <w:rPr>
            <w:noProof/>
          </w:rPr>
          <w:t>1</w:t>
        </w:r>
      </w:fldSimple>
      <w:r>
        <w:t>: Trend of share prices of RightMove</w:t>
      </w:r>
      <w:r w:rsidR="001004C0">
        <w:br/>
        <w:t>Source: Investing.com</w:t>
      </w:r>
    </w:p>
    <w:p w14:paraId="5F1E7BA8" w14:textId="77777777" w:rsidR="00DB6EE5" w:rsidRDefault="00DB6EE5" w:rsidP="00DB6EE5">
      <w:pPr>
        <w:pStyle w:val="3"/>
        <w:rPr>
          <w:lang w:val="en-AU"/>
        </w:rPr>
      </w:pPr>
      <w:bookmarkStart w:id="10" w:name="_Toc64440313"/>
      <w:r>
        <w:rPr>
          <w:lang w:val="en-AU"/>
        </w:rPr>
        <w:t>Social</w:t>
      </w:r>
      <w:bookmarkEnd w:id="10"/>
    </w:p>
    <w:p w14:paraId="2F7AB396" w14:textId="77777777" w:rsidR="00DB6EE5" w:rsidRPr="00DB6EE5" w:rsidRDefault="00DB6EE5" w:rsidP="00DB6EE5">
      <w:pPr>
        <w:rPr>
          <w:lang w:val="en-AU"/>
        </w:rPr>
      </w:pPr>
      <w:r>
        <w:rPr>
          <w:lang w:val="en-AU"/>
        </w:rPr>
        <w:t xml:space="preserve">The social factors are supportive </w:t>
      </w:r>
      <w:r w:rsidR="00063EFA">
        <w:rPr>
          <w:lang w:val="en-AU"/>
        </w:rPr>
        <w:t>of</w:t>
      </w:r>
      <w:r>
        <w:rPr>
          <w:lang w:val="en-AU"/>
        </w:rPr>
        <w:t xml:space="preserve"> the business model of Righ</w:t>
      </w:r>
      <w:r w:rsidR="00063EFA">
        <w:rPr>
          <w:lang w:val="en-AU"/>
        </w:rPr>
        <w:t>t</w:t>
      </w:r>
      <w:r>
        <w:rPr>
          <w:lang w:val="en-AU"/>
        </w:rPr>
        <w:t>move because of the convenience that its portal offers to the customers. Instead of exploring the estate agents physically, the customers can access the property details in the convenience of their homes. Nonetheless, the situation after COVID-19 has influenced the buying patterns for real estate</w:t>
      </w:r>
      <w:r w:rsidR="00C27582">
        <w:rPr>
          <w:lang w:val="en-AU"/>
        </w:rPr>
        <w:t xml:space="preserve"> </w:t>
      </w:r>
      <w:r w:rsidR="00C27582">
        <w:rPr>
          <w:lang w:val="en-AU"/>
        </w:rPr>
        <w:fldChar w:fldCharType="begin" w:fldLock="1"/>
      </w:r>
      <w:r w:rsidR="00C27582">
        <w:rPr>
          <w:lang w:val="en-AU"/>
        </w:rPr>
        <w:instrText>ADDIN CSL_CITATION {"citationItems":[{"id":"ITEM-1","itemData":{"abstract":"COVID-19 remains front of mind for investors and occupiers, despite the recovery in global economic activity that began in April. Real estate activity remains subdued because workers have not yet returned to their offices in the big cities of America and certain parts of Europe. Investors need more freedom to travel and more certainty on economic growth.","author":[{"dropping-particle":"","family":"CBRE","given":"","non-dropping-particle":"","parse-names":false,"suffix":""}],"container-title":"CBRE Research","id":"ITEM-1","issued":{"date-parts":[["2020"]]},"title":"Global Real Estate Market OUTLOOK 2020","type":"report"},"uris":["http://www.mendeley.com/documents/?uuid=d2cd503d-ba51-4200-a43e-cb1154ecf4e6","http://www.mendeley.com/documents/?uuid=3b32ac8c-1149-448f-ae96-980d75756bbe"]},{"id":"ITEM-2","itemData":{"abstract":"COVID-19 is a humanitarian challenge that will have lasting effects on how people live, work, and play. By acting today, real estate leaders can best serve end users and ensure their own viability.","author":[{"dropping-particle":"","family":"Gujral","given":"Vaibhav","non-dropping-particle":"","parse-names":false,"suffix":""},{"dropping-particle":"","family":"Palter","given":"Robert","non-dropping-particle":"","parse-names":false,"suffix":""},{"dropping-particle":"","family":"Sanghvi","given":"Aditya","non-dropping-particle":"","parse-names":false,"suffix":""},{"dropping-particle":"","family":"Vickery","given":"Brian","non-dropping-particle":"","parse-names":false,"suffix":""}],"container-title":"McKinsey &amp; Company","id":"ITEM-2","issued":{"date-parts":[["2020"]]},"title":"Commercial real estate must do more than merely adapt to coronavrius","type":"article-journal"},"uris":["http://www.mendeley.com/documents/?uuid=087f1f10-55fd-4b18-8473-fc7b4a87fe2d","http://www.mendeley.com/documents/?uuid=a2f66b4b-ee09-4426-93ea-21c055c7f3ab"]}],"mendeley":{"formattedCitation":"(CBRE, 2020; Gujral &lt;i&gt;et al.&lt;/i&gt;, 2020)","plainTextFormattedCitation":"(CBRE, 2020; Gujral et al., 2020)","previouslyFormattedCitation":"(CBRE, 2020; Gujral &lt;i&gt;et al.&lt;/i&gt;, 2020)"},"properties":{"noteIndex":0},"schema":"https://github.com/citation-style-language/schema/raw/master/csl-citation.json"}</w:instrText>
      </w:r>
      <w:r w:rsidR="00C27582">
        <w:rPr>
          <w:lang w:val="en-AU"/>
        </w:rPr>
        <w:fldChar w:fldCharType="separate"/>
      </w:r>
      <w:r w:rsidR="00C27582" w:rsidRPr="00C27582">
        <w:rPr>
          <w:noProof/>
          <w:lang w:val="en-AU"/>
        </w:rPr>
        <w:t xml:space="preserve">(CBRE, 2020; Gujral </w:t>
      </w:r>
      <w:r w:rsidR="00C27582" w:rsidRPr="00C27582">
        <w:rPr>
          <w:i/>
          <w:noProof/>
          <w:lang w:val="en-AU"/>
        </w:rPr>
        <w:t>et al.</w:t>
      </w:r>
      <w:r w:rsidR="00C27582" w:rsidRPr="00C27582">
        <w:rPr>
          <w:noProof/>
          <w:lang w:val="en-AU"/>
        </w:rPr>
        <w:t>, 2020)</w:t>
      </w:r>
      <w:r w:rsidR="00C27582">
        <w:rPr>
          <w:lang w:val="en-AU"/>
        </w:rPr>
        <w:fldChar w:fldCharType="end"/>
      </w:r>
      <w:r>
        <w:rPr>
          <w:lang w:val="en-AU"/>
        </w:rPr>
        <w:t xml:space="preserve">. This may take time to get back its pace. </w:t>
      </w:r>
    </w:p>
    <w:p w14:paraId="114851AB" w14:textId="77777777" w:rsidR="00DB6EE5" w:rsidRDefault="003856D5" w:rsidP="00DB6EE5">
      <w:pPr>
        <w:pStyle w:val="3"/>
        <w:rPr>
          <w:lang w:val="en-AU"/>
        </w:rPr>
      </w:pPr>
      <w:bookmarkStart w:id="11" w:name="_Toc64440314"/>
      <w:r>
        <w:rPr>
          <w:lang w:val="en-AU"/>
        </w:rPr>
        <w:t>Technological</w:t>
      </w:r>
      <w:bookmarkEnd w:id="11"/>
    </w:p>
    <w:p w14:paraId="1E71CE3C" w14:textId="768FF453" w:rsidR="008108B3" w:rsidRDefault="003856D5" w:rsidP="008108B3">
      <w:pPr>
        <w:rPr>
          <w:lang w:val="en-AU"/>
        </w:rPr>
      </w:pPr>
      <w:r>
        <w:rPr>
          <w:lang w:val="en-AU"/>
        </w:rPr>
        <w:t>The technological environment is among the most influenced factors to the Rightmove. The advancement in technology can further refine the business model of the company. Technology such as 3D photos, virtual tours and holographic images of the property can improve the experience and decision-making choices for the customers</w:t>
      </w:r>
      <w:r w:rsidR="00C27582">
        <w:rPr>
          <w:lang w:val="en-AU"/>
        </w:rPr>
        <w:t xml:space="preserve"> </w:t>
      </w:r>
      <w:r w:rsidR="00C27582">
        <w:rPr>
          <w:lang w:val="en-AU"/>
        </w:rPr>
        <w:fldChar w:fldCharType="begin" w:fldLock="1"/>
      </w:r>
      <w:r w:rsidR="00C27582">
        <w:rPr>
          <w:lang w:val="en-AU"/>
        </w:rPr>
        <w:instrText>ADDIN CSL_CITATION {"citationItems":[{"id":"ITEM-1","itemData":{"DOI":"10.1016/B978-0-08-097086-8.74034-7","ISBN":"9780080970875","abstract":"Real estate development is the process through which cities are built. It concerns all aspects relating to the creation of new real estate projects and adding value to existing projects - site selection, design, finance, entitlements, construction, leasing, and operations. This article addresses the steps of development, industry structure, property types, design and density, and the stages of development and real estate finance. It deals with the impact of business cycles, institutionalization of the industry, smart growth/urban sprawl, public-private development, technology, and sustainability on real estate development, both public and private. It concludes with the special social responsibilities that developers have for the built environment.","author":[{"dropping-particle":"","family":"Peiser","given":"Richard","non-dropping-particle":"","parse-names":false,"suffix":""}],"container-title":"International Encyclopedia of the Social &amp; Behavioral Sciences: Second Edition","id":"ITEM-1","issued":{"date-parts":[["2015"]]},"title":"Real Estate Development","type":"chapter"},"uris":["http://www.mendeley.com/documents/?uuid=ae0dc54f-a8c5-43b5-b15a-151d9afe2176","http://www.mendeley.com/documents/?uuid=7943fe74-f54a-4eb7-b932-248559c6d324"]}],"mendeley":{"formattedCitation":"(Peiser, 2015)","plainTextFormattedCitation":"(Peiser, 2015)","previouslyFormattedCitation":"(Peiser, 2015)"},"properties":{"noteIndex":0},"schema":"https://github.com/citation-style-language/schema/raw/master/csl-citation.json"}</w:instrText>
      </w:r>
      <w:r w:rsidR="00C27582">
        <w:rPr>
          <w:lang w:val="en-AU"/>
        </w:rPr>
        <w:fldChar w:fldCharType="separate"/>
      </w:r>
      <w:r w:rsidR="00C27582" w:rsidRPr="00C27582">
        <w:rPr>
          <w:noProof/>
          <w:lang w:val="en-AU"/>
        </w:rPr>
        <w:t>(Peiser, 2015)</w:t>
      </w:r>
      <w:r w:rsidR="00C27582">
        <w:rPr>
          <w:lang w:val="en-AU"/>
        </w:rPr>
        <w:fldChar w:fldCharType="end"/>
      </w:r>
      <w:r>
        <w:rPr>
          <w:lang w:val="en-AU"/>
        </w:rPr>
        <w:t xml:space="preserve">. </w:t>
      </w:r>
    </w:p>
    <w:p w14:paraId="6AA98B60" w14:textId="77777777" w:rsidR="000875AB" w:rsidRDefault="000875AB" w:rsidP="008108B3">
      <w:pPr>
        <w:rPr>
          <w:lang w:val="en-AU"/>
        </w:rPr>
      </w:pPr>
    </w:p>
    <w:p w14:paraId="20AC1665" w14:textId="77777777" w:rsidR="000875AB" w:rsidRDefault="000875AB" w:rsidP="008108B3">
      <w:pPr>
        <w:rPr>
          <w:lang w:val="en-AU"/>
        </w:rPr>
      </w:pPr>
    </w:p>
    <w:p w14:paraId="33C801DD" w14:textId="77777777" w:rsidR="000875AB" w:rsidRDefault="000875AB" w:rsidP="008108B3">
      <w:pPr>
        <w:rPr>
          <w:lang w:val="en-AU"/>
        </w:rPr>
      </w:pPr>
    </w:p>
    <w:p w14:paraId="5A5820F4" w14:textId="77777777" w:rsidR="000875AB" w:rsidRDefault="000875AB" w:rsidP="008108B3">
      <w:pPr>
        <w:rPr>
          <w:lang w:val="en-AU"/>
        </w:rPr>
      </w:pPr>
    </w:p>
    <w:p w14:paraId="0B9D1961" w14:textId="1AFC410C" w:rsidR="000875AB" w:rsidRDefault="000875AB" w:rsidP="008108B3">
      <w:pPr>
        <w:rPr>
          <w:lang w:val="en-AU"/>
        </w:rPr>
      </w:pPr>
      <w:r>
        <w:rPr>
          <w:lang w:val="en-AU"/>
        </w:rPr>
        <w:lastRenderedPageBreak/>
        <w:t>SWOT ANALYSIS</w:t>
      </w:r>
    </w:p>
    <w:p w14:paraId="5FDF8A41" w14:textId="77777777" w:rsidR="000875AB" w:rsidRPr="000875AB" w:rsidRDefault="000875AB" w:rsidP="000875AB">
      <w:pPr>
        <w:rPr>
          <w:lang w:val="en-AU"/>
        </w:rPr>
      </w:pPr>
      <w:r w:rsidRPr="000875AB">
        <w:rPr>
          <w:lang w:val="en-AU"/>
        </w:rPr>
        <w:t xml:space="preserve">Strengths </w:t>
      </w:r>
    </w:p>
    <w:p w14:paraId="1DC7B88E" w14:textId="77777777" w:rsidR="000875AB" w:rsidRPr="000875AB" w:rsidRDefault="000875AB" w:rsidP="000875AB">
      <w:pPr>
        <w:rPr>
          <w:lang w:val="en-AU"/>
        </w:rPr>
      </w:pPr>
      <w:r w:rsidRPr="000875AB">
        <w:rPr>
          <w:lang w:val="en-AU"/>
        </w:rPr>
        <w:t>•</w:t>
      </w:r>
      <w:r w:rsidRPr="000875AB">
        <w:rPr>
          <w:lang w:val="en-AU"/>
        </w:rPr>
        <w:tab/>
        <w:t xml:space="preserve">Excellent brand portfolio with continuous improvement. </w:t>
      </w:r>
    </w:p>
    <w:p w14:paraId="11FFEA5E" w14:textId="77777777" w:rsidR="000875AB" w:rsidRPr="000875AB" w:rsidRDefault="000875AB" w:rsidP="000875AB">
      <w:pPr>
        <w:rPr>
          <w:lang w:val="en-AU"/>
        </w:rPr>
      </w:pPr>
      <w:r w:rsidRPr="000875AB">
        <w:rPr>
          <w:lang w:val="en-AU"/>
        </w:rPr>
        <w:t>•</w:t>
      </w:r>
      <w:r w:rsidRPr="000875AB">
        <w:rPr>
          <w:lang w:val="en-AU"/>
        </w:rPr>
        <w:tab/>
        <w:t xml:space="preserve">Focus on market development and better performance in new markets. </w:t>
      </w:r>
    </w:p>
    <w:p w14:paraId="21CED644" w14:textId="77777777" w:rsidR="000875AB" w:rsidRPr="000875AB" w:rsidRDefault="000875AB" w:rsidP="000875AB">
      <w:pPr>
        <w:rPr>
          <w:lang w:val="en-AU"/>
        </w:rPr>
      </w:pPr>
      <w:r w:rsidRPr="000875AB">
        <w:rPr>
          <w:lang w:val="en-AU"/>
        </w:rPr>
        <w:t>•</w:t>
      </w:r>
      <w:r w:rsidRPr="000875AB">
        <w:rPr>
          <w:lang w:val="en-AU"/>
        </w:rPr>
        <w:tab/>
        <w:t xml:space="preserve">Excellent supplier/agent management. </w:t>
      </w:r>
    </w:p>
    <w:p w14:paraId="16FEB86F" w14:textId="77777777" w:rsidR="000875AB" w:rsidRPr="000875AB" w:rsidRDefault="000875AB" w:rsidP="000875AB">
      <w:pPr>
        <w:rPr>
          <w:lang w:val="en-AU"/>
        </w:rPr>
      </w:pPr>
      <w:r w:rsidRPr="000875AB">
        <w:rPr>
          <w:lang w:val="en-AU"/>
        </w:rPr>
        <w:t>•</w:t>
      </w:r>
      <w:r w:rsidRPr="000875AB">
        <w:rPr>
          <w:lang w:val="en-AU"/>
        </w:rPr>
        <w:tab/>
        <w:t xml:space="preserve">Low cost structure. </w:t>
      </w:r>
    </w:p>
    <w:p w14:paraId="44F649F9" w14:textId="77777777" w:rsidR="000875AB" w:rsidRPr="000875AB" w:rsidRDefault="000875AB" w:rsidP="000875AB">
      <w:pPr>
        <w:rPr>
          <w:lang w:val="en-AU"/>
        </w:rPr>
      </w:pPr>
      <w:r w:rsidRPr="000875AB">
        <w:rPr>
          <w:lang w:val="en-AU"/>
        </w:rPr>
        <w:t>•</w:t>
      </w:r>
      <w:r w:rsidRPr="000875AB">
        <w:rPr>
          <w:lang w:val="en-AU"/>
        </w:rPr>
        <w:tab/>
        <w:t xml:space="preserve">Diversified and skilled workforce. </w:t>
      </w:r>
    </w:p>
    <w:p w14:paraId="3780B285" w14:textId="77777777" w:rsidR="000875AB" w:rsidRPr="000875AB" w:rsidRDefault="000875AB" w:rsidP="000875AB">
      <w:pPr>
        <w:rPr>
          <w:lang w:val="en-AU"/>
        </w:rPr>
      </w:pPr>
      <w:r w:rsidRPr="000875AB">
        <w:rPr>
          <w:lang w:val="en-AU"/>
        </w:rPr>
        <w:t>•</w:t>
      </w:r>
      <w:r w:rsidRPr="000875AB">
        <w:rPr>
          <w:lang w:val="en-AU"/>
        </w:rPr>
        <w:tab/>
        <w:t xml:space="preserve">Focus on strategic partnerships. </w:t>
      </w:r>
    </w:p>
    <w:p w14:paraId="6C5C12C6" w14:textId="166D6384" w:rsidR="000875AB" w:rsidRDefault="000875AB" w:rsidP="000875AB">
      <w:pPr>
        <w:rPr>
          <w:lang w:val="en-AU"/>
        </w:rPr>
      </w:pPr>
      <w:r w:rsidRPr="000875AB">
        <w:rPr>
          <w:lang w:val="en-AU"/>
        </w:rPr>
        <w:t>•</w:t>
      </w:r>
      <w:r w:rsidRPr="000875AB">
        <w:rPr>
          <w:lang w:val="en-AU"/>
        </w:rPr>
        <w:tab/>
        <w:t>Technology-drive business model.</w:t>
      </w:r>
    </w:p>
    <w:p w14:paraId="737DC4DE" w14:textId="77777777" w:rsidR="000875AB" w:rsidRPr="000875AB" w:rsidRDefault="000875AB" w:rsidP="000875AB">
      <w:pPr>
        <w:rPr>
          <w:lang w:val="en-AU"/>
        </w:rPr>
      </w:pPr>
      <w:r w:rsidRPr="000875AB">
        <w:rPr>
          <w:lang w:val="en-AU"/>
        </w:rPr>
        <w:t xml:space="preserve">Opportunities </w:t>
      </w:r>
    </w:p>
    <w:p w14:paraId="3AF6685E" w14:textId="77777777" w:rsidR="000875AB" w:rsidRPr="000875AB" w:rsidRDefault="000875AB" w:rsidP="000875AB">
      <w:pPr>
        <w:rPr>
          <w:lang w:val="en-AU"/>
        </w:rPr>
      </w:pPr>
      <w:r w:rsidRPr="000875AB">
        <w:rPr>
          <w:lang w:val="en-AU"/>
        </w:rPr>
        <w:t>•</w:t>
      </w:r>
      <w:r w:rsidRPr="000875AB">
        <w:rPr>
          <w:lang w:val="en-AU"/>
        </w:rPr>
        <w:tab/>
        <w:t xml:space="preserve">Social media and other internet marketing channels can work as a major sales opportunity. </w:t>
      </w:r>
    </w:p>
    <w:p w14:paraId="3E08E6ED" w14:textId="77777777" w:rsidR="000875AB" w:rsidRDefault="000875AB" w:rsidP="000875AB">
      <w:pPr>
        <w:rPr>
          <w:lang w:val="en-AU"/>
        </w:rPr>
      </w:pPr>
      <w:r w:rsidRPr="000875AB">
        <w:rPr>
          <w:lang w:val="en-AU"/>
        </w:rPr>
        <w:t>•</w:t>
      </w:r>
      <w:r w:rsidRPr="000875AB">
        <w:rPr>
          <w:lang w:val="en-AU"/>
        </w:rPr>
        <w:tab/>
        <w:t xml:space="preserve">Technological development such as 3D photos and virtual tours of properties. </w:t>
      </w:r>
    </w:p>
    <w:p w14:paraId="7D8F86F5" w14:textId="25209E21" w:rsidR="000875AB" w:rsidRDefault="000875AB" w:rsidP="000875AB">
      <w:pPr>
        <w:rPr>
          <w:lang w:val="en-AU"/>
        </w:rPr>
      </w:pPr>
      <w:r w:rsidRPr="000875AB">
        <w:rPr>
          <w:lang w:val="en-AU"/>
        </w:rPr>
        <w:t>•</w:t>
      </w:r>
      <w:r w:rsidRPr="000875AB">
        <w:rPr>
          <w:lang w:val="en-AU"/>
        </w:rPr>
        <w:tab/>
        <w:t>Focus on sustainability may also help to attain additional sale channel.</w:t>
      </w:r>
    </w:p>
    <w:p w14:paraId="4AD14B75" w14:textId="77777777" w:rsidR="000875AB" w:rsidRPr="000875AB" w:rsidRDefault="000875AB" w:rsidP="000875AB">
      <w:pPr>
        <w:rPr>
          <w:lang w:val="en-AU"/>
        </w:rPr>
      </w:pPr>
      <w:r w:rsidRPr="000875AB">
        <w:rPr>
          <w:lang w:val="en-AU"/>
        </w:rPr>
        <w:t xml:space="preserve">Weaknesses </w:t>
      </w:r>
    </w:p>
    <w:p w14:paraId="5A48A3BD" w14:textId="77777777" w:rsidR="000875AB" w:rsidRPr="000875AB" w:rsidRDefault="000875AB" w:rsidP="000875AB">
      <w:pPr>
        <w:rPr>
          <w:lang w:val="en-AU"/>
        </w:rPr>
      </w:pPr>
      <w:r w:rsidRPr="000875AB">
        <w:rPr>
          <w:lang w:val="en-AU"/>
        </w:rPr>
        <w:t>•</w:t>
      </w:r>
      <w:r w:rsidRPr="000875AB">
        <w:rPr>
          <w:lang w:val="en-AU"/>
        </w:rPr>
        <w:tab/>
        <w:t xml:space="preserve">Lesser focus on research and development. </w:t>
      </w:r>
    </w:p>
    <w:p w14:paraId="2FBE7A81" w14:textId="77777777" w:rsidR="000875AB" w:rsidRPr="000875AB" w:rsidRDefault="000875AB" w:rsidP="000875AB">
      <w:pPr>
        <w:rPr>
          <w:lang w:val="en-AU"/>
        </w:rPr>
      </w:pPr>
      <w:r w:rsidRPr="000875AB">
        <w:rPr>
          <w:lang w:val="en-AU"/>
        </w:rPr>
        <w:t>•</w:t>
      </w:r>
      <w:r w:rsidRPr="000875AB">
        <w:rPr>
          <w:lang w:val="en-AU"/>
        </w:rPr>
        <w:tab/>
        <w:t xml:space="preserve">Inventory days of sales is relatively higher. </w:t>
      </w:r>
    </w:p>
    <w:p w14:paraId="396E6F78" w14:textId="77777777" w:rsidR="000875AB" w:rsidRPr="000875AB" w:rsidRDefault="000875AB" w:rsidP="000875AB">
      <w:pPr>
        <w:rPr>
          <w:lang w:val="en-AU"/>
        </w:rPr>
      </w:pPr>
      <w:r w:rsidRPr="000875AB">
        <w:rPr>
          <w:lang w:val="en-AU"/>
        </w:rPr>
        <w:t>•</w:t>
      </w:r>
      <w:r w:rsidRPr="000875AB">
        <w:rPr>
          <w:lang w:val="en-AU"/>
        </w:rPr>
        <w:tab/>
        <w:t xml:space="preserve">Lack of legal knowledge to the employees. </w:t>
      </w:r>
    </w:p>
    <w:p w14:paraId="5CB728CE" w14:textId="77777777" w:rsidR="000875AB" w:rsidRPr="000875AB" w:rsidRDefault="000875AB" w:rsidP="000875AB">
      <w:pPr>
        <w:rPr>
          <w:lang w:val="en-AU"/>
        </w:rPr>
      </w:pPr>
      <w:r w:rsidRPr="000875AB">
        <w:rPr>
          <w:lang w:val="en-AU"/>
        </w:rPr>
        <w:t>•</w:t>
      </w:r>
      <w:r w:rsidRPr="000875AB">
        <w:rPr>
          <w:lang w:val="en-AU"/>
        </w:rPr>
        <w:tab/>
        <w:t xml:space="preserve">Sector got a high impact of COVID-19. </w:t>
      </w:r>
    </w:p>
    <w:p w14:paraId="79A55B59" w14:textId="77777777" w:rsidR="000875AB" w:rsidRPr="000875AB" w:rsidRDefault="000875AB" w:rsidP="000875AB">
      <w:pPr>
        <w:rPr>
          <w:lang w:val="en-AU"/>
        </w:rPr>
      </w:pPr>
      <w:r w:rsidRPr="000875AB">
        <w:rPr>
          <w:lang w:val="en-AU"/>
        </w:rPr>
        <w:t xml:space="preserve">Threats </w:t>
      </w:r>
    </w:p>
    <w:p w14:paraId="57AE507A" w14:textId="77777777" w:rsidR="000875AB" w:rsidRPr="000875AB" w:rsidRDefault="000875AB" w:rsidP="000875AB">
      <w:pPr>
        <w:rPr>
          <w:lang w:val="en-AU"/>
        </w:rPr>
      </w:pPr>
      <w:r w:rsidRPr="000875AB">
        <w:rPr>
          <w:lang w:val="en-AU"/>
        </w:rPr>
        <w:t>•</w:t>
      </w:r>
      <w:r w:rsidRPr="000875AB">
        <w:rPr>
          <w:lang w:val="en-AU"/>
        </w:rPr>
        <w:tab/>
        <w:t xml:space="preserve">COVID-19 and any other global pandemic. </w:t>
      </w:r>
    </w:p>
    <w:p w14:paraId="55524EEE" w14:textId="77777777" w:rsidR="000875AB" w:rsidRPr="000875AB" w:rsidRDefault="000875AB" w:rsidP="000875AB">
      <w:pPr>
        <w:rPr>
          <w:lang w:val="en-AU"/>
        </w:rPr>
      </w:pPr>
      <w:r w:rsidRPr="000875AB">
        <w:rPr>
          <w:lang w:val="en-AU"/>
        </w:rPr>
        <w:t>•</w:t>
      </w:r>
      <w:r w:rsidRPr="000875AB">
        <w:rPr>
          <w:lang w:val="en-AU"/>
        </w:rPr>
        <w:tab/>
        <w:t xml:space="preserve">Increased competition. </w:t>
      </w:r>
    </w:p>
    <w:p w14:paraId="6F5F2922" w14:textId="51AAEEE8" w:rsidR="000875AB" w:rsidRPr="007E03CB" w:rsidRDefault="000875AB" w:rsidP="000875AB">
      <w:pPr>
        <w:rPr>
          <w:lang w:val="en-AU"/>
        </w:rPr>
      </w:pPr>
      <w:r w:rsidRPr="000875AB">
        <w:rPr>
          <w:lang w:val="en-AU"/>
        </w:rPr>
        <w:t>•</w:t>
      </w:r>
      <w:r w:rsidRPr="000875AB">
        <w:rPr>
          <w:lang w:val="en-AU"/>
        </w:rPr>
        <w:tab/>
        <w:t>High risk of further competitiveness due to low barriers to market entry.</w:t>
      </w:r>
    </w:p>
    <w:p w14:paraId="0F01A7B8" w14:textId="77777777" w:rsidR="000E1CDE" w:rsidRDefault="000E1CDE" w:rsidP="002B6441">
      <w:pPr>
        <w:pStyle w:val="2"/>
        <w:rPr>
          <w:lang w:val="en-AU"/>
        </w:rPr>
      </w:pPr>
      <w:bookmarkStart w:id="12" w:name="_Toc64440315"/>
      <w:r w:rsidRPr="007E03CB">
        <w:rPr>
          <w:lang w:val="en-AU"/>
        </w:rPr>
        <w:t>Porter’s five forces analysis</w:t>
      </w:r>
      <w:bookmarkEnd w:id="12"/>
      <w:r w:rsidRPr="007E03CB">
        <w:rPr>
          <w:lang w:val="en-AU"/>
        </w:rPr>
        <w:t xml:space="preserve"> </w:t>
      </w:r>
    </w:p>
    <w:p w14:paraId="4D8C021A" w14:textId="77777777" w:rsidR="003856D5" w:rsidRDefault="003856D5" w:rsidP="003856D5">
      <w:pPr>
        <w:rPr>
          <w:lang w:val="en-AU"/>
        </w:rPr>
      </w:pPr>
      <w:r>
        <w:rPr>
          <w:lang w:val="en-AU"/>
        </w:rPr>
        <w:t>As a microenvironment analysis, Porter’s five forces model has been established around Rightmove. This analysis asses</w:t>
      </w:r>
      <w:r w:rsidR="00063EFA">
        <w:rPr>
          <w:lang w:val="en-AU"/>
        </w:rPr>
        <w:t>se</w:t>
      </w:r>
      <w:r>
        <w:rPr>
          <w:lang w:val="en-AU"/>
        </w:rPr>
        <w:t xml:space="preserve">s the company based on five distinct forces that identify the </w:t>
      </w:r>
      <w:r>
        <w:rPr>
          <w:lang w:val="en-AU"/>
        </w:rPr>
        <w:lastRenderedPageBreak/>
        <w:t>competitive rivalry within the industry. For Rightmove, Porter’s five forces analysis is presented below:</w:t>
      </w:r>
    </w:p>
    <w:p w14:paraId="0F398B7F" w14:textId="77777777" w:rsidR="003856D5" w:rsidRDefault="003856D5" w:rsidP="003856D5">
      <w:pPr>
        <w:keepNext/>
      </w:pPr>
      <w:r>
        <w:rPr>
          <w:noProof/>
        </w:rPr>
        <w:drawing>
          <wp:inline distT="0" distB="0" distL="0" distR="0" wp14:anchorId="15A9B348" wp14:editId="2A4F9AF6">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DA937C4" w14:textId="77777777" w:rsidR="003856D5" w:rsidRDefault="003856D5" w:rsidP="003856D5">
      <w:pPr>
        <w:pStyle w:val="a3"/>
      </w:pPr>
      <w:r>
        <w:t xml:space="preserve">Figure </w:t>
      </w:r>
      <w:fldSimple w:instr=" SEQ Figure \* ARABIC ">
        <w:r>
          <w:rPr>
            <w:noProof/>
          </w:rPr>
          <w:t>2</w:t>
        </w:r>
      </w:fldSimple>
      <w:r>
        <w:t>: Porter's five forces analysis of Rightmove</w:t>
      </w:r>
    </w:p>
    <w:p w14:paraId="4FCD2F9F" w14:textId="77777777" w:rsidR="003856D5" w:rsidRPr="003856D5" w:rsidRDefault="003856D5" w:rsidP="003856D5">
      <w:pPr>
        <w:rPr>
          <w:lang w:val="en-AU"/>
        </w:rPr>
      </w:pPr>
      <w:r>
        <w:rPr>
          <w:lang w:val="en-AU"/>
        </w:rPr>
        <w:t xml:space="preserve">Based on the analysis above, it can be argued that the bargaining power of the customers in case of Rightmove are high. This is mainly because of the availability of </w:t>
      </w:r>
      <w:r w:rsidR="00063EFA">
        <w:rPr>
          <w:lang w:val="en-AU"/>
        </w:rPr>
        <w:t>several</w:t>
      </w:r>
      <w:r>
        <w:rPr>
          <w:lang w:val="en-AU"/>
        </w:rPr>
        <w:t xml:space="preserve"> advertisement options. As customers have a lot of choices, their bargaining power will be higher</w:t>
      </w:r>
      <w:r w:rsidR="00C27582">
        <w:rPr>
          <w:lang w:val="en-AU"/>
        </w:rPr>
        <w:t xml:space="preserve"> </w:t>
      </w:r>
      <w:r w:rsidR="00C27582">
        <w:rPr>
          <w:lang w:val="en-AU"/>
        </w:rPr>
        <w:fldChar w:fldCharType="begin" w:fldLock="1"/>
      </w:r>
      <w:r w:rsidR="00C27582">
        <w:rPr>
          <w:lang w:val="en-AU"/>
        </w:rPr>
        <w:instrText>ADDIN CSL_CITATION {"citationItems":[{"id":"ITEM-1","itemData":{"DOI":"10.1016/j.econmod.2012.05.034","ISSN":"02649993","abstract":"This paper analyzes the dynamic interactions between real estate markets, in the US and the UK and their macroeconomic environments. We apply a new approach based on a dynamic coherence function (DCF) to study these interactions bringing together different real estate markets (the securitized market, the commercial market and the residential market). The results suggest that there is a common trend that drives the different real estate markets in the UK and the US, particularly in the long run, since they have a similar shape of the DCF. We also find that, in the US, wealth and housing expenditure channels are very conductive during real estate crises. However, in the UK, only the wealth effect is significant as a transmission channel during real estate market downturns. In addition, real estate markets in the UK and the US react differently to institutional shocks. This brings some insights on the conduct of monetary policy in order to avoid disturbances in real estate markets. © 2012 Elsevier B.V.","author":[{"dropping-particle":"","family":"Bouchouicha","given":"Ranoua","non-dropping-particle":"","parse-names":false,"suffix":""},{"dropping-particle":"","family":"Ftiti","given":"Zied","non-dropping-particle":"","parse-names":false,"suffix":""}],"container-title":"Economic Modelling","id":"ITEM-1","issued":{"date-parts":[["2012"]]},"title":"Real estate markets and the macroeconomy: A dynamic coherence framework","type":"article-journal"},"uris":["http://www.mendeley.com/documents/?uuid=24f059a4-df0e-4620-a81c-52cf20578ce3","http://www.mendeley.com/documents/?uuid=cc68087a-9c7c-4586-98fd-d14fd96082c6"]}],"mendeley":{"formattedCitation":"(Bouchouicha and Ftiti, 2012)","plainTextFormattedCitation":"(Bouchouicha and Ftiti, 2012)","previouslyFormattedCitation":"(Bouchouicha and Ftiti, 2012)"},"properties":{"noteIndex":0},"schema":"https://github.com/citation-style-language/schema/raw/master/csl-citation.json"}</w:instrText>
      </w:r>
      <w:r w:rsidR="00C27582">
        <w:rPr>
          <w:lang w:val="en-AU"/>
        </w:rPr>
        <w:fldChar w:fldCharType="separate"/>
      </w:r>
      <w:r w:rsidR="00C27582" w:rsidRPr="00C27582">
        <w:rPr>
          <w:noProof/>
          <w:lang w:val="en-AU"/>
        </w:rPr>
        <w:t>(Bouchouicha and Ftiti, 2012)</w:t>
      </w:r>
      <w:r w:rsidR="00C27582">
        <w:rPr>
          <w:lang w:val="en-AU"/>
        </w:rPr>
        <w:fldChar w:fldCharType="end"/>
      </w:r>
      <w:r>
        <w:rPr>
          <w:lang w:val="en-AU"/>
        </w:rPr>
        <w:t>. For the bargaining power of the suppliers, it can be rated at a medium level due to the excellency of services as maintained by the Rightmove. The threat of new entrants is higher due to low barriers to market entry</w:t>
      </w:r>
      <w:r w:rsidR="00C27582">
        <w:rPr>
          <w:lang w:val="en-AU"/>
        </w:rPr>
        <w:t xml:space="preserve"> </w:t>
      </w:r>
      <w:r w:rsidR="00C27582">
        <w:rPr>
          <w:lang w:val="en-AU"/>
        </w:rPr>
        <w:fldChar w:fldCharType="begin" w:fldLock="1"/>
      </w:r>
      <w:r w:rsidR="00C27582">
        <w:rPr>
          <w:lang w:val="en-AU"/>
        </w:rPr>
        <w:instrText>ADDIN CSL_CITATION {"citationItems":[{"id":"ITEM-1","itemData":{"DOI":"10.1108/JCRE-09-2015-0022","ISSN":"14791048","abstract":"PurposeCorporate occupiers require offices and services which meet their business needs, while landlords must attract and retain occupiers to maximise occupancy and rental income. The purpose of this paper is to help landlords and property managers understand what aspects of property management matter most to corporate occupiers, so that they can achieve a mutually beneficial relationship. Design/methodology/approachThis paper analyses interviews with 1,334 office tenants in the UK, conducted over an 11-year period, to investigate determinants of occupier satisfaction, loyalty and advocacy. Structural equation modelling and regressions are performed using respondents’ ratings of satisfaction with many aspects of occupancy as explanatory variables. The dependent variables include satisfaction with property management, value for money, overall occupier satisfaction, lease renewal intentions and occupiers’ willingness to recommend their landlord. FindingsThe aspects with most impact on occupiers’ satisfaction are the office building itself, its location and amenities, and also communication with their property manager, a belief that their business needs are understood and the property manager’s responsiveness to occupiers’ requests. Occupiers’ loyalty depends mainly upon feeling that their rent and service charges provide value for money, an amicable leasing process, the professionalism of their property manager and the corporate social responsibility of the landlord. “Empathy” is crucial to occupiers’ willingness to recommend their landlord, and clear documentation and efficient legal process improve occupiers’ perception of receiving “Value for Money”. Research limitations/implicationsThe sample is skewed towards occupiers of prime office buildings in the UK, owned by landlords who care sufficiently about their tenants to commission studies into occupier satisfaction. Practical implicationsThis research should help to improve the landlord – tenant relationship, benefitting the businesses that rent property and helping building managers understand where to focus their efforts to achieve maximum effect on occupier satisfaction, loyalty and advocacy. Originality/valueThere has been little academic research into the determinants of satisfaction of occupiers of UK commercial property. This large-scale study enables the most influential factors to be identified and prioritised.","author":[{"dropping-particle":"","family":"Claire Sanderson","given":"Danielle","non-dropping-particle":"","parse-names":false,"suffix":""},{"dropping-particle":"","family":"Mary Edwards","given":"Victoria","non-dropping-particle":"","parse-names":false,"suffix":""}],"container-title":"Journal of Corporate Real Estate","id":"ITEM-1","issued":{"date-parts":[["2016"]]},"title":"Determinants of satisfaction amongst tenants of UK offices","type":"article-journal"},"uris":["http://www.mendeley.com/documents/?uuid=126386f3-8ecb-446e-b899-c399fffc2a52","http://www.mendeley.com/documents/?uuid=682c90f4-b524-4aa9-9b26-2f17214f2884"]}],"mendeley":{"formattedCitation":"(Claire Sanderson and Mary Edwards, 2016)","plainTextFormattedCitation":"(Claire Sanderson and Mary Edwards, 2016)","previouslyFormattedCitation":"(Claire Sanderson and Mary Edwards, 2016)"},"properties":{"noteIndex":0},"schema":"https://github.com/citation-style-language/schema/raw/master/csl-citation.json"}</w:instrText>
      </w:r>
      <w:r w:rsidR="00C27582">
        <w:rPr>
          <w:lang w:val="en-AU"/>
        </w:rPr>
        <w:fldChar w:fldCharType="separate"/>
      </w:r>
      <w:r w:rsidR="00C27582" w:rsidRPr="00C27582">
        <w:rPr>
          <w:noProof/>
          <w:lang w:val="en-AU"/>
        </w:rPr>
        <w:t>(Claire Sanderson and Mary Edwards, 2016)</w:t>
      </w:r>
      <w:r w:rsidR="00C27582">
        <w:rPr>
          <w:lang w:val="en-AU"/>
        </w:rPr>
        <w:fldChar w:fldCharType="end"/>
      </w:r>
      <w:r>
        <w:rPr>
          <w:lang w:val="en-AU"/>
        </w:rPr>
        <w:t xml:space="preserve">. The threat of substitution can be rated at a medium level due to limited options other than the technology used by the Rightmove. Lastly, the industry rivalry is also rated at a medium level due to the competitive advantage maintained by the Rightmove. </w:t>
      </w:r>
    </w:p>
    <w:p w14:paraId="0DA8C34D" w14:textId="77777777" w:rsidR="000E1CDE" w:rsidRDefault="000E1CDE" w:rsidP="002B6441">
      <w:pPr>
        <w:pStyle w:val="1"/>
        <w:rPr>
          <w:lang w:val="en-AU"/>
        </w:rPr>
      </w:pPr>
      <w:bookmarkStart w:id="13" w:name="_Toc64440316"/>
      <w:r w:rsidRPr="007E03CB">
        <w:rPr>
          <w:lang w:val="en-AU"/>
        </w:rPr>
        <w:t xml:space="preserve">Role of </w:t>
      </w:r>
      <w:r w:rsidR="007E03CB">
        <w:rPr>
          <w:lang w:val="en-AU"/>
        </w:rPr>
        <w:t>Chief Product &amp; Technology Officer</w:t>
      </w:r>
      <w:bookmarkEnd w:id="13"/>
    </w:p>
    <w:p w14:paraId="1E5920F7" w14:textId="77777777" w:rsidR="00FF1328" w:rsidRPr="003856D5" w:rsidRDefault="00FF1328" w:rsidP="003856D5">
      <w:pPr>
        <w:rPr>
          <w:lang w:val="en-AU"/>
        </w:rPr>
      </w:pPr>
      <w:r>
        <w:rPr>
          <w:lang w:val="en-AU"/>
        </w:rPr>
        <w:t xml:space="preserve">Considering the expectations of the customers and the likely challenges that the company may face in the market, this section of the paper will discuss the role of Chief Product &amp; Technology Office (CPTO). The following sub-sections will present the importance of the role, skills and knowledge needed for the role along with the needs for the training and development: </w:t>
      </w:r>
    </w:p>
    <w:p w14:paraId="5C525BDA" w14:textId="77777777" w:rsidR="000E1CDE" w:rsidRDefault="000E1CDE" w:rsidP="002B6441">
      <w:pPr>
        <w:pStyle w:val="2"/>
        <w:rPr>
          <w:lang w:val="en-AU"/>
        </w:rPr>
      </w:pPr>
      <w:bookmarkStart w:id="14" w:name="_Toc64440317"/>
      <w:r w:rsidRPr="007E03CB">
        <w:rPr>
          <w:lang w:val="en-AU"/>
        </w:rPr>
        <w:t>Importance of the role</w:t>
      </w:r>
      <w:bookmarkEnd w:id="14"/>
      <w:r w:rsidRPr="007E03CB">
        <w:rPr>
          <w:lang w:val="en-AU"/>
        </w:rPr>
        <w:t xml:space="preserve"> </w:t>
      </w:r>
    </w:p>
    <w:p w14:paraId="5E9A95E8" w14:textId="77777777" w:rsidR="00FF1328" w:rsidRPr="00FF1328" w:rsidRDefault="00FF1328" w:rsidP="00FF1328">
      <w:pPr>
        <w:rPr>
          <w:lang w:val="en-AU"/>
        </w:rPr>
      </w:pPr>
      <w:r>
        <w:rPr>
          <w:lang w:val="en-AU"/>
        </w:rPr>
        <w:t>Generally, the role of CPTO holds critical importance in any organisation. Specifically, for a technology</w:t>
      </w:r>
      <w:r w:rsidR="00063EFA">
        <w:rPr>
          <w:lang w:val="en-AU"/>
        </w:rPr>
        <w:t>-</w:t>
      </w:r>
      <w:r>
        <w:rPr>
          <w:lang w:val="en-AU"/>
        </w:rPr>
        <w:t xml:space="preserve">driven company such as the Rightmove, this particular role will be critical. Main responsibilities of this role will include the establishment of policies and procedures using which </w:t>
      </w:r>
      <w:r>
        <w:rPr>
          <w:lang w:val="en-AU"/>
        </w:rPr>
        <w:lastRenderedPageBreak/>
        <w:t>the company can develop and make use of the latest technology</w:t>
      </w:r>
      <w:r w:rsidR="00C27582">
        <w:rPr>
          <w:lang w:val="en-AU"/>
        </w:rPr>
        <w:t xml:space="preserve"> </w:t>
      </w:r>
      <w:r w:rsidR="00C27582">
        <w:rPr>
          <w:lang w:val="en-AU"/>
        </w:rPr>
        <w:fldChar w:fldCharType="begin" w:fldLock="1"/>
      </w:r>
      <w:r w:rsidR="00C27582">
        <w:rPr>
          <w:lang w:val="en-AU"/>
        </w:rPr>
        <w:instrText>ADDIN CSL_CITATION {"citationItems":[{"id":"ITEM-1","itemData":{"DOI":"10.5437/08953608X5403006","ISSN":"08956308","abstract":"OVERVIEW: The significant role of technology in strategic business activities and new-product development has driven companies to create a Chief Technology Officer (CTO) position to lead and direct technology development activities. The CTO is a new and evolving role, having been first utilized only within the last few decades. Although the position is becoming more widely used, there is still a lack of understanding as to the specific benefits a CTO position can bring to an organization. There has been little research to date focusing on the CTO role and even less with empirical data. The purpose of this paper is to fill an important gap by analyzing a number of innovation and financial metrics to assess the impact of the CTO on an organization's performance. An analysis of the data shows that the CTO role is effective in promoting both innovation and financial improvements. This provides support for the creation and continued use of the CTO position in companies. An unexpected outcome of this research was a reduction in CTO effectiveness with increasing company size. © 2011 Industrial Research Institute, Inc.","author":[{"dropping-particle":"","family":"Hartley","given":"Scott","non-dropping-particle":"","parse-names":false,"suffix":""}],"container-title":"Research Technology Management","id":"ITEM-1","issued":{"date-parts":[["2011"]]},"title":"The effectiveness of the Chief Technology Officer","type":"article-journal"},"uris":["http://www.mendeley.com/documents/?uuid=fcc82738-6b8c-40c2-8f79-a3c9ab95a36d","http://www.mendeley.com/documents/?uuid=4e6c8383-3e72-431e-94b8-2c7589209ac5"]}],"mendeley":{"formattedCitation":"(Hartley, 2011)","plainTextFormattedCitation":"(Hartley, 2011)","previouslyFormattedCitation":"(Hartley, 2011)"},"properties":{"noteIndex":0},"schema":"https://github.com/citation-style-language/schema/raw/master/csl-citation.json"}</w:instrText>
      </w:r>
      <w:r w:rsidR="00C27582">
        <w:rPr>
          <w:lang w:val="en-AU"/>
        </w:rPr>
        <w:fldChar w:fldCharType="separate"/>
      </w:r>
      <w:r w:rsidR="00C27582" w:rsidRPr="00C27582">
        <w:rPr>
          <w:noProof/>
          <w:lang w:val="en-AU"/>
        </w:rPr>
        <w:t>(Hartley, 2011)</w:t>
      </w:r>
      <w:r w:rsidR="00C27582">
        <w:rPr>
          <w:lang w:val="en-AU"/>
        </w:rPr>
        <w:fldChar w:fldCharType="end"/>
      </w:r>
      <w:r>
        <w:rPr>
          <w:lang w:val="en-AU"/>
        </w:rPr>
        <w:t xml:space="preserve">. The objective behind this would certainly include the fulfilment of the customer needs. For instance, in the case under consideration, the CPTO of the Rightmove will be required to conduct a technology audit of the company based on the available technology in the market. After identification of the gap, this position will be responsible to ensure a state-of-the-art technology infrastructure of the company. Other than this, the position of CPTO is also responsible for information security within the organisation. In </w:t>
      </w:r>
      <w:r w:rsidR="00063EFA">
        <w:rPr>
          <w:lang w:val="en-AU"/>
        </w:rPr>
        <w:t xml:space="preserve">the </w:t>
      </w:r>
      <w:r>
        <w:rPr>
          <w:lang w:val="en-AU"/>
        </w:rPr>
        <w:t xml:space="preserve">case of the Rightmove, the company handles a lot of information </w:t>
      </w:r>
      <w:r w:rsidR="00063EFA">
        <w:rPr>
          <w:lang w:val="en-AU"/>
        </w:rPr>
        <w:t>about</w:t>
      </w:r>
      <w:r>
        <w:rPr>
          <w:lang w:val="en-AU"/>
        </w:rPr>
        <w:t xml:space="preserve"> the real estate agents and registered buyers. With regards to this, the position of CPTO is also critical as it is directly controlling the reputation of the company that may get influenced in case of any information security non-compliance</w:t>
      </w:r>
      <w:r w:rsidR="00C27582">
        <w:rPr>
          <w:lang w:val="en-AU"/>
        </w:rPr>
        <w:t xml:space="preserve"> </w:t>
      </w:r>
      <w:r w:rsidR="00C27582">
        <w:rPr>
          <w:lang w:val="en-AU"/>
        </w:rPr>
        <w:fldChar w:fldCharType="begin" w:fldLock="1"/>
      </w:r>
      <w:r w:rsidR="00C27582">
        <w:rPr>
          <w:lang w:val="en-AU"/>
        </w:rPr>
        <w:instrText>ADDIN CSL_CITATION {"citationItems":[{"id":"ITEM-1","itemData":{"DOI":"10.1080/09537325.2011.621297","ISSN":"09537325","abstract":"This paper assesses the impact of Chief Technology Officers (CTO) on firm performance using upper-echelon theory, human capital theory and social capital theory. The upper-echelon theory is used to investigate how CTO roles are realised within a company regardless of the individual who carries them out, i.e. through a formal CTO position or not. Human and social capital theories are employed to assess how certain features of CTO influences his/her effect on company performance. Thus, this explorative study investigates two questions: (1) do CTO roles affect a firm's performance?, and (2) which features of the senior manager in charge of technology influence performance? To answer these questions the study first develops a conceptual model and subsequently tests the model based on a survey of 49 firms in electronics and machinery industries in Turkey. Two findings emerge: (1) the fulfilment of CTO roles increases a firm's profitability and (2) the existence of a distinct managerial technology position further improves profitability. Moreover, the study clearly shows the role of social capital theory in explaining how the company performance is likely to increase when the CTO/CTO-proxy manager is placed on a higher rung on the organisational ladder. © 2011 Copyright Taylor and Francis Group, LLC.","author":[{"dropping-particle":"","family":"Cetindamar","given":"Dilek","non-dropping-particle":"","parse-names":false,"suffix":""},{"dropping-particle":"","family":"Pala","given":"Okan","non-dropping-particle":"","parse-names":false,"suffix":""}],"container-title":"Technology Analysis and Strategic Management","id":"ITEM-1","issued":{"date-parts":[["2011"]]},"title":"Chief technology officer roles and performance","type":"article-journal"},"uris":["http://www.mendeley.com/documents/?uuid=cb08e87a-813a-4321-b09a-615678b7a8f5","http://www.mendeley.com/documents/?uuid=cf12a6a6-c01e-474b-9fe6-8dbec6bf1117"]}],"mendeley":{"formattedCitation":"(Cetindamar and Pala, 2011)","plainTextFormattedCitation":"(Cetindamar and Pala, 2011)","previouslyFormattedCitation":"(Cetindamar and Pala, 2011)"},"properties":{"noteIndex":0},"schema":"https://github.com/citation-style-language/schema/raw/master/csl-citation.json"}</w:instrText>
      </w:r>
      <w:r w:rsidR="00C27582">
        <w:rPr>
          <w:lang w:val="en-AU"/>
        </w:rPr>
        <w:fldChar w:fldCharType="separate"/>
      </w:r>
      <w:r w:rsidR="00C27582" w:rsidRPr="00C27582">
        <w:rPr>
          <w:noProof/>
          <w:lang w:val="en-AU"/>
        </w:rPr>
        <w:t>(Cetindamar and Pala, 2011)</w:t>
      </w:r>
      <w:r w:rsidR="00C27582">
        <w:rPr>
          <w:lang w:val="en-AU"/>
        </w:rPr>
        <w:fldChar w:fldCharType="end"/>
      </w:r>
      <w:r>
        <w:rPr>
          <w:lang w:val="en-AU"/>
        </w:rPr>
        <w:t xml:space="preserve">. Overall, the position under consideration can act as a key source of competitive advantage for the company by putting it ahead of other operators in terms of technology usage. </w:t>
      </w:r>
    </w:p>
    <w:p w14:paraId="6B75CBB5" w14:textId="77777777" w:rsidR="000E1CDE" w:rsidRDefault="000E1CDE" w:rsidP="002B6441">
      <w:pPr>
        <w:pStyle w:val="2"/>
        <w:rPr>
          <w:lang w:val="en-AU"/>
        </w:rPr>
      </w:pPr>
      <w:bookmarkStart w:id="15" w:name="_Toc64440318"/>
      <w:r w:rsidRPr="007E03CB">
        <w:rPr>
          <w:lang w:val="en-AU"/>
        </w:rPr>
        <w:t>Skills and knowledge needed</w:t>
      </w:r>
      <w:bookmarkEnd w:id="15"/>
    </w:p>
    <w:p w14:paraId="2114C436" w14:textId="77777777" w:rsidR="00FF1328" w:rsidRPr="00FF1328" w:rsidRDefault="00380500" w:rsidP="00FF1328">
      <w:pPr>
        <w:rPr>
          <w:lang w:val="en-AU"/>
        </w:rPr>
      </w:pPr>
      <w:r>
        <w:rPr>
          <w:lang w:val="en-AU"/>
        </w:rPr>
        <w:t xml:space="preserve">Broadly, a CPTO should </w:t>
      </w:r>
      <w:r w:rsidR="00063EFA">
        <w:rPr>
          <w:lang w:val="en-AU"/>
        </w:rPr>
        <w:t>know about</w:t>
      </w:r>
      <w:r>
        <w:rPr>
          <w:lang w:val="en-AU"/>
        </w:rPr>
        <w:t xml:space="preserve"> all relevant technology and infrastructure related to the particular industry. </w:t>
      </w:r>
      <w:r w:rsidR="00063EFA">
        <w:rPr>
          <w:lang w:val="en-AU"/>
        </w:rPr>
        <w:t>Besides</w:t>
      </w:r>
      <w:r>
        <w:rPr>
          <w:lang w:val="en-AU"/>
        </w:rPr>
        <w:t>, the ideal person for this position must have an extensive interest in the development of new technology to ensure a high level of competitive advantage for the organisation. Other than this, as the process of technology development and implementation requires a change within the organisation, the position must also have skills and competencies to manage change</w:t>
      </w:r>
      <w:r w:rsidR="00C27582">
        <w:rPr>
          <w:lang w:val="en-AU"/>
        </w:rPr>
        <w:t xml:space="preserve"> </w:t>
      </w:r>
      <w:r w:rsidR="00C27582">
        <w:rPr>
          <w:lang w:val="en-AU"/>
        </w:rPr>
        <w:fldChar w:fldCharType="begin" w:fldLock="1"/>
      </w:r>
      <w:r w:rsidR="00C27582">
        <w:rPr>
          <w:lang w:val="en-AU"/>
        </w:rPr>
        <w:instrText>ADDIN CSL_CITATION {"citationItems":[{"id":"ITEM-1","itemData":{"DOI":"10.1109/emr.2013.6489841","ISSN":"0360-8581","abstract":"The importance of the chief technology officer role is widely accepted, particularly in today's turbulent, global conditions. However, not enough is known about the key activities of CTOs or the factors that influence their priorities. Thirty in-depth interviews conducted with the CTOs in global firms identified key activities: aligning technology and corporate strategy and business models, determining technology entry and exit points, and preparing business cases to secure funding for technology development. The research also showed that priority areas for CTOs are related to technology transition points--major contextual and business discontinuities that impact the focus of the CTO. We conclude that the determination of priorities at these technology transition points is highly idiosyncratic and closely related to whether the CTO functions more or less strategically. [ABSTRACT FROM PUBLISHER]","author":[{"dropping-particle":"","family":"Hoven","given":"Chris","non-dropping-particle":"van der","parse-names":false,"suffix":""},{"dropping-particle":"","family":"Probert","given":"David","non-dropping-particle":"","parse-names":false,"suffix":""},{"dropping-particle":"","family":"Phaal","given":"Robert","non-dropping-particle":"","parse-names":false,"suffix":""},{"dropping-particle":"","family":"Goffin","given":"Keith","non-dropping-particle":"","parse-names":false,"suffix":""}],"container-title":"IEEE Engineering Management Review","id":"ITEM-1","issued":{"date-parts":[["2013"]]},"title":"Dynamic technology leadership","type":"article-journal"},"uris":["http://www.mendeley.com/documents/?uuid=e23d0113-ae0e-4df9-86a2-ffb9ea72ceaf","http://www.mendeley.com/documents/?uuid=106118e7-573e-4b96-93f2-666751fd95e3"]}],"mendeley":{"formattedCitation":"(van der Hoven &lt;i&gt;et al.&lt;/i&gt;, 2013)","plainTextFormattedCitation":"(van der Hoven et al., 2013)","previouslyFormattedCitation":"(van der Hoven &lt;i&gt;et al.&lt;/i&gt;, 2013)"},"properties":{"noteIndex":0},"schema":"https://github.com/citation-style-language/schema/raw/master/csl-citation.json"}</w:instrText>
      </w:r>
      <w:r w:rsidR="00C27582">
        <w:rPr>
          <w:lang w:val="en-AU"/>
        </w:rPr>
        <w:fldChar w:fldCharType="separate"/>
      </w:r>
      <w:r w:rsidR="00C27582" w:rsidRPr="00C27582">
        <w:rPr>
          <w:noProof/>
          <w:lang w:val="en-AU"/>
        </w:rPr>
        <w:t xml:space="preserve">(van der Hoven </w:t>
      </w:r>
      <w:r w:rsidR="00C27582" w:rsidRPr="00C27582">
        <w:rPr>
          <w:i/>
          <w:noProof/>
          <w:lang w:val="en-AU"/>
        </w:rPr>
        <w:t>et al.</w:t>
      </w:r>
      <w:r w:rsidR="00C27582" w:rsidRPr="00C27582">
        <w:rPr>
          <w:noProof/>
          <w:lang w:val="en-AU"/>
        </w:rPr>
        <w:t>, 2013)</w:t>
      </w:r>
      <w:r w:rsidR="00C27582">
        <w:rPr>
          <w:lang w:val="en-AU"/>
        </w:rPr>
        <w:fldChar w:fldCharType="end"/>
      </w:r>
      <w:r>
        <w:rPr>
          <w:lang w:val="en-AU"/>
        </w:rPr>
        <w:t xml:space="preserve">. Experience in this regard will ensure that the particular position understands the human elements associated with each technology along with the possible factors that may cause a hindrance. Besides this, soft skills would include leadership skills, communication skills and others.  </w:t>
      </w:r>
    </w:p>
    <w:p w14:paraId="34B7FCFF" w14:textId="77777777" w:rsidR="000E1CDE" w:rsidRDefault="000E1CDE" w:rsidP="002B6441">
      <w:pPr>
        <w:pStyle w:val="2"/>
        <w:rPr>
          <w:lang w:val="en-AU"/>
        </w:rPr>
      </w:pPr>
      <w:bookmarkStart w:id="16" w:name="_Toc64440319"/>
      <w:r w:rsidRPr="007E03CB">
        <w:rPr>
          <w:lang w:val="en-AU"/>
        </w:rPr>
        <w:t xml:space="preserve">Requirements </w:t>
      </w:r>
      <w:r w:rsidR="00063EFA">
        <w:rPr>
          <w:lang w:val="en-AU"/>
        </w:rPr>
        <w:t>for</w:t>
      </w:r>
      <w:r w:rsidRPr="007E03CB">
        <w:rPr>
          <w:lang w:val="en-AU"/>
        </w:rPr>
        <w:t xml:space="preserve"> training and development</w:t>
      </w:r>
      <w:bookmarkEnd w:id="16"/>
      <w:r w:rsidRPr="007E03CB">
        <w:rPr>
          <w:lang w:val="en-AU"/>
        </w:rPr>
        <w:t xml:space="preserve"> </w:t>
      </w:r>
    </w:p>
    <w:p w14:paraId="11719104" w14:textId="77777777" w:rsidR="00380500" w:rsidRPr="00380500" w:rsidRDefault="00380500" w:rsidP="00380500">
      <w:pPr>
        <w:rPr>
          <w:lang w:val="en-AU"/>
        </w:rPr>
      </w:pPr>
      <w:r>
        <w:rPr>
          <w:lang w:val="en-AU"/>
        </w:rPr>
        <w:t xml:space="preserve">For new hiring at this particular position, the organisation would not only require training in the areas of need, but a general training related to the organisational policies, values and code of conduct will be required. For this purpose, an orientation of the position will be planned. Subsequently, specifically for the role, training about existing technological infrastructure will be provided to the selected position. Afterwards, the position should be trained on the new projects and technologies that the company is aspiring to implement within the organisation. A training plan for </w:t>
      </w:r>
      <w:r w:rsidR="00063EFA">
        <w:rPr>
          <w:lang w:val="en-AU"/>
        </w:rPr>
        <w:t>a</w:t>
      </w:r>
      <w:r>
        <w:rPr>
          <w:lang w:val="en-AU"/>
        </w:rPr>
        <w:t xml:space="preserve"> particular position is presented in Appendix 3 of the paper. </w:t>
      </w:r>
    </w:p>
    <w:p w14:paraId="4CD4F9C7" w14:textId="77777777" w:rsidR="000E1CDE" w:rsidRDefault="000E1CDE" w:rsidP="002B6441">
      <w:pPr>
        <w:pStyle w:val="1"/>
        <w:rPr>
          <w:lang w:val="en-AU"/>
        </w:rPr>
      </w:pPr>
      <w:bookmarkStart w:id="17" w:name="_Toc64440320"/>
      <w:r w:rsidRPr="007E03CB">
        <w:rPr>
          <w:lang w:val="en-AU"/>
        </w:rPr>
        <w:t>Conclusion</w:t>
      </w:r>
      <w:bookmarkEnd w:id="17"/>
    </w:p>
    <w:p w14:paraId="217F3165" w14:textId="77777777" w:rsidR="00420BD9" w:rsidRDefault="0020668D" w:rsidP="00420BD9">
      <w:r>
        <w:rPr>
          <w:lang w:val="en-AU"/>
        </w:rPr>
        <w:t xml:space="preserve">Based on the discussion, the paper can be concluded by arguing that </w:t>
      </w:r>
      <w:r w:rsidR="00420BD9">
        <w:rPr>
          <w:lang w:val="en-AU"/>
        </w:rPr>
        <w:t xml:space="preserve">Rightmove is the largest online property retailer operating in the United Kingdom (UK). The company operates through an online portal that allows the property agents to list properties and the individual customers can view the advertisements. As a revenue stream, the company charge the estate agents for listing the properties on its website. Rightmove operates around the values of operational efficiency, teamwork, empowerment and technology. </w:t>
      </w:r>
      <w:r w:rsidR="00420BD9">
        <w:t xml:space="preserve">From the analysis, the company may face the challenges </w:t>
      </w:r>
      <w:r w:rsidR="00420BD9">
        <w:lastRenderedPageBreak/>
        <w:t xml:space="preserve">of low revenue due to COVID-19 and subsequent social changes. However, by focusing on technology, the company may maintain </w:t>
      </w:r>
      <w:r w:rsidR="00063EFA">
        <w:t>a</w:t>
      </w:r>
      <w:r w:rsidR="00420BD9">
        <w:t xml:space="preserve"> competitive advantage. For this purpose, the role of CPTO will have particular importance for the company. </w:t>
      </w:r>
      <w:r w:rsidR="00420BD9">
        <w:rPr>
          <w:lang w:val="en-AU"/>
        </w:rPr>
        <w:t>Specifically, for a technology</w:t>
      </w:r>
      <w:r w:rsidR="00063EFA">
        <w:rPr>
          <w:lang w:val="en-AU"/>
        </w:rPr>
        <w:t>-</w:t>
      </w:r>
      <w:r w:rsidR="00420BD9">
        <w:rPr>
          <w:lang w:val="en-AU"/>
        </w:rPr>
        <w:t xml:space="preserve">driven company such as the Rightmove, this particular role will be critical. By following the training and development plan as presented in the paper, the company can make effective use of this role to ensure its competitiveness in the market. </w:t>
      </w:r>
    </w:p>
    <w:p w14:paraId="2796AAF6" w14:textId="77777777" w:rsidR="0020668D" w:rsidRPr="0020668D" w:rsidRDefault="0020668D" w:rsidP="0020668D">
      <w:pPr>
        <w:rPr>
          <w:lang w:val="en-AU"/>
        </w:rPr>
      </w:pPr>
    </w:p>
    <w:p w14:paraId="5A296CD7" w14:textId="77777777" w:rsidR="008108B3" w:rsidRPr="007E03CB" w:rsidRDefault="008108B3" w:rsidP="008108B3">
      <w:pPr>
        <w:rPr>
          <w:lang w:val="en-AU"/>
        </w:rPr>
      </w:pPr>
    </w:p>
    <w:p w14:paraId="02416D45" w14:textId="77777777" w:rsidR="008108B3" w:rsidRPr="007E03CB" w:rsidRDefault="008108B3">
      <w:pPr>
        <w:rPr>
          <w:lang w:val="en-AU"/>
        </w:rPr>
      </w:pPr>
      <w:r w:rsidRPr="007E03CB">
        <w:rPr>
          <w:lang w:val="en-AU"/>
        </w:rPr>
        <w:br w:type="page"/>
      </w:r>
    </w:p>
    <w:p w14:paraId="23099888" w14:textId="77777777" w:rsidR="008108B3" w:rsidRPr="007E03CB" w:rsidRDefault="008108B3" w:rsidP="008108B3">
      <w:pPr>
        <w:pStyle w:val="1"/>
        <w:rPr>
          <w:lang w:val="en-AU"/>
        </w:rPr>
      </w:pPr>
      <w:bookmarkStart w:id="18" w:name="_Toc64440321"/>
      <w:r w:rsidRPr="007E03CB">
        <w:rPr>
          <w:lang w:val="en-AU"/>
        </w:rPr>
        <w:lastRenderedPageBreak/>
        <w:t>References</w:t>
      </w:r>
      <w:bookmarkEnd w:id="18"/>
    </w:p>
    <w:p w14:paraId="422D502E" w14:textId="77777777" w:rsidR="00C27582" w:rsidRPr="00C27582" w:rsidRDefault="00C27582" w:rsidP="00C27582">
      <w:pPr>
        <w:widowControl w:val="0"/>
        <w:autoSpaceDE w:val="0"/>
        <w:autoSpaceDN w:val="0"/>
        <w:adjustRightInd w:val="0"/>
        <w:spacing w:line="240" w:lineRule="auto"/>
        <w:rPr>
          <w:rFonts w:cs="Times New Roman"/>
          <w:noProof/>
          <w:szCs w:val="24"/>
        </w:rPr>
      </w:pPr>
      <w:r>
        <w:rPr>
          <w:lang w:val="en-AU"/>
        </w:rPr>
        <w:fldChar w:fldCharType="begin" w:fldLock="1"/>
      </w:r>
      <w:r>
        <w:rPr>
          <w:lang w:val="en-AU"/>
        </w:rPr>
        <w:instrText xml:space="preserve">ADDIN Mendeley Bibliography CSL_BIBLIOGRAPHY </w:instrText>
      </w:r>
      <w:r>
        <w:rPr>
          <w:lang w:val="en-AU"/>
        </w:rPr>
        <w:fldChar w:fldCharType="separate"/>
      </w:r>
      <w:r w:rsidRPr="00C27582">
        <w:rPr>
          <w:rFonts w:cs="Times New Roman"/>
          <w:noProof/>
          <w:szCs w:val="24"/>
        </w:rPr>
        <w:t xml:space="preserve">Bouchouicha, R. and Ftiti, Z. (2012) ‘Real estate markets and the macroeconomy: A dynamic coherence framework’, </w:t>
      </w:r>
      <w:r w:rsidRPr="00C27582">
        <w:rPr>
          <w:rFonts w:cs="Times New Roman"/>
          <w:i/>
          <w:iCs/>
          <w:noProof/>
          <w:szCs w:val="24"/>
        </w:rPr>
        <w:t>Economic Modelling</w:t>
      </w:r>
      <w:r w:rsidRPr="00C27582">
        <w:rPr>
          <w:rFonts w:cs="Times New Roman"/>
          <w:noProof/>
          <w:szCs w:val="24"/>
        </w:rPr>
        <w:t>. doi: 10.1016/j.econmod.2012.05.034.</w:t>
      </w:r>
    </w:p>
    <w:p w14:paraId="5F69DD16"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CBRE (2020) </w:t>
      </w:r>
      <w:r w:rsidRPr="00C27582">
        <w:rPr>
          <w:rFonts w:cs="Times New Roman"/>
          <w:i/>
          <w:iCs/>
          <w:noProof/>
          <w:szCs w:val="24"/>
        </w:rPr>
        <w:t>Global Real Estate Market OUTLOOK 2020</w:t>
      </w:r>
      <w:r w:rsidRPr="00C27582">
        <w:rPr>
          <w:rFonts w:cs="Times New Roman"/>
          <w:noProof/>
          <w:szCs w:val="24"/>
        </w:rPr>
        <w:t xml:space="preserve">, </w:t>
      </w:r>
      <w:r w:rsidRPr="00C27582">
        <w:rPr>
          <w:rFonts w:cs="Times New Roman"/>
          <w:i/>
          <w:iCs/>
          <w:noProof/>
          <w:szCs w:val="24"/>
        </w:rPr>
        <w:t>CBRE Research</w:t>
      </w:r>
      <w:r w:rsidRPr="00C27582">
        <w:rPr>
          <w:rFonts w:cs="Times New Roman"/>
          <w:noProof/>
          <w:szCs w:val="24"/>
        </w:rPr>
        <w:t>.</w:t>
      </w:r>
    </w:p>
    <w:p w14:paraId="7B536FCD"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Cetindamar, D. and Pala, O. (2011) ‘Chief technology officer roles and performance’, </w:t>
      </w:r>
      <w:r w:rsidRPr="00C27582">
        <w:rPr>
          <w:rFonts w:cs="Times New Roman"/>
          <w:i/>
          <w:iCs/>
          <w:noProof/>
          <w:szCs w:val="24"/>
        </w:rPr>
        <w:t>Technology Analysis and Strategic Management</w:t>
      </w:r>
      <w:r w:rsidRPr="00C27582">
        <w:rPr>
          <w:rFonts w:cs="Times New Roman"/>
          <w:noProof/>
          <w:szCs w:val="24"/>
        </w:rPr>
        <w:t>. doi: 10.1080/09537325.2011.621297.</w:t>
      </w:r>
    </w:p>
    <w:p w14:paraId="4AF5115F"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Chevalier-Roignant, B. </w:t>
      </w:r>
      <w:r w:rsidRPr="00C27582">
        <w:rPr>
          <w:rFonts w:cs="Times New Roman"/>
          <w:i/>
          <w:iCs/>
          <w:noProof/>
          <w:szCs w:val="24"/>
        </w:rPr>
        <w:t>et al.</w:t>
      </w:r>
      <w:r w:rsidRPr="00C27582">
        <w:rPr>
          <w:rFonts w:cs="Times New Roman"/>
          <w:noProof/>
          <w:szCs w:val="24"/>
        </w:rPr>
        <w:t xml:space="preserve"> (2013) ‘Strategic Management and Competitive Advantage’, in </w:t>
      </w:r>
      <w:r w:rsidRPr="00C27582">
        <w:rPr>
          <w:rFonts w:cs="Times New Roman"/>
          <w:i/>
          <w:iCs/>
          <w:noProof/>
          <w:szCs w:val="24"/>
        </w:rPr>
        <w:t>Competitive Strategy</w:t>
      </w:r>
      <w:r w:rsidRPr="00C27582">
        <w:rPr>
          <w:rFonts w:cs="Times New Roman"/>
          <w:noProof/>
          <w:szCs w:val="24"/>
        </w:rPr>
        <w:t>. doi: 10.7551/mitpress/9780262015998.003.0002.</w:t>
      </w:r>
    </w:p>
    <w:p w14:paraId="36A833C4"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Claire Sanderson, D. and Mary Edwards, V. (2016) ‘Determinants of satisfaction amongst tenants of UK offices’, </w:t>
      </w:r>
      <w:r w:rsidRPr="00C27582">
        <w:rPr>
          <w:rFonts w:cs="Times New Roman"/>
          <w:i/>
          <w:iCs/>
          <w:noProof/>
          <w:szCs w:val="24"/>
        </w:rPr>
        <w:t>Journal of Corporate Real Estate</w:t>
      </w:r>
      <w:r w:rsidRPr="00C27582">
        <w:rPr>
          <w:rFonts w:cs="Times New Roman"/>
          <w:noProof/>
          <w:szCs w:val="24"/>
        </w:rPr>
        <w:t>. doi: 10.1108/JCRE-09-2015-0022.</w:t>
      </w:r>
    </w:p>
    <w:p w14:paraId="6DD6C044"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Crowe, C. </w:t>
      </w:r>
      <w:r w:rsidRPr="00C27582">
        <w:rPr>
          <w:rFonts w:cs="Times New Roman"/>
          <w:i/>
          <w:iCs/>
          <w:noProof/>
          <w:szCs w:val="24"/>
        </w:rPr>
        <w:t>et al.</w:t>
      </w:r>
      <w:r w:rsidRPr="00C27582">
        <w:rPr>
          <w:rFonts w:cs="Times New Roman"/>
          <w:noProof/>
          <w:szCs w:val="24"/>
        </w:rPr>
        <w:t xml:space="preserve"> (2013) ‘How to deal with real estate booms: Lessons from country experiences’, </w:t>
      </w:r>
      <w:r w:rsidRPr="00C27582">
        <w:rPr>
          <w:rFonts w:cs="Times New Roman"/>
          <w:i/>
          <w:iCs/>
          <w:noProof/>
          <w:szCs w:val="24"/>
        </w:rPr>
        <w:t>Journal of Financial Stability</w:t>
      </w:r>
      <w:r w:rsidRPr="00C27582">
        <w:rPr>
          <w:rFonts w:cs="Times New Roman"/>
          <w:noProof/>
          <w:szCs w:val="24"/>
        </w:rPr>
        <w:t>. doi: 10.1016/j.jfs.2013.05.003.</w:t>
      </w:r>
    </w:p>
    <w:p w14:paraId="629AD747"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Foxall, G. R. (2014) </w:t>
      </w:r>
      <w:r w:rsidRPr="00C27582">
        <w:rPr>
          <w:rFonts w:cs="Times New Roman"/>
          <w:i/>
          <w:iCs/>
          <w:noProof/>
          <w:szCs w:val="24"/>
        </w:rPr>
        <w:t>Strategic marketing management</w:t>
      </w:r>
      <w:r w:rsidRPr="00C27582">
        <w:rPr>
          <w:rFonts w:cs="Times New Roman"/>
          <w:noProof/>
          <w:szCs w:val="24"/>
        </w:rPr>
        <w:t xml:space="preserve">, </w:t>
      </w:r>
      <w:r w:rsidRPr="00C27582">
        <w:rPr>
          <w:rFonts w:cs="Times New Roman"/>
          <w:i/>
          <w:iCs/>
          <w:noProof/>
          <w:szCs w:val="24"/>
        </w:rPr>
        <w:t>Strategic Marketing Management</w:t>
      </w:r>
      <w:r w:rsidRPr="00C27582">
        <w:rPr>
          <w:rFonts w:cs="Times New Roman"/>
          <w:noProof/>
          <w:szCs w:val="24"/>
        </w:rPr>
        <w:t>. doi: 10.4324/9781315762043.</w:t>
      </w:r>
    </w:p>
    <w:p w14:paraId="6941B241"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Freeman, R. E. (2015) </w:t>
      </w:r>
      <w:r w:rsidRPr="00C27582">
        <w:rPr>
          <w:rFonts w:cs="Times New Roman"/>
          <w:i/>
          <w:iCs/>
          <w:noProof/>
          <w:szCs w:val="24"/>
        </w:rPr>
        <w:t>Strategic management: A stakeholder approach</w:t>
      </w:r>
      <w:r w:rsidRPr="00C27582">
        <w:rPr>
          <w:rFonts w:cs="Times New Roman"/>
          <w:noProof/>
          <w:szCs w:val="24"/>
        </w:rPr>
        <w:t xml:space="preserve">, </w:t>
      </w:r>
      <w:r w:rsidRPr="00C27582">
        <w:rPr>
          <w:rFonts w:cs="Times New Roman"/>
          <w:i/>
          <w:iCs/>
          <w:noProof/>
          <w:szCs w:val="24"/>
        </w:rPr>
        <w:t>Strategic Management: A Stakeholder Approach</w:t>
      </w:r>
      <w:r w:rsidRPr="00C27582">
        <w:rPr>
          <w:rFonts w:cs="Times New Roman"/>
          <w:noProof/>
          <w:szCs w:val="24"/>
        </w:rPr>
        <w:t>. doi: 10.1017/CBO9781139192675.</w:t>
      </w:r>
    </w:p>
    <w:p w14:paraId="1860644C"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Del Giudice, V., De Paola, P. and Del Giudice, F. P. (2020) ‘COVID-19 infects real estate markets: Short and mid-run effects on housing prices in Campania region (Italy)’, </w:t>
      </w:r>
      <w:r w:rsidRPr="00C27582">
        <w:rPr>
          <w:rFonts w:cs="Times New Roman"/>
          <w:i/>
          <w:iCs/>
          <w:noProof/>
          <w:szCs w:val="24"/>
        </w:rPr>
        <w:t>Social Sciences</w:t>
      </w:r>
      <w:r w:rsidRPr="00C27582">
        <w:rPr>
          <w:rFonts w:cs="Times New Roman"/>
          <w:noProof/>
          <w:szCs w:val="24"/>
        </w:rPr>
        <w:t>. doi: 10.3390/SOCSCI9070114.</w:t>
      </w:r>
    </w:p>
    <w:p w14:paraId="44F474AD"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Gujral, V. </w:t>
      </w:r>
      <w:r w:rsidRPr="00C27582">
        <w:rPr>
          <w:rFonts w:cs="Times New Roman"/>
          <w:i/>
          <w:iCs/>
          <w:noProof/>
          <w:szCs w:val="24"/>
        </w:rPr>
        <w:t>et al.</w:t>
      </w:r>
      <w:r w:rsidRPr="00C27582">
        <w:rPr>
          <w:rFonts w:cs="Times New Roman"/>
          <w:noProof/>
          <w:szCs w:val="24"/>
        </w:rPr>
        <w:t xml:space="preserve"> (2020) ‘Commercial real estate must do more than merely adapt to coronavrius’, </w:t>
      </w:r>
      <w:r w:rsidRPr="00C27582">
        <w:rPr>
          <w:rFonts w:cs="Times New Roman"/>
          <w:i/>
          <w:iCs/>
          <w:noProof/>
          <w:szCs w:val="24"/>
        </w:rPr>
        <w:t>McKinsey &amp; Company</w:t>
      </w:r>
      <w:r w:rsidRPr="00C27582">
        <w:rPr>
          <w:rFonts w:cs="Times New Roman"/>
          <w:noProof/>
          <w:szCs w:val="24"/>
        </w:rPr>
        <w:t>.</w:t>
      </w:r>
    </w:p>
    <w:p w14:paraId="712CEC1C"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Hartley, S. (2011) ‘The effectiveness of the Chief Technology Officer’, </w:t>
      </w:r>
      <w:r w:rsidRPr="00C27582">
        <w:rPr>
          <w:rFonts w:cs="Times New Roman"/>
          <w:i/>
          <w:iCs/>
          <w:noProof/>
          <w:szCs w:val="24"/>
        </w:rPr>
        <w:t>Research Technology Management</w:t>
      </w:r>
      <w:r w:rsidRPr="00C27582">
        <w:rPr>
          <w:rFonts w:cs="Times New Roman"/>
          <w:noProof/>
          <w:szCs w:val="24"/>
        </w:rPr>
        <w:t>. doi: 10.5437/08953608X5403006.</w:t>
      </w:r>
    </w:p>
    <w:p w14:paraId="636AD126"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van der Hoven, C. </w:t>
      </w:r>
      <w:r w:rsidRPr="00C27582">
        <w:rPr>
          <w:rFonts w:cs="Times New Roman"/>
          <w:i/>
          <w:iCs/>
          <w:noProof/>
          <w:szCs w:val="24"/>
        </w:rPr>
        <w:t>et al.</w:t>
      </w:r>
      <w:r w:rsidRPr="00C27582">
        <w:rPr>
          <w:rFonts w:cs="Times New Roman"/>
          <w:noProof/>
          <w:szCs w:val="24"/>
        </w:rPr>
        <w:t xml:space="preserve"> (2013) ‘Dynamic technology leadership’, </w:t>
      </w:r>
      <w:r w:rsidRPr="00C27582">
        <w:rPr>
          <w:rFonts w:cs="Times New Roman"/>
          <w:i/>
          <w:iCs/>
          <w:noProof/>
          <w:szCs w:val="24"/>
        </w:rPr>
        <w:t>IEEE Engineering Management Review</w:t>
      </w:r>
      <w:r w:rsidRPr="00C27582">
        <w:rPr>
          <w:rFonts w:cs="Times New Roman"/>
          <w:noProof/>
          <w:szCs w:val="24"/>
        </w:rPr>
        <w:t>. doi: 10.1109/emr.2013.6489841.</w:t>
      </w:r>
    </w:p>
    <w:p w14:paraId="13E69D10"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López-Nicolás, C. and Meroño-Cerdán, Á. L. (2011) ‘Strategic knowledge management, innovation and performance’, </w:t>
      </w:r>
      <w:r w:rsidRPr="00C27582">
        <w:rPr>
          <w:rFonts w:cs="Times New Roman"/>
          <w:i/>
          <w:iCs/>
          <w:noProof/>
          <w:szCs w:val="24"/>
        </w:rPr>
        <w:t>International Journal of Information Management</w:t>
      </w:r>
      <w:r w:rsidRPr="00C27582">
        <w:rPr>
          <w:rFonts w:cs="Times New Roman"/>
          <w:noProof/>
          <w:szCs w:val="24"/>
        </w:rPr>
        <w:t>. doi: 10.1016/j.ijinfomgt.2011.02.003.</w:t>
      </w:r>
    </w:p>
    <w:p w14:paraId="112424C4"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O’Brien, F. (2015) ‘London housing demand intensifies squeeze on first time buyers.’, </w:t>
      </w:r>
      <w:r w:rsidRPr="00C27582">
        <w:rPr>
          <w:rFonts w:cs="Times New Roman"/>
          <w:i/>
          <w:iCs/>
          <w:noProof/>
          <w:szCs w:val="24"/>
        </w:rPr>
        <w:t>Bloomberg.com</w:t>
      </w:r>
      <w:r w:rsidRPr="00C27582">
        <w:rPr>
          <w:rFonts w:cs="Times New Roman"/>
          <w:noProof/>
          <w:szCs w:val="24"/>
        </w:rPr>
        <w:t>.</w:t>
      </w:r>
    </w:p>
    <w:p w14:paraId="32A31E4A"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Peiser, R. (2015) ‘Real Estate Development’, in </w:t>
      </w:r>
      <w:r w:rsidRPr="00C27582">
        <w:rPr>
          <w:rFonts w:cs="Times New Roman"/>
          <w:i/>
          <w:iCs/>
          <w:noProof/>
          <w:szCs w:val="24"/>
        </w:rPr>
        <w:t>International Encyclopedia of the Social &amp; Behavioral Sciences: Second Edition</w:t>
      </w:r>
      <w:r w:rsidRPr="00C27582">
        <w:rPr>
          <w:rFonts w:cs="Times New Roman"/>
          <w:noProof/>
          <w:szCs w:val="24"/>
        </w:rPr>
        <w:t>. doi: 10.1016/B978-0-08-097086-8.74034-7.</w:t>
      </w:r>
    </w:p>
    <w:p w14:paraId="36CDC15E"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Pitt, M. and Koufopoulos, D. (2017) </w:t>
      </w:r>
      <w:r w:rsidRPr="00C27582">
        <w:rPr>
          <w:rFonts w:cs="Times New Roman"/>
          <w:i/>
          <w:iCs/>
          <w:noProof/>
          <w:szCs w:val="24"/>
        </w:rPr>
        <w:t>Essentials of Strategic Management</w:t>
      </w:r>
      <w:r w:rsidRPr="00C27582">
        <w:rPr>
          <w:rFonts w:cs="Times New Roman"/>
          <w:noProof/>
          <w:szCs w:val="24"/>
        </w:rPr>
        <w:t xml:space="preserve">, </w:t>
      </w:r>
      <w:r w:rsidRPr="00C27582">
        <w:rPr>
          <w:rFonts w:cs="Times New Roman"/>
          <w:i/>
          <w:iCs/>
          <w:noProof/>
          <w:szCs w:val="24"/>
        </w:rPr>
        <w:t>Essentials of Strategic Management</w:t>
      </w:r>
      <w:r w:rsidRPr="00C27582">
        <w:rPr>
          <w:rFonts w:cs="Times New Roman"/>
          <w:noProof/>
          <w:szCs w:val="24"/>
        </w:rPr>
        <w:t>. doi: 10.4135/9781526435736.</w:t>
      </w:r>
    </w:p>
    <w:p w14:paraId="0E800DBD"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lastRenderedPageBreak/>
        <w:t xml:space="preserve">Rightmove (2021) </w:t>
      </w:r>
      <w:r w:rsidRPr="00C27582">
        <w:rPr>
          <w:rFonts w:cs="Times New Roman"/>
          <w:i/>
          <w:iCs/>
          <w:noProof/>
          <w:szCs w:val="24"/>
        </w:rPr>
        <w:t>About Rightmove – Rightmove Investor Centre</w:t>
      </w:r>
      <w:r w:rsidRPr="00C27582">
        <w:rPr>
          <w:rFonts w:cs="Times New Roman"/>
          <w:noProof/>
          <w:szCs w:val="24"/>
        </w:rPr>
        <w:t>. Available at: https://plc.rightmove.co.uk/about-us/company-overview.aspx (Accessed: 16 February 2021).</w:t>
      </w:r>
    </w:p>
    <w:p w14:paraId="619BD649"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Sammut-Bonnici, T. and Galea, D. (2015) ‘PEST analysis’, in </w:t>
      </w:r>
      <w:r w:rsidRPr="00C27582">
        <w:rPr>
          <w:rFonts w:cs="Times New Roman"/>
          <w:i/>
          <w:iCs/>
          <w:noProof/>
          <w:szCs w:val="24"/>
        </w:rPr>
        <w:t>Wiley Encyclopedia of Management</w:t>
      </w:r>
      <w:r w:rsidRPr="00C27582">
        <w:rPr>
          <w:rFonts w:cs="Times New Roman"/>
          <w:noProof/>
          <w:szCs w:val="24"/>
        </w:rPr>
        <w:t>. doi: 10.1002/9781118785317.weom120113.</w:t>
      </w:r>
    </w:p>
    <w:p w14:paraId="3278AB6D" w14:textId="77777777" w:rsidR="00C27582" w:rsidRPr="00C27582" w:rsidRDefault="00C27582" w:rsidP="00C27582">
      <w:pPr>
        <w:widowControl w:val="0"/>
        <w:autoSpaceDE w:val="0"/>
        <w:autoSpaceDN w:val="0"/>
        <w:adjustRightInd w:val="0"/>
        <w:spacing w:line="240" w:lineRule="auto"/>
        <w:rPr>
          <w:rFonts w:cs="Times New Roman"/>
          <w:noProof/>
          <w:szCs w:val="24"/>
        </w:rPr>
      </w:pPr>
      <w:r w:rsidRPr="00C27582">
        <w:rPr>
          <w:rFonts w:cs="Times New Roman"/>
          <w:noProof/>
          <w:szCs w:val="24"/>
        </w:rPr>
        <w:t xml:space="preserve">Ullah, F. and Sepasgozar, S. M. E. (2020) ‘Key factors influencing purchase or rent decisions in smart real estate investments: A system dynamics approach using online forum thread data’, </w:t>
      </w:r>
      <w:r w:rsidRPr="00C27582">
        <w:rPr>
          <w:rFonts w:cs="Times New Roman"/>
          <w:i/>
          <w:iCs/>
          <w:noProof/>
          <w:szCs w:val="24"/>
        </w:rPr>
        <w:t>Sustainability (Switzerland)</w:t>
      </w:r>
      <w:r w:rsidRPr="00C27582">
        <w:rPr>
          <w:rFonts w:cs="Times New Roman"/>
          <w:noProof/>
          <w:szCs w:val="24"/>
        </w:rPr>
        <w:t>. doi: 10.3390/su12114382.</w:t>
      </w:r>
    </w:p>
    <w:p w14:paraId="5A554691" w14:textId="77777777" w:rsidR="00C27582" w:rsidRPr="00C27582" w:rsidRDefault="00C27582" w:rsidP="00C27582">
      <w:pPr>
        <w:widowControl w:val="0"/>
        <w:autoSpaceDE w:val="0"/>
        <w:autoSpaceDN w:val="0"/>
        <w:adjustRightInd w:val="0"/>
        <w:spacing w:line="240" w:lineRule="auto"/>
        <w:rPr>
          <w:rFonts w:cs="Times New Roman"/>
          <w:noProof/>
        </w:rPr>
      </w:pPr>
      <w:r w:rsidRPr="00C27582">
        <w:rPr>
          <w:rFonts w:cs="Times New Roman"/>
          <w:noProof/>
          <w:szCs w:val="24"/>
        </w:rPr>
        <w:t xml:space="preserve">Wilkinson, S., Thompson, B. and ke, Q. (2012) ‘Whether environmental factors matter: Some evidence from UK property companies’, </w:t>
      </w:r>
      <w:r w:rsidRPr="00C27582">
        <w:rPr>
          <w:rFonts w:cs="Times New Roman"/>
          <w:i/>
          <w:iCs/>
          <w:noProof/>
          <w:szCs w:val="24"/>
        </w:rPr>
        <w:t>Journal of Corporate Real Estate</w:t>
      </w:r>
      <w:r w:rsidRPr="00C27582">
        <w:rPr>
          <w:rFonts w:cs="Times New Roman"/>
          <w:noProof/>
          <w:szCs w:val="24"/>
        </w:rPr>
        <w:t>. doi: 10.1108/14630011211231419.</w:t>
      </w:r>
    </w:p>
    <w:p w14:paraId="14811DF1" w14:textId="77777777" w:rsidR="008108B3" w:rsidRPr="007E03CB" w:rsidRDefault="00C27582">
      <w:pPr>
        <w:rPr>
          <w:lang w:val="en-AU"/>
        </w:rPr>
      </w:pPr>
      <w:r>
        <w:rPr>
          <w:lang w:val="en-AU"/>
        </w:rPr>
        <w:fldChar w:fldCharType="end"/>
      </w:r>
      <w:r w:rsidR="008108B3" w:rsidRPr="007E03CB">
        <w:rPr>
          <w:lang w:val="en-AU"/>
        </w:rPr>
        <w:br w:type="page"/>
      </w:r>
    </w:p>
    <w:p w14:paraId="3866644B" w14:textId="77777777" w:rsidR="008108B3" w:rsidRPr="007E03CB" w:rsidRDefault="008108B3" w:rsidP="008108B3">
      <w:pPr>
        <w:pStyle w:val="1"/>
        <w:rPr>
          <w:lang w:val="en-AU"/>
        </w:rPr>
      </w:pPr>
      <w:bookmarkStart w:id="19" w:name="_Toc64440322"/>
      <w:r w:rsidRPr="007E03CB">
        <w:rPr>
          <w:lang w:val="en-AU"/>
        </w:rPr>
        <w:lastRenderedPageBreak/>
        <w:t>Appendices</w:t>
      </w:r>
      <w:bookmarkEnd w:id="19"/>
    </w:p>
    <w:p w14:paraId="4B225E7F" w14:textId="77777777" w:rsidR="008108B3" w:rsidRPr="007E03CB" w:rsidRDefault="008108B3" w:rsidP="00DE699F">
      <w:pPr>
        <w:pStyle w:val="2"/>
        <w:rPr>
          <w:lang w:val="en-AU"/>
        </w:rPr>
      </w:pPr>
      <w:bookmarkStart w:id="20" w:name="_Toc64440323"/>
      <w:r w:rsidRPr="007E03CB">
        <w:rPr>
          <w:lang w:val="en-AU"/>
        </w:rPr>
        <w:t>Appendix 1: Income statement of Right</w:t>
      </w:r>
      <w:r w:rsidR="00063EFA">
        <w:rPr>
          <w:lang w:val="en-AU"/>
        </w:rPr>
        <w:t>m</w:t>
      </w:r>
      <w:r w:rsidRPr="007E03CB">
        <w:rPr>
          <w:lang w:val="en-AU"/>
        </w:rPr>
        <w:t>ove Plc.</w:t>
      </w:r>
      <w:bookmarkEnd w:id="20"/>
      <w:r w:rsidRPr="007E03CB">
        <w:rPr>
          <w:lang w:val="en-AU"/>
        </w:rPr>
        <w:t xml:space="preserve"> </w:t>
      </w:r>
    </w:p>
    <w:p w14:paraId="00901265" w14:textId="77777777" w:rsidR="008108B3" w:rsidRDefault="008108B3" w:rsidP="008108B3">
      <w:pPr>
        <w:rPr>
          <w:lang w:val="en-AU"/>
        </w:rPr>
      </w:pPr>
      <w:r w:rsidRPr="007E03CB">
        <w:rPr>
          <w:noProof/>
        </w:rPr>
        <w:drawing>
          <wp:inline distT="0" distB="0" distL="0" distR="0" wp14:anchorId="4AF8A5FC" wp14:editId="40048D7D">
            <wp:extent cx="5943600" cy="16236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623695"/>
                    </a:xfrm>
                    <a:prstGeom prst="rect">
                      <a:avLst/>
                    </a:prstGeom>
                  </pic:spPr>
                </pic:pic>
              </a:graphicData>
            </a:graphic>
          </wp:inline>
        </w:drawing>
      </w:r>
    </w:p>
    <w:p w14:paraId="321E6184" w14:textId="77777777" w:rsidR="0020668D" w:rsidRDefault="0020668D" w:rsidP="00DE699F">
      <w:pPr>
        <w:pStyle w:val="2"/>
        <w:rPr>
          <w:lang w:val="en-AU"/>
        </w:rPr>
      </w:pPr>
      <w:bookmarkStart w:id="21" w:name="_Toc64440324"/>
      <w:r>
        <w:rPr>
          <w:lang w:val="en-AU"/>
        </w:rPr>
        <w:t>Appendix 2: Training plan</w:t>
      </w:r>
      <w:bookmarkEnd w:id="21"/>
    </w:p>
    <w:tbl>
      <w:tblPr>
        <w:tblStyle w:val="af8"/>
        <w:tblW w:w="0" w:type="auto"/>
        <w:tblLook w:val="04A0" w:firstRow="1" w:lastRow="0" w:firstColumn="1" w:lastColumn="0" w:noHBand="0" w:noVBand="1"/>
      </w:tblPr>
      <w:tblGrid>
        <w:gridCol w:w="625"/>
        <w:gridCol w:w="5608"/>
        <w:gridCol w:w="3117"/>
      </w:tblGrid>
      <w:tr w:rsidR="0020668D" w14:paraId="7D3B31BE" w14:textId="77777777" w:rsidTr="0020668D">
        <w:tc>
          <w:tcPr>
            <w:tcW w:w="625" w:type="dxa"/>
          </w:tcPr>
          <w:p w14:paraId="528FE0F7" w14:textId="77777777" w:rsidR="0020668D" w:rsidRDefault="0020668D" w:rsidP="008108B3">
            <w:pPr>
              <w:rPr>
                <w:lang w:val="en-AU"/>
              </w:rPr>
            </w:pPr>
            <w:r>
              <w:rPr>
                <w:lang w:val="en-AU"/>
              </w:rPr>
              <w:t>Sr#</w:t>
            </w:r>
          </w:p>
        </w:tc>
        <w:tc>
          <w:tcPr>
            <w:tcW w:w="5608" w:type="dxa"/>
          </w:tcPr>
          <w:p w14:paraId="74B64B2B" w14:textId="77777777" w:rsidR="0020668D" w:rsidRDefault="0020668D" w:rsidP="008108B3">
            <w:pPr>
              <w:rPr>
                <w:lang w:val="en-AU"/>
              </w:rPr>
            </w:pPr>
            <w:r>
              <w:rPr>
                <w:lang w:val="en-AU"/>
              </w:rPr>
              <w:t xml:space="preserve">Training </w:t>
            </w:r>
          </w:p>
        </w:tc>
        <w:tc>
          <w:tcPr>
            <w:tcW w:w="3117" w:type="dxa"/>
          </w:tcPr>
          <w:p w14:paraId="106E9447" w14:textId="77777777" w:rsidR="0020668D" w:rsidRDefault="0020668D" w:rsidP="008108B3">
            <w:pPr>
              <w:rPr>
                <w:lang w:val="en-AU"/>
              </w:rPr>
            </w:pPr>
            <w:r>
              <w:rPr>
                <w:lang w:val="en-AU"/>
              </w:rPr>
              <w:t xml:space="preserve">Timeline </w:t>
            </w:r>
          </w:p>
        </w:tc>
      </w:tr>
      <w:tr w:rsidR="0020668D" w14:paraId="49B78B82" w14:textId="77777777" w:rsidTr="0020668D">
        <w:tc>
          <w:tcPr>
            <w:tcW w:w="625" w:type="dxa"/>
          </w:tcPr>
          <w:p w14:paraId="62F050F0" w14:textId="77777777" w:rsidR="0020668D" w:rsidRDefault="0020668D" w:rsidP="008108B3">
            <w:pPr>
              <w:rPr>
                <w:lang w:val="en-AU"/>
              </w:rPr>
            </w:pPr>
            <w:r>
              <w:rPr>
                <w:lang w:val="en-AU"/>
              </w:rPr>
              <w:t>1</w:t>
            </w:r>
          </w:p>
        </w:tc>
        <w:tc>
          <w:tcPr>
            <w:tcW w:w="5608" w:type="dxa"/>
          </w:tcPr>
          <w:p w14:paraId="385DFE66" w14:textId="77777777" w:rsidR="0020668D" w:rsidRDefault="00063EFA" w:rsidP="008108B3">
            <w:pPr>
              <w:rPr>
                <w:lang w:val="en-AU"/>
              </w:rPr>
            </w:pPr>
            <w:r>
              <w:rPr>
                <w:lang w:val="en-AU"/>
              </w:rPr>
              <w:t>The o</w:t>
            </w:r>
            <w:r w:rsidR="0020668D">
              <w:rPr>
                <w:lang w:val="en-AU"/>
              </w:rPr>
              <w:t xml:space="preserve">rientation of the organisation </w:t>
            </w:r>
          </w:p>
        </w:tc>
        <w:tc>
          <w:tcPr>
            <w:tcW w:w="3117" w:type="dxa"/>
          </w:tcPr>
          <w:p w14:paraId="08F56886" w14:textId="77777777" w:rsidR="0020668D" w:rsidRDefault="0020668D" w:rsidP="008108B3">
            <w:pPr>
              <w:rPr>
                <w:lang w:val="en-AU"/>
              </w:rPr>
            </w:pPr>
            <w:r>
              <w:rPr>
                <w:lang w:val="en-AU"/>
              </w:rPr>
              <w:t>Mar-2021</w:t>
            </w:r>
          </w:p>
        </w:tc>
      </w:tr>
      <w:tr w:rsidR="0020668D" w14:paraId="683CEE79" w14:textId="77777777" w:rsidTr="0020668D">
        <w:tc>
          <w:tcPr>
            <w:tcW w:w="625" w:type="dxa"/>
          </w:tcPr>
          <w:p w14:paraId="216FE839" w14:textId="77777777" w:rsidR="0020668D" w:rsidRDefault="0020668D" w:rsidP="008108B3">
            <w:pPr>
              <w:rPr>
                <w:lang w:val="en-AU"/>
              </w:rPr>
            </w:pPr>
            <w:r>
              <w:rPr>
                <w:lang w:val="en-AU"/>
              </w:rPr>
              <w:t>2</w:t>
            </w:r>
          </w:p>
        </w:tc>
        <w:tc>
          <w:tcPr>
            <w:tcW w:w="5608" w:type="dxa"/>
          </w:tcPr>
          <w:p w14:paraId="5D2C9F0F" w14:textId="77777777" w:rsidR="0020668D" w:rsidRDefault="00063EFA" w:rsidP="008108B3">
            <w:pPr>
              <w:rPr>
                <w:lang w:val="en-AU"/>
              </w:rPr>
            </w:pPr>
            <w:r>
              <w:rPr>
                <w:lang w:val="en-AU"/>
              </w:rPr>
              <w:t>The e</w:t>
            </w:r>
            <w:r w:rsidR="0020668D">
              <w:rPr>
                <w:lang w:val="en-AU"/>
              </w:rPr>
              <w:t>xisting infrastructure of technology within Rightmove</w:t>
            </w:r>
          </w:p>
        </w:tc>
        <w:tc>
          <w:tcPr>
            <w:tcW w:w="3117" w:type="dxa"/>
          </w:tcPr>
          <w:p w14:paraId="13DEDFD0" w14:textId="77777777" w:rsidR="0020668D" w:rsidRDefault="0020668D" w:rsidP="008108B3">
            <w:pPr>
              <w:rPr>
                <w:lang w:val="en-AU"/>
              </w:rPr>
            </w:pPr>
            <w:r>
              <w:rPr>
                <w:lang w:val="en-AU"/>
              </w:rPr>
              <w:t>Mar-2021</w:t>
            </w:r>
          </w:p>
        </w:tc>
      </w:tr>
      <w:tr w:rsidR="0020668D" w14:paraId="3B868644" w14:textId="77777777" w:rsidTr="0020668D">
        <w:tc>
          <w:tcPr>
            <w:tcW w:w="625" w:type="dxa"/>
          </w:tcPr>
          <w:p w14:paraId="049595D7" w14:textId="77777777" w:rsidR="0020668D" w:rsidRDefault="0020668D" w:rsidP="008108B3">
            <w:pPr>
              <w:rPr>
                <w:lang w:val="en-AU"/>
              </w:rPr>
            </w:pPr>
            <w:r>
              <w:rPr>
                <w:lang w:val="en-AU"/>
              </w:rPr>
              <w:t>3</w:t>
            </w:r>
          </w:p>
        </w:tc>
        <w:tc>
          <w:tcPr>
            <w:tcW w:w="5608" w:type="dxa"/>
          </w:tcPr>
          <w:p w14:paraId="79A21293" w14:textId="77777777" w:rsidR="0020668D" w:rsidRDefault="0020668D" w:rsidP="008108B3">
            <w:pPr>
              <w:rPr>
                <w:lang w:val="en-AU"/>
              </w:rPr>
            </w:pPr>
            <w:r>
              <w:rPr>
                <w:lang w:val="en-AU"/>
              </w:rPr>
              <w:t xml:space="preserve">New technology projects </w:t>
            </w:r>
          </w:p>
        </w:tc>
        <w:tc>
          <w:tcPr>
            <w:tcW w:w="3117" w:type="dxa"/>
          </w:tcPr>
          <w:p w14:paraId="59AF7774" w14:textId="77777777" w:rsidR="0020668D" w:rsidRDefault="0020668D" w:rsidP="008108B3">
            <w:pPr>
              <w:rPr>
                <w:lang w:val="en-AU"/>
              </w:rPr>
            </w:pPr>
            <w:r>
              <w:rPr>
                <w:lang w:val="en-AU"/>
              </w:rPr>
              <w:t>Apr-2021</w:t>
            </w:r>
          </w:p>
        </w:tc>
      </w:tr>
    </w:tbl>
    <w:p w14:paraId="32D9B279" w14:textId="77777777" w:rsidR="0020668D" w:rsidRDefault="0020668D" w:rsidP="008108B3">
      <w:pPr>
        <w:rPr>
          <w:lang w:val="en-AU"/>
        </w:rPr>
      </w:pPr>
    </w:p>
    <w:p w14:paraId="481D47F9" w14:textId="77777777" w:rsidR="008820DA" w:rsidRDefault="008820DA" w:rsidP="008108B3">
      <w:pPr>
        <w:rPr>
          <w:lang w:val="en-AU"/>
        </w:rPr>
      </w:pPr>
    </w:p>
    <w:p w14:paraId="265F0256" w14:textId="77777777" w:rsidR="008820DA" w:rsidRDefault="008820DA">
      <w:pPr>
        <w:rPr>
          <w:lang w:val="en-AU"/>
        </w:rPr>
      </w:pPr>
      <w:r>
        <w:rPr>
          <w:lang w:val="en-AU"/>
        </w:rPr>
        <w:br w:type="page"/>
      </w:r>
    </w:p>
    <w:p w14:paraId="25E96B3F" w14:textId="77777777" w:rsidR="007E03CB" w:rsidRDefault="0020668D" w:rsidP="00DE699F">
      <w:pPr>
        <w:pStyle w:val="2"/>
        <w:rPr>
          <w:lang w:val="en-AU"/>
        </w:rPr>
      </w:pPr>
      <w:bookmarkStart w:id="22" w:name="_Toc64440326"/>
      <w:r>
        <w:rPr>
          <w:lang w:val="en-AU"/>
        </w:rPr>
        <w:lastRenderedPageBreak/>
        <w:t>Appendix 3</w:t>
      </w:r>
      <w:r w:rsidR="007E03CB">
        <w:rPr>
          <w:lang w:val="en-AU"/>
        </w:rPr>
        <w:t xml:space="preserve">: </w:t>
      </w:r>
      <w:r w:rsidR="00063EFA">
        <w:rPr>
          <w:lang w:val="en-AU"/>
        </w:rPr>
        <w:t>The b</w:t>
      </w:r>
      <w:r w:rsidR="007E03CB">
        <w:rPr>
          <w:lang w:val="en-AU"/>
        </w:rPr>
        <w:t>usiness model canvas of Right</w:t>
      </w:r>
      <w:r w:rsidR="00063EFA">
        <w:rPr>
          <w:lang w:val="en-AU"/>
        </w:rPr>
        <w:t>m</w:t>
      </w:r>
      <w:r w:rsidR="007E03CB">
        <w:rPr>
          <w:lang w:val="en-AU"/>
        </w:rPr>
        <w:t>ove Plc.</w:t>
      </w:r>
      <w:bookmarkEnd w:id="22"/>
      <w:r w:rsidR="007E03CB">
        <w:rPr>
          <w:lang w:val="en-AU"/>
        </w:rPr>
        <w:t xml:space="preserve"> </w:t>
      </w:r>
    </w:p>
    <w:p w14:paraId="06C406BD" w14:textId="77777777" w:rsidR="007E03CB" w:rsidRPr="007E03CB" w:rsidRDefault="007E03CB" w:rsidP="008108B3">
      <w:pPr>
        <w:rPr>
          <w:lang w:val="en-AU"/>
        </w:rPr>
      </w:pPr>
      <w:r>
        <w:rPr>
          <w:noProof/>
        </w:rPr>
        <w:drawing>
          <wp:inline distT="0" distB="0" distL="0" distR="0" wp14:anchorId="09B4BF31" wp14:editId="761778EA">
            <wp:extent cx="5762625" cy="4457030"/>
            <wp:effectExtent l="0" t="0" r="0" b="1270"/>
            <wp:docPr id="3" name="Picture 3" descr="https://lh3.googleusercontent.com/proxy/ogrQw0fpc3UThNpno-yO1f5BdLF9iDF30QwllIUt3DgKoH4vkPLjppAIhTZ3qjW5jDMuhnab4fsrDFB_UoqHJpbl4yUQ1gl2pOm82ldgm1L3iWZgI0kJGU3q7DG1GPSW2hHlW6dvjEdiApWkg-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proxy/ogrQw0fpc3UThNpno-yO1f5BdLF9iDF30QwllIUt3DgKoH4vkPLjppAIhTZ3qjW5jDMuhnab4fsrDFB_UoqHJpbl4yUQ1gl2pOm82ldgm1L3iWZgI0kJGU3q7DG1GPSW2hHlW6dvjEdiApWkg-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70285" cy="4462955"/>
                    </a:xfrm>
                    <a:prstGeom prst="rect">
                      <a:avLst/>
                    </a:prstGeom>
                    <a:noFill/>
                    <a:ln>
                      <a:noFill/>
                    </a:ln>
                  </pic:spPr>
                </pic:pic>
              </a:graphicData>
            </a:graphic>
          </wp:inline>
        </w:drawing>
      </w:r>
    </w:p>
    <w:p w14:paraId="294332A4" w14:textId="77777777" w:rsidR="000E1CDE" w:rsidRPr="007E03CB" w:rsidRDefault="000E1CDE">
      <w:pPr>
        <w:rPr>
          <w:lang w:val="en-AU"/>
        </w:rPr>
      </w:pPr>
    </w:p>
    <w:sectPr w:rsidR="000E1CDE" w:rsidRPr="007E03CB" w:rsidSect="000F2ED2">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8B2778" w14:textId="77777777" w:rsidR="00816C23" w:rsidRDefault="00816C23" w:rsidP="00055C0D">
      <w:pPr>
        <w:spacing w:after="0" w:line="240" w:lineRule="auto"/>
      </w:pPr>
      <w:r>
        <w:separator/>
      </w:r>
    </w:p>
  </w:endnote>
  <w:endnote w:type="continuationSeparator" w:id="0">
    <w:p w14:paraId="64EC3B2A" w14:textId="77777777" w:rsidR="00816C23" w:rsidRDefault="00816C23" w:rsidP="00055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1906907"/>
      <w:docPartObj>
        <w:docPartGallery w:val="Page Numbers (Bottom of Page)"/>
        <w:docPartUnique/>
      </w:docPartObj>
    </w:sdtPr>
    <w:sdtEndPr>
      <w:rPr>
        <w:noProof/>
      </w:rPr>
    </w:sdtEndPr>
    <w:sdtContent>
      <w:p w14:paraId="4B250387" w14:textId="77777777" w:rsidR="001004C0" w:rsidRDefault="001004C0">
        <w:pPr>
          <w:pStyle w:val="afb"/>
          <w:jc w:val="center"/>
        </w:pPr>
        <w:r>
          <w:fldChar w:fldCharType="begin"/>
        </w:r>
        <w:r>
          <w:instrText xml:space="preserve"> PAGE   \* MERGEFORMAT </w:instrText>
        </w:r>
        <w:r>
          <w:fldChar w:fldCharType="separate"/>
        </w:r>
        <w:r w:rsidR="00DE699F">
          <w:rPr>
            <w:noProof/>
          </w:rPr>
          <w:t>2</w:t>
        </w:r>
        <w:r>
          <w:rPr>
            <w:noProof/>
          </w:rPr>
          <w:fldChar w:fldCharType="end"/>
        </w:r>
      </w:p>
    </w:sdtContent>
  </w:sdt>
  <w:p w14:paraId="66051CF8" w14:textId="77777777" w:rsidR="001004C0" w:rsidRDefault="001004C0">
    <w:pPr>
      <w:pStyle w:val="af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215F51" w14:textId="77777777" w:rsidR="00816C23" w:rsidRDefault="00816C23" w:rsidP="00055C0D">
      <w:pPr>
        <w:spacing w:after="0" w:line="240" w:lineRule="auto"/>
      </w:pPr>
      <w:r>
        <w:separator/>
      </w:r>
    </w:p>
  </w:footnote>
  <w:footnote w:type="continuationSeparator" w:id="0">
    <w:p w14:paraId="16A4FBA7" w14:textId="77777777" w:rsidR="00816C23" w:rsidRDefault="00816C23" w:rsidP="00055C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CF4D4B"/>
    <w:multiLevelType w:val="hybridMultilevel"/>
    <w:tmpl w:val="D08E91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8E1A65"/>
    <w:multiLevelType w:val="hybridMultilevel"/>
    <w:tmpl w:val="48C4F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2534C4"/>
    <w:multiLevelType w:val="hybridMultilevel"/>
    <w:tmpl w:val="6AAA7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1MDE2MTc0tDQzNrNU0lEKTi0uzszPAykwrgUApTaWZywAAAA="/>
  </w:docVars>
  <w:rsids>
    <w:rsidRoot w:val="000F2ED2"/>
    <w:rsid w:val="00055C0D"/>
    <w:rsid w:val="000572D9"/>
    <w:rsid w:val="00063EFA"/>
    <w:rsid w:val="000875AB"/>
    <w:rsid w:val="000E1CDE"/>
    <w:rsid w:val="000F2ED2"/>
    <w:rsid w:val="001004C0"/>
    <w:rsid w:val="00182299"/>
    <w:rsid w:val="0020668D"/>
    <w:rsid w:val="00221194"/>
    <w:rsid w:val="00266C91"/>
    <w:rsid w:val="002B6441"/>
    <w:rsid w:val="003572F5"/>
    <w:rsid w:val="00380500"/>
    <w:rsid w:val="003856D5"/>
    <w:rsid w:val="0039025B"/>
    <w:rsid w:val="003F3515"/>
    <w:rsid w:val="00420BD9"/>
    <w:rsid w:val="00531998"/>
    <w:rsid w:val="005B333A"/>
    <w:rsid w:val="00652B62"/>
    <w:rsid w:val="006922C3"/>
    <w:rsid w:val="007B4C57"/>
    <w:rsid w:val="007E03CB"/>
    <w:rsid w:val="008108B3"/>
    <w:rsid w:val="00816C23"/>
    <w:rsid w:val="00873278"/>
    <w:rsid w:val="008820DA"/>
    <w:rsid w:val="008B2BD5"/>
    <w:rsid w:val="008F30D2"/>
    <w:rsid w:val="00A33870"/>
    <w:rsid w:val="00C27582"/>
    <w:rsid w:val="00C600EA"/>
    <w:rsid w:val="00CB7463"/>
    <w:rsid w:val="00CD5CEF"/>
    <w:rsid w:val="00CE01B9"/>
    <w:rsid w:val="00DB6EE5"/>
    <w:rsid w:val="00DE699F"/>
    <w:rsid w:val="00FD28E1"/>
    <w:rsid w:val="00FF13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7FCF02"/>
  <w15:chartTrackingRefBased/>
  <w15:docId w15:val="{4FF74A7D-13CA-4C81-9B69-60C6E6940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F2ED2"/>
    <w:rPr>
      <w:rFonts w:ascii="Times New Roman" w:hAnsi="Times New Roman"/>
      <w:sz w:val="24"/>
    </w:rPr>
  </w:style>
  <w:style w:type="paragraph" w:styleId="1">
    <w:name w:val="heading 1"/>
    <w:basedOn w:val="a"/>
    <w:next w:val="a"/>
    <w:link w:val="10"/>
    <w:uiPriority w:val="9"/>
    <w:qFormat/>
    <w:rsid w:val="000F2ED2"/>
    <w:pPr>
      <w:spacing w:before="300" w:after="40"/>
      <w:jc w:val="left"/>
      <w:outlineLvl w:val="0"/>
    </w:pPr>
    <w:rPr>
      <w:smallCaps/>
      <w:spacing w:val="5"/>
      <w:sz w:val="32"/>
      <w:szCs w:val="32"/>
    </w:rPr>
  </w:style>
  <w:style w:type="paragraph" w:styleId="2">
    <w:name w:val="heading 2"/>
    <w:basedOn w:val="a"/>
    <w:next w:val="a"/>
    <w:link w:val="20"/>
    <w:uiPriority w:val="9"/>
    <w:unhideWhenUsed/>
    <w:qFormat/>
    <w:rsid w:val="000F2ED2"/>
    <w:pPr>
      <w:spacing w:after="0"/>
      <w:jc w:val="left"/>
      <w:outlineLvl w:val="1"/>
    </w:pPr>
    <w:rPr>
      <w:smallCaps/>
      <w:spacing w:val="5"/>
      <w:sz w:val="28"/>
      <w:szCs w:val="28"/>
    </w:rPr>
  </w:style>
  <w:style w:type="paragraph" w:styleId="3">
    <w:name w:val="heading 3"/>
    <w:basedOn w:val="a"/>
    <w:next w:val="a"/>
    <w:link w:val="30"/>
    <w:uiPriority w:val="9"/>
    <w:unhideWhenUsed/>
    <w:qFormat/>
    <w:rsid w:val="000F2ED2"/>
    <w:pPr>
      <w:spacing w:after="0"/>
      <w:jc w:val="left"/>
      <w:outlineLvl w:val="2"/>
    </w:pPr>
    <w:rPr>
      <w:smallCaps/>
      <w:spacing w:val="5"/>
      <w:szCs w:val="24"/>
    </w:rPr>
  </w:style>
  <w:style w:type="paragraph" w:styleId="4">
    <w:name w:val="heading 4"/>
    <w:basedOn w:val="a"/>
    <w:next w:val="a"/>
    <w:link w:val="40"/>
    <w:uiPriority w:val="9"/>
    <w:semiHidden/>
    <w:unhideWhenUsed/>
    <w:qFormat/>
    <w:rsid w:val="000F2ED2"/>
    <w:pPr>
      <w:spacing w:after="0"/>
      <w:jc w:val="left"/>
      <w:outlineLvl w:val="3"/>
    </w:pPr>
    <w:rPr>
      <w:i/>
      <w:iCs/>
      <w:smallCaps/>
      <w:spacing w:val="10"/>
      <w:sz w:val="22"/>
      <w:szCs w:val="22"/>
    </w:rPr>
  </w:style>
  <w:style w:type="paragraph" w:styleId="5">
    <w:name w:val="heading 5"/>
    <w:basedOn w:val="a"/>
    <w:next w:val="a"/>
    <w:link w:val="50"/>
    <w:uiPriority w:val="9"/>
    <w:semiHidden/>
    <w:unhideWhenUsed/>
    <w:qFormat/>
    <w:rsid w:val="000F2ED2"/>
    <w:pPr>
      <w:spacing w:after="0"/>
      <w:jc w:val="left"/>
      <w:outlineLvl w:val="4"/>
    </w:pPr>
    <w:rPr>
      <w:smallCaps/>
      <w:color w:val="393939" w:themeColor="accent6" w:themeShade="BF"/>
      <w:spacing w:val="10"/>
      <w:sz w:val="22"/>
      <w:szCs w:val="22"/>
    </w:rPr>
  </w:style>
  <w:style w:type="paragraph" w:styleId="6">
    <w:name w:val="heading 6"/>
    <w:basedOn w:val="a"/>
    <w:next w:val="a"/>
    <w:link w:val="60"/>
    <w:uiPriority w:val="9"/>
    <w:semiHidden/>
    <w:unhideWhenUsed/>
    <w:qFormat/>
    <w:rsid w:val="000F2ED2"/>
    <w:pPr>
      <w:spacing w:after="0"/>
      <w:jc w:val="left"/>
      <w:outlineLvl w:val="5"/>
    </w:pPr>
    <w:rPr>
      <w:smallCaps/>
      <w:color w:val="4D4D4D" w:themeColor="accent6"/>
      <w:spacing w:val="5"/>
      <w:sz w:val="22"/>
      <w:szCs w:val="22"/>
    </w:rPr>
  </w:style>
  <w:style w:type="paragraph" w:styleId="7">
    <w:name w:val="heading 7"/>
    <w:basedOn w:val="a"/>
    <w:next w:val="a"/>
    <w:link w:val="70"/>
    <w:uiPriority w:val="9"/>
    <w:semiHidden/>
    <w:unhideWhenUsed/>
    <w:qFormat/>
    <w:rsid w:val="000F2ED2"/>
    <w:pPr>
      <w:spacing w:after="0"/>
      <w:jc w:val="left"/>
      <w:outlineLvl w:val="6"/>
    </w:pPr>
    <w:rPr>
      <w:b/>
      <w:bCs/>
      <w:smallCaps/>
      <w:color w:val="4D4D4D" w:themeColor="accent6"/>
      <w:spacing w:val="10"/>
    </w:rPr>
  </w:style>
  <w:style w:type="paragraph" w:styleId="8">
    <w:name w:val="heading 8"/>
    <w:basedOn w:val="a"/>
    <w:next w:val="a"/>
    <w:link w:val="80"/>
    <w:uiPriority w:val="9"/>
    <w:semiHidden/>
    <w:unhideWhenUsed/>
    <w:qFormat/>
    <w:rsid w:val="000F2ED2"/>
    <w:pPr>
      <w:spacing w:after="0"/>
      <w:jc w:val="left"/>
      <w:outlineLvl w:val="7"/>
    </w:pPr>
    <w:rPr>
      <w:b/>
      <w:bCs/>
      <w:i/>
      <w:iCs/>
      <w:smallCaps/>
      <w:color w:val="393939" w:themeColor="accent6" w:themeShade="BF"/>
    </w:rPr>
  </w:style>
  <w:style w:type="paragraph" w:styleId="9">
    <w:name w:val="heading 9"/>
    <w:basedOn w:val="a"/>
    <w:next w:val="a"/>
    <w:link w:val="90"/>
    <w:uiPriority w:val="9"/>
    <w:semiHidden/>
    <w:unhideWhenUsed/>
    <w:qFormat/>
    <w:rsid w:val="000F2ED2"/>
    <w:pPr>
      <w:spacing w:after="0"/>
      <w:jc w:val="left"/>
      <w:outlineLvl w:val="8"/>
    </w:pPr>
    <w:rPr>
      <w:b/>
      <w:bCs/>
      <w:i/>
      <w:iCs/>
      <w:smallCaps/>
      <w:color w:val="262626" w:themeColor="accent6"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F2ED2"/>
    <w:rPr>
      <w:smallCaps/>
      <w:spacing w:val="5"/>
      <w:sz w:val="32"/>
      <w:szCs w:val="32"/>
    </w:rPr>
  </w:style>
  <w:style w:type="character" w:customStyle="1" w:styleId="20">
    <w:name w:val="Заглавие 2 Знак"/>
    <w:basedOn w:val="a0"/>
    <w:link w:val="2"/>
    <w:uiPriority w:val="9"/>
    <w:rsid w:val="000F2ED2"/>
    <w:rPr>
      <w:smallCaps/>
      <w:spacing w:val="5"/>
      <w:sz w:val="28"/>
      <w:szCs w:val="28"/>
    </w:rPr>
  </w:style>
  <w:style w:type="character" w:customStyle="1" w:styleId="30">
    <w:name w:val="Заглавие 3 Знак"/>
    <w:basedOn w:val="a0"/>
    <w:link w:val="3"/>
    <w:uiPriority w:val="9"/>
    <w:rsid w:val="000F2ED2"/>
    <w:rPr>
      <w:smallCaps/>
      <w:spacing w:val="5"/>
      <w:sz w:val="24"/>
      <w:szCs w:val="24"/>
    </w:rPr>
  </w:style>
  <w:style w:type="character" w:customStyle="1" w:styleId="40">
    <w:name w:val="Заглавие 4 Знак"/>
    <w:basedOn w:val="a0"/>
    <w:link w:val="4"/>
    <w:uiPriority w:val="9"/>
    <w:semiHidden/>
    <w:rsid w:val="000F2ED2"/>
    <w:rPr>
      <w:i/>
      <w:iCs/>
      <w:smallCaps/>
      <w:spacing w:val="10"/>
      <w:sz w:val="22"/>
      <w:szCs w:val="22"/>
    </w:rPr>
  </w:style>
  <w:style w:type="character" w:customStyle="1" w:styleId="50">
    <w:name w:val="Заглавие 5 Знак"/>
    <w:basedOn w:val="a0"/>
    <w:link w:val="5"/>
    <w:uiPriority w:val="9"/>
    <w:semiHidden/>
    <w:rsid w:val="000F2ED2"/>
    <w:rPr>
      <w:smallCaps/>
      <w:color w:val="393939" w:themeColor="accent6" w:themeShade="BF"/>
      <w:spacing w:val="10"/>
      <w:sz w:val="22"/>
      <w:szCs w:val="22"/>
    </w:rPr>
  </w:style>
  <w:style w:type="character" w:customStyle="1" w:styleId="60">
    <w:name w:val="Заглавие 6 Знак"/>
    <w:basedOn w:val="a0"/>
    <w:link w:val="6"/>
    <w:uiPriority w:val="9"/>
    <w:semiHidden/>
    <w:rsid w:val="000F2ED2"/>
    <w:rPr>
      <w:smallCaps/>
      <w:color w:val="4D4D4D" w:themeColor="accent6"/>
      <w:spacing w:val="5"/>
      <w:sz w:val="22"/>
      <w:szCs w:val="22"/>
    </w:rPr>
  </w:style>
  <w:style w:type="character" w:customStyle="1" w:styleId="70">
    <w:name w:val="Заглавие 7 Знак"/>
    <w:basedOn w:val="a0"/>
    <w:link w:val="7"/>
    <w:uiPriority w:val="9"/>
    <w:semiHidden/>
    <w:rsid w:val="000F2ED2"/>
    <w:rPr>
      <w:b/>
      <w:bCs/>
      <w:smallCaps/>
      <w:color w:val="4D4D4D" w:themeColor="accent6"/>
      <w:spacing w:val="10"/>
    </w:rPr>
  </w:style>
  <w:style w:type="character" w:customStyle="1" w:styleId="80">
    <w:name w:val="Заглавие 8 Знак"/>
    <w:basedOn w:val="a0"/>
    <w:link w:val="8"/>
    <w:uiPriority w:val="9"/>
    <w:semiHidden/>
    <w:rsid w:val="000F2ED2"/>
    <w:rPr>
      <w:b/>
      <w:bCs/>
      <w:i/>
      <w:iCs/>
      <w:smallCaps/>
      <w:color w:val="393939" w:themeColor="accent6" w:themeShade="BF"/>
    </w:rPr>
  </w:style>
  <w:style w:type="character" w:customStyle="1" w:styleId="90">
    <w:name w:val="Заглавие 9 Знак"/>
    <w:basedOn w:val="a0"/>
    <w:link w:val="9"/>
    <w:uiPriority w:val="9"/>
    <w:semiHidden/>
    <w:rsid w:val="000F2ED2"/>
    <w:rPr>
      <w:b/>
      <w:bCs/>
      <w:i/>
      <w:iCs/>
      <w:smallCaps/>
      <w:color w:val="262626" w:themeColor="accent6" w:themeShade="80"/>
    </w:rPr>
  </w:style>
  <w:style w:type="paragraph" w:styleId="a3">
    <w:name w:val="caption"/>
    <w:basedOn w:val="a"/>
    <w:next w:val="a"/>
    <w:uiPriority w:val="35"/>
    <w:unhideWhenUsed/>
    <w:qFormat/>
    <w:rsid w:val="000F2ED2"/>
    <w:rPr>
      <w:b/>
      <w:bCs/>
      <w:caps/>
      <w:sz w:val="16"/>
      <w:szCs w:val="16"/>
    </w:rPr>
  </w:style>
  <w:style w:type="paragraph" w:styleId="a4">
    <w:name w:val="Title"/>
    <w:basedOn w:val="a"/>
    <w:next w:val="a"/>
    <w:link w:val="a5"/>
    <w:uiPriority w:val="10"/>
    <w:qFormat/>
    <w:rsid w:val="000F2ED2"/>
    <w:pPr>
      <w:pBdr>
        <w:top w:val="single" w:sz="8" w:space="1" w:color="4D4D4D" w:themeColor="accent6"/>
      </w:pBdr>
      <w:spacing w:after="120" w:line="240" w:lineRule="auto"/>
      <w:jc w:val="right"/>
    </w:pPr>
    <w:rPr>
      <w:smallCaps/>
      <w:color w:val="262626" w:themeColor="text1" w:themeTint="D9"/>
      <w:sz w:val="52"/>
      <w:szCs w:val="52"/>
    </w:rPr>
  </w:style>
  <w:style w:type="character" w:customStyle="1" w:styleId="a5">
    <w:name w:val="Заглавие Знак"/>
    <w:basedOn w:val="a0"/>
    <w:link w:val="a4"/>
    <w:uiPriority w:val="10"/>
    <w:rsid w:val="000F2ED2"/>
    <w:rPr>
      <w:smallCaps/>
      <w:color w:val="262626" w:themeColor="text1" w:themeTint="D9"/>
      <w:sz w:val="52"/>
      <w:szCs w:val="52"/>
    </w:rPr>
  </w:style>
  <w:style w:type="paragraph" w:styleId="a6">
    <w:name w:val="Subtitle"/>
    <w:basedOn w:val="a"/>
    <w:next w:val="a"/>
    <w:link w:val="a7"/>
    <w:uiPriority w:val="11"/>
    <w:qFormat/>
    <w:rsid w:val="000F2ED2"/>
    <w:pPr>
      <w:spacing w:after="720" w:line="240" w:lineRule="auto"/>
      <w:jc w:val="right"/>
    </w:pPr>
    <w:rPr>
      <w:rFonts w:asciiTheme="majorHAnsi" w:eastAsiaTheme="majorEastAsia" w:hAnsiTheme="majorHAnsi" w:cstheme="majorBidi"/>
    </w:rPr>
  </w:style>
  <w:style w:type="character" w:customStyle="1" w:styleId="a7">
    <w:name w:val="Подзаглавие Знак"/>
    <w:basedOn w:val="a0"/>
    <w:link w:val="a6"/>
    <w:uiPriority w:val="11"/>
    <w:rsid w:val="000F2ED2"/>
    <w:rPr>
      <w:rFonts w:asciiTheme="majorHAnsi" w:eastAsiaTheme="majorEastAsia" w:hAnsiTheme="majorHAnsi" w:cstheme="majorBidi"/>
    </w:rPr>
  </w:style>
  <w:style w:type="character" w:styleId="a8">
    <w:name w:val="Strong"/>
    <w:uiPriority w:val="22"/>
    <w:qFormat/>
    <w:rsid w:val="000F2ED2"/>
    <w:rPr>
      <w:b/>
      <w:bCs/>
      <w:color w:val="4D4D4D" w:themeColor="accent6"/>
    </w:rPr>
  </w:style>
  <w:style w:type="character" w:styleId="a9">
    <w:name w:val="Emphasis"/>
    <w:uiPriority w:val="20"/>
    <w:qFormat/>
    <w:rsid w:val="000F2ED2"/>
    <w:rPr>
      <w:b/>
      <w:bCs/>
      <w:i/>
      <w:iCs/>
      <w:spacing w:val="10"/>
    </w:rPr>
  </w:style>
  <w:style w:type="paragraph" w:styleId="aa">
    <w:name w:val="No Spacing"/>
    <w:link w:val="ab"/>
    <w:uiPriority w:val="1"/>
    <w:qFormat/>
    <w:rsid w:val="000F2ED2"/>
    <w:pPr>
      <w:spacing w:after="0" w:line="240" w:lineRule="auto"/>
    </w:pPr>
  </w:style>
  <w:style w:type="paragraph" w:styleId="ac">
    <w:name w:val="Quote"/>
    <w:basedOn w:val="a"/>
    <w:next w:val="a"/>
    <w:link w:val="ad"/>
    <w:uiPriority w:val="29"/>
    <w:qFormat/>
    <w:rsid w:val="000F2ED2"/>
    <w:rPr>
      <w:i/>
      <w:iCs/>
    </w:rPr>
  </w:style>
  <w:style w:type="character" w:customStyle="1" w:styleId="ad">
    <w:name w:val="Цитат Знак"/>
    <w:basedOn w:val="a0"/>
    <w:link w:val="ac"/>
    <w:uiPriority w:val="29"/>
    <w:rsid w:val="000F2ED2"/>
    <w:rPr>
      <w:i/>
      <w:iCs/>
    </w:rPr>
  </w:style>
  <w:style w:type="paragraph" w:styleId="ae">
    <w:name w:val="Intense Quote"/>
    <w:basedOn w:val="a"/>
    <w:next w:val="a"/>
    <w:link w:val="af"/>
    <w:uiPriority w:val="30"/>
    <w:qFormat/>
    <w:rsid w:val="000F2ED2"/>
    <w:pPr>
      <w:pBdr>
        <w:top w:val="single" w:sz="8" w:space="1" w:color="4D4D4D" w:themeColor="accent6"/>
      </w:pBdr>
      <w:spacing w:before="140" w:after="140"/>
      <w:ind w:left="1440" w:right="1440"/>
    </w:pPr>
    <w:rPr>
      <w:b/>
      <w:bCs/>
      <w:i/>
      <w:iCs/>
    </w:rPr>
  </w:style>
  <w:style w:type="character" w:customStyle="1" w:styleId="af">
    <w:name w:val="Интензивно цитиране Знак"/>
    <w:basedOn w:val="a0"/>
    <w:link w:val="ae"/>
    <w:uiPriority w:val="30"/>
    <w:rsid w:val="000F2ED2"/>
    <w:rPr>
      <w:b/>
      <w:bCs/>
      <w:i/>
      <w:iCs/>
    </w:rPr>
  </w:style>
  <w:style w:type="character" w:styleId="af0">
    <w:name w:val="Subtle Emphasis"/>
    <w:uiPriority w:val="19"/>
    <w:qFormat/>
    <w:rsid w:val="000F2ED2"/>
    <w:rPr>
      <w:i/>
      <w:iCs/>
    </w:rPr>
  </w:style>
  <w:style w:type="character" w:styleId="af1">
    <w:name w:val="Intense Emphasis"/>
    <w:uiPriority w:val="21"/>
    <w:qFormat/>
    <w:rsid w:val="000F2ED2"/>
    <w:rPr>
      <w:b/>
      <w:bCs/>
      <w:i/>
      <w:iCs/>
      <w:color w:val="4D4D4D" w:themeColor="accent6"/>
      <w:spacing w:val="10"/>
    </w:rPr>
  </w:style>
  <w:style w:type="character" w:styleId="af2">
    <w:name w:val="Subtle Reference"/>
    <w:uiPriority w:val="31"/>
    <w:qFormat/>
    <w:rsid w:val="000F2ED2"/>
    <w:rPr>
      <w:b/>
      <w:bCs/>
    </w:rPr>
  </w:style>
  <w:style w:type="character" w:styleId="af3">
    <w:name w:val="Intense Reference"/>
    <w:uiPriority w:val="32"/>
    <w:qFormat/>
    <w:rsid w:val="000F2ED2"/>
    <w:rPr>
      <w:b/>
      <w:bCs/>
      <w:smallCaps/>
      <w:spacing w:val="5"/>
      <w:sz w:val="22"/>
      <w:szCs w:val="22"/>
      <w:u w:val="single"/>
    </w:rPr>
  </w:style>
  <w:style w:type="character" w:styleId="af4">
    <w:name w:val="Book Title"/>
    <w:uiPriority w:val="33"/>
    <w:qFormat/>
    <w:rsid w:val="000F2ED2"/>
    <w:rPr>
      <w:rFonts w:asciiTheme="majorHAnsi" w:eastAsiaTheme="majorEastAsia" w:hAnsiTheme="majorHAnsi" w:cstheme="majorBidi"/>
      <w:i/>
      <w:iCs/>
      <w:sz w:val="20"/>
      <w:szCs w:val="20"/>
    </w:rPr>
  </w:style>
  <w:style w:type="paragraph" w:styleId="af5">
    <w:name w:val="TOC Heading"/>
    <w:basedOn w:val="1"/>
    <w:next w:val="a"/>
    <w:uiPriority w:val="39"/>
    <w:unhideWhenUsed/>
    <w:qFormat/>
    <w:rsid w:val="000F2ED2"/>
    <w:pPr>
      <w:outlineLvl w:val="9"/>
    </w:pPr>
  </w:style>
  <w:style w:type="character" w:customStyle="1" w:styleId="ab">
    <w:name w:val="Без разредка Знак"/>
    <w:basedOn w:val="a0"/>
    <w:link w:val="aa"/>
    <w:uiPriority w:val="1"/>
    <w:rsid w:val="000F2ED2"/>
  </w:style>
  <w:style w:type="paragraph" w:styleId="11">
    <w:name w:val="toc 1"/>
    <w:basedOn w:val="a"/>
    <w:next w:val="a"/>
    <w:autoRedefine/>
    <w:uiPriority w:val="39"/>
    <w:unhideWhenUsed/>
    <w:rsid w:val="00221194"/>
    <w:pPr>
      <w:spacing w:after="100"/>
    </w:pPr>
  </w:style>
  <w:style w:type="paragraph" w:styleId="21">
    <w:name w:val="toc 2"/>
    <w:basedOn w:val="a"/>
    <w:next w:val="a"/>
    <w:autoRedefine/>
    <w:uiPriority w:val="39"/>
    <w:unhideWhenUsed/>
    <w:rsid w:val="00221194"/>
    <w:pPr>
      <w:spacing w:after="100"/>
      <w:ind w:left="240"/>
    </w:pPr>
  </w:style>
  <w:style w:type="character" w:styleId="af6">
    <w:name w:val="Hyperlink"/>
    <w:basedOn w:val="a0"/>
    <w:uiPriority w:val="99"/>
    <w:unhideWhenUsed/>
    <w:rsid w:val="00221194"/>
    <w:rPr>
      <w:color w:val="5F5F5F" w:themeColor="hyperlink"/>
      <w:u w:val="single"/>
    </w:rPr>
  </w:style>
  <w:style w:type="paragraph" w:styleId="af7">
    <w:name w:val="List Paragraph"/>
    <w:basedOn w:val="a"/>
    <w:uiPriority w:val="34"/>
    <w:qFormat/>
    <w:rsid w:val="0039025B"/>
    <w:pPr>
      <w:ind w:left="720"/>
      <w:contextualSpacing/>
    </w:pPr>
  </w:style>
  <w:style w:type="table" w:styleId="af8">
    <w:name w:val="Table Grid"/>
    <w:basedOn w:val="a1"/>
    <w:uiPriority w:val="39"/>
    <w:rsid w:val="00206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31">
    <w:name w:val="toc 3"/>
    <w:basedOn w:val="a"/>
    <w:next w:val="a"/>
    <w:autoRedefine/>
    <w:uiPriority w:val="39"/>
    <w:unhideWhenUsed/>
    <w:rsid w:val="00055C0D"/>
    <w:pPr>
      <w:spacing w:after="100"/>
      <w:ind w:left="480"/>
    </w:pPr>
  </w:style>
  <w:style w:type="paragraph" w:styleId="af9">
    <w:name w:val="header"/>
    <w:basedOn w:val="a"/>
    <w:link w:val="afa"/>
    <w:uiPriority w:val="99"/>
    <w:unhideWhenUsed/>
    <w:rsid w:val="00055C0D"/>
    <w:pPr>
      <w:tabs>
        <w:tab w:val="center" w:pos="4680"/>
        <w:tab w:val="right" w:pos="9360"/>
      </w:tabs>
      <w:spacing w:after="0" w:line="240" w:lineRule="auto"/>
    </w:pPr>
  </w:style>
  <w:style w:type="character" w:customStyle="1" w:styleId="afa">
    <w:name w:val="Горен колонтитул Знак"/>
    <w:basedOn w:val="a0"/>
    <w:link w:val="af9"/>
    <w:uiPriority w:val="99"/>
    <w:rsid w:val="00055C0D"/>
    <w:rPr>
      <w:rFonts w:ascii="Times New Roman" w:hAnsi="Times New Roman"/>
      <w:sz w:val="24"/>
    </w:rPr>
  </w:style>
  <w:style w:type="paragraph" w:styleId="afb">
    <w:name w:val="footer"/>
    <w:basedOn w:val="a"/>
    <w:link w:val="afc"/>
    <w:uiPriority w:val="99"/>
    <w:unhideWhenUsed/>
    <w:rsid w:val="00055C0D"/>
    <w:pPr>
      <w:tabs>
        <w:tab w:val="center" w:pos="4680"/>
        <w:tab w:val="right" w:pos="9360"/>
      </w:tabs>
      <w:spacing w:after="0" w:line="240" w:lineRule="auto"/>
    </w:pPr>
  </w:style>
  <w:style w:type="character" w:customStyle="1" w:styleId="afc">
    <w:name w:val="Долен колонтитул Знак"/>
    <w:basedOn w:val="a0"/>
    <w:link w:val="afb"/>
    <w:uiPriority w:val="99"/>
    <w:rsid w:val="00055C0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786A7B-1ECF-41A5-B814-B3E5F4B26DE5}" type="doc">
      <dgm:prSet loTypeId="urn:microsoft.com/office/officeart/2005/8/layout/radial3" loCatId="cycle" qsTypeId="urn:microsoft.com/office/officeart/2005/8/quickstyle/simple1" qsCatId="simple" csTypeId="urn:microsoft.com/office/officeart/2005/8/colors/accent3_1" csCatId="accent3" phldr="1"/>
      <dgm:spPr/>
      <dgm:t>
        <a:bodyPr/>
        <a:lstStyle/>
        <a:p>
          <a:endParaRPr lang="en-US"/>
        </a:p>
      </dgm:t>
    </dgm:pt>
    <dgm:pt modelId="{8450149D-24B9-4447-B663-33A26A2E0736}">
      <dgm:prSet phldrT="[Text]"/>
      <dgm:spPr/>
      <dgm:t>
        <a:bodyPr/>
        <a:lstStyle/>
        <a:p>
          <a:r>
            <a:rPr lang="en-US"/>
            <a:t>Rightmove</a:t>
          </a:r>
        </a:p>
      </dgm:t>
    </dgm:pt>
    <dgm:pt modelId="{4DBCE9D8-6A29-4C63-B78F-6D8F13584A1D}" type="parTrans" cxnId="{D0FEDF8F-BA74-4ED3-97EE-ACB59665039E}">
      <dgm:prSet/>
      <dgm:spPr/>
      <dgm:t>
        <a:bodyPr/>
        <a:lstStyle/>
        <a:p>
          <a:endParaRPr lang="en-US"/>
        </a:p>
      </dgm:t>
    </dgm:pt>
    <dgm:pt modelId="{635157F4-4ED0-4F53-A3D3-07DA5B8963AC}" type="sibTrans" cxnId="{D0FEDF8F-BA74-4ED3-97EE-ACB59665039E}">
      <dgm:prSet/>
      <dgm:spPr/>
      <dgm:t>
        <a:bodyPr/>
        <a:lstStyle/>
        <a:p>
          <a:endParaRPr lang="en-US"/>
        </a:p>
      </dgm:t>
    </dgm:pt>
    <dgm:pt modelId="{58EC9A2F-00A6-43BE-A26C-D38E2005A9E8}">
      <dgm:prSet phldrT="[Text]"/>
      <dgm:spPr/>
      <dgm:t>
        <a:bodyPr/>
        <a:lstStyle/>
        <a:p>
          <a:r>
            <a:rPr lang="en-US"/>
            <a:t>Bargaining power of suppliers: </a:t>
          </a:r>
          <a:r>
            <a:rPr lang="en-US" b="1"/>
            <a:t>Medium</a:t>
          </a:r>
        </a:p>
      </dgm:t>
    </dgm:pt>
    <dgm:pt modelId="{FEA52129-2D68-4F7D-A276-F1876A2676CE}" type="parTrans" cxnId="{C133687F-006E-4234-80FC-4807F5145A1B}">
      <dgm:prSet/>
      <dgm:spPr/>
      <dgm:t>
        <a:bodyPr/>
        <a:lstStyle/>
        <a:p>
          <a:endParaRPr lang="en-US"/>
        </a:p>
      </dgm:t>
    </dgm:pt>
    <dgm:pt modelId="{0F624F5A-705E-4A15-98BD-F678402DFAE4}" type="sibTrans" cxnId="{C133687F-006E-4234-80FC-4807F5145A1B}">
      <dgm:prSet/>
      <dgm:spPr/>
      <dgm:t>
        <a:bodyPr/>
        <a:lstStyle/>
        <a:p>
          <a:endParaRPr lang="en-US"/>
        </a:p>
      </dgm:t>
    </dgm:pt>
    <dgm:pt modelId="{758AF418-5534-4A41-9899-660EEF98385A}">
      <dgm:prSet phldrT="[Text]"/>
      <dgm:spPr/>
      <dgm:t>
        <a:bodyPr/>
        <a:lstStyle/>
        <a:p>
          <a:r>
            <a:rPr lang="en-US"/>
            <a:t>Bargaining power of customers: </a:t>
          </a:r>
          <a:r>
            <a:rPr lang="en-US" b="1"/>
            <a:t>High</a:t>
          </a:r>
        </a:p>
      </dgm:t>
    </dgm:pt>
    <dgm:pt modelId="{0070537C-A8E3-4FA0-BCA1-218D709A392E}" type="parTrans" cxnId="{8551CB60-EA68-4645-98C7-05314DAE36DB}">
      <dgm:prSet/>
      <dgm:spPr/>
      <dgm:t>
        <a:bodyPr/>
        <a:lstStyle/>
        <a:p>
          <a:endParaRPr lang="en-US"/>
        </a:p>
      </dgm:t>
    </dgm:pt>
    <dgm:pt modelId="{C3E5E346-7212-4C9D-9ABA-78505E5ADF66}" type="sibTrans" cxnId="{8551CB60-EA68-4645-98C7-05314DAE36DB}">
      <dgm:prSet/>
      <dgm:spPr/>
      <dgm:t>
        <a:bodyPr/>
        <a:lstStyle/>
        <a:p>
          <a:endParaRPr lang="en-US"/>
        </a:p>
      </dgm:t>
    </dgm:pt>
    <dgm:pt modelId="{AEA48088-B45D-4653-BFE1-A2AB09287D2F}">
      <dgm:prSet phldrT="[Text]"/>
      <dgm:spPr/>
      <dgm:t>
        <a:bodyPr/>
        <a:lstStyle/>
        <a:p>
          <a:r>
            <a:rPr lang="en-US"/>
            <a:t>Threat of new entrants: </a:t>
          </a:r>
          <a:r>
            <a:rPr lang="en-US" b="1"/>
            <a:t>High</a:t>
          </a:r>
        </a:p>
      </dgm:t>
    </dgm:pt>
    <dgm:pt modelId="{BB41378E-315F-4292-AB5A-30A9FA54B5B9}" type="parTrans" cxnId="{F46243B0-AFB5-4EB7-88F8-F6D07B358206}">
      <dgm:prSet/>
      <dgm:spPr/>
      <dgm:t>
        <a:bodyPr/>
        <a:lstStyle/>
        <a:p>
          <a:endParaRPr lang="en-US"/>
        </a:p>
      </dgm:t>
    </dgm:pt>
    <dgm:pt modelId="{C2181936-CE51-416D-A9F1-03405EFE8A3C}" type="sibTrans" cxnId="{F46243B0-AFB5-4EB7-88F8-F6D07B358206}">
      <dgm:prSet/>
      <dgm:spPr/>
      <dgm:t>
        <a:bodyPr/>
        <a:lstStyle/>
        <a:p>
          <a:endParaRPr lang="en-US"/>
        </a:p>
      </dgm:t>
    </dgm:pt>
    <dgm:pt modelId="{E04C3152-2086-4A3B-8E5F-76A1B574BAD5}">
      <dgm:prSet phldrT="[Text]"/>
      <dgm:spPr/>
      <dgm:t>
        <a:bodyPr/>
        <a:lstStyle/>
        <a:p>
          <a:r>
            <a:rPr lang="en-US"/>
            <a:t>Threat of substitutes: </a:t>
          </a:r>
          <a:r>
            <a:rPr lang="en-US" b="1"/>
            <a:t>Medium</a:t>
          </a:r>
        </a:p>
      </dgm:t>
    </dgm:pt>
    <dgm:pt modelId="{ABC6D448-6490-436D-BB16-9AB1E324E21D}" type="parTrans" cxnId="{C0DBFB40-39C1-4114-AD78-9648EB9E4AEF}">
      <dgm:prSet/>
      <dgm:spPr/>
      <dgm:t>
        <a:bodyPr/>
        <a:lstStyle/>
        <a:p>
          <a:endParaRPr lang="en-US"/>
        </a:p>
      </dgm:t>
    </dgm:pt>
    <dgm:pt modelId="{BF58C877-3F1F-4AAC-ADF6-C25DF604624A}" type="sibTrans" cxnId="{C0DBFB40-39C1-4114-AD78-9648EB9E4AEF}">
      <dgm:prSet/>
      <dgm:spPr/>
      <dgm:t>
        <a:bodyPr/>
        <a:lstStyle/>
        <a:p>
          <a:endParaRPr lang="en-US"/>
        </a:p>
      </dgm:t>
    </dgm:pt>
    <dgm:pt modelId="{818430E2-E513-4AAA-9543-8A9D61DAA435}">
      <dgm:prSet phldrT="[Text]"/>
      <dgm:spPr/>
      <dgm:t>
        <a:bodyPr/>
        <a:lstStyle/>
        <a:p>
          <a:r>
            <a:rPr lang="en-US"/>
            <a:t>Industry rivarly: </a:t>
          </a:r>
          <a:r>
            <a:rPr lang="en-US" b="1"/>
            <a:t>Medium</a:t>
          </a:r>
        </a:p>
      </dgm:t>
    </dgm:pt>
    <dgm:pt modelId="{CBD0B7A3-5A02-4DB9-A864-23E9B8CF0CE0}" type="parTrans" cxnId="{700FB243-3C6D-4240-86C7-7971574B7A47}">
      <dgm:prSet/>
      <dgm:spPr/>
      <dgm:t>
        <a:bodyPr/>
        <a:lstStyle/>
        <a:p>
          <a:endParaRPr lang="en-US"/>
        </a:p>
      </dgm:t>
    </dgm:pt>
    <dgm:pt modelId="{59D92589-8548-493F-9FD9-8D4E5732D678}" type="sibTrans" cxnId="{700FB243-3C6D-4240-86C7-7971574B7A47}">
      <dgm:prSet/>
      <dgm:spPr/>
      <dgm:t>
        <a:bodyPr/>
        <a:lstStyle/>
        <a:p>
          <a:endParaRPr lang="en-US"/>
        </a:p>
      </dgm:t>
    </dgm:pt>
    <dgm:pt modelId="{19946AD9-A38E-45D1-BDEE-90E991BD2524}" type="pres">
      <dgm:prSet presAssocID="{33786A7B-1ECF-41A5-B814-B3E5F4B26DE5}" presName="composite" presStyleCnt="0">
        <dgm:presLayoutVars>
          <dgm:chMax val="1"/>
          <dgm:dir/>
          <dgm:resizeHandles val="exact"/>
        </dgm:presLayoutVars>
      </dgm:prSet>
      <dgm:spPr/>
    </dgm:pt>
    <dgm:pt modelId="{160A34B8-EDCD-46B6-B413-257BF46C9A3C}" type="pres">
      <dgm:prSet presAssocID="{33786A7B-1ECF-41A5-B814-B3E5F4B26DE5}" presName="radial" presStyleCnt="0">
        <dgm:presLayoutVars>
          <dgm:animLvl val="ctr"/>
        </dgm:presLayoutVars>
      </dgm:prSet>
      <dgm:spPr/>
    </dgm:pt>
    <dgm:pt modelId="{BEA4EE21-409A-4ABB-8E6C-479CE398DC50}" type="pres">
      <dgm:prSet presAssocID="{8450149D-24B9-4447-B663-33A26A2E0736}" presName="centerShape" presStyleLbl="vennNode1" presStyleIdx="0" presStyleCnt="6"/>
      <dgm:spPr/>
    </dgm:pt>
    <dgm:pt modelId="{452116CA-7BAA-49B1-9DC4-1CBCB791C590}" type="pres">
      <dgm:prSet presAssocID="{58EC9A2F-00A6-43BE-A26C-D38E2005A9E8}" presName="node" presStyleLbl="vennNode1" presStyleIdx="1" presStyleCnt="6">
        <dgm:presLayoutVars>
          <dgm:bulletEnabled val="1"/>
        </dgm:presLayoutVars>
      </dgm:prSet>
      <dgm:spPr/>
    </dgm:pt>
    <dgm:pt modelId="{F19BCB59-D73C-4BE3-B88A-FB9301D945CA}" type="pres">
      <dgm:prSet presAssocID="{758AF418-5534-4A41-9899-660EEF98385A}" presName="node" presStyleLbl="vennNode1" presStyleIdx="2" presStyleCnt="6">
        <dgm:presLayoutVars>
          <dgm:bulletEnabled val="1"/>
        </dgm:presLayoutVars>
      </dgm:prSet>
      <dgm:spPr/>
    </dgm:pt>
    <dgm:pt modelId="{4915D868-B8CB-43CC-9281-6C0682C622E5}" type="pres">
      <dgm:prSet presAssocID="{AEA48088-B45D-4653-BFE1-A2AB09287D2F}" presName="node" presStyleLbl="vennNode1" presStyleIdx="3" presStyleCnt="6">
        <dgm:presLayoutVars>
          <dgm:bulletEnabled val="1"/>
        </dgm:presLayoutVars>
      </dgm:prSet>
      <dgm:spPr/>
    </dgm:pt>
    <dgm:pt modelId="{233831A3-059E-4F0A-BAC4-94D5C1D01C1C}" type="pres">
      <dgm:prSet presAssocID="{E04C3152-2086-4A3B-8E5F-76A1B574BAD5}" presName="node" presStyleLbl="vennNode1" presStyleIdx="4" presStyleCnt="6">
        <dgm:presLayoutVars>
          <dgm:bulletEnabled val="1"/>
        </dgm:presLayoutVars>
      </dgm:prSet>
      <dgm:spPr/>
    </dgm:pt>
    <dgm:pt modelId="{0B733F86-B897-4B65-BDE1-DB26D9B047DD}" type="pres">
      <dgm:prSet presAssocID="{818430E2-E513-4AAA-9543-8A9D61DAA435}" presName="node" presStyleLbl="vennNode1" presStyleIdx="5" presStyleCnt="6">
        <dgm:presLayoutVars>
          <dgm:bulletEnabled val="1"/>
        </dgm:presLayoutVars>
      </dgm:prSet>
      <dgm:spPr/>
    </dgm:pt>
  </dgm:ptLst>
  <dgm:cxnLst>
    <dgm:cxn modelId="{C0DBFB40-39C1-4114-AD78-9648EB9E4AEF}" srcId="{8450149D-24B9-4447-B663-33A26A2E0736}" destId="{E04C3152-2086-4A3B-8E5F-76A1B574BAD5}" srcOrd="3" destOrd="0" parTransId="{ABC6D448-6490-436D-BB16-9AB1E324E21D}" sibTransId="{BF58C877-3F1F-4AAC-ADF6-C25DF604624A}"/>
    <dgm:cxn modelId="{8551CB60-EA68-4645-98C7-05314DAE36DB}" srcId="{8450149D-24B9-4447-B663-33A26A2E0736}" destId="{758AF418-5534-4A41-9899-660EEF98385A}" srcOrd="1" destOrd="0" parTransId="{0070537C-A8E3-4FA0-BCA1-218D709A392E}" sibTransId="{C3E5E346-7212-4C9D-9ABA-78505E5ADF66}"/>
    <dgm:cxn modelId="{700FB243-3C6D-4240-86C7-7971574B7A47}" srcId="{8450149D-24B9-4447-B663-33A26A2E0736}" destId="{818430E2-E513-4AAA-9543-8A9D61DAA435}" srcOrd="4" destOrd="0" parTransId="{CBD0B7A3-5A02-4DB9-A864-23E9B8CF0CE0}" sibTransId="{59D92589-8548-493F-9FD9-8D4E5732D678}"/>
    <dgm:cxn modelId="{C133687F-006E-4234-80FC-4807F5145A1B}" srcId="{8450149D-24B9-4447-B663-33A26A2E0736}" destId="{58EC9A2F-00A6-43BE-A26C-D38E2005A9E8}" srcOrd="0" destOrd="0" parTransId="{FEA52129-2D68-4F7D-A276-F1876A2676CE}" sibTransId="{0F624F5A-705E-4A15-98BD-F678402DFAE4}"/>
    <dgm:cxn modelId="{E2145180-B45E-4F41-8C41-91B7D8984B71}" type="presOf" srcId="{758AF418-5534-4A41-9899-660EEF98385A}" destId="{F19BCB59-D73C-4BE3-B88A-FB9301D945CA}" srcOrd="0" destOrd="0" presId="urn:microsoft.com/office/officeart/2005/8/layout/radial3"/>
    <dgm:cxn modelId="{D0FEDF8F-BA74-4ED3-97EE-ACB59665039E}" srcId="{33786A7B-1ECF-41A5-B814-B3E5F4B26DE5}" destId="{8450149D-24B9-4447-B663-33A26A2E0736}" srcOrd="0" destOrd="0" parTransId="{4DBCE9D8-6A29-4C63-B78F-6D8F13584A1D}" sibTransId="{635157F4-4ED0-4F53-A3D3-07DA5B8963AC}"/>
    <dgm:cxn modelId="{3D1BC3A7-EC30-462F-B933-95F03FB61A70}" type="presOf" srcId="{58EC9A2F-00A6-43BE-A26C-D38E2005A9E8}" destId="{452116CA-7BAA-49B1-9DC4-1CBCB791C590}" srcOrd="0" destOrd="0" presId="urn:microsoft.com/office/officeart/2005/8/layout/radial3"/>
    <dgm:cxn modelId="{F46243B0-AFB5-4EB7-88F8-F6D07B358206}" srcId="{8450149D-24B9-4447-B663-33A26A2E0736}" destId="{AEA48088-B45D-4653-BFE1-A2AB09287D2F}" srcOrd="2" destOrd="0" parTransId="{BB41378E-315F-4292-AB5A-30A9FA54B5B9}" sibTransId="{C2181936-CE51-416D-A9F1-03405EFE8A3C}"/>
    <dgm:cxn modelId="{3D036BB7-34B0-4710-AAE7-186DDEB2A0A2}" type="presOf" srcId="{818430E2-E513-4AAA-9543-8A9D61DAA435}" destId="{0B733F86-B897-4B65-BDE1-DB26D9B047DD}" srcOrd="0" destOrd="0" presId="urn:microsoft.com/office/officeart/2005/8/layout/radial3"/>
    <dgm:cxn modelId="{A558B4CC-9232-4AA0-A1D1-B843BE1DCAE6}" type="presOf" srcId="{33786A7B-1ECF-41A5-B814-B3E5F4B26DE5}" destId="{19946AD9-A38E-45D1-BDEE-90E991BD2524}" srcOrd="0" destOrd="0" presId="urn:microsoft.com/office/officeart/2005/8/layout/radial3"/>
    <dgm:cxn modelId="{828ABFDD-86A8-4677-A571-84517377E02D}" type="presOf" srcId="{E04C3152-2086-4A3B-8E5F-76A1B574BAD5}" destId="{233831A3-059E-4F0A-BAC4-94D5C1D01C1C}" srcOrd="0" destOrd="0" presId="urn:microsoft.com/office/officeart/2005/8/layout/radial3"/>
    <dgm:cxn modelId="{B853BDEB-6944-4876-8C61-09355B321241}" type="presOf" srcId="{8450149D-24B9-4447-B663-33A26A2E0736}" destId="{BEA4EE21-409A-4ABB-8E6C-479CE398DC50}" srcOrd="0" destOrd="0" presId="urn:microsoft.com/office/officeart/2005/8/layout/radial3"/>
    <dgm:cxn modelId="{F452A9FD-54BE-45A5-B10C-72FF9AB6BF14}" type="presOf" srcId="{AEA48088-B45D-4653-BFE1-A2AB09287D2F}" destId="{4915D868-B8CB-43CC-9281-6C0682C622E5}" srcOrd="0" destOrd="0" presId="urn:microsoft.com/office/officeart/2005/8/layout/radial3"/>
    <dgm:cxn modelId="{9A0F65C3-CBCB-48A3-B881-C86BFC00535E}" type="presParOf" srcId="{19946AD9-A38E-45D1-BDEE-90E991BD2524}" destId="{160A34B8-EDCD-46B6-B413-257BF46C9A3C}" srcOrd="0" destOrd="0" presId="urn:microsoft.com/office/officeart/2005/8/layout/radial3"/>
    <dgm:cxn modelId="{96D72E67-BCDF-4E6F-A4D3-39B3C99ADA3A}" type="presParOf" srcId="{160A34B8-EDCD-46B6-B413-257BF46C9A3C}" destId="{BEA4EE21-409A-4ABB-8E6C-479CE398DC50}" srcOrd="0" destOrd="0" presId="urn:microsoft.com/office/officeart/2005/8/layout/radial3"/>
    <dgm:cxn modelId="{4EAD32C5-5BB6-4EF9-9349-29152C5B2271}" type="presParOf" srcId="{160A34B8-EDCD-46B6-B413-257BF46C9A3C}" destId="{452116CA-7BAA-49B1-9DC4-1CBCB791C590}" srcOrd="1" destOrd="0" presId="urn:microsoft.com/office/officeart/2005/8/layout/radial3"/>
    <dgm:cxn modelId="{8318EDD8-71EF-4ACE-9BD9-F59744D318E0}" type="presParOf" srcId="{160A34B8-EDCD-46B6-B413-257BF46C9A3C}" destId="{F19BCB59-D73C-4BE3-B88A-FB9301D945CA}" srcOrd="2" destOrd="0" presId="urn:microsoft.com/office/officeart/2005/8/layout/radial3"/>
    <dgm:cxn modelId="{DCCB9C11-DE78-432C-9BE1-E748BD26EAE2}" type="presParOf" srcId="{160A34B8-EDCD-46B6-B413-257BF46C9A3C}" destId="{4915D868-B8CB-43CC-9281-6C0682C622E5}" srcOrd="3" destOrd="0" presId="urn:microsoft.com/office/officeart/2005/8/layout/radial3"/>
    <dgm:cxn modelId="{080F2901-3915-46DF-81F6-F887A552FECD}" type="presParOf" srcId="{160A34B8-EDCD-46B6-B413-257BF46C9A3C}" destId="{233831A3-059E-4F0A-BAC4-94D5C1D01C1C}" srcOrd="4" destOrd="0" presId="urn:microsoft.com/office/officeart/2005/8/layout/radial3"/>
    <dgm:cxn modelId="{CA68C91D-1106-4555-8EC5-FBDD964AC89A}" type="presParOf" srcId="{160A34B8-EDCD-46B6-B413-257BF46C9A3C}" destId="{0B733F86-B897-4B65-BDE1-DB26D9B047DD}" srcOrd="5"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A4EE21-409A-4ABB-8E6C-479CE398DC50}">
      <dsp:nvSpPr>
        <dsp:cNvPr id="0" name=""/>
        <dsp:cNvSpPr/>
      </dsp:nvSpPr>
      <dsp:spPr>
        <a:xfrm>
          <a:off x="1822772" y="794128"/>
          <a:ext cx="1840855" cy="1840855"/>
        </a:xfrm>
        <a:prstGeom prst="ellipse">
          <a:avLst/>
        </a:prstGeom>
        <a:solidFill>
          <a:schemeClr val="lt1">
            <a:alpha val="5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US" sz="2200" kern="1200"/>
            <a:t>Rightmove</a:t>
          </a:r>
        </a:p>
      </dsp:txBody>
      <dsp:txXfrm>
        <a:off x="2092359" y="1063715"/>
        <a:ext cx="1301681" cy="1301681"/>
      </dsp:txXfrm>
    </dsp:sp>
    <dsp:sp modelId="{452116CA-7BAA-49B1-9DC4-1CBCB791C590}">
      <dsp:nvSpPr>
        <dsp:cNvPr id="0" name=""/>
        <dsp:cNvSpPr/>
      </dsp:nvSpPr>
      <dsp:spPr>
        <a:xfrm>
          <a:off x="2282986" y="56794"/>
          <a:ext cx="920427" cy="920427"/>
        </a:xfrm>
        <a:prstGeom prst="ellipse">
          <a:avLst/>
        </a:prstGeom>
        <a:solidFill>
          <a:schemeClr val="lt1">
            <a:alpha val="5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Bargaining power of suppliers: </a:t>
          </a:r>
          <a:r>
            <a:rPr lang="en-US" sz="1000" b="1" kern="1200"/>
            <a:t>Medium</a:t>
          </a:r>
        </a:p>
      </dsp:txBody>
      <dsp:txXfrm>
        <a:off x="2417779" y="191587"/>
        <a:ext cx="650841" cy="650841"/>
      </dsp:txXfrm>
    </dsp:sp>
    <dsp:sp modelId="{F19BCB59-D73C-4BE3-B88A-FB9301D945CA}">
      <dsp:nvSpPr>
        <dsp:cNvPr id="0" name=""/>
        <dsp:cNvSpPr/>
      </dsp:nvSpPr>
      <dsp:spPr>
        <a:xfrm>
          <a:off x="3421921" y="884279"/>
          <a:ext cx="920427" cy="920427"/>
        </a:xfrm>
        <a:prstGeom prst="ellipse">
          <a:avLst/>
        </a:prstGeom>
        <a:solidFill>
          <a:schemeClr val="lt1">
            <a:alpha val="5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Bargaining power of customers: </a:t>
          </a:r>
          <a:r>
            <a:rPr lang="en-US" sz="1000" b="1" kern="1200"/>
            <a:t>High</a:t>
          </a:r>
        </a:p>
      </dsp:txBody>
      <dsp:txXfrm>
        <a:off x="3556714" y="1019072"/>
        <a:ext cx="650841" cy="650841"/>
      </dsp:txXfrm>
    </dsp:sp>
    <dsp:sp modelId="{4915D868-B8CB-43CC-9281-6C0682C622E5}">
      <dsp:nvSpPr>
        <dsp:cNvPr id="0" name=""/>
        <dsp:cNvSpPr/>
      </dsp:nvSpPr>
      <dsp:spPr>
        <a:xfrm>
          <a:off x="2986886" y="2223177"/>
          <a:ext cx="920427" cy="920427"/>
        </a:xfrm>
        <a:prstGeom prst="ellipse">
          <a:avLst/>
        </a:prstGeom>
        <a:solidFill>
          <a:schemeClr val="lt1">
            <a:alpha val="5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Threat of new entrants: </a:t>
          </a:r>
          <a:r>
            <a:rPr lang="en-US" sz="1000" b="1" kern="1200"/>
            <a:t>High</a:t>
          </a:r>
        </a:p>
      </dsp:txBody>
      <dsp:txXfrm>
        <a:off x="3121679" y="2357970"/>
        <a:ext cx="650841" cy="650841"/>
      </dsp:txXfrm>
    </dsp:sp>
    <dsp:sp modelId="{233831A3-059E-4F0A-BAC4-94D5C1D01C1C}">
      <dsp:nvSpPr>
        <dsp:cNvPr id="0" name=""/>
        <dsp:cNvSpPr/>
      </dsp:nvSpPr>
      <dsp:spPr>
        <a:xfrm>
          <a:off x="1579085" y="2223177"/>
          <a:ext cx="920427" cy="920427"/>
        </a:xfrm>
        <a:prstGeom prst="ellipse">
          <a:avLst/>
        </a:prstGeom>
        <a:solidFill>
          <a:schemeClr val="lt1">
            <a:alpha val="5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Threat of substitutes: </a:t>
          </a:r>
          <a:r>
            <a:rPr lang="en-US" sz="1000" b="1" kern="1200"/>
            <a:t>Medium</a:t>
          </a:r>
        </a:p>
      </dsp:txBody>
      <dsp:txXfrm>
        <a:off x="1713878" y="2357970"/>
        <a:ext cx="650841" cy="650841"/>
      </dsp:txXfrm>
    </dsp:sp>
    <dsp:sp modelId="{0B733F86-B897-4B65-BDE1-DB26D9B047DD}">
      <dsp:nvSpPr>
        <dsp:cNvPr id="0" name=""/>
        <dsp:cNvSpPr/>
      </dsp:nvSpPr>
      <dsp:spPr>
        <a:xfrm>
          <a:off x="1144051" y="884279"/>
          <a:ext cx="920427" cy="920427"/>
        </a:xfrm>
        <a:prstGeom prst="ellipse">
          <a:avLst/>
        </a:prstGeom>
        <a:solidFill>
          <a:schemeClr val="lt1">
            <a:alpha val="5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Industry rivarly: </a:t>
          </a:r>
          <a:r>
            <a:rPr lang="en-US" sz="1000" b="1" kern="1200"/>
            <a:t>Medium</a:t>
          </a:r>
        </a:p>
      </dsp:txBody>
      <dsp:txXfrm>
        <a:off x="1278844" y="1019072"/>
        <a:ext cx="650841" cy="65084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94537-7C2C-4D20-B814-BF310F609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Pages>
  <Words>9502</Words>
  <Characters>54166</Characters>
  <Application>Microsoft Office Word</Application>
  <DocSecurity>0</DocSecurity>
  <Lines>451</Lines>
  <Paragraphs>127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Customer, strategic and human resource analysis</vt:lpstr>
      <vt:lpstr/>
    </vt:vector>
  </TitlesOfParts>
  <Company/>
  <LinksUpToDate>false</LinksUpToDate>
  <CharactersWithSpaces>63541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strategic and human resource analysis</dc:title>
  <dc:subject>The case of rightmove plc.</dc:subject>
  <dc:creator>My Computer</dc:creator>
  <cp:keywords/>
  <dc:description/>
  <cp:lastModifiedBy>Kalina Boneva (2007655)</cp:lastModifiedBy>
  <cp:revision>30</cp:revision>
  <dcterms:created xsi:type="dcterms:W3CDTF">2021-02-12T06:19:00Z</dcterms:created>
  <dcterms:modified xsi:type="dcterms:W3CDTF">2021-02-19T00:12:00Z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http://www.zotero.org/styles/rmit-university-harvard</vt:lpwstr>
  </property>
  <property fmtid="{D5CDD505-2E9C-101B-9397-08002B2CF9AE}" pid="22" name="Mendeley Recent Style Name 8_1">
    <vt:lpwstr>RMIT University - Harvard</vt:lpwstr>
  </property>
  <property fmtid="{D5CDD505-2E9C-101B-9397-08002B2CF9AE}" pid="23" name="Mendeley Recent Style Id 9_1">
    <vt:lpwstr>http://www.zotero.org/styles/victoria-university-harvard</vt:lpwstr>
  </property>
  <property fmtid="{D5CDD505-2E9C-101B-9397-08002B2CF9AE}" pid="24" name="Mendeley Recent Style Name 9_1">
    <vt:lpwstr>Victoria University - Harvard</vt:lpwstr>
  </property>
</Properties>
</file>