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9FB1D" w14:textId="132DD49A" w:rsidR="006E0632" w:rsidRDefault="006E0632" w:rsidP="00DD7AA0">
      <w:pPr>
        <w:spacing w:before="240"/>
        <w:jc w:val="both"/>
        <w:rPr>
          <w:rFonts w:ascii="Arial" w:hAnsi="Arial" w:cs="Arial"/>
          <w:szCs w:val="22"/>
        </w:rPr>
      </w:pPr>
    </w:p>
    <w:p w14:paraId="0AF0BA41" w14:textId="77777777" w:rsidR="00C234C7" w:rsidRDefault="00C234C7" w:rsidP="00DD7AA0">
      <w:pPr>
        <w:spacing w:before="240"/>
        <w:jc w:val="both"/>
        <w:rPr>
          <w:rFonts w:ascii="Arial" w:hAnsi="Arial" w:cs="Arial"/>
          <w:szCs w:val="22"/>
        </w:rPr>
      </w:pPr>
    </w:p>
    <w:p w14:paraId="2107CC38" w14:textId="146E227B" w:rsidR="003A75D8" w:rsidRPr="004943C4" w:rsidRDefault="003A75D8" w:rsidP="0096731B">
      <w:pPr>
        <w:rPr>
          <w:b/>
          <w:bCs/>
          <w:sz w:val="28"/>
          <w:szCs w:val="32"/>
          <w:lang w:val="en-US"/>
        </w:rPr>
      </w:pPr>
      <w:r w:rsidRPr="00005413">
        <w:rPr>
          <w:b/>
          <w:bCs/>
          <w:sz w:val="28"/>
          <w:szCs w:val="32"/>
        </w:rPr>
        <w:t>Name</w:t>
      </w:r>
      <w:r>
        <w:rPr>
          <w:b/>
          <w:bCs/>
          <w:sz w:val="28"/>
          <w:szCs w:val="32"/>
          <w:lang w:val="en-US"/>
        </w:rPr>
        <w:t>: Rabina Bi</w:t>
      </w:r>
    </w:p>
    <w:p w14:paraId="433231CC" w14:textId="6B21C24E" w:rsidR="003A75D8" w:rsidRPr="004943C4" w:rsidRDefault="003A75D8" w:rsidP="0096731B">
      <w:pPr>
        <w:rPr>
          <w:b/>
          <w:bCs/>
          <w:sz w:val="28"/>
          <w:szCs w:val="32"/>
          <w:lang w:val="en-US"/>
        </w:rPr>
      </w:pPr>
      <w:r w:rsidRPr="00005413">
        <w:rPr>
          <w:b/>
          <w:bCs/>
          <w:sz w:val="28"/>
          <w:szCs w:val="32"/>
        </w:rPr>
        <w:t>Student Number</w:t>
      </w:r>
      <w:r>
        <w:rPr>
          <w:b/>
          <w:bCs/>
          <w:sz w:val="28"/>
          <w:szCs w:val="32"/>
          <w:lang w:val="en-US"/>
        </w:rPr>
        <w:t xml:space="preserve">: </w:t>
      </w:r>
      <w:r w:rsidRPr="00997848">
        <w:rPr>
          <w:b/>
          <w:bCs/>
          <w:sz w:val="28"/>
          <w:szCs w:val="32"/>
          <w:lang w:val="en-US"/>
        </w:rPr>
        <w:t>22</w:t>
      </w:r>
      <w:r>
        <w:rPr>
          <w:b/>
          <w:bCs/>
          <w:sz w:val="28"/>
          <w:szCs w:val="32"/>
          <w:lang w:val="en-US"/>
        </w:rPr>
        <w:t>35612</w:t>
      </w:r>
    </w:p>
    <w:p w14:paraId="77AD3473" w14:textId="7AC4368D" w:rsidR="003A75D8" w:rsidRPr="00E2516E" w:rsidRDefault="003A75D8" w:rsidP="0096731B">
      <w:pPr>
        <w:rPr>
          <w:b/>
          <w:bCs/>
          <w:sz w:val="28"/>
          <w:szCs w:val="32"/>
          <w:lang w:val="en-US"/>
        </w:rPr>
      </w:pPr>
      <w:r w:rsidRPr="00005413">
        <w:rPr>
          <w:b/>
          <w:bCs/>
          <w:sz w:val="28"/>
          <w:szCs w:val="32"/>
        </w:rPr>
        <w:t>Module</w:t>
      </w:r>
      <w:r>
        <w:rPr>
          <w:b/>
          <w:bCs/>
          <w:sz w:val="28"/>
          <w:szCs w:val="32"/>
          <w:lang w:val="en-US"/>
        </w:rPr>
        <w:t xml:space="preserve">: </w:t>
      </w:r>
      <w:r w:rsidRPr="004943C4">
        <w:rPr>
          <w:b/>
          <w:bCs/>
          <w:sz w:val="28"/>
          <w:szCs w:val="32"/>
          <w:lang w:val="en-US"/>
        </w:rPr>
        <w:t>Health, Wellbeing and Sustainable Development</w:t>
      </w:r>
      <w:r w:rsidR="00E2516E">
        <w:rPr>
          <w:b/>
          <w:bCs/>
          <w:sz w:val="28"/>
          <w:szCs w:val="32"/>
          <w:lang w:val="en-US"/>
        </w:rPr>
        <w:t xml:space="preserve"> (</w:t>
      </w:r>
      <w:r w:rsidRPr="004943C4">
        <w:rPr>
          <w:b/>
          <w:bCs/>
          <w:sz w:val="28"/>
          <w:szCs w:val="32"/>
        </w:rPr>
        <w:t>BMHP6030</w:t>
      </w:r>
      <w:r w:rsidR="00E2516E">
        <w:rPr>
          <w:b/>
          <w:bCs/>
          <w:sz w:val="28"/>
          <w:szCs w:val="32"/>
          <w:lang w:val="en-US"/>
        </w:rPr>
        <w:t>)</w:t>
      </w:r>
    </w:p>
    <w:p w14:paraId="4AC21BB5" w14:textId="77777777" w:rsidR="003A75D8" w:rsidRPr="004943C4" w:rsidRDefault="003A75D8" w:rsidP="0096731B">
      <w:pPr>
        <w:rPr>
          <w:b/>
          <w:bCs/>
          <w:sz w:val="28"/>
          <w:szCs w:val="32"/>
          <w:lang w:val="en-US"/>
        </w:rPr>
      </w:pPr>
      <w:r w:rsidRPr="00005413">
        <w:rPr>
          <w:b/>
          <w:bCs/>
          <w:sz w:val="28"/>
          <w:szCs w:val="32"/>
        </w:rPr>
        <w:t>Assignment Title</w:t>
      </w:r>
      <w:r>
        <w:rPr>
          <w:b/>
          <w:bCs/>
          <w:sz w:val="28"/>
          <w:szCs w:val="32"/>
          <w:lang w:val="en-US"/>
        </w:rPr>
        <w:t xml:space="preserve">: </w:t>
      </w:r>
      <w:r w:rsidRPr="004943C4">
        <w:rPr>
          <w:b/>
          <w:bCs/>
          <w:sz w:val="28"/>
          <w:szCs w:val="32"/>
          <w:lang w:val="en-US"/>
        </w:rPr>
        <w:t xml:space="preserve">Component 2: Written Assignment (Report) </w:t>
      </w:r>
    </w:p>
    <w:p w14:paraId="13ADD961" w14:textId="77777777" w:rsidR="003A75D8" w:rsidRPr="004943C4" w:rsidRDefault="003A75D8" w:rsidP="0096731B">
      <w:pPr>
        <w:rPr>
          <w:b/>
          <w:bCs/>
          <w:sz w:val="28"/>
          <w:szCs w:val="28"/>
          <w:lang w:val="en-US"/>
        </w:rPr>
      </w:pPr>
      <w:r w:rsidRPr="00005413">
        <w:rPr>
          <w:b/>
          <w:bCs/>
          <w:sz w:val="28"/>
          <w:szCs w:val="32"/>
        </w:rPr>
        <w:t>Lecturer Name</w:t>
      </w:r>
      <w:r>
        <w:rPr>
          <w:b/>
          <w:bCs/>
          <w:sz w:val="28"/>
          <w:szCs w:val="32"/>
          <w:lang w:val="en-US"/>
        </w:rPr>
        <w:t>: P</w:t>
      </w:r>
      <w:r w:rsidRPr="004943C4">
        <w:rPr>
          <w:b/>
          <w:bCs/>
          <w:sz w:val="28"/>
          <w:szCs w:val="32"/>
          <w:lang w:val="en-US"/>
        </w:rPr>
        <w:t>arese Ahmed</w:t>
      </w:r>
    </w:p>
    <w:p w14:paraId="6056A3BD" w14:textId="77777777" w:rsidR="00C234C7" w:rsidRDefault="00C234C7" w:rsidP="00DD7AA0">
      <w:pPr>
        <w:spacing w:before="240"/>
        <w:jc w:val="both"/>
        <w:rPr>
          <w:rFonts w:ascii="Arial" w:hAnsi="Arial" w:cs="Arial"/>
          <w:szCs w:val="22"/>
        </w:rPr>
      </w:pPr>
    </w:p>
    <w:p w14:paraId="224117FB" w14:textId="77777777" w:rsidR="00C234C7" w:rsidRDefault="00C234C7" w:rsidP="00DD7AA0">
      <w:pPr>
        <w:spacing w:before="240"/>
        <w:jc w:val="both"/>
        <w:rPr>
          <w:rFonts w:ascii="Arial" w:hAnsi="Arial" w:cs="Arial"/>
          <w:szCs w:val="22"/>
        </w:rPr>
      </w:pPr>
    </w:p>
    <w:p w14:paraId="143777F8" w14:textId="77777777" w:rsidR="00C234C7" w:rsidRDefault="00C234C7" w:rsidP="00DD7AA0">
      <w:pPr>
        <w:spacing w:before="240"/>
        <w:jc w:val="both"/>
        <w:rPr>
          <w:rFonts w:ascii="Arial" w:hAnsi="Arial" w:cs="Arial"/>
          <w:szCs w:val="22"/>
        </w:rPr>
      </w:pPr>
    </w:p>
    <w:p w14:paraId="0083730C" w14:textId="77777777" w:rsidR="00C234C7" w:rsidRDefault="00C234C7" w:rsidP="00DD7AA0">
      <w:pPr>
        <w:spacing w:before="240"/>
        <w:jc w:val="both"/>
        <w:rPr>
          <w:rFonts w:ascii="Arial" w:hAnsi="Arial" w:cs="Arial"/>
          <w:szCs w:val="22"/>
        </w:rPr>
      </w:pPr>
    </w:p>
    <w:p w14:paraId="584D1B8F" w14:textId="77777777" w:rsidR="00C234C7" w:rsidRDefault="00C234C7" w:rsidP="00DD7AA0">
      <w:pPr>
        <w:spacing w:before="240"/>
        <w:jc w:val="both"/>
        <w:rPr>
          <w:rFonts w:ascii="Arial" w:hAnsi="Arial" w:cs="Arial"/>
          <w:szCs w:val="22"/>
        </w:rPr>
      </w:pPr>
    </w:p>
    <w:p w14:paraId="74658C42" w14:textId="77777777" w:rsidR="00C234C7" w:rsidRDefault="00C234C7" w:rsidP="00DD7AA0">
      <w:pPr>
        <w:spacing w:before="240"/>
        <w:jc w:val="both"/>
        <w:rPr>
          <w:rFonts w:ascii="Arial" w:hAnsi="Arial" w:cs="Arial"/>
          <w:szCs w:val="22"/>
        </w:rPr>
      </w:pPr>
    </w:p>
    <w:p w14:paraId="2681CB69" w14:textId="77777777" w:rsidR="00C234C7" w:rsidRDefault="00C234C7" w:rsidP="00DD7AA0">
      <w:pPr>
        <w:spacing w:before="240"/>
        <w:jc w:val="both"/>
        <w:rPr>
          <w:rFonts w:ascii="Arial" w:hAnsi="Arial" w:cs="Arial"/>
          <w:szCs w:val="22"/>
        </w:rPr>
      </w:pPr>
    </w:p>
    <w:p w14:paraId="3407756A" w14:textId="77777777" w:rsidR="00C234C7" w:rsidRDefault="00C234C7" w:rsidP="00DD7AA0">
      <w:pPr>
        <w:spacing w:before="240"/>
        <w:jc w:val="both"/>
        <w:rPr>
          <w:rFonts w:ascii="Arial" w:hAnsi="Arial" w:cs="Arial"/>
          <w:szCs w:val="22"/>
        </w:rPr>
      </w:pPr>
    </w:p>
    <w:p w14:paraId="5B447851" w14:textId="77777777" w:rsidR="00C234C7" w:rsidRDefault="00C234C7" w:rsidP="00DD7AA0">
      <w:pPr>
        <w:spacing w:before="240"/>
        <w:jc w:val="both"/>
        <w:rPr>
          <w:rFonts w:ascii="Arial" w:hAnsi="Arial" w:cs="Arial"/>
          <w:szCs w:val="22"/>
        </w:rPr>
      </w:pPr>
    </w:p>
    <w:p w14:paraId="69C7B8B2" w14:textId="77777777" w:rsidR="00C234C7" w:rsidRDefault="00C234C7" w:rsidP="00DD7AA0">
      <w:pPr>
        <w:spacing w:before="240"/>
        <w:jc w:val="both"/>
        <w:rPr>
          <w:rFonts w:ascii="Arial" w:hAnsi="Arial" w:cs="Arial"/>
          <w:szCs w:val="22"/>
        </w:rPr>
      </w:pPr>
    </w:p>
    <w:p w14:paraId="2220A8D8" w14:textId="77777777" w:rsidR="00C234C7" w:rsidRDefault="00C234C7" w:rsidP="00DD7AA0">
      <w:pPr>
        <w:spacing w:before="240"/>
        <w:jc w:val="both"/>
        <w:rPr>
          <w:rFonts w:ascii="Arial" w:hAnsi="Arial" w:cs="Arial"/>
          <w:szCs w:val="22"/>
        </w:rPr>
      </w:pPr>
    </w:p>
    <w:p w14:paraId="6CB65415" w14:textId="77777777" w:rsidR="00C234C7" w:rsidRDefault="00C234C7" w:rsidP="00DD7AA0">
      <w:pPr>
        <w:spacing w:before="240"/>
        <w:jc w:val="both"/>
        <w:rPr>
          <w:rFonts w:ascii="Arial" w:hAnsi="Arial" w:cs="Arial"/>
          <w:szCs w:val="22"/>
        </w:rPr>
      </w:pPr>
    </w:p>
    <w:p w14:paraId="74A950AE" w14:textId="77777777" w:rsidR="00C234C7" w:rsidRDefault="00C234C7" w:rsidP="00DD7AA0">
      <w:pPr>
        <w:spacing w:before="240"/>
        <w:jc w:val="both"/>
        <w:rPr>
          <w:rFonts w:ascii="Arial" w:hAnsi="Arial" w:cs="Arial"/>
          <w:szCs w:val="22"/>
        </w:rPr>
      </w:pPr>
    </w:p>
    <w:p w14:paraId="0D3795A9" w14:textId="77777777" w:rsidR="00C234C7" w:rsidRDefault="00C234C7" w:rsidP="00DD7AA0">
      <w:pPr>
        <w:spacing w:before="240"/>
        <w:jc w:val="both"/>
        <w:rPr>
          <w:rFonts w:ascii="Arial" w:hAnsi="Arial" w:cs="Arial"/>
          <w:szCs w:val="22"/>
        </w:rPr>
      </w:pPr>
    </w:p>
    <w:p w14:paraId="2FBE5C3F" w14:textId="77777777" w:rsidR="00C234C7" w:rsidRDefault="00C234C7" w:rsidP="00DD7AA0">
      <w:pPr>
        <w:spacing w:before="240"/>
        <w:jc w:val="both"/>
        <w:rPr>
          <w:rFonts w:ascii="Arial" w:hAnsi="Arial" w:cs="Arial"/>
          <w:szCs w:val="22"/>
        </w:rPr>
      </w:pPr>
    </w:p>
    <w:sdt>
      <w:sdtPr>
        <w:rPr>
          <w:rFonts w:asciiTheme="minorBidi" w:eastAsiaTheme="minorHAnsi" w:hAnsiTheme="minorBidi" w:cstheme="minorBidi"/>
          <w:b w:val="0"/>
          <w:bCs w:val="0"/>
          <w:color w:val="auto"/>
          <w:kern w:val="2"/>
          <w:sz w:val="24"/>
          <w:szCs w:val="24"/>
          <w:lang w:val="en-GB"/>
          <w14:ligatures w14:val="standardContextual"/>
        </w:rPr>
        <w:id w:val="1479738644"/>
        <w:docPartObj>
          <w:docPartGallery w:val="Table of Contents"/>
          <w:docPartUnique/>
        </w:docPartObj>
      </w:sdtPr>
      <w:sdtEndPr>
        <w:rPr>
          <w:noProof/>
        </w:rPr>
      </w:sdtEndPr>
      <w:sdtContent>
        <w:p w14:paraId="06FA530E" w14:textId="115C7806" w:rsidR="00C234C7" w:rsidRPr="00C234C7" w:rsidRDefault="00C234C7" w:rsidP="00C234C7">
          <w:pPr>
            <w:pStyle w:val="TOCHeading"/>
            <w:spacing w:line="480" w:lineRule="auto"/>
            <w:rPr>
              <w:rFonts w:asciiTheme="minorBidi" w:hAnsiTheme="minorBidi" w:cstheme="minorBidi"/>
              <w:sz w:val="32"/>
              <w:szCs w:val="32"/>
            </w:rPr>
          </w:pPr>
          <w:r w:rsidRPr="00C234C7">
            <w:rPr>
              <w:rFonts w:asciiTheme="minorBidi" w:hAnsiTheme="minorBidi" w:cstheme="minorBidi"/>
              <w:sz w:val="32"/>
              <w:szCs w:val="32"/>
            </w:rPr>
            <w:t>TABLE OF CONTENTS</w:t>
          </w:r>
        </w:p>
        <w:p w14:paraId="6515D2AC" w14:textId="36551D57" w:rsidR="00C234C7" w:rsidRPr="00C234C7" w:rsidRDefault="00C234C7" w:rsidP="00C234C7">
          <w:pPr>
            <w:pStyle w:val="TOC1"/>
            <w:tabs>
              <w:tab w:val="left" w:pos="480"/>
              <w:tab w:val="right" w:leader="dot" w:pos="9016"/>
            </w:tabs>
            <w:spacing w:line="480" w:lineRule="auto"/>
            <w:rPr>
              <w:rFonts w:asciiTheme="minorBidi" w:hAnsiTheme="minorBidi" w:cstheme="minorBidi"/>
              <w:b w:val="0"/>
              <w:bCs w:val="0"/>
              <w:noProof/>
              <w:sz w:val="24"/>
            </w:rPr>
          </w:pPr>
          <w:r w:rsidRPr="00C234C7">
            <w:rPr>
              <w:rFonts w:asciiTheme="minorBidi" w:hAnsiTheme="minorBidi" w:cstheme="minorBidi"/>
              <w:b w:val="0"/>
              <w:bCs w:val="0"/>
              <w:sz w:val="24"/>
            </w:rPr>
            <w:fldChar w:fldCharType="begin"/>
          </w:r>
          <w:r w:rsidRPr="00C234C7">
            <w:rPr>
              <w:rFonts w:asciiTheme="minorBidi" w:hAnsiTheme="minorBidi" w:cstheme="minorBidi"/>
              <w:b w:val="0"/>
              <w:bCs w:val="0"/>
              <w:sz w:val="24"/>
            </w:rPr>
            <w:instrText xml:space="preserve"> TOC \o "1-3" \h \z \u </w:instrText>
          </w:r>
          <w:r w:rsidRPr="00C234C7">
            <w:rPr>
              <w:rFonts w:asciiTheme="minorBidi" w:hAnsiTheme="minorBidi" w:cstheme="minorBidi"/>
              <w:b w:val="0"/>
              <w:bCs w:val="0"/>
              <w:sz w:val="24"/>
            </w:rPr>
            <w:fldChar w:fldCharType="separate"/>
          </w:r>
          <w:hyperlink w:anchor="_Toc222755756" w:history="1">
            <w:r w:rsidRPr="00C234C7">
              <w:rPr>
                <w:rStyle w:val="Hyperlink"/>
                <w:rFonts w:asciiTheme="minorBidi" w:hAnsiTheme="minorBidi" w:cstheme="minorBidi"/>
                <w:b w:val="0"/>
                <w:bCs w:val="0"/>
                <w:noProof/>
                <w:sz w:val="24"/>
              </w:rPr>
              <w:t>1.</w:t>
            </w:r>
            <w:r w:rsidRPr="00C234C7">
              <w:rPr>
                <w:rFonts w:asciiTheme="minorBidi" w:hAnsiTheme="minorBidi" w:cstheme="minorBidi"/>
                <w:b w:val="0"/>
                <w:bCs w:val="0"/>
                <w:noProof/>
                <w:sz w:val="24"/>
              </w:rPr>
              <w:tab/>
            </w:r>
            <w:r w:rsidRPr="00C234C7">
              <w:rPr>
                <w:rStyle w:val="Hyperlink"/>
                <w:rFonts w:asciiTheme="minorBidi" w:hAnsiTheme="minorBidi" w:cstheme="minorBidi"/>
                <w:b w:val="0"/>
                <w:bCs w:val="0"/>
                <w:noProof/>
                <w:sz w:val="24"/>
              </w:rPr>
              <w:t>Introduction</w:t>
            </w:r>
            <w:r w:rsidRPr="00C234C7">
              <w:rPr>
                <w:rFonts w:asciiTheme="minorBidi" w:hAnsiTheme="minorBidi" w:cstheme="minorBidi"/>
                <w:b w:val="0"/>
                <w:bCs w:val="0"/>
                <w:noProof/>
                <w:webHidden/>
                <w:sz w:val="24"/>
              </w:rPr>
              <w:tab/>
            </w:r>
            <w:r w:rsidRPr="00C234C7">
              <w:rPr>
                <w:rFonts w:asciiTheme="minorBidi" w:hAnsiTheme="minorBidi" w:cstheme="minorBidi"/>
                <w:b w:val="0"/>
                <w:bCs w:val="0"/>
                <w:noProof/>
                <w:webHidden/>
                <w:sz w:val="24"/>
              </w:rPr>
              <w:fldChar w:fldCharType="begin"/>
            </w:r>
            <w:r w:rsidRPr="00C234C7">
              <w:rPr>
                <w:rFonts w:asciiTheme="minorBidi" w:hAnsiTheme="minorBidi" w:cstheme="minorBidi"/>
                <w:b w:val="0"/>
                <w:bCs w:val="0"/>
                <w:noProof/>
                <w:webHidden/>
                <w:sz w:val="24"/>
              </w:rPr>
              <w:instrText xml:space="preserve"> PAGEREF _Toc222755756 \h </w:instrText>
            </w:r>
            <w:r w:rsidRPr="00C234C7">
              <w:rPr>
                <w:rFonts w:asciiTheme="minorBidi" w:hAnsiTheme="minorBidi" w:cstheme="minorBidi"/>
                <w:b w:val="0"/>
                <w:bCs w:val="0"/>
                <w:noProof/>
                <w:webHidden/>
                <w:sz w:val="24"/>
              </w:rPr>
            </w:r>
            <w:r w:rsidRPr="00C234C7">
              <w:rPr>
                <w:rFonts w:asciiTheme="minorBidi" w:hAnsiTheme="minorBidi" w:cstheme="minorBidi"/>
                <w:b w:val="0"/>
                <w:bCs w:val="0"/>
                <w:noProof/>
                <w:webHidden/>
                <w:sz w:val="24"/>
              </w:rPr>
              <w:fldChar w:fldCharType="separate"/>
            </w:r>
            <w:r w:rsidR="005F4A4E">
              <w:rPr>
                <w:rFonts w:asciiTheme="minorBidi" w:hAnsiTheme="minorBidi" w:cstheme="minorBidi"/>
                <w:b w:val="0"/>
                <w:bCs w:val="0"/>
                <w:noProof/>
                <w:webHidden/>
                <w:sz w:val="24"/>
              </w:rPr>
              <w:t>3</w:t>
            </w:r>
            <w:r w:rsidRPr="00C234C7">
              <w:rPr>
                <w:rFonts w:asciiTheme="minorBidi" w:hAnsiTheme="minorBidi" w:cstheme="minorBidi"/>
                <w:b w:val="0"/>
                <w:bCs w:val="0"/>
                <w:noProof/>
                <w:webHidden/>
                <w:sz w:val="24"/>
              </w:rPr>
              <w:fldChar w:fldCharType="end"/>
            </w:r>
          </w:hyperlink>
        </w:p>
        <w:p w14:paraId="113FFFC2" w14:textId="6DA7E0C1" w:rsidR="00C234C7" w:rsidRPr="00C234C7" w:rsidRDefault="00C234C7" w:rsidP="00C234C7">
          <w:pPr>
            <w:pStyle w:val="TOC1"/>
            <w:tabs>
              <w:tab w:val="left" w:pos="480"/>
              <w:tab w:val="right" w:leader="dot" w:pos="9016"/>
            </w:tabs>
            <w:spacing w:line="480" w:lineRule="auto"/>
            <w:rPr>
              <w:rFonts w:asciiTheme="minorBidi" w:hAnsiTheme="minorBidi" w:cstheme="minorBidi"/>
              <w:b w:val="0"/>
              <w:bCs w:val="0"/>
              <w:noProof/>
              <w:sz w:val="24"/>
            </w:rPr>
          </w:pPr>
          <w:hyperlink w:anchor="_Toc222755757" w:history="1">
            <w:r w:rsidRPr="00C234C7">
              <w:rPr>
                <w:rStyle w:val="Hyperlink"/>
                <w:rFonts w:asciiTheme="minorBidi" w:hAnsiTheme="minorBidi" w:cstheme="minorBidi"/>
                <w:b w:val="0"/>
                <w:bCs w:val="0"/>
                <w:noProof/>
                <w:sz w:val="24"/>
              </w:rPr>
              <w:t>2.</w:t>
            </w:r>
            <w:r w:rsidRPr="00C234C7">
              <w:rPr>
                <w:rFonts w:asciiTheme="minorBidi" w:hAnsiTheme="minorBidi" w:cstheme="minorBidi"/>
                <w:b w:val="0"/>
                <w:bCs w:val="0"/>
                <w:noProof/>
                <w:sz w:val="24"/>
              </w:rPr>
              <w:tab/>
            </w:r>
            <w:r w:rsidRPr="00C234C7">
              <w:rPr>
                <w:rStyle w:val="Hyperlink"/>
                <w:rFonts w:asciiTheme="minorBidi" w:hAnsiTheme="minorBidi" w:cstheme="minorBidi"/>
                <w:b w:val="0"/>
                <w:bCs w:val="0"/>
                <w:noProof/>
                <w:sz w:val="24"/>
              </w:rPr>
              <w:t>SDG 3: Good Health and Wellbeing</w:t>
            </w:r>
            <w:r w:rsidRPr="00C234C7">
              <w:rPr>
                <w:rFonts w:asciiTheme="minorBidi" w:hAnsiTheme="minorBidi" w:cstheme="minorBidi"/>
                <w:b w:val="0"/>
                <w:bCs w:val="0"/>
                <w:noProof/>
                <w:webHidden/>
                <w:sz w:val="24"/>
              </w:rPr>
              <w:tab/>
            </w:r>
            <w:r w:rsidRPr="00C234C7">
              <w:rPr>
                <w:rFonts w:asciiTheme="minorBidi" w:hAnsiTheme="minorBidi" w:cstheme="minorBidi"/>
                <w:b w:val="0"/>
                <w:bCs w:val="0"/>
                <w:noProof/>
                <w:webHidden/>
                <w:sz w:val="24"/>
              </w:rPr>
              <w:fldChar w:fldCharType="begin"/>
            </w:r>
            <w:r w:rsidRPr="00C234C7">
              <w:rPr>
                <w:rFonts w:asciiTheme="minorBidi" w:hAnsiTheme="minorBidi" w:cstheme="minorBidi"/>
                <w:b w:val="0"/>
                <w:bCs w:val="0"/>
                <w:noProof/>
                <w:webHidden/>
                <w:sz w:val="24"/>
              </w:rPr>
              <w:instrText xml:space="preserve"> PAGEREF _Toc222755757 \h </w:instrText>
            </w:r>
            <w:r w:rsidRPr="00C234C7">
              <w:rPr>
                <w:rFonts w:asciiTheme="minorBidi" w:hAnsiTheme="minorBidi" w:cstheme="minorBidi"/>
                <w:b w:val="0"/>
                <w:bCs w:val="0"/>
                <w:noProof/>
                <w:webHidden/>
                <w:sz w:val="24"/>
              </w:rPr>
            </w:r>
            <w:r w:rsidRPr="00C234C7">
              <w:rPr>
                <w:rFonts w:asciiTheme="minorBidi" w:hAnsiTheme="minorBidi" w:cstheme="minorBidi"/>
                <w:b w:val="0"/>
                <w:bCs w:val="0"/>
                <w:noProof/>
                <w:webHidden/>
                <w:sz w:val="24"/>
              </w:rPr>
              <w:fldChar w:fldCharType="separate"/>
            </w:r>
            <w:r w:rsidR="005F4A4E">
              <w:rPr>
                <w:rFonts w:asciiTheme="minorBidi" w:hAnsiTheme="minorBidi" w:cstheme="minorBidi"/>
                <w:b w:val="0"/>
                <w:bCs w:val="0"/>
                <w:noProof/>
                <w:webHidden/>
                <w:sz w:val="24"/>
              </w:rPr>
              <w:t>4</w:t>
            </w:r>
            <w:r w:rsidRPr="00C234C7">
              <w:rPr>
                <w:rFonts w:asciiTheme="minorBidi" w:hAnsiTheme="minorBidi" w:cstheme="minorBidi"/>
                <w:b w:val="0"/>
                <w:bCs w:val="0"/>
                <w:noProof/>
                <w:webHidden/>
                <w:sz w:val="24"/>
              </w:rPr>
              <w:fldChar w:fldCharType="end"/>
            </w:r>
          </w:hyperlink>
        </w:p>
        <w:p w14:paraId="5F435ED6" w14:textId="5BDB0D8D" w:rsidR="00C234C7" w:rsidRPr="00C234C7" w:rsidRDefault="00C234C7" w:rsidP="00C234C7">
          <w:pPr>
            <w:pStyle w:val="TOC1"/>
            <w:tabs>
              <w:tab w:val="left" w:pos="480"/>
              <w:tab w:val="right" w:leader="dot" w:pos="9016"/>
            </w:tabs>
            <w:spacing w:line="480" w:lineRule="auto"/>
            <w:rPr>
              <w:rFonts w:asciiTheme="minorBidi" w:hAnsiTheme="minorBidi" w:cstheme="minorBidi"/>
              <w:b w:val="0"/>
              <w:bCs w:val="0"/>
              <w:noProof/>
              <w:sz w:val="24"/>
            </w:rPr>
          </w:pPr>
          <w:hyperlink w:anchor="_Toc222755758" w:history="1">
            <w:r w:rsidRPr="00C234C7">
              <w:rPr>
                <w:rStyle w:val="Hyperlink"/>
                <w:rFonts w:asciiTheme="minorBidi" w:hAnsiTheme="minorBidi" w:cstheme="minorBidi"/>
                <w:b w:val="0"/>
                <w:bCs w:val="0"/>
                <w:noProof/>
                <w:sz w:val="24"/>
              </w:rPr>
              <w:t>3.</w:t>
            </w:r>
            <w:r w:rsidRPr="00C234C7">
              <w:rPr>
                <w:rFonts w:asciiTheme="minorBidi" w:hAnsiTheme="minorBidi" w:cstheme="minorBidi"/>
                <w:b w:val="0"/>
                <w:bCs w:val="0"/>
                <w:noProof/>
                <w:sz w:val="24"/>
              </w:rPr>
              <w:tab/>
            </w:r>
            <w:r w:rsidRPr="00C234C7">
              <w:rPr>
                <w:rStyle w:val="Hyperlink"/>
                <w:rFonts w:asciiTheme="minorBidi" w:hAnsiTheme="minorBidi" w:cstheme="minorBidi"/>
                <w:b w:val="0"/>
                <w:bCs w:val="0"/>
                <w:noProof/>
                <w:sz w:val="24"/>
              </w:rPr>
              <w:t>SDG 4 Quality Education</w:t>
            </w:r>
            <w:r w:rsidRPr="00C234C7">
              <w:rPr>
                <w:rFonts w:asciiTheme="minorBidi" w:hAnsiTheme="minorBidi" w:cstheme="minorBidi"/>
                <w:b w:val="0"/>
                <w:bCs w:val="0"/>
                <w:noProof/>
                <w:webHidden/>
                <w:sz w:val="24"/>
              </w:rPr>
              <w:tab/>
            </w:r>
            <w:r w:rsidRPr="00C234C7">
              <w:rPr>
                <w:rFonts w:asciiTheme="minorBidi" w:hAnsiTheme="minorBidi" w:cstheme="minorBidi"/>
                <w:b w:val="0"/>
                <w:bCs w:val="0"/>
                <w:noProof/>
                <w:webHidden/>
                <w:sz w:val="24"/>
              </w:rPr>
              <w:fldChar w:fldCharType="begin"/>
            </w:r>
            <w:r w:rsidRPr="00C234C7">
              <w:rPr>
                <w:rFonts w:asciiTheme="minorBidi" w:hAnsiTheme="minorBidi" w:cstheme="minorBidi"/>
                <w:b w:val="0"/>
                <w:bCs w:val="0"/>
                <w:noProof/>
                <w:webHidden/>
                <w:sz w:val="24"/>
              </w:rPr>
              <w:instrText xml:space="preserve"> PAGEREF _Toc222755758 \h </w:instrText>
            </w:r>
            <w:r w:rsidRPr="00C234C7">
              <w:rPr>
                <w:rFonts w:asciiTheme="minorBidi" w:hAnsiTheme="minorBidi" w:cstheme="minorBidi"/>
                <w:b w:val="0"/>
                <w:bCs w:val="0"/>
                <w:noProof/>
                <w:webHidden/>
                <w:sz w:val="24"/>
              </w:rPr>
            </w:r>
            <w:r w:rsidRPr="00C234C7">
              <w:rPr>
                <w:rFonts w:asciiTheme="minorBidi" w:hAnsiTheme="minorBidi" w:cstheme="minorBidi"/>
                <w:b w:val="0"/>
                <w:bCs w:val="0"/>
                <w:noProof/>
                <w:webHidden/>
                <w:sz w:val="24"/>
              </w:rPr>
              <w:fldChar w:fldCharType="separate"/>
            </w:r>
            <w:r w:rsidR="005F4A4E">
              <w:rPr>
                <w:rFonts w:asciiTheme="minorBidi" w:hAnsiTheme="minorBidi" w:cstheme="minorBidi"/>
                <w:b w:val="0"/>
                <w:bCs w:val="0"/>
                <w:noProof/>
                <w:webHidden/>
                <w:sz w:val="24"/>
              </w:rPr>
              <w:t>7</w:t>
            </w:r>
            <w:r w:rsidRPr="00C234C7">
              <w:rPr>
                <w:rFonts w:asciiTheme="minorBidi" w:hAnsiTheme="minorBidi" w:cstheme="minorBidi"/>
                <w:b w:val="0"/>
                <w:bCs w:val="0"/>
                <w:noProof/>
                <w:webHidden/>
                <w:sz w:val="24"/>
              </w:rPr>
              <w:fldChar w:fldCharType="end"/>
            </w:r>
          </w:hyperlink>
        </w:p>
        <w:p w14:paraId="369A1BC6" w14:textId="0D2E30C1" w:rsidR="00C234C7" w:rsidRPr="00C234C7" w:rsidRDefault="00C234C7" w:rsidP="00C234C7">
          <w:pPr>
            <w:pStyle w:val="TOC1"/>
            <w:tabs>
              <w:tab w:val="left" w:pos="480"/>
              <w:tab w:val="right" w:leader="dot" w:pos="9016"/>
            </w:tabs>
            <w:spacing w:line="480" w:lineRule="auto"/>
            <w:rPr>
              <w:rFonts w:asciiTheme="minorBidi" w:hAnsiTheme="minorBidi" w:cstheme="minorBidi"/>
              <w:b w:val="0"/>
              <w:bCs w:val="0"/>
              <w:noProof/>
              <w:sz w:val="24"/>
            </w:rPr>
          </w:pPr>
          <w:hyperlink w:anchor="_Toc222755759" w:history="1">
            <w:r w:rsidRPr="00C234C7">
              <w:rPr>
                <w:rStyle w:val="Hyperlink"/>
                <w:rFonts w:asciiTheme="minorBidi" w:hAnsiTheme="minorBidi" w:cstheme="minorBidi"/>
                <w:b w:val="0"/>
                <w:bCs w:val="0"/>
                <w:noProof/>
                <w:sz w:val="24"/>
              </w:rPr>
              <w:t>4.</w:t>
            </w:r>
            <w:r w:rsidRPr="00C234C7">
              <w:rPr>
                <w:rFonts w:asciiTheme="minorBidi" w:hAnsiTheme="minorBidi" w:cstheme="minorBidi"/>
                <w:b w:val="0"/>
                <w:bCs w:val="0"/>
                <w:noProof/>
                <w:sz w:val="24"/>
              </w:rPr>
              <w:tab/>
            </w:r>
            <w:r w:rsidRPr="00C234C7">
              <w:rPr>
                <w:rStyle w:val="Hyperlink"/>
                <w:rFonts w:asciiTheme="minorBidi" w:hAnsiTheme="minorBidi" w:cstheme="minorBidi"/>
                <w:b w:val="0"/>
                <w:bCs w:val="0"/>
                <w:noProof/>
                <w:sz w:val="24"/>
              </w:rPr>
              <w:t>Conclusion</w:t>
            </w:r>
            <w:r w:rsidRPr="00C234C7">
              <w:rPr>
                <w:rFonts w:asciiTheme="minorBidi" w:hAnsiTheme="minorBidi" w:cstheme="minorBidi"/>
                <w:b w:val="0"/>
                <w:bCs w:val="0"/>
                <w:noProof/>
                <w:webHidden/>
                <w:sz w:val="24"/>
              </w:rPr>
              <w:tab/>
            </w:r>
            <w:r w:rsidRPr="00C234C7">
              <w:rPr>
                <w:rFonts w:asciiTheme="minorBidi" w:hAnsiTheme="minorBidi" w:cstheme="minorBidi"/>
                <w:b w:val="0"/>
                <w:bCs w:val="0"/>
                <w:noProof/>
                <w:webHidden/>
                <w:sz w:val="24"/>
              </w:rPr>
              <w:fldChar w:fldCharType="begin"/>
            </w:r>
            <w:r w:rsidRPr="00C234C7">
              <w:rPr>
                <w:rFonts w:asciiTheme="minorBidi" w:hAnsiTheme="minorBidi" w:cstheme="minorBidi"/>
                <w:b w:val="0"/>
                <w:bCs w:val="0"/>
                <w:noProof/>
                <w:webHidden/>
                <w:sz w:val="24"/>
              </w:rPr>
              <w:instrText xml:space="preserve"> PAGEREF _Toc222755759 \h </w:instrText>
            </w:r>
            <w:r w:rsidRPr="00C234C7">
              <w:rPr>
                <w:rFonts w:asciiTheme="minorBidi" w:hAnsiTheme="minorBidi" w:cstheme="minorBidi"/>
                <w:b w:val="0"/>
                <w:bCs w:val="0"/>
                <w:noProof/>
                <w:webHidden/>
                <w:sz w:val="24"/>
              </w:rPr>
            </w:r>
            <w:r w:rsidRPr="00C234C7">
              <w:rPr>
                <w:rFonts w:asciiTheme="minorBidi" w:hAnsiTheme="minorBidi" w:cstheme="minorBidi"/>
                <w:b w:val="0"/>
                <w:bCs w:val="0"/>
                <w:noProof/>
                <w:webHidden/>
                <w:sz w:val="24"/>
              </w:rPr>
              <w:fldChar w:fldCharType="separate"/>
            </w:r>
            <w:r w:rsidR="005F4A4E">
              <w:rPr>
                <w:rFonts w:asciiTheme="minorBidi" w:hAnsiTheme="minorBidi" w:cstheme="minorBidi"/>
                <w:b w:val="0"/>
                <w:bCs w:val="0"/>
                <w:noProof/>
                <w:webHidden/>
                <w:sz w:val="24"/>
              </w:rPr>
              <w:t>10</w:t>
            </w:r>
            <w:r w:rsidRPr="00C234C7">
              <w:rPr>
                <w:rFonts w:asciiTheme="minorBidi" w:hAnsiTheme="minorBidi" w:cstheme="minorBidi"/>
                <w:b w:val="0"/>
                <w:bCs w:val="0"/>
                <w:noProof/>
                <w:webHidden/>
                <w:sz w:val="24"/>
              </w:rPr>
              <w:fldChar w:fldCharType="end"/>
            </w:r>
          </w:hyperlink>
        </w:p>
        <w:p w14:paraId="51284136" w14:textId="69FD209C" w:rsidR="00C234C7" w:rsidRPr="00C234C7" w:rsidRDefault="00C234C7" w:rsidP="00C234C7">
          <w:pPr>
            <w:pStyle w:val="TOC1"/>
            <w:tabs>
              <w:tab w:val="left" w:pos="480"/>
              <w:tab w:val="right" w:leader="dot" w:pos="9016"/>
            </w:tabs>
            <w:spacing w:line="480" w:lineRule="auto"/>
            <w:rPr>
              <w:rFonts w:asciiTheme="minorBidi" w:hAnsiTheme="minorBidi" w:cstheme="minorBidi"/>
              <w:b w:val="0"/>
              <w:bCs w:val="0"/>
              <w:noProof/>
              <w:sz w:val="24"/>
            </w:rPr>
          </w:pPr>
          <w:hyperlink w:anchor="_Toc222755760" w:history="1">
            <w:r w:rsidRPr="00C234C7">
              <w:rPr>
                <w:rStyle w:val="Hyperlink"/>
                <w:rFonts w:asciiTheme="minorBidi" w:hAnsiTheme="minorBidi" w:cstheme="minorBidi"/>
                <w:b w:val="0"/>
                <w:bCs w:val="0"/>
                <w:noProof/>
                <w:sz w:val="24"/>
              </w:rPr>
              <w:t>5.</w:t>
            </w:r>
            <w:r w:rsidRPr="00C234C7">
              <w:rPr>
                <w:rFonts w:asciiTheme="minorBidi" w:hAnsiTheme="minorBidi" w:cstheme="minorBidi"/>
                <w:b w:val="0"/>
                <w:bCs w:val="0"/>
                <w:noProof/>
                <w:sz w:val="24"/>
              </w:rPr>
              <w:tab/>
            </w:r>
            <w:r w:rsidRPr="00C234C7">
              <w:rPr>
                <w:rStyle w:val="Hyperlink"/>
                <w:rFonts w:asciiTheme="minorBidi" w:hAnsiTheme="minorBidi" w:cstheme="minorBidi"/>
                <w:b w:val="0"/>
                <w:bCs w:val="0"/>
                <w:noProof/>
                <w:sz w:val="24"/>
              </w:rPr>
              <w:t>References</w:t>
            </w:r>
            <w:r w:rsidRPr="00C234C7">
              <w:rPr>
                <w:rFonts w:asciiTheme="minorBidi" w:hAnsiTheme="minorBidi" w:cstheme="minorBidi"/>
                <w:b w:val="0"/>
                <w:bCs w:val="0"/>
                <w:noProof/>
                <w:webHidden/>
                <w:sz w:val="24"/>
              </w:rPr>
              <w:tab/>
            </w:r>
            <w:r w:rsidRPr="00C234C7">
              <w:rPr>
                <w:rFonts w:asciiTheme="minorBidi" w:hAnsiTheme="minorBidi" w:cstheme="minorBidi"/>
                <w:b w:val="0"/>
                <w:bCs w:val="0"/>
                <w:noProof/>
                <w:webHidden/>
                <w:sz w:val="24"/>
              </w:rPr>
              <w:fldChar w:fldCharType="begin"/>
            </w:r>
            <w:r w:rsidRPr="00C234C7">
              <w:rPr>
                <w:rFonts w:asciiTheme="minorBidi" w:hAnsiTheme="minorBidi" w:cstheme="minorBidi"/>
                <w:b w:val="0"/>
                <w:bCs w:val="0"/>
                <w:noProof/>
                <w:webHidden/>
                <w:sz w:val="24"/>
              </w:rPr>
              <w:instrText xml:space="preserve"> PAGEREF _Toc222755760 \h </w:instrText>
            </w:r>
            <w:r w:rsidRPr="00C234C7">
              <w:rPr>
                <w:rFonts w:asciiTheme="minorBidi" w:hAnsiTheme="minorBidi" w:cstheme="minorBidi"/>
                <w:b w:val="0"/>
                <w:bCs w:val="0"/>
                <w:noProof/>
                <w:webHidden/>
                <w:sz w:val="24"/>
              </w:rPr>
            </w:r>
            <w:r w:rsidRPr="00C234C7">
              <w:rPr>
                <w:rFonts w:asciiTheme="minorBidi" w:hAnsiTheme="minorBidi" w:cstheme="minorBidi"/>
                <w:b w:val="0"/>
                <w:bCs w:val="0"/>
                <w:noProof/>
                <w:webHidden/>
                <w:sz w:val="24"/>
              </w:rPr>
              <w:fldChar w:fldCharType="separate"/>
            </w:r>
            <w:r w:rsidR="005F4A4E">
              <w:rPr>
                <w:rFonts w:asciiTheme="minorBidi" w:hAnsiTheme="minorBidi" w:cstheme="minorBidi"/>
                <w:b w:val="0"/>
                <w:bCs w:val="0"/>
                <w:noProof/>
                <w:webHidden/>
                <w:sz w:val="24"/>
              </w:rPr>
              <w:t>11</w:t>
            </w:r>
            <w:r w:rsidRPr="00C234C7">
              <w:rPr>
                <w:rFonts w:asciiTheme="minorBidi" w:hAnsiTheme="minorBidi" w:cstheme="minorBidi"/>
                <w:b w:val="0"/>
                <w:bCs w:val="0"/>
                <w:noProof/>
                <w:webHidden/>
                <w:sz w:val="24"/>
              </w:rPr>
              <w:fldChar w:fldCharType="end"/>
            </w:r>
          </w:hyperlink>
        </w:p>
        <w:p w14:paraId="4C50F73C" w14:textId="01258144" w:rsidR="00C234C7" w:rsidRDefault="00C234C7" w:rsidP="00C234C7">
          <w:pPr>
            <w:spacing w:line="480" w:lineRule="auto"/>
          </w:pPr>
          <w:r w:rsidRPr="00C234C7">
            <w:rPr>
              <w:noProof/>
              <w:sz w:val="24"/>
            </w:rPr>
            <w:fldChar w:fldCharType="end"/>
          </w:r>
        </w:p>
      </w:sdtContent>
    </w:sdt>
    <w:p w14:paraId="6C046AB7" w14:textId="77777777" w:rsidR="00C234C7" w:rsidRDefault="00C234C7" w:rsidP="00DD7AA0">
      <w:pPr>
        <w:spacing w:before="240"/>
        <w:jc w:val="both"/>
        <w:rPr>
          <w:rFonts w:ascii="Arial" w:hAnsi="Arial" w:cs="Arial"/>
          <w:szCs w:val="22"/>
        </w:rPr>
      </w:pPr>
    </w:p>
    <w:p w14:paraId="1677BBB2" w14:textId="77777777" w:rsidR="00C234C7" w:rsidRDefault="00C234C7" w:rsidP="00DD7AA0">
      <w:pPr>
        <w:spacing w:before="240"/>
        <w:jc w:val="both"/>
        <w:rPr>
          <w:rFonts w:ascii="Arial" w:hAnsi="Arial" w:cs="Arial"/>
          <w:szCs w:val="22"/>
        </w:rPr>
      </w:pPr>
    </w:p>
    <w:p w14:paraId="62FEEC2D" w14:textId="77777777" w:rsidR="00C234C7" w:rsidRDefault="00C234C7" w:rsidP="00DD7AA0">
      <w:pPr>
        <w:spacing w:before="240"/>
        <w:jc w:val="both"/>
        <w:rPr>
          <w:rFonts w:ascii="Arial" w:hAnsi="Arial" w:cs="Arial"/>
          <w:szCs w:val="22"/>
        </w:rPr>
      </w:pPr>
    </w:p>
    <w:p w14:paraId="60E85046" w14:textId="77777777" w:rsidR="00C234C7" w:rsidRDefault="00C234C7" w:rsidP="00DD7AA0">
      <w:pPr>
        <w:spacing w:before="240"/>
        <w:jc w:val="both"/>
        <w:rPr>
          <w:rFonts w:ascii="Arial" w:hAnsi="Arial" w:cs="Arial"/>
          <w:szCs w:val="22"/>
        </w:rPr>
      </w:pPr>
    </w:p>
    <w:p w14:paraId="357C3683" w14:textId="77777777" w:rsidR="00C234C7" w:rsidRDefault="00C234C7" w:rsidP="00DD7AA0">
      <w:pPr>
        <w:spacing w:before="240"/>
        <w:jc w:val="both"/>
        <w:rPr>
          <w:rFonts w:ascii="Arial" w:hAnsi="Arial" w:cs="Arial"/>
          <w:szCs w:val="22"/>
        </w:rPr>
      </w:pPr>
    </w:p>
    <w:p w14:paraId="42E6F5C6" w14:textId="77777777" w:rsidR="00C234C7" w:rsidRDefault="00C234C7" w:rsidP="00DD7AA0">
      <w:pPr>
        <w:spacing w:before="240"/>
        <w:jc w:val="both"/>
        <w:rPr>
          <w:rFonts w:ascii="Arial" w:hAnsi="Arial" w:cs="Arial"/>
          <w:szCs w:val="22"/>
        </w:rPr>
      </w:pPr>
    </w:p>
    <w:p w14:paraId="1DEB4CBE" w14:textId="77777777" w:rsidR="00C234C7" w:rsidRDefault="00C234C7" w:rsidP="00DD7AA0">
      <w:pPr>
        <w:spacing w:before="240"/>
        <w:jc w:val="both"/>
        <w:rPr>
          <w:rFonts w:ascii="Arial" w:hAnsi="Arial" w:cs="Arial"/>
          <w:szCs w:val="22"/>
        </w:rPr>
      </w:pPr>
    </w:p>
    <w:p w14:paraId="7FB999AF" w14:textId="77777777" w:rsidR="00C234C7" w:rsidRDefault="00C234C7" w:rsidP="00DD7AA0">
      <w:pPr>
        <w:spacing w:before="240"/>
        <w:jc w:val="both"/>
        <w:rPr>
          <w:rFonts w:ascii="Arial" w:hAnsi="Arial" w:cs="Arial"/>
          <w:szCs w:val="22"/>
        </w:rPr>
      </w:pPr>
    </w:p>
    <w:p w14:paraId="1C281455" w14:textId="77777777" w:rsidR="00C234C7" w:rsidRDefault="00C234C7" w:rsidP="00DD7AA0">
      <w:pPr>
        <w:spacing w:before="240"/>
        <w:jc w:val="both"/>
        <w:rPr>
          <w:rFonts w:ascii="Arial" w:hAnsi="Arial" w:cs="Arial"/>
          <w:szCs w:val="22"/>
        </w:rPr>
      </w:pPr>
    </w:p>
    <w:p w14:paraId="5A9DE86D" w14:textId="77777777" w:rsidR="00C234C7" w:rsidRDefault="00C234C7" w:rsidP="00DD7AA0">
      <w:pPr>
        <w:spacing w:before="240"/>
        <w:jc w:val="both"/>
        <w:rPr>
          <w:rFonts w:ascii="Arial" w:hAnsi="Arial" w:cs="Arial"/>
          <w:szCs w:val="22"/>
        </w:rPr>
      </w:pPr>
    </w:p>
    <w:p w14:paraId="1D8A2320" w14:textId="77777777" w:rsidR="00C234C7" w:rsidRDefault="00C234C7" w:rsidP="00DD7AA0">
      <w:pPr>
        <w:spacing w:before="240"/>
        <w:jc w:val="both"/>
        <w:rPr>
          <w:rFonts w:ascii="Arial" w:hAnsi="Arial" w:cs="Arial"/>
          <w:szCs w:val="22"/>
        </w:rPr>
      </w:pPr>
    </w:p>
    <w:p w14:paraId="586C1D3F" w14:textId="77777777" w:rsidR="00C234C7" w:rsidRDefault="00C234C7" w:rsidP="00DD7AA0">
      <w:pPr>
        <w:spacing w:before="240"/>
        <w:jc w:val="both"/>
        <w:rPr>
          <w:rFonts w:ascii="Arial" w:hAnsi="Arial" w:cs="Arial"/>
          <w:szCs w:val="22"/>
        </w:rPr>
      </w:pPr>
    </w:p>
    <w:p w14:paraId="4FB477BF" w14:textId="77777777" w:rsidR="00C234C7" w:rsidRPr="00DD7AA0" w:rsidRDefault="00C234C7" w:rsidP="00DD7AA0">
      <w:pPr>
        <w:spacing w:before="240"/>
        <w:jc w:val="both"/>
        <w:rPr>
          <w:rFonts w:ascii="Arial" w:hAnsi="Arial" w:cs="Arial"/>
          <w:szCs w:val="22"/>
        </w:rPr>
      </w:pPr>
    </w:p>
    <w:p w14:paraId="2218B842" w14:textId="77777777" w:rsidR="009A238E" w:rsidRPr="00DD7AA0" w:rsidRDefault="009A238E" w:rsidP="00DD7AA0">
      <w:pPr>
        <w:spacing w:before="240"/>
        <w:jc w:val="both"/>
        <w:rPr>
          <w:rFonts w:ascii="Arial" w:hAnsi="Arial" w:cs="Arial"/>
          <w:szCs w:val="22"/>
        </w:rPr>
      </w:pPr>
    </w:p>
    <w:p w14:paraId="298710A6" w14:textId="7C969076" w:rsidR="00D32C47" w:rsidRPr="00DD7AA0" w:rsidRDefault="00D32C47" w:rsidP="00DD7AA0">
      <w:pPr>
        <w:pStyle w:val="Heading1"/>
        <w:numPr>
          <w:ilvl w:val="0"/>
          <w:numId w:val="32"/>
        </w:numPr>
      </w:pPr>
      <w:bookmarkStart w:id="0" w:name="_Toc222755756"/>
      <w:r w:rsidRPr="00DD7AA0">
        <w:t>Introduction</w:t>
      </w:r>
      <w:bookmarkEnd w:id="0"/>
    </w:p>
    <w:p w14:paraId="5A8505F7" w14:textId="77777777" w:rsidR="00D32C47" w:rsidRPr="00DD7AA0" w:rsidRDefault="00D32C47" w:rsidP="00DD7AA0">
      <w:pPr>
        <w:spacing w:before="240" w:after="100" w:afterAutospacing="1"/>
        <w:jc w:val="both"/>
        <w:rPr>
          <w:rFonts w:ascii="Arial" w:eastAsia="Times New Roman" w:hAnsi="Arial" w:cs="Arial"/>
          <w:kern w:val="0"/>
          <w:szCs w:val="22"/>
          <w:lang w:eastAsia="en-GB"/>
          <w14:ligatures w14:val="none"/>
        </w:rPr>
      </w:pPr>
      <w:r w:rsidRPr="00DD7AA0">
        <w:rPr>
          <w:rFonts w:ascii="Arial" w:eastAsia="Times New Roman" w:hAnsi="Arial" w:cs="Arial"/>
          <w:kern w:val="0"/>
          <w:szCs w:val="22"/>
          <w:lang w:eastAsia="en-GB"/>
          <w14:ligatures w14:val="none"/>
        </w:rPr>
        <w:t xml:space="preserve">This report critically evaluates how </w:t>
      </w:r>
      <w:r w:rsidRPr="00DD7AA0">
        <w:rPr>
          <w:rFonts w:ascii="Arial" w:eastAsia="Times New Roman" w:hAnsi="Arial" w:cs="Arial"/>
          <w:b/>
          <w:bCs/>
          <w:kern w:val="0"/>
          <w:szCs w:val="22"/>
          <w:lang w:eastAsia="en-GB"/>
          <w14:ligatures w14:val="none"/>
        </w:rPr>
        <w:t>SDG 3 (Good Health and Wellbeing)</w:t>
      </w:r>
      <w:r w:rsidRPr="00DD7AA0">
        <w:rPr>
          <w:rFonts w:ascii="Arial" w:eastAsia="Times New Roman" w:hAnsi="Arial" w:cs="Arial"/>
          <w:kern w:val="0"/>
          <w:szCs w:val="22"/>
          <w:lang w:eastAsia="en-GB"/>
          <w14:ligatures w14:val="none"/>
        </w:rPr>
        <w:t xml:space="preserve"> and </w:t>
      </w:r>
      <w:r w:rsidRPr="00DD7AA0">
        <w:rPr>
          <w:rFonts w:ascii="Arial" w:eastAsia="Times New Roman" w:hAnsi="Arial" w:cs="Arial"/>
          <w:b/>
          <w:bCs/>
          <w:kern w:val="0"/>
          <w:szCs w:val="22"/>
          <w:lang w:eastAsia="en-GB"/>
          <w14:ligatures w14:val="none"/>
        </w:rPr>
        <w:t>SDG 4 (Quality Education)</w:t>
      </w:r>
      <w:r w:rsidRPr="00DD7AA0">
        <w:rPr>
          <w:rFonts w:ascii="Arial" w:eastAsia="Times New Roman" w:hAnsi="Arial" w:cs="Arial"/>
          <w:kern w:val="0"/>
          <w:szCs w:val="22"/>
          <w:lang w:eastAsia="en-GB"/>
          <w14:ligatures w14:val="none"/>
        </w:rPr>
        <w:t xml:space="preserve"> shape citizens’ health outcomes, using </w:t>
      </w:r>
      <w:r w:rsidRPr="00DD7AA0">
        <w:rPr>
          <w:rFonts w:ascii="Arial" w:eastAsia="Times New Roman" w:hAnsi="Arial" w:cs="Arial"/>
          <w:b/>
          <w:bCs/>
          <w:kern w:val="0"/>
          <w:szCs w:val="22"/>
          <w:lang w:eastAsia="en-GB"/>
          <w14:ligatures w14:val="none"/>
        </w:rPr>
        <w:t>education as an upstream social determinant of health</w:t>
      </w:r>
      <w:r w:rsidRPr="00DD7AA0">
        <w:rPr>
          <w:rFonts w:ascii="Arial" w:eastAsia="Times New Roman" w:hAnsi="Arial" w:cs="Arial"/>
          <w:kern w:val="0"/>
          <w:szCs w:val="22"/>
          <w:lang w:eastAsia="en-GB"/>
          <w14:ligatures w14:val="none"/>
        </w:rPr>
        <w:t xml:space="preserve"> as the central lens.</w:t>
      </w:r>
    </w:p>
    <w:p w14:paraId="3C42B9E2" w14:textId="1DCB32C0" w:rsidR="00D32C47" w:rsidRDefault="00270CC8" w:rsidP="00DD7AA0">
      <w:pPr>
        <w:spacing w:before="240" w:after="100" w:afterAutospacing="1"/>
        <w:jc w:val="both"/>
        <w:rPr>
          <w:rFonts w:ascii="Arial" w:eastAsia="Times New Roman" w:hAnsi="Arial" w:cs="Arial"/>
          <w:kern w:val="0"/>
          <w:szCs w:val="22"/>
          <w:lang w:eastAsia="en-GB"/>
          <w14:ligatures w14:val="none"/>
        </w:rPr>
      </w:pPr>
      <w:r w:rsidRPr="00270CC8">
        <w:rPr>
          <w:rFonts w:ascii="Arial" w:eastAsia="Times New Roman" w:hAnsi="Arial" w:cs="Arial"/>
          <w:kern w:val="0"/>
          <w:szCs w:val="22"/>
          <w:lang w:eastAsia="en-GB"/>
          <w14:ligatures w14:val="none"/>
        </w:rPr>
        <w:t>The SDGs are relevant since they represent a universally accepted policy framework (upheld by all UN Member States in 2015) connecting health, wellbeing, equity and sustainability into one people and planet agenda (United Nations, 2015). The SDGs are also designed to be explicitly integrated and indivisible, i.e. progress in one goal (e.g., education) can push or hold back progress in another (e.g., health), necessary where factors beyond the healthcare systems are the source of major health inequalities. This framing is especially applicable to SDG 3 guaranteeing healthy lives and wellbeing throughout the life course and SDG 4 guaranteeing inclusive, equitable quality education and lifelong learning which directly overlap with health literacy, capabilities, and life chances</w:t>
      </w:r>
      <w:r>
        <w:rPr>
          <w:rFonts w:ascii="Arial" w:eastAsia="Times New Roman" w:hAnsi="Arial" w:cs="Arial"/>
          <w:kern w:val="0"/>
          <w:szCs w:val="22"/>
          <w:lang w:eastAsia="en-GB"/>
          <w14:ligatures w14:val="none"/>
        </w:rPr>
        <w:t xml:space="preserve"> </w:t>
      </w:r>
      <w:r w:rsidR="00905260" w:rsidRPr="00DD7AA0">
        <w:rPr>
          <w:rFonts w:ascii="Arial" w:hAnsi="Arial" w:cs="Arial"/>
          <w:szCs w:val="22"/>
        </w:rPr>
        <w:t>(UNDP, 2015)</w:t>
      </w:r>
      <w:r w:rsidR="00D32C47" w:rsidRPr="00DD7AA0">
        <w:rPr>
          <w:rFonts w:ascii="Arial" w:eastAsia="Times New Roman" w:hAnsi="Arial" w:cs="Arial"/>
          <w:kern w:val="0"/>
          <w:szCs w:val="22"/>
          <w:lang w:eastAsia="en-GB"/>
          <w14:ligatures w14:val="none"/>
        </w:rPr>
        <w:t>.</w:t>
      </w:r>
    </w:p>
    <w:p w14:paraId="7E7F3511" w14:textId="77777777" w:rsidR="00295216" w:rsidRDefault="00295216" w:rsidP="00295216">
      <w:pPr>
        <w:keepNext/>
        <w:spacing w:before="240" w:after="100" w:afterAutospacing="1"/>
        <w:jc w:val="center"/>
      </w:pPr>
      <w:r>
        <w:fldChar w:fldCharType="begin"/>
      </w:r>
      <w:r>
        <w:instrText xml:space="preserve"> INCLUDEPICTURE "https://upload.wikimedia.org/wikipedia/commons/thumb/a/a7/Sustainable_Development_Goals.svg/3840px-Sustainable_Development_Goals.svg.png" \* MERGEFORMATINET </w:instrText>
      </w:r>
      <w:r>
        <w:fldChar w:fldCharType="separate"/>
      </w:r>
      <w:r>
        <w:rPr>
          <w:noProof/>
        </w:rPr>
        <w:drawing>
          <wp:inline distT="0" distB="0" distL="0" distR="0" wp14:anchorId="1C792AC6" wp14:editId="310D6026">
            <wp:extent cx="4797445" cy="3038134"/>
            <wp:effectExtent l="0" t="0" r="0" b="0"/>
            <wp:docPr id="1158474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08474" cy="3045119"/>
                    </a:xfrm>
                    <a:prstGeom prst="rect">
                      <a:avLst/>
                    </a:prstGeom>
                    <a:noFill/>
                    <a:ln>
                      <a:noFill/>
                    </a:ln>
                  </pic:spPr>
                </pic:pic>
              </a:graphicData>
            </a:graphic>
          </wp:inline>
        </w:drawing>
      </w:r>
      <w:r>
        <w:fldChar w:fldCharType="end"/>
      </w:r>
    </w:p>
    <w:p w14:paraId="62FBE549" w14:textId="5129AF7B" w:rsidR="00295216" w:rsidRPr="00DD7AA0" w:rsidRDefault="00295216" w:rsidP="00295216">
      <w:pPr>
        <w:pStyle w:val="Caption"/>
        <w:jc w:val="center"/>
        <w:rPr>
          <w:rFonts w:ascii="Arial" w:eastAsia="Times New Roman" w:hAnsi="Arial" w:cs="Arial"/>
          <w:kern w:val="0"/>
          <w:sz w:val="22"/>
          <w:szCs w:val="22"/>
          <w:lang w:eastAsia="en-GB"/>
          <w14:ligatures w14:val="none"/>
        </w:rPr>
      </w:pPr>
      <w:r>
        <w:t xml:space="preserve">Figure </w:t>
      </w:r>
      <w:r w:rsidR="0036708B">
        <w:fldChar w:fldCharType="begin"/>
      </w:r>
      <w:r w:rsidR="0036708B">
        <w:instrText xml:space="preserve"> SEQ Figure \* ARABIC </w:instrText>
      </w:r>
      <w:r w:rsidR="0036708B">
        <w:fldChar w:fldCharType="separate"/>
      </w:r>
      <w:r w:rsidR="0036708B">
        <w:rPr>
          <w:noProof/>
        </w:rPr>
        <w:t>1</w:t>
      </w:r>
      <w:r w:rsidR="0036708B">
        <w:rPr>
          <w:noProof/>
        </w:rPr>
        <w:fldChar w:fldCharType="end"/>
      </w:r>
      <w:r>
        <w:t>: Sustainable Development Goals (United Nations, 2015)</w:t>
      </w:r>
    </w:p>
    <w:p w14:paraId="7CEA0397" w14:textId="7F3DE80E" w:rsidR="00D32C47" w:rsidRPr="00DD7AA0" w:rsidRDefault="006B126D" w:rsidP="00DD7AA0">
      <w:pPr>
        <w:spacing w:before="240" w:after="100" w:afterAutospacing="1"/>
        <w:jc w:val="both"/>
        <w:rPr>
          <w:rFonts w:ascii="Arial" w:eastAsia="Times New Roman" w:hAnsi="Arial" w:cs="Arial"/>
          <w:kern w:val="0"/>
          <w:szCs w:val="22"/>
          <w:lang w:eastAsia="en-GB"/>
          <w14:ligatures w14:val="none"/>
        </w:rPr>
      </w:pPr>
      <w:r w:rsidRPr="006B126D">
        <w:rPr>
          <w:rFonts w:ascii="Arial" w:eastAsia="Times New Roman" w:hAnsi="Arial" w:cs="Arial"/>
          <w:kern w:val="0"/>
          <w:szCs w:val="22"/>
          <w:lang w:eastAsia="en-GB"/>
          <w14:ligatures w14:val="none"/>
        </w:rPr>
        <w:t>The report is divided into two parts. Section 1 examines SDG 3 based on global and national/local efforts (e.g., prevention vs treatment balance), and incorporates the Health Belief Model to measure behaviour change mechanisms (perceived threat, cues to action, self-efficacy). Section 2 discusses SDG 4 using global agendas and country examples, with an application of the Social Cognitive Theory, the Social Determinants of Health perspective, and the Capability Approach by Sen to assess the role of education systems in wellbeing. The conclusion will summarize the findings and policy coherence implications in SDGs 3 and 4</w:t>
      </w:r>
      <w:r w:rsidR="00D32C47" w:rsidRPr="00DD7AA0">
        <w:rPr>
          <w:rFonts w:ascii="Arial" w:eastAsia="Times New Roman" w:hAnsi="Arial" w:cs="Arial"/>
          <w:kern w:val="0"/>
          <w:szCs w:val="22"/>
          <w:lang w:eastAsia="en-GB"/>
          <w14:ligatures w14:val="none"/>
        </w:rPr>
        <w:t>.</w:t>
      </w:r>
    </w:p>
    <w:p w14:paraId="703EF987" w14:textId="112C4E5D" w:rsidR="00ED446B" w:rsidRPr="00DD7AA0" w:rsidRDefault="00ED446B" w:rsidP="00DD7AA0">
      <w:pPr>
        <w:pStyle w:val="Heading1"/>
        <w:numPr>
          <w:ilvl w:val="0"/>
          <w:numId w:val="32"/>
        </w:numPr>
      </w:pPr>
      <w:bookmarkStart w:id="1" w:name="_Toc222755757"/>
      <w:r w:rsidRPr="00DD7AA0">
        <w:t>SDG 3</w:t>
      </w:r>
      <w:r w:rsidR="00DD7AA0" w:rsidRPr="00DD7AA0">
        <w:t>:</w:t>
      </w:r>
      <w:r w:rsidRPr="00DD7AA0">
        <w:t xml:space="preserve"> Good Health and Wellbeing</w:t>
      </w:r>
      <w:bookmarkEnd w:id="1"/>
      <w:r w:rsidRPr="00DD7AA0">
        <w:t xml:space="preserve"> </w:t>
      </w:r>
    </w:p>
    <w:p w14:paraId="3AF79D4A" w14:textId="7EC2E3AB" w:rsidR="00ED446B" w:rsidRPr="00DD7AA0" w:rsidRDefault="00ED446B" w:rsidP="00DD7AA0">
      <w:pPr>
        <w:spacing w:before="240"/>
        <w:jc w:val="both"/>
      </w:pPr>
      <w:r w:rsidRPr="00DD7AA0">
        <w:t>SDG 3 commits governments to ensure healthy lives and promote wellbeing for all at all ages,</w:t>
      </w:r>
      <w:r w:rsidR="00612144" w:rsidRPr="00DD7AA0">
        <w:t xml:space="preserve"> </w:t>
      </w:r>
      <w:r w:rsidRPr="00DD7AA0">
        <w:t>spanning communicable disease control (e.g., vaccination), non-communicable disease prevention, mental health, and universal health coverage (UHC). In practice, SDG 3 is operationalised through global strategies that emphasise measurable progress and system strengthening rather than single-issue programmes</w:t>
      </w:r>
      <w:r w:rsidR="00612144" w:rsidRPr="00DD7AA0">
        <w:t xml:space="preserve"> (United Nations, 2015)</w:t>
      </w:r>
      <w:r w:rsidRPr="00DD7AA0">
        <w:t>. The World Health Organization’s (WHO) Thirteenth General Programme of Work (GPW13) and its triple billion framing (more people benefiting from UHC, better protected from health emergencies, and enjoying better health and wellbeing) exemplify this results-oriented approach and explicitly position WHO delivery as anchored in the health-related SDGs</w:t>
      </w:r>
      <w:r w:rsidR="00612144" w:rsidRPr="00DD7AA0">
        <w:t xml:space="preserve"> (WHO, 2019)</w:t>
      </w:r>
      <w:r w:rsidRPr="00DD7AA0">
        <w:t xml:space="preserve">. </w:t>
      </w:r>
    </w:p>
    <w:p w14:paraId="3DD6CB00" w14:textId="0AA46DE9" w:rsidR="00ED446B" w:rsidRPr="00DD7AA0" w:rsidRDefault="00ED446B" w:rsidP="00DD7AA0">
      <w:pPr>
        <w:pStyle w:val="NormalWeb"/>
        <w:spacing w:before="240" w:beforeAutospacing="0" w:line="360" w:lineRule="auto"/>
        <w:jc w:val="both"/>
        <w:rPr>
          <w:rFonts w:ascii="Arial" w:hAnsi="Arial" w:cs="Arial"/>
          <w:szCs w:val="22"/>
        </w:rPr>
      </w:pPr>
      <w:r w:rsidRPr="00DD7AA0">
        <w:rPr>
          <w:rFonts w:ascii="Arial" w:hAnsi="Arial" w:cs="Arial"/>
          <w:szCs w:val="22"/>
        </w:rPr>
        <w:t>At the global level, WHO strategies increasingly present health as a system-level outcome requiring governance, financing, primary care capacity, and data infrastructure. For example, WHO’s global health strategy planning for the post-GPW13 period stresses alignment across the health ecosystem and country-level impact</w:t>
      </w:r>
      <w:r w:rsidR="008F3FB0" w:rsidRPr="00DD7AA0">
        <w:rPr>
          <w:rFonts w:ascii="Arial" w:hAnsi="Arial" w:cs="Arial"/>
          <w:szCs w:val="22"/>
        </w:rPr>
        <w:t xml:space="preserve">, </w:t>
      </w:r>
      <w:r w:rsidRPr="00DD7AA0">
        <w:rPr>
          <w:rFonts w:ascii="Arial" w:hAnsi="Arial" w:cs="Arial"/>
          <w:szCs w:val="22"/>
        </w:rPr>
        <w:t>an implicit recognition that SDG 3 progress depends on implementation capacity, not just policy ambition</w:t>
      </w:r>
      <w:r w:rsidR="008F3FB0" w:rsidRPr="00DD7AA0">
        <w:rPr>
          <w:rFonts w:ascii="Arial" w:hAnsi="Arial" w:cs="Arial"/>
          <w:szCs w:val="22"/>
        </w:rPr>
        <w:t xml:space="preserve"> (World Health Organization, 2025)</w:t>
      </w:r>
      <w:r w:rsidRPr="00DD7AA0">
        <w:rPr>
          <w:rFonts w:ascii="Arial" w:hAnsi="Arial" w:cs="Arial"/>
          <w:szCs w:val="22"/>
        </w:rPr>
        <w:t xml:space="preserve">. </w:t>
      </w:r>
    </w:p>
    <w:p w14:paraId="405AAC81" w14:textId="61065100" w:rsidR="00070FA0" w:rsidRDefault="00ED446B" w:rsidP="00DD7AA0">
      <w:pPr>
        <w:pStyle w:val="NormalWeb"/>
        <w:spacing w:before="240" w:beforeAutospacing="0" w:line="360" w:lineRule="auto"/>
        <w:jc w:val="both"/>
        <w:rPr>
          <w:rFonts w:ascii="Arial" w:hAnsi="Arial" w:cs="Arial"/>
          <w:szCs w:val="22"/>
        </w:rPr>
      </w:pPr>
      <w:r w:rsidRPr="00DD7AA0">
        <w:rPr>
          <w:rStyle w:val="Strong"/>
          <w:rFonts w:ascii="Arial" w:eastAsiaTheme="majorEastAsia" w:hAnsi="Arial" w:cs="Arial"/>
          <w:szCs w:val="22"/>
        </w:rPr>
        <w:t>Mental health</w:t>
      </w:r>
      <w:r w:rsidRPr="00DD7AA0">
        <w:rPr>
          <w:rFonts w:ascii="Arial" w:hAnsi="Arial" w:cs="Arial"/>
          <w:szCs w:val="22"/>
        </w:rPr>
        <w:t xml:space="preserve"> is a particularly relevant test case for SDG 3 because it exposes the tension between biomedical/treatment models and upstream prevention. </w:t>
      </w:r>
      <w:r w:rsidR="00253645" w:rsidRPr="00253645">
        <w:rPr>
          <w:rFonts w:ascii="Arial" w:hAnsi="Arial" w:cs="Arial"/>
          <w:szCs w:val="22"/>
        </w:rPr>
        <w:t>WHO Comprehensive Mental Health Action Plan 2013</w:t>
      </w:r>
      <w:r w:rsidR="00117F27">
        <w:rPr>
          <w:rFonts w:ascii="Arial" w:hAnsi="Arial" w:cs="Arial"/>
          <w:szCs w:val="22"/>
        </w:rPr>
        <w:t>-</w:t>
      </w:r>
      <w:r w:rsidR="00253645" w:rsidRPr="00253645">
        <w:rPr>
          <w:rFonts w:ascii="Arial" w:hAnsi="Arial" w:cs="Arial"/>
          <w:szCs w:val="22"/>
        </w:rPr>
        <w:t>2030 establishes a life-course agenda: to promote wellbeing, prevent conditions in people at risk, and deliver universal access to mental health services. It is also defining tangible goals, such as extending multisectoral mental health promotion/prevention programmes, better service access to severe mental disorders and minimizing suicide rates by 2030</w:t>
      </w:r>
      <w:r w:rsidR="00253645">
        <w:rPr>
          <w:rFonts w:ascii="Arial" w:hAnsi="Arial" w:cs="Arial"/>
          <w:szCs w:val="22"/>
        </w:rPr>
        <w:t xml:space="preserve"> </w:t>
      </w:r>
      <w:r w:rsidR="00B666E6" w:rsidRPr="00DD7AA0">
        <w:rPr>
          <w:rFonts w:ascii="Arial" w:hAnsi="Arial" w:cs="Arial"/>
          <w:szCs w:val="22"/>
        </w:rPr>
        <w:t>(Singh, 2021)</w:t>
      </w:r>
      <w:r w:rsidRPr="00DD7AA0">
        <w:rPr>
          <w:rFonts w:ascii="Arial" w:hAnsi="Arial" w:cs="Arial"/>
          <w:szCs w:val="22"/>
        </w:rPr>
        <w:t xml:space="preserve">. </w:t>
      </w:r>
    </w:p>
    <w:p w14:paraId="5B3160D2" w14:textId="77777777" w:rsidR="007A288E" w:rsidRDefault="007A288E" w:rsidP="00D52653">
      <w:pPr>
        <w:pStyle w:val="NormalWeb"/>
        <w:keepNext/>
        <w:spacing w:before="240" w:beforeAutospacing="0" w:line="360" w:lineRule="auto"/>
        <w:jc w:val="center"/>
      </w:pPr>
      <w:r w:rsidRPr="007A288E">
        <w:rPr>
          <w:rFonts w:ascii="Arial" w:hAnsi="Arial" w:cs="Arial"/>
          <w:noProof/>
          <w:szCs w:val="22"/>
        </w:rPr>
        <w:drawing>
          <wp:inline distT="0" distB="0" distL="0" distR="0" wp14:anchorId="4A4B7C36" wp14:editId="4A96658F">
            <wp:extent cx="5593858" cy="4736125"/>
            <wp:effectExtent l="0" t="0" r="0" b="1270"/>
            <wp:docPr id="54591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910658" name=""/>
                    <pic:cNvPicPr/>
                  </pic:nvPicPr>
                  <pic:blipFill>
                    <a:blip r:embed="rId9"/>
                    <a:stretch>
                      <a:fillRect/>
                    </a:stretch>
                  </pic:blipFill>
                  <pic:spPr>
                    <a:xfrm>
                      <a:off x="0" y="0"/>
                      <a:ext cx="5598374" cy="4739948"/>
                    </a:xfrm>
                    <a:prstGeom prst="rect">
                      <a:avLst/>
                    </a:prstGeom>
                  </pic:spPr>
                </pic:pic>
              </a:graphicData>
            </a:graphic>
          </wp:inline>
        </w:drawing>
      </w:r>
    </w:p>
    <w:p w14:paraId="7E42FC20" w14:textId="3AA4D40A" w:rsidR="007A288E" w:rsidRPr="00DD7AA0" w:rsidRDefault="007A288E" w:rsidP="00D52653">
      <w:pPr>
        <w:pStyle w:val="Caption"/>
        <w:jc w:val="center"/>
        <w:rPr>
          <w:rFonts w:ascii="Arial" w:hAnsi="Arial" w:cs="Arial"/>
          <w:sz w:val="22"/>
          <w:szCs w:val="22"/>
        </w:rPr>
      </w:pPr>
      <w:r>
        <w:t xml:space="preserve">Figure </w:t>
      </w:r>
      <w:r w:rsidR="0036708B">
        <w:fldChar w:fldCharType="begin"/>
      </w:r>
      <w:r w:rsidR="0036708B">
        <w:instrText xml:space="preserve"> SEQ Figure \* ARABIC </w:instrText>
      </w:r>
      <w:r w:rsidR="0036708B">
        <w:fldChar w:fldCharType="separate"/>
      </w:r>
      <w:r w:rsidR="0036708B">
        <w:rPr>
          <w:noProof/>
        </w:rPr>
        <w:t>2</w:t>
      </w:r>
      <w:r w:rsidR="0036708B">
        <w:rPr>
          <w:noProof/>
        </w:rPr>
        <w:fldChar w:fldCharType="end"/>
      </w:r>
      <w:r>
        <w:t xml:space="preserve">: </w:t>
      </w:r>
      <w:r w:rsidRPr="009A3DD2">
        <w:t>WHO Comprehensive Mental Health Action Plan 2013–2030</w:t>
      </w:r>
      <w:r>
        <w:t xml:space="preserve"> (Singh, 2021)</w:t>
      </w:r>
    </w:p>
    <w:p w14:paraId="7AC5F521" w14:textId="77777777" w:rsidR="00117F27" w:rsidRDefault="00117F27" w:rsidP="00DD7AA0">
      <w:pPr>
        <w:pStyle w:val="NormalWeb"/>
        <w:spacing w:before="240" w:beforeAutospacing="0" w:line="360" w:lineRule="auto"/>
        <w:jc w:val="both"/>
        <w:rPr>
          <w:rFonts w:ascii="Arial" w:hAnsi="Arial" w:cs="Arial"/>
          <w:szCs w:val="22"/>
        </w:rPr>
      </w:pPr>
      <w:r w:rsidRPr="00117F27">
        <w:rPr>
          <w:rFonts w:ascii="Arial" w:hAnsi="Arial" w:cs="Arial"/>
          <w:szCs w:val="22"/>
        </w:rPr>
        <w:t xml:space="preserve">Although the language of the Action Plan is preventative, practical application tends to still be biased towards downstream clinical care. This biomedical bias is partly structural: health budgets and performance indicators often focus on throughput (appointments, prescriptions, waiting lists) since it is visible and measurable, whereas prevention benefits are long-term and cross-sector (schools, social care, employment) (Powell et al., 2019). One effect is a prevention gap, in which mental health systems address crisis instead of lowering incidence with early intervention and social determinants. This is particularly clear in children and adolescents, where the logic of the Action Plan suggests robust school and community prevention, but the service models of many countries are clinic-based and capacity limited, restricting their reach and equity (Colizzi, Lasalvia and Ruggeri, 2020). </w:t>
      </w:r>
    </w:p>
    <w:p w14:paraId="27AA0DE7" w14:textId="5DF42896" w:rsidR="00ED446B" w:rsidRPr="00DD7AA0" w:rsidRDefault="00ED446B" w:rsidP="00DD7AA0">
      <w:pPr>
        <w:pStyle w:val="NormalWeb"/>
        <w:spacing w:before="240" w:beforeAutospacing="0" w:line="360" w:lineRule="auto"/>
        <w:jc w:val="both"/>
        <w:rPr>
          <w:rFonts w:ascii="Arial" w:hAnsi="Arial" w:cs="Arial"/>
          <w:szCs w:val="22"/>
        </w:rPr>
      </w:pPr>
      <w:r w:rsidRPr="00DD7AA0">
        <w:rPr>
          <w:rFonts w:ascii="Arial" w:hAnsi="Arial" w:cs="Arial"/>
          <w:szCs w:val="22"/>
        </w:rPr>
        <w:t xml:space="preserve">A useful national/local illustration (England) is the rollout of </w:t>
      </w:r>
      <w:r w:rsidRPr="00DD7AA0">
        <w:rPr>
          <w:rStyle w:val="Strong"/>
          <w:rFonts w:ascii="Arial" w:eastAsiaTheme="majorEastAsia" w:hAnsi="Arial" w:cs="Arial"/>
          <w:szCs w:val="22"/>
        </w:rPr>
        <w:t>Mental Health Support Teams (MHSTs)</w:t>
      </w:r>
      <w:r w:rsidRPr="00DD7AA0">
        <w:rPr>
          <w:rFonts w:ascii="Arial" w:hAnsi="Arial" w:cs="Arial"/>
          <w:szCs w:val="22"/>
        </w:rPr>
        <w:t xml:space="preserve"> in schools and colleges, introduced as part of wider reforms to expand early intervention. NHS England describes MHSTs as a mechanism to bring trained mental health professionals into educational settings and has set out an expansion trajectory, including a stated ambition to reach full school coverage by 2029/30</w:t>
      </w:r>
      <w:r w:rsidR="00367EDF" w:rsidRPr="00DD7AA0">
        <w:rPr>
          <w:rFonts w:ascii="Arial" w:hAnsi="Arial" w:cs="Arial"/>
          <w:szCs w:val="22"/>
        </w:rPr>
        <w:t xml:space="preserve"> (NHS England, 2023)</w:t>
      </w:r>
      <w:r w:rsidRPr="00DD7AA0">
        <w:rPr>
          <w:rFonts w:ascii="Arial" w:hAnsi="Arial" w:cs="Arial"/>
          <w:szCs w:val="22"/>
        </w:rPr>
        <w:t>. The strength of MHSTs is that they operationalise the upstream intent of SDG 3: they are located where risk and need emerge (schools), can deliver low-intensity support, and can influence the whole-school</w:t>
      </w:r>
      <w:r w:rsidR="00367EDF" w:rsidRPr="00DD7AA0">
        <w:rPr>
          <w:rFonts w:ascii="Arial" w:hAnsi="Arial" w:cs="Arial"/>
          <w:szCs w:val="22"/>
        </w:rPr>
        <w:t xml:space="preserve"> </w:t>
      </w:r>
      <w:r w:rsidRPr="00DD7AA0">
        <w:rPr>
          <w:rFonts w:ascii="Arial" w:hAnsi="Arial" w:cs="Arial"/>
          <w:szCs w:val="22"/>
        </w:rPr>
        <w:t>environment. However, evaluation evidence also highlights implementation challenges (workforce capacity, role clarity, school</w:t>
      </w:r>
      <w:r w:rsidR="00DF4A1A" w:rsidRPr="00DD7AA0">
        <w:rPr>
          <w:rFonts w:ascii="Arial" w:hAnsi="Arial" w:cs="Arial"/>
          <w:szCs w:val="22"/>
        </w:rPr>
        <w:t xml:space="preserve"> </w:t>
      </w:r>
      <w:r w:rsidRPr="00DD7AA0">
        <w:rPr>
          <w:rFonts w:ascii="Arial" w:hAnsi="Arial" w:cs="Arial"/>
          <w:szCs w:val="22"/>
        </w:rPr>
        <w:t>health system coordination) and the risk that demand outstrips what low-intensity teams can manage</w:t>
      </w:r>
      <w:r w:rsidR="00DF4A1A" w:rsidRPr="00DD7AA0">
        <w:rPr>
          <w:rFonts w:ascii="Arial" w:hAnsi="Arial" w:cs="Arial"/>
          <w:szCs w:val="22"/>
        </w:rPr>
        <w:t xml:space="preserve"> </w:t>
      </w:r>
      <w:r w:rsidRPr="00DD7AA0">
        <w:rPr>
          <w:rFonts w:ascii="Arial" w:hAnsi="Arial" w:cs="Arial"/>
          <w:szCs w:val="22"/>
        </w:rPr>
        <w:t>meaning the programme can help some pupils while leaving more complex needs stuck in specialist service backlogs</w:t>
      </w:r>
      <w:r w:rsidR="00DF4A1A" w:rsidRPr="00DD7AA0">
        <w:rPr>
          <w:rFonts w:ascii="Arial" w:hAnsi="Arial" w:cs="Arial"/>
          <w:szCs w:val="22"/>
        </w:rPr>
        <w:t xml:space="preserve"> (Ellins </w:t>
      </w:r>
      <w:r w:rsidR="00DF4A1A" w:rsidRPr="00DD7AA0">
        <w:rPr>
          <w:rFonts w:ascii="Arial" w:hAnsi="Arial" w:cs="Arial"/>
          <w:i/>
          <w:iCs/>
          <w:szCs w:val="22"/>
        </w:rPr>
        <w:t>et al.</w:t>
      </w:r>
      <w:r w:rsidR="00DF4A1A" w:rsidRPr="00DD7AA0">
        <w:rPr>
          <w:rFonts w:ascii="Arial" w:hAnsi="Arial" w:cs="Arial"/>
          <w:szCs w:val="22"/>
        </w:rPr>
        <w:t>, 2023)</w:t>
      </w:r>
      <w:r w:rsidRPr="00DD7AA0">
        <w:rPr>
          <w:rFonts w:ascii="Arial" w:hAnsi="Arial" w:cs="Arial"/>
          <w:szCs w:val="22"/>
        </w:rPr>
        <w:t xml:space="preserve">. </w:t>
      </w:r>
    </w:p>
    <w:p w14:paraId="41E41316" w14:textId="4E434B25" w:rsidR="00ED446B" w:rsidRPr="00DD7AA0" w:rsidRDefault="00ED446B" w:rsidP="00DD7AA0">
      <w:pPr>
        <w:pStyle w:val="NormalWeb"/>
        <w:spacing w:before="240" w:beforeAutospacing="0" w:line="360" w:lineRule="auto"/>
        <w:jc w:val="both"/>
        <w:rPr>
          <w:rFonts w:ascii="Arial" w:hAnsi="Arial" w:cs="Arial"/>
          <w:szCs w:val="22"/>
        </w:rPr>
      </w:pPr>
      <w:r w:rsidRPr="00DD7AA0">
        <w:rPr>
          <w:rFonts w:ascii="Arial" w:hAnsi="Arial" w:cs="Arial"/>
          <w:szCs w:val="22"/>
        </w:rPr>
        <w:t xml:space="preserve">A second national/local example is </w:t>
      </w:r>
      <w:r w:rsidRPr="00DD7AA0">
        <w:rPr>
          <w:rStyle w:val="Strong"/>
          <w:rFonts w:ascii="Arial" w:eastAsiaTheme="majorEastAsia" w:hAnsi="Arial" w:cs="Arial"/>
          <w:szCs w:val="22"/>
        </w:rPr>
        <w:t>vaccination campaigns</w:t>
      </w:r>
      <w:r w:rsidRPr="00DD7AA0">
        <w:rPr>
          <w:rFonts w:ascii="Arial" w:hAnsi="Arial" w:cs="Arial"/>
          <w:szCs w:val="22"/>
        </w:rPr>
        <w:t>, which remain among the most evidence-based SDG 3 interventions for population health. Yet uptake depends on behavioural and social mechanisms, not only supply</w:t>
      </w:r>
      <w:r w:rsidR="004D1303" w:rsidRPr="00DD7AA0">
        <w:rPr>
          <w:rFonts w:ascii="Arial" w:hAnsi="Arial" w:cs="Arial"/>
          <w:szCs w:val="22"/>
        </w:rPr>
        <w:t xml:space="preserve"> (Decouttere, De Boeck and Vandaele, 2021)</w:t>
      </w:r>
      <w:r w:rsidRPr="00DD7AA0">
        <w:rPr>
          <w:rFonts w:ascii="Arial" w:hAnsi="Arial" w:cs="Arial"/>
          <w:szCs w:val="22"/>
        </w:rPr>
        <w:t>. UK survey evidence during COVID-19 showed that while a majority reported being very likely to accept vaccination, substantial proportions were unsure or unlikely</w:t>
      </w:r>
      <w:r w:rsidR="004D1303" w:rsidRPr="00DD7AA0">
        <w:rPr>
          <w:rFonts w:ascii="Arial" w:hAnsi="Arial" w:cs="Arial"/>
          <w:szCs w:val="22"/>
        </w:rPr>
        <w:t xml:space="preserve"> </w:t>
      </w:r>
      <w:r w:rsidRPr="00DD7AA0">
        <w:rPr>
          <w:rFonts w:ascii="Arial" w:hAnsi="Arial" w:cs="Arial"/>
          <w:szCs w:val="22"/>
        </w:rPr>
        <w:t>indicating that communication, trust, and perceived risk were pivotal. This illustrates that even in high-capacity health systems, SDG 3 outcomes hinge on citizen engagement and the perceived legitimacy of public health measures</w:t>
      </w:r>
      <w:r w:rsidR="004D1303" w:rsidRPr="00DD7AA0">
        <w:rPr>
          <w:rFonts w:ascii="Arial" w:hAnsi="Arial" w:cs="Arial"/>
          <w:szCs w:val="22"/>
        </w:rPr>
        <w:t xml:space="preserve"> (Sherman </w:t>
      </w:r>
      <w:r w:rsidR="004D1303" w:rsidRPr="00DD7AA0">
        <w:rPr>
          <w:rFonts w:ascii="Arial" w:hAnsi="Arial" w:cs="Arial"/>
          <w:i/>
          <w:iCs/>
          <w:szCs w:val="22"/>
        </w:rPr>
        <w:t>et al.</w:t>
      </w:r>
      <w:r w:rsidR="004D1303" w:rsidRPr="00DD7AA0">
        <w:rPr>
          <w:rFonts w:ascii="Arial" w:hAnsi="Arial" w:cs="Arial"/>
          <w:szCs w:val="22"/>
        </w:rPr>
        <w:t>, 2020)</w:t>
      </w:r>
      <w:r w:rsidRPr="00DD7AA0">
        <w:rPr>
          <w:rFonts w:ascii="Arial" w:hAnsi="Arial" w:cs="Arial"/>
          <w:szCs w:val="22"/>
        </w:rPr>
        <w:t>.</w:t>
      </w:r>
    </w:p>
    <w:p w14:paraId="3E113ED7" w14:textId="77777777" w:rsidR="005E64C5" w:rsidRPr="005E64C5" w:rsidRDefault="005E64C5" w:rsidP="00B878CF">
      <w:pPr>
        <w:pStyle w:val="NormalWeb"/>
        <w:spacing w:before="240" w:line="360" w:lineRule="auto"/>
        <w:jc w:val="both"/>
        <w:rPr>
          <w:rFonts w:ascii="Arial" w:hAnsi="Arial" w:cs="Arial"/>
          <w:szCs w:val="22"/>
        </w:rPr>
      </w:pPr>
      <w:r w:rsidRPr="005E64C5">
        <w:rPr>
          <w:rFonts w:ascii="Arial" w:hAnsi="Arial" w:cs="Arial"/>
          <w:szCs w:val="22"/>
        </w:rPr>
        <w:t>Health Belief Model (HBM) explains why without the behaviourally informed design, vaccination policy underperforms: uptake is determined by perceived susceptibility/severity (threat), perceived benefits vs barriers, and cues to action (invitations, GP prompts, social messaging) (Limbu, Gautam and Pham, 2022). The intention distribution observed above in UK indicates that ambiguous groups are particularly sensitive to the perceived obstacles (safety issues, access friction) and perceived threat. Complementarily, self-efficacy is a form of practical capacity: citizens must have confidence in making appointments, reading eligibility, finding their way around for disadvantaged groups with lesser health literacy (Ghafur et al., 2020).</w:t>
      </w:r>
    </w:p>
    <w:p w14:paraId="1393AF19" w14:textId="5585CB52" w:rsidR="00ED446B" w:rsidRPr="00DD7AA0" w:rsidRDefault="005E64C5" w:rsidP="00B878CF">
      <w:pPr>
        <w:pStyle w:val="NormalWeb"/>
        <w:spacing w:before="240" w:beforeAutospacing="0" w:line="360" w:lineRule="auto"/>
        <w:jc w:val="both"/>
        <w:rPr>
          <w:rFonts w:ascii="Arial" w:hAnsi="Arial" w:cs="Arial"/>
          <w:szCs w:val="22"/>
        </w:rPr>
      </w:pPr>
      <w:r w:rsidRPr="005E64C5">
        <w:rPr>
          <w:rFonts w:ascii="Arial" w:hAnsi="Arial" w:cs="Arial"/>
          <w:szCs w:val="22"/>
        </w:rPr>
        <w:t>The Social Cognitive Theory (SCT) is evident in school-based mental health: behaviour and wellbeing is influenced through bidirectional interactions between people and surroundings. MHST-type strategies are based on implicit assumptions of modelling (teachers and staff normalising help-seeking), social norms (peer influence), and favourable school climates</w:t>
      </w:r>
      <w:r>
        <w:rPr>
          <w:rFonts w:ascii="Arial" w:hAnsi="Arial" w:cs="Arial"/>
          <w:szCs w:val="22"/>
        </w:rPr>
        <w:t xml:space="preserve"> </w:t>
      </w:r>
      <w:r w:rsidR="002901B0" w:rsidRPr="00DD7AA0">
        <w:rPr>
          <w:rFonts w:ascii="Arial" w:hAnsi="Arial" w:cs="Arial"/>
          <w:szCs w:val="22"/>
        </w:rPr>
        <w:t xml:space="preserve">(Islam </w:t>
      </w:r>
      <w:r w:rsidR="002901B0" w:rsidRPr="00DD7AA0">
        <w:rPr>
          <w:rFonts w:ascii="Arial" w:hAnsi="Arial" w:cs="Arial"/>
          <w:i/>
          <w:iCs/>
          <w:szCs w:val="22"/>
        </w:rPr>
        <w:t>et al.</w:t>
      </w:r>
      <w:r w:rsidR="002901B0" w:rsidRPr="00DD7AA0">
        <w:rPr>
          <w:rFonts w:ascii="Arial" w:hAnsi="Arial" w:cs="Arial"/>
          <w:szCs w:val="22"/>
        </w:rPr>
        <w:t>, 2023)</w:t>
      </w:r>
      <w:r w:rsidR="00ED446B" w:rsidRPr="00DD7AA0">
        <w:rPr>
          <w:rFonts w:ascii="Arial" w:hAnsi="Arial" w:cs="Arial"/>
          <w:szCs w:val="22"/>
        </w:rPr>
        <w:t xml:space="preserve">. </w:t>
      </w:r>
    </w:p>
    <w:p w14:paraId="23B104F6" w14:textId="5803EEBB" w:rsidR="00ED446B" w:rsidRPr="00DD7AA0" w:rsidRDefault="002901B0" w:rsidP="00DD7AA0">
      <w:pPr>
        <w:spacing w:before="240"/>
        <w:jc w:val="both"/>
        <w:rPr>
          <w:rFonts w:ascii="Arial" w:hAnsi="Arial" w:cs="Arial"/>
          <w:b/>
          <w:bCs/>
          <w:szCs w:val="22"/>
        </w:rPr>
      </w:pPr>
      <w:r w:rsidRPr="00DD7AA0">
        <w:rPr>
          <w:rFonts w:ascii="Arial" w:hAnsi="Arial" w:cs="Arial"/>
          <w:b/>
          <w:bCs/>
          <w:szCs w:val="22"/>
        </w:rPr>
        <w:t>R</w:t>
      </w:r>
      <w:r w:rsidR="00ED446B" w:rsidRPr="00DD7AA0">
        <w:rPr>
          <w:rFonts w:ascii="Arial" w:hAnsi="Arial" w:cs="Arial"/>
          <w:b/>
          <w:bCs/>
          <w:szCs w:val="22"/>
        </w:rPr>
        <w:t xml:space="preserve">ecommendations </w:t>
      </w:r>
    </w:p>
    <w:p w14:paraId="1DC8FC42" w14:textId="229421BF" w:rsidR="00B878CF" w:rsidRPr="00B878CF" w:rsidRDefault="00B878CF" w:rsidP="00B878CF">
      <w:pPr>
        <w:pStyle w:val="ListParagraph"/>
        <w:numPr>
          <w:ilvl w:val="0"/>
          <w:numId w:val="31"/>
        </w:numPr>
        <w:spacing w:before="240"/>
        <w:rPr>
          <w:rFonts w:ascii="Arial" w:eastAsia="Times New Roman" w:hAnsi="Arial" w:cs="Arial"/>
          <w:kern w:val="0"/>
          <w:szCs w:val="22"/>
          <w:lang w:eastAsia="en-GB"/>
          <w14:ligatures w14:val="none"/>
        </w:rPr>
      </w:pPr>
      <w:r w:rsidRPr="00B878CF">
        <w:rPr>
          <w:rFonts w:ascii="Arial" w:eastAsia="Times New Roman" w:hAnsi="Arial" w:cs="Arial"/>
          <w:kern w:val="0"/>
          <w:szCs w:val="22"/>
          <w:lang w:eastAsia="en-GB"/>
          <w14:ligatures w14:val="none"/>
        </w:rPr>
        <w:t>Enhance health literacy as a fundamental SDG 3 delivery intervention and consider health literacy and self-efficacy as quantifiable policy outputs such as navigation assistance, plain-language communication particularly in vaccination and preventive care (Powell et al., 2019).</w:t>
      </w:r>
    </w:p>
    <w:p w14:paraId="42823A75" w14:textId="6B71CC62" w:rsidR="00B878CF" w:rsidRPr="00B878CF" w:rsidRDefault="00B878CF" w:rsidP="00B878CF">
      <w:pPr>
        <w:pStyle w:val="ListParagraph"/>
        <w:numPr>
          <w:ilvl w:val="0"/>
          <w:numId w:val="31"/>
        </w:numPr>
        <w:spacing w:before="240"/>
        <w:rPr>
          <w:rFonts w:ascii="Arial" w:eastAsia="Times New Roman" w:hAnsi="Arial" w:cs="Arial"/>
          <w:kern w:val="0"/>
          <w:szCs w:val="22"/>
          <w:lang w:eastAsia="en-GB"/>
          <w14:ligatures w14:val="none"/>
        </w:rPr>
      </w:pPr>
      <w:r w:rsidRPr="00B878CF">
        <w:rPr>
          <w:rFonts w:ascii="Arial" w:eastAsia="Times New Roman" w:hAnsi="Arial" w:cs="Arial"/>
          <w:kern w:val="0"/>
          <w:szCs w:val="22"/>
          <w:lang w:eastAsia="en-GB"/>
          <w14:ligatures w14:val="none"/>
        </w:rPr>
        <w:t>Incorporate behavioural science in the promotion of public health and base vaccination and prevention initiatives on HBM/SCT levers (lessen friction barriers, offer trusted cues to action, ethically tailor threat/benefit messages, develop collective norms) (Limbu, Gautam and Pham, 2022).</w:t>
      </w:r>
    </w:p>
    <w:p w14:paraId="38DCE2A0" w14:textId="4B9F8562" w:rsidR="00D32C47" w:rsidRPr="00B878CF" w:rsidRDefault="00B878CF" w:rsidP="00B878CF">
      <w:pPr>
        <w:pStyle w:val="ListParagraph"/>
        <w:numPr>
          <w:ilvl w:val="0"/>
          <w:numId w:val="31"/>
        </w:numPr>
        <w:spacing w:before="240"/>
        <w:rPr>
          <w:rFonts w:ascii="Arial" w:eastAsia="Times New Roman" w:hAnsi="Arial" w:cs="Arial"/>
          <w:kern w:val="0"/>
          <w:szCs w:val="22"/>
          <w:lang w:eastAsia="en-GB"/>
          <w14:ligatures w14:val="none"/>
        </w:rPr>
      </w:pPr>
      <w:r w:rsidRPr="00B878CF">
        <w:rPr>
          <w:rFonts w:ascii="Arial" w:eastAsia="Times New Roman" w:hAnsi="Arial" w:cs="Arial"/>
          <w:kern w:val="0"/>
          <w:szCs w:val="22"/>
          <w:lang w:eastAsia="en-GB"/>
          <w14:ligatures w14:val="none"/>
        </w:rPr>
        <w:t>Diversify and strategically resource preventive school-based services and scale MHST-type models and effective referral pathways and specialist capacity, to avoid pushing responsibility to schools without clinical back-up, focus on whole-school prevention and early assistance to decrease downstream demand</w:t>
      </w:r>
      <w:r>
        <w:rPr>
          <w:rFonts w:ascii="Arial" w:eastAsia="Times New Roman" w:hAnsi="Arial" w:cs="Arial"/>
          <w:kern w:val="0"/>
          <w:szCs w:val="22"/>
          <w:lang w:eastAsia="en-GB"/>
          <w14:ligatures w14:val="none"/>
        </w:rPr>
        <w:t xml:space="preserve"> </w:t>
      </w:r>
      <w:r w:rsidR="00F13A68" w:rsidRPr="00B878CF">
        <w:rPr>
          <w:rFonts w:ascii="Arial" w:hAnsi="Arial" w:cs="Arial"/>
          <w:szCs w:val="22"/>
        </w:rPr>
        <w:t xml:space="preserve">(Ellins </w:t>
      </w:r>
      <w:r w:rsidR="00F13A68" w:rsidRPr="00B878CF">
        <w:rPr>
          <w:rFonts w:ascii="Arial" w:hAnsi="Arial" w:cs="Arial"/>
          <w:i/>
          <w:iCs/>
          <w:szCs w:val="22"/>
        </w:rPr>
        <w:t>et al.</w:t>
      </w:r>
      <w:r w:rsidR="00F13A68" w:rsidRPr="00B878CF">
        <w:rPr>
          <w:rFonts w:ascii="Arial" w:hAnsi="Arial" w:cs="Arial"/>
          <w:szCs w:val="22"/>
        </w:rPr>
        <w:t>, 2023)</w:t>
      </w:r>
      <w:r w:rsidR="00ED446B" w:rsidRPr="00B878CF">
        <w:rPr>
          <w:rFonts w:ascii="Arial" w:eastAsia="Times New Roman" w:hAnsi="Arial" w:cs="Arial"/>
          <w:kern w:val="0"/>
          <w:szCs w:val="22"/>
          <w:lang w:eastAsia="en-GB"/>
          <w14:ligatures w14:val="none"/>
        </w:rPr>
        <w:t>.</w:t>
      </w:r>
    </w:p>
    <w:p w14:paraId="7C89B885" w14:textId="1941F6C9" w:rsidR="004765F4" w:rsidRPr="00DD7AA0" w:rsidRDefault="004765F4" w:rsidP="00DD7AA0">
      <w:pPr>
        <w:pStyle w:val="Heading1"/>
        <w:numPr>
          <w:ilvl w:val="0"/>
          <w:numId w:val="32"/>
        </w:numPr>
      </w:pPr>
      <w:bookmarkStart w:id="2" w:name="_Toc222755758"/>
      <w:r w:rsidRPr="00DD7AA0">
        <w:t>SDG 4 Quality Education</w:t>
      </w:r>
      <w:bookmarkEnd w:id="2"/>
      <w:r w:rsidRPr="00DD7AA0">
        <w:t xml:space="preserve"> </w:t>
      </w:r>
    </w:p>
    <w:p w14:paraId="204595D9" w14:textId="77777777" w:rsidR="00BD098C" w:rsidRDefault="00BD098C" w:rsidP="00DD7AA0">
      <w:pPr>
        <w:pStyle w:val="NormalWeb"/>
        <w:spacing w:before="240" w:beforeAutospacing="0" w:line="360" w:lineRule="auto"/>
        <w:jc w:val="both"/>
        <w:rPr>
          <w:rFonts w:ascii="Arial" w:hAnsi="Arial" w:cs="Arial"/>
          <w:szCs w:val="22"/>
        </w:rPr>
      </w:pPr>
      <w:r w:rsidRPr="00BD098C">
        <w:rPr>
          <w:rFonts w:ascii="Arial" w:hAnsi="Arial" w:cs="Arial"/>
          <w:szCs w:val="22"/>
        </w:rPr>
        <w:t>SDG 4 is to provide inclusive and equitable quality education and facilitate access to lifelong learning opportunities to everyone, making education a right and a tool to minimize broader social inequalities that define health and wellbeing throughout the life course (United Nations, 2015). UNESCO (2023) SDG4/Education 2030 agenda is not focused on more access (enrolment) but equitable learning outcomes, a safe and inclusive learning ecosystem, and lifelong learning as a means of social participation and capabilities. SDG 4 is important in health aspects since schooling contributes to health literacy, employment and income patterns, social networks, and risk exposure.</w:t>
      </w:r>
    </w:p>
    <w:p w14:paraId="611586B6" w14:textId="77777777" w:rsidR="00BD098C" w:rsidRPr="00BD098C" w:rsidRDefault="00BD098C" w:rsidP="001071E9">
      <w:pPr>
        <w:pStyle w:val="NormalWeb"/>
        <w:spacing w:before="240" w:line="360" w:lineRule="auto"/>
        <w:jc w:val="both"/>
        <w:rPr>
          <w:rFonts w:ascii="Arial" w:hAnsi="Arial" w:cs="Arial"/>
          <w:szCs w:val="22"/>
        </w:rPr>
      </w:pPr>
      <w:r w:rsidRPr="00BD098C">
        <w:rPr>
          <w:rFonts w:ascii="Arial" w:hAnsi="Arial" w:cs="Arial"/>
          <w:szCs w:val="22"/>
        </w:rPr>
        <w:t>The Education 2030 Framework for Action (Incheon Declaration/FFA) establishes targets and indicators that focus on completion and minimum competence, rather than attendance, a deliberate effort to leave school without learning. This is a strategic concern to wellbeing: education systems can spread access by not providing foundational skills, thus replicating inequalities instead of curbing them (UNESCO, 2024).</w:t>
      </w:r>
    </w:p>
    <w:p w14:paraId="68CF5159" w14:textId="41E30B08" w:rsidR="00DD7AA0" w:rsidRDefault="00BD098C" w:rsidP="001071E9">
      <w:pPr>
        <w:pStyle w:val="NormalWeb"/>
        <w:spacing w:before="240" w:beforeAutospacing="0" w:line="360" w:lineRule="auto"/>
        <w:jc w:val="both"/>
        <w:rPr>
          <w:rFonts w:ascii="Arial" w:hAnsi="Arial" w:cs="Arial"/>
          <w:szCs w:val="22"/>
        </w:rPr>
      </w:pPr>
      <w:r w:rsidRPr="00BD098C">
        <w:rPr>
          <w:rFonts w:ascii="Arial" w:hAnsi="Arial" w:cs="Arial"/>
          <w:szCs w:val="22"/>
        </w:rPr>
        <w:t>In line with this, the Education for Sustainable Development (ESD) Roadmap (ESD in 2030) by UNESCO states that education should develop sustainability transition competencies and facilitate action via policy combination, learning settings, teacher competence building, youth participation, and action at local level. To enhance wellbeing, the merit of ESD lies in the fact that it legitimises cross-sector content (e.g., climate, health, citizenship, digital literacy) that can reinforce resilience and agency</w:t>
      </w:r>
      <w:r>
        <w:rPr>
          <w:rFonts w:ascii="Arial" w:hAnsi="Arial" w:cs="Arial"/>
          <w:szCs w:val="22"/>
        </w:rPr>
        <w:t xml:space="preserve"> </w:t>
      </w:r>
      <w:r w:rsidR="001D742A" w:rsidRPr="00DD7AA0">
        <w:rPr>
          <w:rFonts w:ascii="Arial" w:hAnsi="Arial" w:cs="Arial"/>
          <w:szCs w:val="22"/>
        </w:rPr>
        <w:t>(UNESCO, 2025)</w:t>
      </w:r>
      <w:r w:rsidR="00DD7AA0">
        <w:rPr>
          <w:rFonts w:ascii="Arial" w:hAnsi="Arial" w:cs="Arial"/>
          <w:szCs w:val="22"/>
        </w:rPr>
        <w:t>.</w:t>
      </w:r>
    </w:p>
    <w:p w14:paraId="21283576" w14:textId="77777777" w:rsidR="0036708B" w:rsidRPr="0036708B" w:rsidRDefault="00D52653" w:rsidP="0036708B">
      <w:pPr>
        <w:pStyle w:val="NormalWeb"/>
        <w:keepNext/>
        <w:spacing w:before="240" w:beforeAutospacing="0" w:line="360" w:lineRule="auto"/>
        <w:jc w:val="center"/>
        <w:rPr>
          <w:sz w:val="18"/>
          <w:szCs w:val="18"/>
        </w:rPr>
      </w:pPr>
      <w:r w:rsidRPr="0036708B">
        <w:rPr>
          <w:rFonts w:ascii="Arial" w:hAnsi="Arial" w:cs="Arial"/>
          <w:noProof/>
          <w:sz w:val="18"/>
          <w:szCs w:val="18"/>
        </w:rPr>
        <w:drawing>
          <wp:inline distT="0" distB="0" distL="0" distR="0" wp14:anchorId="12C29476" wp14:editId="4207731F">
            <wp:extent cx="4227707" cy="3971778"/>
            <wp:effectExtent l="0" t="0" r="1905" b="3810"/>
            <wp:docPr id="7365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5498" name=""/>
                    <pic:cNvPicPr/>
                  </pic:nvPicPr>
                  <pic:blipFill rotWithShape="1">
                    <a:blip r:embed="rId10"/>
                    <a:srcRect l="4118" r="2694"/>
                    <a:stretch>
                      <a:fillRect/>
                    </a:stretch>
                  </pic:blipFill>
                  <pic:spPr bwMode="auto">
                    <a:xfrm>
                      <a:off x="0" y="0"/>
                      <a:ext cx="4238314" cy="3981743"/>
                    </a:xfrm>
                    <a:prstGeom prst="rect">
                      <a:avLst/>
                    </a:prstGeom>
                    <a:ln>
                      <a:noFill/>
                    </a:ln>
                    <a:extLst>
                      <a:ext uri="{53640926-AAD7-44D8-BBD7-CCE9431645EC}">
                        <a14:shadowObscured xmlns:a14="http://schemas.microsoft.com/office/drawing/2010/main"/>
                      </a:ext>
                    </a:extLst>
                  </pic:spPr>
                </pic:pic>
              </a:graphicData>
            </a:graphic>
          </wp:inline>
        </w:drawing>
      </w:r>
    </w:p>
    <w:p w14:paraId="5B03FCFC" w14:textId="0954547F" w:rsidR="00D52653" w:rsidRPr="0036708B" w:rsidRDefault="0036708B" w:rsidP="0036708B">
      <w:pPr>
        <w:pStyle w:val="Caption"/>
        <w:jc w:val="center"/>
        <w:rPr>
          <w:rFonts w:ascii="Arial" w:hAnsi="Arial" w:cs="Arial"/>
        </w:rPr>
      </w:pPr>
      <w:r w:rsidRPr="0036708B">
        <w:t xml:space="preserve">Figure </w:t>
      </w:r>
      <w:r>
        <w:fldChar w:fldCharType="begin"/>
      </w:r>
      <w:r>
        <w:instrText xml:space="preserve"> SEQ Figure \* ARABIC </w:instrText>
      </w:r>
      <w:r>
        <w:fldChar w:fldCharType="separate"/>
      </w:r>
      <w:r w:rsidRPr="0036708B">
        <w:rPr>
          <w:noProof/>
        </w:rPr>
        <w:t>3</w:t>
      </w:r>
      <w:r>
        <w:rPr>
          <w:noProof/>
        </w:rPr>
        <w:fldChar w:fldCharType="end"/>
      </w:r>
      <w:r w:rsidRPr="0036708B">
        <w:t xml:space="preserve">: UNESCO’s Priority action areas of ESD for 2030 framework </w:t>
      </w:r>
      <w:r w:rsidRPr="0036708B">
        <w:rPr>
          <w:rFonts w:ascii="Arial" w:hAnsi="Arial" w:cs="Arial"/>
        </w:rPr>
        <w:t xml:space="preserve">(Gomera </w:t>
      </w:r>
      <w:r w:rsidRPr="0036708B">
        <w:rPr>
          <w:rFonts w:ascii="Arial" w:hAnsi="Arial" w:cs="Arial"/>
          <w:i w:val="0"/>
          <w:iCs w:val="0"/>
        </w:rPr>
        <w:t>et al.</w:t>
      </w:r>
      <w:r w:rsidRPr="0036708B">
        <w:rPr>
          <w:rFonts w:ascii="Arial" w:hAnsi="Arial" w:cs="Arial"/>
        </w:rPr>
        <w:t>, 2021)</w:t>
      </w:r>
    </w:p>
    <w:p w14:paraId="44B3CFAF" w14:textId="7470B8D1" w:rsidR="004765F4" w:rsidRPr="00DD7AA0" w:rsidRDefault="004765F4" w:rsidP="00DD7AA0">
      <w:pPr>
        <w:pStyle w:val="NormalWeb"/>
        <w:spacing w:before="240" w:beforeAutospacing="0" w:line="360" w:lineRule="auto"/>
        <w:jc w:val="both"/>
        <w:rPr>
          <w:rFonts w:ascii="Arial" w:hAnsi="Arial" w:cs="Arial"/>
          <w:szCs w:val="22"/>
        </w:rPr>
      </w:pPr>
      <w:r w:rsidRPr="00DD7AA0">
        <w:rPr>
          <w:rFonts w:ascii="Arial" w:hAnsi="Arial" w:cs="Arial"/>
          <w:szCs w:val="22"/>
        </w:rPr>
        <w:t xml:space="preserve">A major limitation is that SDG 4 progress can be overstated if judged mainly by enrolment, while inequities persist in </w:t>
      </w:r>
      <w:r w:rsidRPr="00DD7AA0">
        <w:rPr>
          <w:rStyle w:val="Strong"/>
          <w:rFonts w:ascii="Arial" w:eastAsiaTheme="majorEastAsia" w:hAnsi="Arial" w:cs="Arial"/>
          <w:szCs w:val="22"/>
        </w:rPr>
        <w:t>learning outcomes</w:t>
      </w:r>
      <w:r w:rsidRPr="00DD7AA0">
        <w:rPr>
          <w:rFonts w:ascii="Arial" w:hAnsi="Arial" w:cs="Arial"/>
          <w:szCs w:val="22"/>
        </w:rPr>
        <w:t xml:space="preserve"> and completion. </w:t>
      </w:r>
      <w:r w:rsidR="00302014" w:rsidRPr="00DD7AA0">
        <w:rPr>
          <w:rFonts w:ascii="Arial" w:hAnsi="Arial" w:cs="Arial"/>
          <w:szCs w:val="22"/>
        </w:rPr>
        <w:t xml:space="preserve">Rustamova </w:t>
      </w:r>
      <w:r w:rsidR="00302014" w:rsidRPr="00DD7AA0">
        <w:rPr>
          <w:rFonts w:ascii="Arial" w:hAnsi="Arial" w:cs="Arial"/>
          <w:i/>
          <w:iCs/>
          <w:szCs w:val="22"/>
        </w:rPr>
        <w:t>et al.</w:t>
      </w:r>
      <w:r w:rsidR="00302014" w:rsidRPr="00DD7AA0">
        <w:rPr>
          <w:rFonts w:ascii="Arial" w:hAnsi="Arial" w:cs="Arial"/>
          <w:szCs w:val="22"/>
        </w:rPr>
        <w:t xml:space="preserve"> (2025) </w:t>
      </w:r>
      <w:r w:rsidRPr="00DD7AA0">
        <w:rPr>
          <w:rFonts w:ascii="Arial" w:hAnsi="Arial" w:cs="Arial"/>
          <w:szCs w:val="22"/>
        </w:rPr>
        <w:t xml:space="preserve">highlights that although adult secondary completion is rising, current rates of change would still take decades to reach universal completion, underscoring the scale of the unfinished agenda. </w:t>
      </w:r>
      <w:r w:rsidR="00302014" w:rsidRPr="00DD7AA0">
        <w:rPr>
          <w:rFonts w:ascii="Arial" w:hAnsi="Arial" w:cs="Arial"/>
          <w:szCs w:val="22"/>
        </w:rPr>
        <w:t>Moreover, g</w:t>
      </w:r>
      <w:r w:rsidRPr="00DD7AA0">
        <w:rPr>
          <w:rFonts w:ascii="Arial" w:hAnsi="Arial" w:cs="Arial"/>
          <w:szCs w:val="22"/>
        </w:rPr>
        <w:t xml:space="preserve">ender inequality remains a persistent challenge, not only in access but in progression and opportunity. </w:t>
      </w:r>
      <w:r w:rsidR="00302014" w:rsidRPr="00DD7AA0">
        <w:rPr>
          <w:rFonts w:ascii="Arial" w:hAnsi="Arial" w:cs="Arial"/>
          <w:szCs w:val="22"/>
        </w:rPr>
        <w:t xml:space="preserve">Mubiinzi and Mutumba (2025) </w:t>
      </w:r>
      <w:r w:rsidRPr="00DD7AA0">
        <w:rPr>
          <w:rFonts w:ascii="Arial" w:hAnsi="Arial" w:cs="Arial"/>
          <w:szCs w:val="22"/>
        </w:rPr>
        <w:t xml:space="preserve">continues to report uneven gender progress across regions and levels of education, indicating that </w:t>
      </w:r>
      <w:r w:rsidR="00302014" w:rsidRPr="00DD7AA0">
        <w:rPr>
          <w:rFonts w:ascii="Arial" w:hAnsi="Arial" w:cs="Arial"/>
          <w:szCs w:val="22"/>
        </w:rPr>
        <w:t xml:space="preserve"> </w:t>
      </w:r>
      <w:r w:rsidRPr="00DD7AA0">
        <w:rPr>
          <w:rFonts w:ascii="Arial" w:hAnsi="Arial" w:cs="Arial"/>
          <w:szCs w:val="22"/>
        </w:rPr>
        <w:t>parity</w:t>
      </w:r>
      <w:r w:rsidR="00302014" w:rsidRPr="00DD7AA0">
        <w:rPr>
          <w:rFonts w:ascii="Arial" w:hAnsi="Arial" w:cs="Arial"/>
          <w:szCs w:val="22"/>
        </w:rPr>
        <w:t xml:space="preserve"> </w:t>
      </w:r>
      <w:r w:rsidRPr="00DD7AA0">
        <w:rPr>
          <w:rFonts w:ascii="Arial" w:hAnsi="Arial" w:cs="Arial"/>
          <w:szCs w:val="22"/>
        </w:rPr>
        <w:t xml:space="preserve">in some indicators does not translate into equal educational capability in practice, especially where poverty, safety concerns, and social norms constrain girls’ schooling. The critical issue is therefore </w:t>
      </w:r>
      <w:r w:rsidRPr="00DD7AA0">
        <w:rPr>
          <w:rStyle w:val="Strong"/>
          <w:rFonts w:ascii="Arial" w:eastAsiaTheme="majorEastAsia" w:hAnsi="Arial" w:cs="Arial"/>
          <w:szCs w:val="22"/>
        </w:rPr>
        <w:t>policy-to-implementation capacity</w:t>
      </w:r>
      <w:r w:rsidRPr="00DD7AA0">
        <w:rPr>
          <w:rFonts w:ascii="Arial" w:hAnsi="Arial" w:cs="Arial"/>
          <w:szCs w:val="22"/>
        </w:rPr>
        <w:t>: global frameworks encourage transformation, but financing, workforce constraints, and political incentives often prioritise measurable short-term outputs over deep equity reforms.</w:t>
      </w:r>
    </w:p>
    <w:p w14:paraId="67CABA8C" w14:textId="31769163" w:rsidR="004765F4" w:rsidRPr="00DD7AA0" w:rsidRDefault="004765F4" w:rsidP="00DD7AA0">
      <w:pPr>
        <w:pStyle w:val="NormalWeb"/>
        <w:spacing w:before="240" w:beforeAutospacing="0" w:line="360" w:lineRule="auto"/>
        <w:jc w:val="both"/>
        <w:rPr>
          <w:rFonts w:ascii="Arial" w:hAnsi="Arial" w:cs="Arial"/>
          <w:szCs w:val="22"/>
        </w:rPr>
      </w:pPr>
      <w:r w:rsidRPr="00DD7AA0">
        <w:rPr>
          <w:rStyle w:val="Strong"/>
          <w:rFonts w:ascii="Arial" w:eastAsiaTheme="majorEastAsia" w:hAnsi="Arial" w:cs="Arial"/>
          <w:szCs w:val="22"/>
        </w:rPr>
        <w:t>UK: PSHE/RSHE reforms.</w:t>
      </w:r>
      <w:r w:rsidRPr="00DD7AA0">
        <w:rPr>
          <w:rFonts w:ascii="Arial" w:hAnsi="Arial" w:cs="Arial"/>
          <w:szCs w:val="22"/>
        </w:rPr>
        <w:t xml:space="preserve"> England’s statutory guidance on Relationships Education, Relationships and Sex Education (RSE), and Health Education formalises curriculum coverage of physical health and mental wellbeing, online safety, and relationships—effectively embedding components of health-promoting education within SDG 4 delivery. The strength is normative: it sets minimum entitlement and legitimises mental wellbeing content in mainstream schooling. The weakness is implementation variability</w:t>
      </w:r>
      <w:r w:rsidR="002A4470" w:rsidRPr="00DD7AA0">
        <w:rPr>
          <w:rFonts w:ascii="Arial" w:hAnsi="Arial" w:cs="Arial"/>
          <w:szCs w:val="22"/>
        </w:rPr>
        <w:t xml:space="preserve">, </w:t>
      </w:r>
      <w:r w:rsidRPr="00DD7AA0">
        <w:rPr>
          <w:rFonts w:ascii="Arial" w:hAnsi="Arial" w:cs="Arial"/>
          <w:szCs w:val="22"/>
        </w:rPr>
        <w:t>schools differ in staff confidence, time, training, and access to specialist support</w:t>
      </w:r>
      <w:r w:rsidR="002A4470" w:rsidRPr="00DD7AA0">
        <w:rPr>
          <w:rFonts w:ascii="Arial" w:hAnsi="Arial" w:cs="Arial"/>
          <w:szCs w:val="22"/>
        </w:rPr>
        <w:t xml:space="preserve"> </w:t>
      </w:r>
      <w:r w:rsidRPr="00DD7AA0">
        <w:rPr>
          <w:rFonts w:ascii="Arial" w:hAnsi="Arial" w:cs="Arial"/>
          <w:szCs w:val="22"/>
        </w:rPr>
        <w:t>so the same statutory requirement can produce unequal provision and outcomes, reinforcing the access–attainment gap</w:t>
      </w:r>
      <w:r w:rsidR="002A4470" w:rsidRPr="00DD7AA0">
        <w:rPr>
          <w:rFonts w:ascii="Arial" w:hAnsi="Arial" w:cs="Arial"/>
          <w:szCs w:val="22"/>
        </w:rPr>
        <w:t xml:space="preserve"> (Gov UK, 2019)</w:t>
      </w:r>
      <w:r w:rsidRPr="00DD7AA0">
        <w:rPr>
          <w:rFonts w:ascii="Arial" w:hAnsi="Arial" w:cs="Arial"/>
          <w:szCs w:val="22"/>
        </w:rPr>
        <w:t>.</w:t>
      </w:r>
    </w:p>
    <w:p w14:paraId="67637FA6" w14:textId="3821F134" w:rsidR="004765F4" w:rsidRPr="00DD7AA0" w:rsidRDefault="004765F4" w:rsidP="00DD7AA0">
      <w:pPr>
        <w:pStyle w:val="NormalWeb"/>
        <w:spacing w:before="240" w:beforeAutospacing="0" w:line="360" w:lineRule="auto"/>
        <w:jc w:val="both"/>
        <w:rPr>
          <w:rFonts w:ascii="Arial" w:hAnsi="Arial" w:cs="Arial"/>
          <w:szCs w:val="22"/>
        </w:rPr>
      </w:pPr>
      <w:r w:rsidRPr="00DD7AA0">
        <w:rPr>
          <w:rStyle w:val="Strong"/>
          <w:rFonts w:ascii="Arial" w:eastAsiaTheme="majorEastAsia" w:hAnsi="Arial" w:cs="Arial"/>
          <w:szCs w:val="22"/>
        </w:rPr>
        <w:t>Finland: equity and wellbeing embedded in schooling.</w:t>
      </w:r>
      <w:r w:rsidRPr="00DD7AA0">
        <w:rPr>
          <w:rFonts w:ascii="Arial" w:hAnsi="Arial" w:cs="Arial"/>
          <w:szCs w:val="22"/>
        </w:rPr>
        <w:t xml:space="preserve"> Finland is frequently cited for a comprehensive model that seeks to minimise socioeconomic stratification through universal supports. A concrete example is </w:t>
      </w:r>
      <w:r w:rsidRPr="00DD7AA0">
        <w:rPr>
          <w:rStyle w:val="Strong"/>
          <w:rFonts w:ascii="Arial" w:eastAsiaTheme="majorEastAsia" w:hAnsi="Arial" w:cs="Arial"/>
          <w:szCs w:val="22"/>
        </w:rPr>
        <w:t>free school meals</w:t>
      </w:r>
      <w:r w:rsidRPr="00DD7AA0">
        <w:rPr>
          <w:rFonts w:ascii="Arial" w:hAnsi="Arial" w:cs="Arial"/>
          <w:szCs w:val="22"/>
        </w:rPr>
        <w:t xml:space="preserve"> for pupils across schooling stages, framed by the Finnish National Agency for Education as a universal entitlement supporting learning and equality</w:t>
      </w:r>
      <w:r w:rsidR="002A4470" w:rsidRPr="00DD7AA0">
        <w:rPr>
          <w:rFonts w:ascii="Arial" w:hAnsi="Arial" w:cs="Arial"/>
          <w:szCs w:val="22"/>
        </w:rPr>
        <w:t xml:space="preserve"> (Tikkanen and Urho, 2009)</w:t>
      </w:r>
      <w:r w:rsidRPr="00DD7AA0">
        <w:rPr>
          <w:rFonts w:ascii="Arial" w:hAnsi="Arial" w:cs="Arial"/>
          <w:szCs w:val="22"/>
        </w:rPr>
        <w:t xml:space="preserve">. </w:t>
      </w:r>
      <w:r w:rsidR="002A4470" w:rsidRPr="00DD7AA0">
        <w:rPr>
          <w:rFonts w:ascii="Arial" w:hAnsi="Arial" w:cs="Arial"/>
          <w:szCs w:val="22"/>
        </w:rPr>
        <w:t xml:space="preserve">OECD (2022) </w:t>
      </w:r>
      <w:r w:rsidRPr="00DD7AA0">
        <w:rPr>
          <w:rFonts w:ascii="Arial" w:hAnsi="Arial" w:cs="Arial"/>
          <w:szCs w:val="22"/>
        </w:rPr>
        <w:t>also describes Finland’s strong commitment to comprehensive schooling and equity-oriented reform efforts, while acknowledging that disadvantaged groups can still face progression challenges</w:t>
      </w:r>
      <w:r w:rsidR="002A4470" w:rsidRPr="00DD7AA0">
        <w:rPr>
          <w:rFonts w:ascii="Arial" w:hAnsi="Arial" w:cs="Arial"/>
          <w:szCs w:val="22"/>
        </w:rPr>
        <w:t xml:space="preserve">, </w:t>
      </w:r>
      <w:r w:rsidRPr="00DD7AA0">
        <w:rPr>
          <w:rFonts w:ascii="Arial" w:hAnsi="Arial" w:cs="Arial"/>
          <w:szCs w:val="22"/>
        </w:rPr>
        <w:t>an important reminder that even high-performing systems have equity gradients. Critically, Finland illustrates that whole child policies (nutrition, welfare services, supportive environments) can reduce barriers to learning</w:t>
      </w:r>
      <w:r w:rsidR="002A4470" w:rsidRPr="00DD7AA0">
        <w:rPr>
          <w:rFonts w:ascii="Arial" w:hAnsi="Arial" w:cs="Arial"/>
          <w:szCs w:val="22"/>
        </w:rPr>
        <w:t xml:space="preserve"> </w:t>
      </w:r>
      <w:r w:rsidRPr="00DD7AA0">
        <w:rPr>
          <w:rFonts w:ascii="Arial" w:hAnsi="Arial" w:cs="Arial"/>
          <w:szCs w:val="22"/>
        </w:rPr>
        <w:t>yet adolescent mental health pressures can still rise due to broader social and digital drivers, meaning education policy cannot be the sole lever.</w:t>
      </w:r>
    </w:p>
    <w:p w14:paraId="0D98C3B8" w14:textId="77777777" w:rsidR="001071E9" w:rsidRPr="00A72E8A" w:rsidRDefault="001071E9" w:rsidP="00A72E8A">
      <w:pPr>
        <w:pStyle w:val="NormalWeb"/>
        <w:spacing w:before="240" w:line="360" w:lineRule="auto"/>
        <w:jc w:val="both"/>
        <w:rPr>
          <w:rStyle w:val="Strong"/>
          <w:rFonts w:ascii="Arial" w:eastAsiaTheme="majorEastAsia" w:hAnsi="Arial" w:cs="Arial"/>
          <w:b w:val="0"/>
          <w:bCs w:val="0"/>
          <w:szCs w:val="22"/>
        </w:rPr>
      </w:pPr>
      <w:r w:rsidRPr="00A72E8A">
        <w:rPr>
          <w:rStyle w:val="Strong"/>
          <w:rFonts w:ascii="Arial" w:eastAsiaTheme="majorEastAsia" w:hAnsi="Arial" w:cs="Arial"/>
          <w:b w:val="0"/>
          <w:bCs w:val="0"/>
          <w:szCs w:val="22"/>
        </w:rPr>
        <w:t xml:space="preserve">The Social Cognitive Theory (SCT) can be used to understand why curriculum changes do not always produce equal effects: the learning and health behaviours are influenced in a bidirectional fashion by individual assumptions, role models, peer norms, and school climate. Teacher modelling and repeated reinforcement can form norms of help-seeking and healthy relationships in UK RSHE; staff low in confidence may not change norms with identical curriculum (Islam et al., 2023). </w:t>
      </w:r>
    </w:p>
    <w:p w14:paraId="75D71401" w14:textId="15793C0E" w:rsidR="004765F4" w:rsidRPr="00A72E8A" w:rsidRDefault="001071E9" w:rsidP="00A72E8A">
      <w:pPr>
        <w:pStyle w:val="NormalWeb"/>
        <w:spacing w:before="240" w:beforeAutospacing="0" w:line="360" w:lineRule="auto"/>
        <w:jc w:val="both"/>
        <w:rPr>
          <w:rFonts w:ascii="Arial" w:hAnsi="Arial" w:cs="Arial"/>
          <w:b/>
          <w:bCs/>
          <w:szCs w:val="22"/>
        </w:rPr>
      </w:pPr>
      <w:r w:rsidRPr="00A72E8A">
        <w:rPr>
          <w:rStyle w:val="Strong"/>
          <w:rFonts w:ascii="Arial" w:eastAsiaTheme="majorEastAsia" w:hAnsi="Arial" w:cs="Arial"/>
          <w:b w:val="0"/>
          <w:bCs w:val="0"/>
          <w:szCs w:val="22"/>
        </w:rPr>
        <w:t xml:space="preserve">The Capability Approach by Sen enriches the objection to access-only measures: SDG 4 must be assessed by the growth of real liberties, such as functional literacy (and digital access and health literacy), as opposed to enrolment. Where the digital divide locks learners out of remote learning, capabilities are limited despite schooling being formally available </w:t>
      </w:r>
      <w:r w:rsidR="00267724" w:rsidRPr="00A72E8A">
        <w:rPr>
          <w:rFonts w:ascii="Arial" w:hAnsi="Arial" w:cs="Arial"/>
          <w:szCs w:val="22"/>
        </w:rPr>
        <w:t>(Walker, 2005)</w:t>
      </w:r>
      <w:r w:rsidR="004765F4" w:rsidRPr="00A72E8A">
        <w:rPr>
          <w:rFonts w:ascii="Arial" w:hAnsi="Arial" w:cs="Arial"/>
          <w:szCs w:val="22"/>
        </w:rPr>
        <w:t>.</w:t>
      </w:r>
    </w:p>
    <w:p w14:paraId="5727689E" w14:textId="05F1D4C5" w:rsidR="004765F4" w:rsidRPr="00DD7AA0" w:rsidRDefault="004765F4" w:rsidP="00DD7AA0">
      <w:pPr>
        <w:rPr>
          <w:b/>
          <w:bCs/>
        </w:rPr>
      </w:pPr>
      <w:r w:rsidRPr="00DD7AA0">
        <w:rPr>
          <w:b/>
          <w:bCs/>
        </w:rPr>
        <w:t xml:space="preserve">Recommendations </w:t>
      </w:r>
    </w:p>
    <w:p w14:paraId="26CA9C92" w14:textId="77777777" w:rsidR="002D1F86" w:rsidRDefault="002D1F86" w:rsidP="00DD7AA0">
      <w:pPr>
        <w:spacing w:before="240" w:after="100" w:afterAutospacing="1"/>
        <w:jc w:val="both"/>
        <w:rPr>
          <w:rFonts w:ascii="Arial" w:eastAsia="Times New Roman" w:hAnsi="Arial" w:cs="Arial"/>
          <w:kern w:val="0"/>
          <w:szCs w:val="22"/>
          <w:lang w:eastAsia="en-GB"/>
          <w14:ligatures w14:val="none"/>
        </w:rPr>
      </w:pPr>
      <w:r w:rsidRPr="002D1F86">
        <w:rPr>
          <w:rFonts w:ascii="Arial" w:eastAsia="Times New Roman" w:hAnsi="Arial" w:cs="Arial"/>
          <w:kern w:val="0"/>
          <w:szCs w:val="22"/>
          <w:lang w:eastAsia="en-GB"/>
          <w14:ligatures w14:val="none"/>
        </w:rPr>
        <w:t>The need to integrate structured health education in the curriculum is motivated by the fact that the current RSHE/PSHE influence is highly implementation-based: when staff confidence, time, and training are constrained, implementation will be inconsistent and may increase inequality. Postcode provision would be minimized and the benefits of health literacy gains would be more valid, yet this should be accompanied by accountability (quality assurance, pupil feedback, expectations of inspection) to prevent compliance-only teaching (Powell et al., 2019; Rajan et al., 2017).</w:t>
      </w:r>
    </w:p>
    <w:p w14:paraId="1D8A80DB" w14:textId="31E7DB08" w:rsidR="00C725B0" w:rsidRPr="00C725B0" w:rsidRDefault="00C725B0" w:rsidP="00DD7AA0">
      <w:pPr>
        <w:spacing w:before="240" w:after="100" w:afterAutospacing="1"/>
        <w:jc w:val="both"/>
        <w:rPr>
          <w:rFonts w:ascii="Arial" w:eastAsia="Times New Roman" w:hAnsi="Arial" w:cs="Arial"/>
          <w:kern w:val="0"/>
          <w:szCs w:val="22"/>
          <w:lang w:eastAsia="en-GB"/>
          <w14:ligatures w14:val="none"/>
        </w:rPr>
      </w:pPr>
      <w:r w:rsidRPr="00C725B0">
        <w:rPr>
          <w:rFonts w:ascii="Arial" w:eastAsia="Times New Roman" w:hAnsi="Arial" w:cs="Arial"/>
          <w:kern w:val="0"/>
          <w:szCs w:val="22"/>
          <w:lang w:eastAsia="en-GB"/>
          <w14:ligatures w14:val="none"/>
        </w:rPr>
        <w:t>School-based wellbeing hubs respond to the limits of lesson-based prevention: curriculum content alone cannot meet rising complexity of adolescent mental health needs. Co-locating early help, counselling, and referral pathways strengthens access and normalises help-seeking, yet effectiveness depends on workforce capacity and clear interfaces with specialist services to prevent bottlenecks</w:t>
      </w:r>
      <w:r w:rsidRPr="00DD7AA0">
        <w:rPr>
          <w:rFonts w:ascii="Arial" w:eastAsia="Times New Roman" w:hAnsi="Arial" w:cs="Arial"/>
          <w:kern w:val="0"/>
          <w:szCs w:val="22"/>
          <w:lang w:eastAsia="en-GB"/>
          <w14:ligatures w14:val="none"/>
        </w:rPr>
        <w:t xml:space="preserve"> </w:t>
      </w:r>
      <w:r w:rsidRPr="00DD7AA0">
        <w:rPr>
          <w:rFonts w:ascii="Arial" w:hAnsi="Arial" w:cs="Arial"/>
          <w:szCs w:val="22"/>
        </w:rPr>
        <w:t xml:space="preserve">(Rajan </w:t>
      </w:r>
      <w:r w:rsidRPr="00DD7AA0">
        <w:rPr>
          <w:rFonts w:ascii="Arial" w:hAnsi="Arial" w:cs="Arial"/>
          <w:i/>
          <w:iCs/>
          <w:szCs w:val="22"/>
        </w:rPr>
        <w:t>et al.</w:t>
      </w:r>
      <w:r w:rsidRPr="00DD7AA0">
        <w:rPr>
          <w:rFonts w:ascii="Arial" w:hAnsi="Arial" w:cs="Arial"/>
          <w:szCs w:val="22"/>
        </w:rPr>
        <w:t xml:space="preserve">, 2017; Rustamova </w:t>
      </w:r>
      <w:r w:rsidRPr="00DD7AA0">
        <w:rPr>
          <w:rFonts w:ascii="Arial" w:hAnsi="Arial" w:cs="Arial"/>
          <w:i/>
          <w:iCs/>
          <w:szCs w:val="22"/>
        </w:rPr>
        <w:t>et al.</w:t>
      </w:r>
      <w:r w:rsidRPr="00DD7AA0">
        <w:rPr>
          <w:rFonts w:ascii="Arial" w:hAnsi="Arial" w:cs="Arial"/>
          <w:szCs w:val="22"/>
        </w:rPr>
        <w:t>, 2025)</w:t>
      </w:r>
      <w:r w:rsidRPr="00C725B0">
        <w:rPr>
          <w:rFonts w:ascii="Arial" w:eastAsia="Times New Roman" w:hAnsi="Arial" w:cs="Arial"/>
          <w:kern w:val="0"/>
          <w:szCs w:val="22"/>
          <w:lang w:eastAsia="en-GB"/>
          <w14:ligatures w14:val="none"/>
        </w:rPr>
        <w:t>.</w:t>
      </w:r>
    </w:p>
    <w:p w14:paraId="276A0963" w14:textId="20FA27A9" w:rsidR="006E0632" w:rsidRPr="00DD7AA0" w:rsidRDefault="00C725B0" w:rsidP="00DD7AA0">
      <w:pPr>
        <w:spacing w:before="240" w:after="100" w:afterAutospacing="1"/>
        <w:jc w:val="both"/>
        <w:rPr>
          <w:rFonts w:ascii="Arial" w:eastAsia="Times New Roman" w:hAnsi="Arial" w:cs="Arial"/>
          <w:kern w:val="0"/>
          <w:szCs w:val="22"/>
          <w:lang w:eastAsia="en-GB"/>
          <w14:ligatures w14:val="none"/>
        </w:rPr>
      </w:pPr>
      <w:r w:rsidRPr="00C725B0">
        <w:rPr>
          <w:rFonts w:ascii="Arial" w:eastAsia="Times New Roman" w:hAnsi="Arial" w:cs="Arial"/>
          <w:kern w:val="0"/>
          <w:szCs w:val="22"/>
          <w:lang w:eastAsia="en-GB"/>
          <w14:ligatures w14:val="none"/>
        </w:rPr>
        <w:t>Treating digital access as an equity prerequisite is evidence-informed because remote-learning gaps disproportionately harmed disadvantaged learners. Targeted device/connectivity support should be coupled with digital skills and safeguarding, otherwise access improves without closing the attainment gradient</w:t>
      </w:r>
      <w:r w:rsidR="00D5239A" w:rsidRPr="00DD7AA0">
        <w:rPr>
          <w:rFonts w:ascii="Arial" w:eastAsia="Times New Roman" w:hAnsi="Arial" w:cs="Arial"/>
          <w:kern w:val="0"/>
          <w:szCs w:val="22"/>
          <w:lang w:eastAsia="en-GB"/>
          <w14:ligatures w14:val="none"/>
        </w:rPr>
        <w:t xml:space="preserve"> </w:t>
      </w:r>
      <w:r w:rsidR="00D5239A" w:rsidRPr="00DD7AA0">
        <w:rPr>
          <w:rFonts w:ascii="Arial" w:hAnsi="Arial" w:cs="Arial"/>
          <w:szCs w:val="22"/>
        </w:rPr>
        <w:t xml:space="preserve">(Ellins </w:t>
      </w:r>
      <w:r w:rsidR="00D5239A" w:rsidRPr="00DD7AA0">
        <w:rPr>
          <w:rFonts w:ascii="Arial" w:hAnsi="Arial" w:cs="Arial"/>
          <w:i/>
          <w:iCs/>
          <w:szCs w:val="22"/>
        </w:rPr>
        <w:t>et al.</w:t>
      </w:r>
      <w:r w:rsidR="00D5239A" w:rsidRPr="00DD7AA0">
        <w:rPr>
          <w:rFonts w:ascii="Arial" w:hAnsi="Arial" w:cs="Arial"/>
          <w:szCs w:val="22"/>
        </w:rPr>
        <w:t>, 2023)</w:t>
      </w:r>
      <w:r w:rsidRPr="00C725B0">
        <w:rPr>
          <w:rFonts w:ascii="Arial" w:eastAsia="Times New Roman" w:hAnsi="Arial" w:cs="Arial"/>
          <w:kern w:val="0"/>
          <w:szCs w:val="22"/>
          <w:lang w:eastAsia="en-GB"/>
          <w14:ligatures w14:val="none"/>
        </w:rPr>
        <w:t>.</w:t>
      </w:r>
    </w:p>
    <w:p w14:paraId="1CF04688" w14:textId="73CF9DED" w:rsidR="000B743B" w:rsidRPr="00DD7AA0" w:rsidRDefault="00345B8A" w:rsidP="00DD7AA0">
      <w:pPr>
        <w:pStyle w:val="Heading1"/>
        <w:numPr>
          <w:ilvl w:val="0"/>
          <w:numId w:val="32"/>
        </w:numPr>
      </w:pPr>
      <w:bookmarkStart w:id="3" w:name="_Toc222755759"/>
      <w:r w:rsidRPr="00DD7AA0">
        <w:t>Conclusion</w:t>
      </w:r>
      <w:bookmarkEnd w:id="3"/>
    </w:p>
    <w:p w14:paraId="51BB3B1A" w14:textId="0E1D23B8" w:rsidR="00B94EEC" w:rsidRDefault="00B94EEC" w:rsidP="00DD7AA0">
      <w:pPr>
        <w:spacing w:before="240" w:after="100" w:afterAutospacing="1"/>
        <w:jc w:val="both"/>
        <w:rPr>
          <w:rFonts w:ascii="Arial" w:eastAsia="Times New Roman" w:hAnsi="Arial" w:cs="Arial"/>
          <w:kern w:val="0"/>
          <w:szCs w:val="22"/>
          <w:lang w:eastAsia="en-GB"/>
          <w14:ligatures w14:val="none"/>
        </w:rPr>
      </w:pPr>
      <w:r w:rsidRPr="00B94EEC">
        <w:rPr>
          <w:rFonts w:ascii="Arial" w:eastAsia="Times New Roman" w:hAnsi="Arial" w:cs="Arial"/>
          <w:kern w:val="0"/>
          <w:szCs w:val="22"/>
          <w:lang w:eastAsia="en-GB"/>
          <w14:ligatures w14:val="none"/>
        </w:rPr>
        <w:t>Education is an upstream health intervention because it shapes health literacy, agency, employment prospects, and the ability to access services, so progress on SDG 4 can directly strengthen SDG 3 outcomes. The evaluation shows SDG 3 implementation often remains treatment-focused</w:t>
      </w:r>
      <w:r w:rsidR="00C725B0" w:rsidRPr="00DD7AA0">
        <w:rPr>
          <w:rFonts w:ascii="Arial" w:eastAsia="Times New Roman" w:hAnsi="Arial" w:cs="Arial"/>
          <w:kern w:val="0"/>
          <w:szCs w:val="22"/>
          <w:lang w:eastAsia="en-GB"/>
          <w14:ligatures w14:val="none"/>
        </w:rPr>
        <w:t xml:space="preserve"> </w:t>
      </w:r>
      <w:r w:rsidRPr="00B94EEC">
        <w:rPr>
          <w:rFonts w:ascii="Arial" w:eastAsia="Times New Roman" w:hAnsi="Arial" w:cs="Arial"/>
          <w:kern w:val="0"/>
          <w:szCs w:val="22"/>
          <w:lang w:eastAsia="en-GB"/>
          <w14:ligatures w14:val="none"/>
        </w:rPr>
        <w:t>especially in mental health</w:t>
      </w:r>
      <w:r w:rsidR="00C725B0" w:rsidRPr="00DD7AA0">
        <w:rPr>
          <w:rFonts w:ascii="Arial" w:eastAsia="Times New Roman" w:hAnsi="Arial" w:cs="Arial"/>
          <w:kern w:val="0"/>
          <w:szCs w:val="22"/>
          <w:lang w:eastAsia="en-GB"/>
          <w14:ligatures w14:val="none"/>
        </w:rPr>
        <w:t xml:space="preserve"> </w:t>
      </w:r>
      <w:r w:rsidRPr="00B94EEC">
        <w:rPr>
          <w:rFonts w:ascii="Arial" w:eastAsia="Times New Roman" w:hAnsi="Arial" w:cs="Arial"/>
          <w:kern w:val="0"/>
          <w:szCs w:val="22"/>
          <w:lang w:eastAsia="en-GB"/>
          <w14:ligatures w14:val="none"/>
        </w:rPr>
        <w:t>while prevention and early intervention (including school-based support) are under-resourced. A prevention-first approach, informed by behavioural models and self-efficacy, is more sustainable than relying on downstream care alone. Overall, policy coherence across SDGs 3 and 4 is essential: when education and health operate in silos, digital exclusion, attainment gaps, and health inequalities persist. Integrated planning and evaluation are therefore critical.</w:t>
      </w:r>
    </w:p>
    <w:p w14:paraId="31EAEC65" w14:textId="77777777" w:rsidR="00DA1C8C" w:rsidRDefault="00DA1C8C" w:rsidP="00DD7AA0">
      <w:pPr>
        <w:spacing w:before="240" w:after="100" w:afterAutospacing="1"/>
        <w:jc w:val="both"/>
        <w:rPr>
          <w:rFonts w:ascii="Arial" w:eastAsia="Times New Roman" w:hAnsi="Arial" w:cs="Arial"/>
          <w:kern w:val="0"/>
          <w:szCs w:val="22"/>
          <w:lang w:eastAsia="en-GB"/>
          <w14:ligatures w14:val="none"/>
        </w:rPr>
      </w:pPr>
    </w:p>
    <w:p w14:paraId="50E1B0E6" w14:textId="77777777" w:rsidR="00DA1C8C" w:rsidRDefault="00DA1C8C" w:rsidP="00DD7AA0">
      <w:pPr>
        <w:spacing w:before="240" w:after="100" w:afterAutospacing="1"/>
        <w:jc w:val="both"/>
        <w:rPr>
          <w:rFonts w:ascii="Arial" w:eastAsia="Times New Roman" w:hAnsi="Arial" w:cs="Arial"/>
          <w:kern w:val="0"/>
          <w:szCs w:val="22"/>
          <w:lang w:eastAsia="en-GB"/>
          <w14:ligatures w14:val="none"/>
        </w:rPr>
      </w:pPr>
    </w:p>
    <w:p w14:paraId="706FFD21" w14:textId="77777777" w:rsidR="00DA1C8C" w:rsidRDefault="00DA1C8C" w:rsidP="00DD7AA0">
      <w:pPr>
        <w:spacing w:before="240" w:after="100" w:afterAutospacing="1"/>
        <w:jc w:val="both"/>
        <w:rPr>
          <w:rFonts w:ascii="Arial" w:eastAsia="Times New Roman" w:hAnsi="Arial" w:cs="Arial"/>
          <w:kern w:val="0"/>
          <w:szCs w:val="22"/>
          <w:lang w:eastAsia="en-GB"/>
          <w14:ligatures w14:val="none"/>
        </w:rPr>
      </w:pPr>
    </w:p>
    <w:p w14:paraId="74523943" w14:textId="77777777" w:rsidR="00D24087" w:rsidRDefault="00D24087" w:rsidP="00DD7AA0">
      <w:pPr>
        <w:spacing w:before="240" w:after="100" w:afterAutospacing="1"/>
        <w:jc w:val="both"/>
        <w:rPr>
          <w:rFonts w:ascii="Arial" w:eastAsia="Times New Roman" w:hAnsi="Arial" w:cs="Arial"/>
          <w:kern w:val="0"/>
          <w:szCs w:val="22"/>
          <w:lang w:eastAsia="en-GB"/>
          <w14:ligatures w14:val="none"/>
        </w:rPr>
      </w:pPr>
    </w:p>
    <w:p w14:paraId="6D720B4F" w14:textId="77777777" w:rsidR="00D24087" w:rsidRDefault="00D24087" w:rsidP="00DD7AA0">
      <w:pPr>
        <w:spacing w:before="240" w:after="100" w:afterAutospacing="1"/>
        <w:jc w:val="both"/>
        <w:rPr>
          <w:rFonts w:ascii="Arial" w:eastAsia="Times New Roman" w:hAnsi="Arial" w:cs="Arial"/>
          <w:kern w:val="0"/>
          <w:szCs w:val="22"/>
          <w:lang w:eastAsia="en-GB"/>
          <w14:ligatures w14:val="none"/>
        </w:rPr>
      </w:pPr>
    </w:p>
    <w:p w14:paraId="51E2C811" w14:textId="77777777" w:rsidR="00DA1C8C" w:rsidRDefault="00DA1C8C" w:rsidP="00DD7AA0">
      <w:pPr>
        <w:spacing w:before="240" w:after="100" w:afterAutospacing="1"/>
        <w:jc w:val="both"/>
        <w:rPr>
          <w:rFonts w:ascii="Arial" w:eastAsia="Times New Roman" w:hAnsi="Arial" w:cs="Arial"/>
          <w:kern w:val="0"/>
          <w:szCs w:val="22"/>
          <w:lang w:eastAsia="en-GB"/>
          <w14:ligatures w14:val="none"/>
        </w:rPr>
      </w:pPr>
    </w:p>
    <w:p w14:paraId="29D99D1E" w14:textId="77777777" w:rsidR="00DA1C8C" w:rsidRPr="00B94EEC" w:rsidRDefault="00DA1C8C" w:rsidP="00DD7AA0">
      <w:pPr>
        <w:spacing w:before="240" w:after="100" w:afterAutospacing="1"/>
        <w:jc w:val="both"/>
        <w:rPr>
          <w:rFonts w:ascii="Arial" w:eastAsia="Times New Roman" w:hAnsi="Arial" w:cs="Arial"/>
          <w:kern w:val="0"/>
          <w:szCs w:val="22"/>
          <w:lang w:eastAsia="en-GB"/>
          <w14:ligatures w14:val="none"/>
        </w:rPr>
      </w:pPr>
    </w:p>
    <w:p w14:paraId="26410FD9" w14:textId="4F19CCB6" w:rsidR="00345B8A" w:rsidRPr="00DD7AA0" w:rsidRDefault="00FE5199" w:rsidP="00DD7AA0">
      <w:pPr>
        <w:pStyle w:val="Heading1"/>
        <w:numPr>
          <w:ilvl w:val="0"/>
          <w:numId w:val="32"/>
        </w:numPr>
      </w:pPr>
      <w:bookmarkStart w:id="4" w:name="_Toc222755760"/>
      <w:r w:rsidRPr="00DD7AA0">
        <w:t>References</w:t>
      </w:r>
      <w:bookmarkEnd w:id="4"/>
    </w:p>
    <w:p w14:paraId="4F33364E"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Colizzi, M., Lasalvia, A. and Ruggeri, M. (2020) ‘Prevention and early intervention in youth mental health: Is it time for a multidisciplinary and trans-diagnostic model for care?’, </w:t>
      </w:r>
      <w:r w:rsidRPr="00FE5199">
        <w:rPr>
          <w:rFonts w:ascii="Arial" w:eastAsia="Times New Roman" w:hAnsi="Arial" w:cs="Arial"/>
          <w:i/>
          <w:iCs/>
          <w:kern w:val="0"/>
          <w:szCs w:val="22"/>
          <w:lang w:eastAsia="en-GB"/>
          <w14:ligatures w14:val="none"/>
        </w:rPr>
        <w:t>International Journal of Mental Health Systems</w:t>
      </w:r>
      <w:r w:rsidRPr="00FE5199">
        <w:rPr>
          <w:rFonts w:ascii="Arial" w:eastAsia="Times New Roman" w:hAnsi="Arial" w:cs="Arial"/>
          <w:kern w:val="0"/>
          <w:szCs w:val="22"/>
          <w:lang w:eastAsia="en-GB"/>
          <w14:ligatures w14:val="none"/>
        </w:rPr>
        <w:t>, 14(1), pp. 1–14. Available at: https://doi.org/10.1186/s13033-020-00356-9.</w:t>
      </w:r>
    </w:p>
    <w:p w14:paraId="7AB72BC5"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Decouttere, C., De Boeck, K. and Vandaele, N. (2021) ‘Advancing sustainable development goals through immunization: a literature review’, </w:t>
      </w:r>
      <w:r w:rsidRPr="00FE5199">
        <w:rPr>
          <w:rFonts w:ascii="Arial" w:eastAsia="Times New Roman" w:hAnsi="Arial" w:cs="Arial"/>
          <w:i/>
          <w:iCs/>
          <w:kern w:val="0"/>
          <w:szCs w:val="22"/>
          <w:lang w:eastAsia="en-GB"/>
          <w14:ligatures w14:val="none"/>
        </w:rPr>
        <w:t>Globalization and Health</w:t>
      </w:r>
      <w:r w:rsidRPr="00FE5199">
        <w:rPr>
          <w:rFonts w:ascii="Arial" w:eastAsia="Times New Roman" w:hAnsi="Arial" w:cs="Arial"/>
          <w:kern w:val="0"/>
          <w:szCs w:val="22"/>
          <w:lang w:eastAsia="en-GB"/>
          <w14:ligatures w14:val="none"/>
        </w:rPr>
        <w:t>, 17(1). Available at: https://doi.org/10.1186/s12992-021-00745-w.</w:t>
      </w:r>
    </w:p>
    <w:p w14:paraId="601711CF"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Ellins, J.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(2023) ‘Implementing mental health support teams in schools and colleges: the perspectives of programme implementers and service providers’, </w:t>
      </w:r>
      <w:r w:rsidRPr="00FE5199">
        <w:rPr>
          <w:rFonts w:ascii="Arial" w:eastAsia="Times New Roman" w:hAnsi="Arial" w:cs="Arial"/>
          <w:i/>
          <w:iCs/>
          <w:kern w:val="0"/>
          <w:szCs w:val="22"/>
          <w:lang w:eastAsia="en-GB"/>
          <w14:ligatures w14:val="none"/>
        </w:rPr>
        <w:t>Journal of Mental Health</w:t>
      </w:r>
      <w:r w:rsidRPr="00FE5199">
        <w:rPr>
          <w:rFonts w:ascii="Arial" w:eastAsia="Times New Roman" w:hAnsi="Arial" w:cs="Arial"/>
          <w:kern w:val="0"/>
          <w:szCs w:val="22"/>
          <w:lang w:eastAsia="en-GB"/>
          <w14:ligatures w14:val="none"/>
        </w:rPr>
        <w:t>, 33(6), pp. 1–7. Available at: https://doi.org/10.1080/09638237.2023.2278101.</w:t>
      </w:r>
    </w:p>
    <w:p w14:paraId="70132BF5"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Ghafur, S.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(2020) ‘Public perceptions on data sharing: key insights from the UK and the USA’, </w:t>
      </w:r>
      <w:r w:rsidRPr="00FE5199">
        <w:rPr>
          <w:rFonts w:ascii="Arial" w:eastAsia="Times New Roman" w:hAnsi="Arial" w:cs="Arial"/>
          <w:i/>
          <w:iCs/>
          <w:kern w:val="0"/>
          <w:szCs w:val="22"/>
          <w:lang w:eastAsia="en-GB"/>
          <w14:ligatures w14:val="none"/>
        </w:rPr>
        <w:t>The Lancet Digital Health</w:t>
      </w:r>
      <w:r w:rsidRPr="00FE5199">
        <w:rPr>
          <w:rFonts w:ascii="Arial" w:eastAsia="Times New Roman" w:hAnsi="Arial" w:cs="Arial"/>
          <w:kern w:val="0"/>
          <w:szCs w:val="22"/>
          <w:lang w:eastAsia="en-GB"/>
          <w14:ligatures w14:val="none"/>
        </w:rPr>
        <w:t>, 2(9). Available at: https://doi.org/10.1016/s2589-7500(20)30161-8.</w:t>
      </w:r>
    </w:p>
    <w:p w14:paraId="2A8A3637"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Gov UK (2019) </w:t>
      </w:r>
      <w:r w:rsidRPr="00FE5199">
        <w:rPr>
          <w:rFonts w:ascii="Arial" w:eastAsia="Times New Roman" w:hAnsi="Arial" w:cs="Arial"/>
          <w:i/>
          <w:iCs/>
          <w:kern w:val="0"/>
          <w:szCs w:val="22"/>
          <w:lang w:eastAsia="en-GB"/>
          <w14:ligatures w14:val="none"/>
        </w:rPr>
        <w:t>Relationships education, relationships and sex education (RSE) and health education</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GOV.UK</w:t>
      </w:r>
      <w:r w:rsidRPr="00FE5199">
        <w:rPr>
          <w:rFonts w:ascii="Arial" w:eastAsia="Times New Roman" w:hAnsi="Arial" w:cs="Arial"/>
          <w:kern w:val="0"/>
          <w:szCs w:val="22"/>
          <w:lang w:eastAsia="en-GB"/>
          <w14:ligatures w14:val="none"/>
        </w:rPr>
        <w:t>. Available at: https://www.gov.uk/government/publications/relationships-education-relationships-and-sex-education-rse-and-health-education (Accessed: 23 February 2026).</w:t>
      </w:r>
    </w:p>
    <w:p w14:paraId="134E9827"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Islam, K.F.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(2023) ‘Social cognitive theory-based health promotion in primary care practice: A scoping review’, </w:t>
      </w:r>
      <w:r w:rsidRPr="00FE5199">
        <w:rPr>
          <w:rFonts w:ascii="Arial" w:eastAsia="Times New Roman" w:hAnsi="Arial" w:cs="Arial"/>
          <w:i/>
          <w:iCs/>
          <w:kern w:val="0"/>
          <w:szCs w:val="22"/>
          <w:lang w:eastAsia="en-GB"/>
          <w14:ligatures w14:val="none"/>
        </w:rPr>
        <w:t>Heliyon</w:t>
      </w:r>
      <w:r w:rsidRPr="00FE5199">
        <w:rPr>
          <w:rFonts w:ascii="Arial" w:eastAsia="Times New Roman" w:hAnsi="Arial" w:cs="Arial"/>
          <w:kern w:val="0"/>
          <w:szCs w:val="22"/>
          <w:lang w:eastAsia="en-GB"/>
          <w14:ligatures w14:val="none"/>
        </w:rPr>
        <w:t>, 9(4), pp. 1–25. Available at: https://doi.org/10.1016/j.heliyon.2023.e14889.</w:t>
      </w:r>
    </w:p>
    <w:p w14:paraId="492FBE2C"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Limbu, Y.B., Gautam, R.K. and Pham, L. (2022) ‘The Health Belief Model Applied to COVID-19 Vaccine Hesitancy: A Systematic Review’, </w:t>
      </w:r>
      <w:r w:rsidRPr="00FE5199">
        <w:rPr>
          <w:rFonts w:ascii="Arial" w:eastAsia="Times New Roman" w:hAnsi="Arial" w:cs="Arial"/>
          <w:i/>
          <w:iCs/>
          <w:kern w:val="0"/>
          <w:szCs w:val="22"/>
          <w:lang w:eastAsia="en-GB"/>
          <w14:ligatures w14:val="none"/>
        </w:rPr>
        <w:t>Vaccines</w:t>
      </w:r>
      <w:r w:rsidRPr="00FE5199">
        <w:rPr>
          <w:rFonts w:ascii="Arial" w:eastAsia="Times New Roman" w:hAnsi="Arial" w:cs="Arial"/>
          <w:kern w:val="0"/>
          <w:szCs w:val="22"/>
          <w:lang w:eastAsia="en-GB"/>
          <w14:ligatures w14:val="none"/>
        </w:rPr>
        <w:t>, 10(6). Available at: https://doi.org/10.3390/vaccines10060973.</w:t>
      </w:r>
    </w:p>
    <w:p w14:paraId="479F8C0E"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Mubiinzi, G. and Mutumba, G.S. (2025) ‘Economic growth through gender parity: Evidence from education, labour, and governance in Uganda’, </w:t>
      </w:r>
      <w:r w:rsidRPr="00FE5199">
        <w:rPr>
          <w:rFonts w:ascii="Arial" w:eastAsia="Times New Roman" w:hAnsi="Arial" w:cs="Arial"/>
          <w:i/>
          <w:iCs/>
          <w:kern w:val="0"/>
          <w:szCs w:val="22"/>
          <w:lang w:eastAsia="en-GB"/>
          <w14:ligatures w14:val="none"/>
        </w:rPr>
        <w:t>Social Sciences &amp; Humanities Open</w:t>
      </w:r>
      <w:r w:rsidRPr="00FE5199">
        <w:rPr>
          <w:rFonts w:ascii="Arial" w:eastAsia="Times New Roman" w:hAnsi="Arial" w:cs="Arial"/>
          <w:kern w:val="0"/>
          <w:szCs w:val="22"/>
          <w:lang w:eastAsia="en-GB"/>
          <w14:ligatures w14:val="none"/>
        </w:rPr>
        <w:t>, 11, pp. 101519–101519. Available at: https://doi.org/10.1016/j.ssaho.2025.101519.</w:t>
      </w:r>
    </w:p>
    <w:p w14:paraId="4ECCC868"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NHS England (2023) </w:t>
      </w:r>
      <w:r w:rsidRPr="00FE5199">
        <w:rPr>
          <w:rFonts w:ascii="Arial" w:eastAsia="Times New Roman" w:hAnsi="Arial" w:cs="Arial"/>
          <w:i/>
          <w:iCs/>
          <w:kern w:val="0"/>
          <w:szCs w:val="22"/>
          <w:lang w:eastAsia="en-GB"/>
          <w14:ligatures w14:val="none"/>
        </w:rPr>
        <w:t>NHS England» New mental health support in schools and colleges and faster access to NHS care</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England.nhs.uk</w:t>
      </w:r>
      <w:r w:rsidRPr="00FE5199">
        <w:rPr>
          <w:rFonts w:ascii="Arial" w:eastAsia="Times New Roman" w:hAnsi="Arial" w:cs="Arial"/>
          <w:kern w:val="0"/>
          <w:szCs w:val="22"/>
          <w:lang w:eastAsia="en-GB"/>
          <w14:ligatures w14:val="none"/>
        </w:rPr>
        <w:t>. Available at: https://www.england.nhs.uk/mental-health/cyp/trailblazers/ (Accessed: 23 February 2026).</w:t>
      </w:r>
    </w:p>
    <w:p w14:paraId="21311706"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OECD (2022) </w:t>
      </w:r>
      <w:r w:rsidRPr="00FE5199">
        <w:rPr>
          <w:rFonts w:ascii="Arial" w:eastAsia="Times New Roman" w:hAnsi="Arial" w:cs="Arial"/>
          <w:i/>
          <w:iCs/>
          <w:kern w:val="0"/>
          <w:szCs w:val="22"/>
          <w:lang w:eastAsia="en-GB"/>
          <w14:ligatures w14:val="none"/>
        </w:rPr>
        <w:t>Finland’s Right to Learn Programme: Achieving equity and quality in education</w:t>
      </w:r>
      <w:r w:rsidRPr="00FE5199">
        <w:rPr>
          <w:rFonts w:ascii="Arial" w:eastAsia="Times New Roman" w:hAnsi="Arial" w:cs="Arial"/>
          <w:kern w:val="0"/>
          <w:szCs w:val="22"/>
          <w:lang w:eastAsia="en-GB"/>
          <w14:ligatures w14:val="none"/>
        </w:rPr>
        <w:t>. Available at: https://www.oecd.org/content/dam/oecd/en/publications/reports/2022/09/finland-s-right-to-learn-programme_58de2f6c/65eff23e-en.pdf (Accessed: 23 February 2026).</w:t>
      </w:r>
    </w:p>
    <w:p w14:paraId="734D0177"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Powell, B.J.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(2019) ‘Enhancing the Impact of Implementation Strategies in Healthcare: A Research Agenda’, </w:t>
      </w:r>
      <w:r w:rsidRPr="00FE5199">
        <w:rPr>
          <w:rFonts w:ascii="Arial" w:eastAsia="Times New Roman" w:hAnsi="Arial" w:cs="Arial"/>
          <w:i/>
          <w:iCs/>
          <w:kern w:val="0"/>
          <w:szCs w:val="22"/>
          <w:lang w:eastAsia="en-GB"/>
          <w14:ligatures w14:val="none"/>
        </w:rPr>
        <w:t>Frontiers in Public Health</w:t>
      </w:r>
      <w:r w:rsidRPr="00FE5199">
        <w:rPr>
          <w:rFonts w:ascii="Arial" w:eastAsia="Times New Roman" w:hAnsi="Arial" w:cs="Arial"/>
          <w:kern w:val="0"/>
          <w:szCs w:val="22"/>
          <w:lang w:eastAsia="en-GB"/>
          <w14:ligatures w14:val="none"/>
        </w:rPr>
        <w:t>, 7(3). Available at: https://doi.org/10.3389/fpubh.2019.00003.</w:t>
      </w:r>
    </w:p>
    <w:p w14:paraId="6C3E2C96"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Rajan, S.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(2017) ‘Integrating Health Education in Core Curriculum Classrooms: Successes, Challenges, and Implications for Urban Middle Schools’, </w:t>
      </w:r>
      <w:r w:rsidRPr="00FE5199">
        <w:rPr>
          <w:rFonts w:ascii="Arial" w:eastAsia="Times New Roman" w:hAnsi="Arial" w:cs="Arial"/>
          <w:i/>
          <w:iCs/>
          <w:kern w:val="0"/>
          <w:szCs w:val="22"/>
          <w:lang w:eastAsia="en-GB"/>
          <w14:ligatures w14:val="none"/>
        </w:rPr>
        <w:t>Journal of School Health</w:t>
      </w:r>
      <w:r w:rsidRPr="00FE5199">
        <w:rPr>
          <w:rFonts w:ascii="Arial" w:eastAsia="Times New Roman" w:hAnsi="Arial" w:cs="Arial"/>
          <w:kern w:val="0"/>
          <w:szCs w:val="22"/>
          <w:lang w:eastAsia="en-GB"/>
          <w14:ligatures w14:val="none"/>
        </w:rPr>
        <w:t>, 87(12), pp. 949–957. Available at: https://doi.org/10.1111/josh.12563.</w:t>
      </w:r>
    </w:p>
    <w:p w14:paraId="28416829"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Rustamova, N.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(2025) ‘Social Protection in Developing Countries: Legal, Economic, and Social Trends’, </w:t>
      </w:r>
      <w:r w:rsidRPr="00FE5199">
        <w:rPr>
          <w:rFonts w:ascii="Arial" w:eastAsia="Times New Roman" w:hAnsi="Arial" w:cs="Arial"/>
          <w:i/>
          <w:iCs/>
          <w:kern w:val="0"/>
          <w:szCs w:val="22"/>
          <w:lang w:eastAsia="en-GB"/>
          <w14:ligatures w14:val="none"/>
        </w:rPr>
        <w:t>Qubahan Academic Journal</w:t>
      </w:r>
      <w:r w:rsidRPr="00FE5199">
        <w:rPr>
          <w:rFonts w:ascii="Arial" w:eastAsia="Times New Roman" w:hAnsi="Arial" w:cs="Arial"/>
          <w:kern w:val="0"/>
          <w:szCs w:val="22"/>
          <w:lang w:eastAsia="en-GB"/>
          <w14:ligatures w14:val="none"/>
        </w:rPr>
        <w:t>, 5(1), pp. 118–149. Available at: https://doi.org/10.48161/qaj.v5n1a1222.</w:t>
      </w:r>
    </w:p>
    <w:p w14:paraId="7045B57F"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Sherman, S.M. </w:t>
      </w:r>
      <w:r w:rsidRPr="00FE5199">
        <w:rPr>
          <w:rFonts w:ascii="Arial" w:eastAsia="Times New Roman" w:hAnsi="Arial" w:cs="Arial"/>
          <w:i/>
          <w:iCs/>
          <w:kern w:val="0"/>
          <w:szCs w:val="22"/>
          <w:lang w:eastAsia="en-GB"/>
          <w14:ligatures w14:val="none"/>
        </w:rPr>
        <w:t>et al.</w:t>
      </w:r>
      <w:r w:rsidRPr="00FE5199">
        <w:rPr>
          <w:rFonts w:ascii="Arial" w:eastAsia="Times New Roman" w:hAnsi="Arial" w:cs="Arial"/>
          <w:kern w:val="0"/>
          <w:szCs w:val="22"/>
          <w:lang w:eastAsia="en-GB"/>
          <w14:ligatures w14:val="none"/>
        </w:rPr>
        <w:t xml:space="preserve"> (2020) ‘COVID-19 Vaccination Intention in the UK: Results from the COVID-19 Vaccination Acceptability Study (CoVAccS), a Nationally Representative cross-sectional Survey’, </w:t>
      </w:r>
      <w:r w:rsidRPr="00FE5199">
        <w:rPr>
          <w:rFonts w:ascii="Arial" w:eastAsia="Times New Roman" w:hAnsi="Arial" w:cs="Arial"/>
          <w:i/>
          <w:iCs/>
          <w:kern w:val="0"/>
          <w:szCs w:val="22"/>
          <w:lang w:eastAsia="en-GB"/>
          <w14:ligatures w14:val="none"/>
        </w:rPr>
        <w:t>Human Vaccines &amp; Immunotherapeutics</w:t>
      </w:r>
      <w:r w:rsidRPr="00FE5199">
        <w:rPr>
          <w:rFonts w:ascii="Arial" w:eastAsia="Times New Roman" w:hAnsi="Arial" w:cs="Arial"/>
          <w:kern w:val="0"/>
          <w:szCs w:val="22"/>
          <w:lang w:eastAsia="en-GB"/>
          <w14:ligatures w14:val="none"/>
        </w:rPr>
        <w:t>, 17(6), pp. 1–10. Available at: https://doi.org/10.1080/21645515.2020.1846397.</w:t>
      </w:r>
    </w:p>
    <w:p w14:paraId="3D50C9B7"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Singh, O. (2021) ‘Comprehensive Mental Health Action Plan 2013–2030: We must rise to the challenge’, </w:t>
      </w:r>
      <w:r w:rsidRPr="00FE5199">
        <w:rPr>
          <w:rFonts w:ascii="Arial" w:eastAsia="Times New Roman" w:hAnsi="Arial" w:cs="Arial"/>
          <w:i/>
          <w:iCs/>
          <w:kern w:val="0"/>
          <w:szCs w:val="22"/>
          <w:lang w:eastAsia="en-GB"/>
          <w14:ligatures w14:val="none"/>
        </w:rPr>
        <w:t>Indian Journal of Psychiatry</w:t>
      </w:r>
      <w:r w:rsidRPr="00FE5199">
        <w:rPr>
          <w:rFonts w:ascii="Arial" w:eastAsia="Times New Roman" w:hAnsi="Arial" w:cs="Arial"/>
          <w:kern w:val="0"/>
          <w:szCs w:val="22"/>
          <w:lang w:eastAsia="en-GB"/>
          <w14:ligatures w14:val="none"/>
        </w:rPr>
        <w:t>, 63(5), p. 415. Available at: https://doi.org/10.4103/indianjpsychiatry.indianjpsychiatry_811_21.</w:t>
      </w:r>
    </w:p>
    <w:p w14:paraId="5F573FA1"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Tikkanen, I. and Urho, U. (2009) ‘Free school meals, the plate model and food choices in Finland’, </w:t>
      </w:r>
      <w:r w:rsidRPr="00FE5199">
        <w:rPr>
          <w:rFonts w:ascii="Arial" w:eastAsia="Times New Roman" w:hAnsi="Arial" w:cs="Arial"/>
          <w:i/>
          <w:iCs/>
          <w:kern w:val="0"/>
          <w:szCs w:val="22"/>
          <w:lang w:eastAsia="en-GB"/>
          <w14:ligatures w14:val="none"/>
        </w:rPr>
        <w:t>British Food Journal</w:t>
      </w:r>
      <w:r w:rsidRPr="00FE5199">
        <w:rPr>
          <w:rFonts w:ascii="Arial" w:eastAsia="Times New Roman" w:hAnsi="Arial" w:cs="Arial"/>
          <w:kern w:val="0"/>
          <w:szCs w:val="22"/>
          <w:lang w:eastAsia="en-GB"/>
          <w14:ligatures w14:val="none"/>
        </w:rPr>
        <w:t>, 111(2), pp. 102–119. Available at: https://doi.org/10.1108/00070700910931940.</w:t>
      </w:r>
    </w:p>
    <w:p w14:paraId="3130EEA3"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UNDP (2015) </w:t>
      </w:r>
      <w:r w:rsidRPr="00FE5199">
        <w:rPr>
          <w:rFonts w:ascii="Arial" w:eastAsia="Times New Roman" w:hAnsi="Arial" w:cs="Arial"/>
          <w:i/>
          <w:iCs/>
          <w:kern w:val="0"/>
          <w:szCs w:val="22"/>
          <w:lang w:eastAsia="en-GB"/>
          <w14:ligatures w14:val="none"/>
        </w:rPr>
        <w:t>Sustainable Development Goals</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UNDP</w:t>
      </w:r>
      <w:r w:rsidRPr="00FE5199">
        <w:rPr>
          <w:rFonts w:ascii="Arial" w:eastAsia="Times New Roman" w:hAnsi="Arial" w:cs="Arial"/>
          <w:kern w:val="0"/>
          <w:szCs w:val="22"/>
          <w:lang w:eastAsia="en-GB"/>
          <w14:ligatures w14:val="none"/>
        </w:rPr>
        <w:t>. Available at: https://www.undp.org/sustainable-development-goals (Accessed: 23 February 2026).</w:t>
      </w:r>
    </w:p>
    <w:p w14:paraId="3D3FB350"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UNESCO (2023) </w:t>
      </w:r>
      <w:r w:rsidRPr="00FE5199">
        <w:rPr>
          <w:rFonts w:ascii="Arial" w:eastAsia="Times New Roman" w:hAnsi="Arial" w:cs="Arial"/>
          <w:i/>
          <w:iCs/>
          <w:kern w:val="0"/>
          <w:szCs w:val="22"/>
          <w:lang w:eastAsia="en-GB"/>
          <w14:ligatures w14:val="none"/>
        </w:rPr>
        <w:t>Home | #LeadingSDG4 | Education2030</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www.unesco.org</w:t>
      </w:r>
      <w:r w:rsidRPr="00FE5199">
        <w:rPr>
          <w:rFonts w:ascii="Arial" w:eastAsia="Times New Roman" w:hAnsi="Arial" w:cs="Arial"/>
          <w:kern w:val="0"/>
          <w:szCs w:val="22"/>
          <w:lang w:eastAsia="en-GB"/>
          <w14:ligatures w14:val="none"/>
        </w:rPr>
        <w:t>. Available at: https://www.unesco.org/sdg4education2030/en (Accessed: 23 February 2026).</w:t>
      </w:r>
    </w:p>
    <w:p w14:paraId="4FCEE492"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UNESCO (2024) </w:t>
      </w:r>
      <w:r w:rsidRPr="00FE5199">
        <w:rPr>
          <w:rFonts w:ascii="Arial" w:eastAsia="Times New Roman" w:hAnsi="Arial" w:cs="Arial"/>
          <w:i/>
          <w:iCs/>
          <w:kern w:val="0"/>
          <w:szCs w:val="22"/>
          <w:lang w:eastAsia="en-GB"/>
          <w14:ligatures w14:val="none"/>
        </w:rPr>
        <w:t>Education 2030 Framework for Action to be formally adopted and launched | UNESCO</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www.unesco.org</w:t>
      </w:r>
      <w:r w:rsidRPr="00FE5199">
        <w:rPr>
          <w:rFonts w:ascii="Arial" w:eastAsia="Times New Roman" w:hAnsi="Arial" w:cs="Arial"/>
          <w:kern w:val="0"/>
          <w:szCs w:val="22"/>
          <w:lang w:eastAsia="en-GB"/>
          <w14:ligatures w14:val="none"/>
        </w:rPr>
        <w:t>. Available at: https://www.unesco.org/en/articles/education-2030-framework-action-be-formally-adopted-and-launched (Accessed: 23 February 2026).</w:t>
      </w:r>
    </w:p>
    <w:p w14:paraId="4F238D14"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UNESCO (2025) </w:t>
      </w:r>
      <w:r w:rsidRPr="00FE5199">
        <w:rPr>
          <w:rFonts w:ascii="Arial" w:eastAsia="Times New Roman" w:hAnsi="Arial" w:cs="Arial"/>
          <w:i/>
          <w:iCs/>
          <w:kern w:val="0"/>
          <w:szCs w:val="22"/>
          <w:lang w:eastAsia="en-GB"/>
          <w14:ligatures w14:val="none"/>
        </w:rPr>
        <w:t>Education for sustainable development for 2030 toolbox</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Unesco.org</w:t>
      </w:r>
      <w:r w:rsidRPr="00FE5199">
        <w:rPr>
          <w:rFonts w:ascii="Arial" w:eastAsia="Times New Roman" w:hAnsi="Arial" w:cs="Arial"/>
          <w:kern w:val="0"/>
          <w:szCs w:val="22"/>
          <w:lang w:eastAsia="en-GB"/>
          <w14:ligatures w14:val="none"/>
        </w:rPr>
        <w:t>. Available at: https://www.unesco.org/en/sustainable-development/education/toolbox (Accessed: 23 February 2026).</w:t>
      </w:r>
    </w:p>
    <w:p w14:paraId="21E82284"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United Nations (2015) </w:t>
      </w:r>
      <w:r w:rsidRPr="00FE5199">
        <w:rPr>
          <w:rFonts w:ascii="Arial" w:eastAsia="Times New Roman" w:hAnsi="Arial" w:cs="Arial"/>
          <w:i/>
          <w:iCs/>
          <w:kern w:val="0"/>
          <w:szCs w:val="22"/>
          <w:lang w:eastAsia="en-GB"/>
          <w14:ligatures w14:val="none"/>
        </w:rPr>
        <w:t>The 17 sustainable development goals</w:t>
      </w:r>
      <w:r w:rsidRPr="00FE5199">
        <w:rPr>
          <w:rFonts w:ascii="Arial" w:eastAsia="Times New Roman" w:hAnsi="Arial" w:cs="Arial"/>
          <w:kern w:val="0"/>
          <w:szCs w:val="22"/>
          <w:lang w:eastAsia="en-GB"/>
          <w14:ligatures w14:val="none"/>
        </w:rPr>
        <w:t xml:space="preserve">, </w:t>
      </w:r>
      <w:r w:rsidRPr="00FE5199">
        <w:rPr>
          <w:rFonts w:ascii="Arial" w:eastAsia="Times New Roman" w:hAnsi="Arial" w:cs="Arial"/>
          <w:i/>
          <w:iCs/>
          <w:kern w:val="0"/>
          <w:szCs w:val="22"/>
          <w:lang w:eastAsia="en-GB"/>
          <w14:ligatures w14:val="none"/>
        </w:rPr>
        <w:t>United Nations</w:t>
      </w:r>
      <w:r w:rsidRPr="00FE5199">
        <w:rPr>
          <w:rFonts w:ascii="Arial" w:eastAsia="Times New Roman" w:hAnsi="Arial" w:cs="Arial"/>
          <w:kern w:val="0"/>
          <w:szCs w:val="22"/>
          <w:lang w:eastAsia="en-GB"/>
          <w14:ligatures w14:val="none"/>
        </w:rPr>
        <w:t>. Available at: https://sdgs.un.org/goals (Accessed: 23 February 2026).</w:t>
      </w:r>
    </w:p>
    <w:p w14:paraId="6180EB28"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Walker, M. (2005) ‘Amartya Sen’s capability approach and education’, </w:t>
      </w:r>
      <w:r w:rsidRPr="00FE5199">
        <w:rPr>
          <w:rFonts w:ascii="Arial" w:eastAsia="Times New Roman" w:hAnsi="Arial" w:cs="Arial"/>
          <w:i/>
          <w:iCs/>
          <w:kern w:val="0"/>
          <w:szCs w:val="22"/>
          <w:lang w:eastAsia="en-GB"/>
          <w14:ligatures w14:val="none"/>
        </w:rPr>
        <w:t>Educational Action Research</w:t>
      </w:r>
      <w:r w:rsidRPr="00FE5199">
        <w:rPr>
          <w:rFonts w:ascii="Arial" w:eastAsia="Times New Roman" w:hAnsi="Arial" w:cs="Arial"/>
          <w:kern w:val="0"/>
          <w:szCs w:val="22"/>
          <w:lang w:eastAsia="en-GB"/>
          <w14:ligatures w14:val="none"/>
        </w:rPr>
        <w:t>, 13(1), pp. 103–110. Available at: https://doi.org/10.1080/09650790500200279.</w:t>
      </w:r>
    </w:p>
    <w:p w14:paraId="29CA4921"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WHO (2019) </w:t>
      </w:r>
      <w:r w:rsidRPr="00FE5199">
        <w:rPr>
          <w:rFonts w:ascii="Arial" w:eastAsia="Times New Roman" w:hAnsi="Arial" w:cs="Arial"/>
          <w:i/>
          <w:iCs/>
          <w:kern w:val="0"/>
          <w:szCs w:val="22"/>
          <w:lang w:eastAsia="en-GB"/>
          <w14:ligatures w14:val="none"/>
        </w:rPr>
        <w:t>Proposed programme budget 2020–2021</w:t>
      </w:r>
      <w:r w:rsidRPr="00FE5199">
        <w:rPr>
          <w:rFonts w:ascii="Arial" w:eastAsia="Times New Roman" w:hAnsi="Arial" w:cs="Arial"/>
          <w:kern w:val="0"/>
          <w:szCs w:val="22"/>
          <w:lang w:eastAsia="en-GB"/>
          <w14:ligatures w14:val="none"/>
        </w:rPr>
        <w:t>. Available at: https://www.who.int/docs/default-source/documents/gpw/proposed-programme-budget-2020-2021.pdf (Accessed: 23 February 2026).</w:t>
      </w:r>
    </w:p>
    <w:p w14:paraId="50644A88" w14:textId="77777777" w:rsidR="00FE5199" w:rsidRPr="00FE5199" w:rsidRDefault="00FE5199" w:rsidP="00DD7AA0">
      <w:pPr>
        <w:spacing w:before="240" w:after="240"/>
        <w:jc w:val="both"/>
        <w:rPr>
          <w:rFonts w:ascii="Arial" w:eastAsia="Times New Roman" w:hAnsi="Arial" w:cs="Arial"/>
          <w:kern w:val="0"/>
          <w:szCs w:val="22"/>
          <w:lang w:eastAsia="en-GB"/>
          <w14:ligatures w14:val="none"/>
        </w:rPr>
      </w:pPr>
      <w:r w:rsidRPr="00FE5199">
        <w:rPr>
          <w:rFonts w:ascii="Arial" w:eastAsia="Times New Roman" w:hAnsi="Arial" w:cs="Arial"/>
          <w:kern w:val="0"/>
          <w:szCs w:val="22"/>
          <w:lang w:eastAsia="en-GB"/>
          <w14:ligatures w14:val="none"/>
        </w:rPr>
        <w:t xml:space="preserve">World Health Organization (2025) </w:t>
      </w:r>
      <w:r w:rsidRPr="00FE5199">
        <w:rPr>
          <w:rFonts w:ascii="Arial" w:eastAsia="Times New Roman" w:hAnsi="Arial" w:cs="Arial"/>
          <w:i/>
          <w:iCs/>
          <w:kern w:val="0"/>
          <w:szCs w:val="22"/>
          <w:lang w:eastAsia="en-GB"/>
          <w14:ligatures w14:val="none"/>
        </w:rPr>
        <w:t>A global health strategy for 2025-2028 - advancing equity and resilience in a turbulent world</w:t>
      </w:r>
      <w:r w:rsidRPr="00FE5199">
        <w:rPr>
          <w:rFonts w:ascii="Arial" w:eastAsia="Times New Roman" w:hAnsi="Arial" w:cs="Arial"/>
          <w:kern w:val="0"/>
          <w:szCs w:val="22"/>
          <w:lang w:eastAsia="en-GB"/>
          <w14:ligatures w14:val="none"/>
        </w:rPr>
        <w:t>. World Health Organization.</w:t>
      </w:r>
    </w:p>
    <w:p w14:paraId="6B3D7852" w14:textId="77777777" w:rsidR="00FE5199" w:rsidRPr="00DD7AA0" w:rsidRDefault="00FE5199" w:rsidP="00DD7AA0">
      <w:pPr>
        <w:spacing w:before="240"/>
        <w:jc w:val="both"/>
        <w:rPr>
          <w:rFonts w:ascii="Arial" w:hAnsi="Arial" w:cs="Arial"/>
          <w:szCs w:val="22"/>
        </w:rPr>
      </w:pPr>
    </w:p>
    <w:sectPr w:rsidR="00FE5199" w:rsidRPr="00DD7AA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55371" w14:textId="77777777" w:rsidR="00EA4059" w:rsidRDefault="00EA4059" w:rsidP="00DA1C8C">
      <w:pPr>
        <w:spacing w:after="0" w:line="240" w:lineRule="auto"/>
      </w:pPr>
      <w:r>
        <w:separator/>
      </w:r>
    </w:p>
  </w:endnote>
  <w:endnote w:type="continuationSeparator" w:id="0">
    <w:p w14:paraId="53D11D65" w14:textId="77777777" w:rsidR="00EA4059" w:rsidRDefault="00EA4059" w:rsidP="00DA1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0484772"/>
      <w:docPartObj>
        <w:docPartGallery w:val="Page Numbers (Bottom of Page)"/>
        <w:docPartUnique/>
      </w:docPartObj>
    </w:sdtPr>
    <w:sdtEndPr>
      <w:rPr>
        <w:rStyle w:val="PageNumber"/>
      </w:rPr>
    </w:sdtEndPr>
    <w:sdtContent>
      <w:p w14:paraId="19DAEBF2" w14:textId="064979F4" w:rsidR="00DA1C8C" w:rsidRDefault="00DA1C8C" w:rsidP="00F23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D97A656" w14:textId="77777777" w:rsidR="00DA1C8C" w:rsidRDefault="00DA1C8C" w:rsidP="00DA1C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8767510"/>
      <w:docPartObj>
        <w:docPartGallery w:val="Page Numbers (Bottom of Page)"/>
        <w:docPartUnique/>
      </w:docPartObj>
    </w:sdtPr>
    <w:sdtEndPr>
      <w:rPr>
        <w:rStyle w:val="PageNumber"/>
      </w:rPr>
    </w:sdtEndPr>
    <w:sdtContent>
      <w:p w14:paraId="0BE3CDE6" w14:textId="7ED35451" w:rsidR="00DA1C8C" w:rsidRDefault="00DA1C8C" w:rsidP="00F23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6B2C1A" w14:textId="77777777" w:rsidR="00DA1C8C" w:rsidRDefault="00DA1C8C" w:rsidP="00DA1C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D396A" w14:textId="77777777" w:rsidR="00EA4059" w:rsidRDefault="00EA4059" w:rsidP="00DA1C8C">
      <w:pPr>
        <w:spacing w:after="0" w:line="240" w:lineRule="auto"/>
      </w:pPr>
      <w:r>
        <w:separator/>
      </w:r>
    </w:p>
  </w:footnote>
  <w:footnote w:type="continuationSeparator" w:id="0">
    <w:p w14:paraId="12877967" w14:textId="77777777" w:rsidR="00EA4059" w:rsidRDefault="00EA4059" w:rsidP="00DA1C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97F54"/>
    <w:multiLevelType w:val="multilevel"/>
    <w:tmpl w:val="F57C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D1494"/>
    <w:multiLevelType w:val="multilevel"/>
    <w:tmpl w:val="2D60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F3D79"/>
    <w:multiLevelType w:val="multilevel"/>
    <w:tmpl w:val="F91EA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B08ED"/>
    <w:multiLevelType w:val="multilevel"/>
    <w:tmpl w:val="2CDC4B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8A5102"/>
    <w:multiLevelType w:val="multilevel"/>
    <w:tmpl w:val="1BE21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B5228"/>
    <w:multiLevelType w:val="multilevel"/>
    <w:tmpl w:val="0CCE9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E2259F"/>
    <w:multiLevelType w:val="multilevel"/>
    <w:tmpl w:val="F9C81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2A63AA"/>
    <w:multiLevelType w:val="multilevel"/>
    <w:tmpl w:val="86282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A23DBC"/>
    <w:multiLevelType w:val="multilevel"/>
    <w:tmpl w:val="351E2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EA3DC3"/>
    <w:multiLevelType w:val="multilevel"/>
    <w:tmpl w:val="4820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AA08FE"/>
    <w:multiLevelType w:val="multilevel"/>
    <w:tmpl w:val="6EFC1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215F85"/>
    <w:multiLevelType w:val="hybridMultilevel"/>
    <w:tmpl w:val="67C0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6C02DC"/>
    <w:multiLevelType w:val="multilevel"/>
    <w:tmpl w:val="E59AEA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6345A5"/>
    <w:multiLevelType w:val="multilevel"/>
    <w:tmpl w:val="25267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EE1F93"/>
    <w:multiLevelType w:val="multilevel"/>
    <w:tmpl w:val="E1B0A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941017"/>
    <w:multiLevelType w:val="multilevel"/>
    <w:tmpl w:val="10C0F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E177AB"/>
    <w:multiLevelType w:val="multilevel"/>
    <w:tmpl w:val="5F34C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CF33CC"/>
    <w:multiLevelType w:val="multilevel"/>
    <w:tmpl w:val="B8D07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F55AF8"/>
    <w:multiLevelType w:val="multilevel"/>
    <w:tmpl w:val="6E62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D2000E"/>
    <w:multiLevelType w:val="multilevel"/>
    <w:tmpl w:val="92B01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D617D9"/>
    <w:multiLevelType w:val="multilevel"/>
    <w:tmpl w:val="4E2EB9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7B1A6D"/>
    <w:multiLevelType w:val="multilevel"/>
    <w:tmpl w:val="FF3C5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DF7F60"/>
    <w:multiLevelType w:val="multilevel"/>
    <w:tmpl w:val="C6461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B873E6"/>
    <w:multiLevelType w:val="multilevel"/>
    <w:tmpl w:val="01C2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1F19A5"/>
    <w:multiLevelType w:val="multilevel"/>
    <w:tmpl w:val="E914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C43AA9"/>
    <w:multiLevelType w:val="multilevel"/>
    <w:tmpl w:val="45344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923C85"/>
    <w:multiLevelType w:val="hybridMultilevel"/>
    <w:tmpl w:val="184C9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8C1448"/>
    <w:multiLevelType w:val="multilevel"/>
    <w:tmpl w:val="99AE2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78738A"/>
    <w:multiLevelType w:val="multilevel"/>
    <w:tmpl w:val="92E25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397F70"/>
    <w:multiLevelType w:val="multilevel"/>
    <w:tmpl w:val="5CD03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142EE9"/>
    <w:multiLevelType w:val="hybridMultilevel"/>
    <w:tmpl w:val="021E9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EE217C"/>
    <w:multiLevelType w:val="multilevel"/>
    <w:tmpl w:val="A888E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4517424">
    <w:abstractNumId w:val="20"/>
  </w:num>
  <w:num w:numId="2" w16cid:durableId="2061513329">
    <w:abstractNumId w:val="29"/>
  </w:num>
  <w:num w:numId="3" w16cid:durableId="478884296">
    <w:abstractNumId w:val="21"/>
  </w:num>
  <w:num w:numId="4" w16cid:durableId="2061632823">
    <w:abstractNumId w:val="28"/>
  </w:num>
  <w:num w:numId="5" w16cid:durableId="1942954556">
    <w:abstractNumId w:val="15"/>
  </w:num>
  <w:num w:numId="6" w16cid:durableId="580875368">
    <w:abstractNumId w:val="4"/>
  </w:num>
  <w:num w:numId="7" w16cid:durableId="220404916">
    <w:abstractNumId w:val="7"/>
  </w:num>
  <w:num w:numId="8" w16cid:durableId="1309747072">
    <w:abstractNumId w:val="24"/>
  </w:num>
  <w:num w:numId="9" w16cid:durableId="1382553308">
    <w:abstractNumId w:val="5"/>
  </w:num>
  <w:num w:numId="10" w16cid:durableId="825977420">
    <w:abstractNumId w:val="10"/>
  </w:num>
  <w:num w:numId="11" w16cid:durableId="193004018">
    <w:abstractNumId w:val="18"/>
  </w:num>
  <w:num w:numId="12" w16cid:durableId="1902983247">
    <w:abstractNumId w:val="17"/>
  </w:num>
  <w:num w:numId="13" w16cid:durableId="2082948666">
    <w:abstractNumId w:val="25"/>
  </w:num>
  <w:num w:numId="14" w16cid:durableId="1337686779">
    <w:abstractNumId w:val="12"/>
  </w:num>
  <w:num w:numId="15" w16cid:durableId="878780946">
    <w:abstractNumId w:val="22"/>
  </w:num>
  <w:num w:numId="16" w16cid:durableId="1722049399">
    <w:abstractNumId w:val="23"/>
  </w:num>
  <w:num w:numId="17" w16cid:durableId="936451050">
    <w:abstractNumId w:val="9"/>
  </w:num>
  <w:num w:numId="18" w16cid:durableId="188178715">
    <w:abstractNumId w:val="2"/>
  </w:num>
  <w:num w:numId="19" w16cid:durableId="305015540">
    <w:abstractNumId w:val="0"/>
  </w:num>
  <w:num w:numId="20" w16cid:durableId="780992882">
    <w:abstractNumId w:val="1"/>
  </w:num>
  <w:num w:numId="21" w16cid:durableId="1631978861">
    <w:abstractNumId w:val="8"/>
  </w:num>
  <w:num w:numId="22" w16cid:durableId="688797573">
    <w:abstractNumId w:val="19"/>
  </w:num>
  <w:num w:numId="23" w16cid:durableId="74983503">
    <w:abstractNumId w:val="13"/>
  </w:num>
  <w:num w:numId="24" w16cid:durableId="102581789">
    <w:abstractNumId w:val="6"/>
  </w:num>
  <w:num w:numId="25" w16cid:durableId="388307378">
    <w:abstractNumId w:val="3"/>
  </w:num>
  <w:num w:numId="26" w16cid:durableId="1865055041">
    <w:abstractNumId w:val="27"/>
  </w:num>
  <w:num w:numId="27" w16cid:durableId="1539006520">
    <w:abstractNumId w:val="14"/>
  </w:num>
  <w:num w:numId="28" w16cid:durableId="1517619957">
    <w:abstractNumId w:val="30"/>
  </w:num>
  <w:num w:numId="29" w16cid:durableId="1391420510">
    <w:abstractNumId w:val="31"/>
  </w:num>
  <w:num w:numId="30" w16cid:durableId="783502642">
    <w:abstractNumId w:val="16"/>
  </w:num>
  <w:num w:numId="31" w16cid:durableId="1582445745">
    <w:abstractNumId w:val="11"/>
  </w:num>
  <w:num w:numId="32" w16cid:durableId="194526331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DB8"/>
    <w:rsid w:val="00021B15"/>
    <w:rsid w:val="000363C5"/>
    <w:rsid w:val="00070FA0"/>
    <w:rsid w:val="000B499A"/>
    <w:rsid w:val="000B743B"/>
    <w:rsid w:val="001071E9"/>
    <w:rsid w:val="00117F27"/>
    <w:rsid w:val="001D742A"/>
    <w:rsid w:val="0020374E"/>
    <w:rsid w:val="00253645"/>
    <w:rsid w:val="00267724"/>
    <w:rsid w:val="00270CC8"/>
    <w:rsid w:val="002901B0"/>
    <w:rsid w:val="00295216"/>
    <w:rsid w:val="002A4470"/>
    <w:rsid w:val="002A5235"/>
    <w:rsid w:val="002A72EA"/>
    <w:rsid w:val="002D1F86"/>
    <w:rsid w:val="00302014"/>
    <w:rsid w:val="003227B5"/>
    <w:rsid w:val="00331C4E"/>
    <w:rsid w:val="00340028"/>
    <w:rsid w:val="00345B8A"/>
    <w:rsid w:val="0036708B"/>
    <w:rsid w:val="00367EDF"/>
    <w:rsid w:val="003A75D8"/>
    <w:rsid w:val="003E048F"/>
    <w:rsid w:val="00437888"/>
    <w:rsid w:val="00461624"/>
    <w:rsid w:val="004765F4"/>
    <w:rsid w:val="004D1303"/>
    <w:rsid w:val="00533237"/>
    <w:rsid w:val="005E4035"/>
    <w:rsid w:val="005E64C5"/>
    <w:rsid w:val="005F4A4E"/>
    <w:rsid w:val="00612144"/>
    <w:rsid w:val="006304E7"/>
    <w:rsid w:val="006B126D"/>
    <w:rsid w:val="006E0632"/>
    <w:rsid w:val="006F2841"/>
    <w:rsid w:val="00736DF2"/>
    <w:rsid w:val="007A288E"/>
    <w:rsid w:val="00804503"/>
    <w:rsid w:val="008F3FB0"/>
    <w:rsid w:val="00905260"/>
    <w:rsid w:val="0096731B"/>
    <w:rsid w:val="009A238E"/>
    <w:rsid w:val="009B14D7"/>
    <w:rsid w:val="00A72E8A"/>
    <w:rsid w:val="00B666E6"/>
    <w:rsid w:val="00B878CF"/>
    <w:rsid w:val="00B94EEC"/>
    <w:rsid w:val="00BD098C"/>
    <w:rsid w:val="00BD4DB8"/>
    <w:rsid w:val="00BE4882"/>
    <w:rsid w:val="00C234C7"/>
    <w:rsid w:val="00C725B0"/>
    <w:rsid w:val="00CA752B"/>
    <w:rsid w:val="00D24087"/>
    <w:rsid w:val="00D32C47"/>
    <w:rsid w:val="00D5239A"/>
    <w:rsid w:val="00D52653"/>
    <w:rsid w:val="00D73C25"/>
    <w:rsid w:val="00D95A10"/>
    <w:rsid w:val="00DA1C8C"/>
    <w:rsid w:val="00DD7AA0"/>
    <w:rsid w:val="00DF4A1A"/>
    <w:rsid w:val="00E2516E"/>
    <w:rsid w:val="00E6314A"/>
    <w:rsid w:val="00E947F1"/>
    <w:rsid w:val="00EA4059"/>
    <w:rsid w:val="00ED446B"/>
    <w:rsid w:val="00EF2CA4"/>
    <w:rsid w:val="00F13A68"/>
    <w:rsid w:val="00F46A66"/>
    <w:rsid w:val="00FB6C67"/>
    <w:rsid w:val="00FE51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25387"/>
  <w15:chartTrackingRefBased/>
  <w15:docId w15:val="{5F0F2891-DC1A-B44D-BE43-E365F63D7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632"/>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BD4D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D4D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D4D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D4D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D4D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D4D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BD4D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D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D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D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D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DB8"/>
    <w:rPr>
      <w:rFonts w:eastAsiaTheme="majorEastAsia" w:cstheme="majorBidi"/>
      <w:color w:val="272727" w:themeColor="text1" w:themeTint="D8"/>
    </w:rPr>
  </w:style>
  <w:style w:type="paragraph" w:styleId="Title">
    <w:name w:val="Title"/>
    <w:basedOn w:val="Normal"/>
    <w:next w:val="Normal"/>
    <w:link w:val="TitleChar"/>
    <w:uiPriority w:val="10"/>
    <w:qFormat/>
    <w:rsid w:val="00BD4D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D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D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D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DB8"/>
    <w:pPr>
      <w:spacing w:before="160"/>
      <w:jc w:val="center"/>
    </w:pPr>
    <w:rPr>
      <w:i/>
      <w:iCs/>
      <w:color w:val="404040" w:themeColor="text1" w:themeTint="BF"/>
    </w:rPr>
  </w:style>
  <w:style w:type="character" w:customStyle="1" w:styleId="QuoteChar">
    <w:name w:val="Quote Char"/>
    <w:basedOn w:val="DefaultParagraphFont"/>
    <w:link w:val="Quote"/>
    <w:uiPriority w:val="29"/>
    <w:rsid w:val="00BD4DB8"/>
    <w:rPr>
      <w:rFonts w:asciiTheme="majorBidi" w:hAnsiTheme="majorBidi"/>
      <w:i/>
      <w:iCs/>
      <w:color w:val="404040" w:themeColor="text1" w:themeTint="BF"/>
    </w:rPr>
  </w:style>
  <w:style w:type="paragraph" w:styleId="ListParagraph">
    <w:name w:val="List Paragraph"/>
    <w:basedOn w:val="Normal"/>
    <w:uiPriority w:val="34"/>
    <w:qFormat/>
    <w:rsid w:val="00BD4DB8"/>
    <w:pPr>
      <w:ind w:left="720"/>
      <w:contextualSpacing/>
    </w:pPr>
  </w:style>
  <w:style w:type="character" w:styleId="IntenseEmphasis">
    <w:name w:val="Intense Emphasis"/>
    <w:basedOn w:val="DefaultParagraphFont"/>
    <w:uiPriority w:val="21"/>
    <w:qFormat/>
    <w:rsid w:val="00BD4DB8"/>
    <w:rPr>
      <w:i/>
      <w:iCs/>
      <w:color w:val="0F4761" w:themeColor="accent1" w:themeShade="BF"/>
    </w:rPr>
  </w:style>
  <w:style w:type="paragraph" w:styleId="IntenseQuote">
    <w:name w:val="Intense Quote"/>
    <w:basedOn w:val="Normal"/>
    <w:next w:val="Normal"/>
    <w:link w:val="IntenseQuoteChar"/>
    <w:uiPriority w:val="30"/>
    <w:qFormat/>
    <w:rsid w:val="00BD4D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DB8"/>
    <w:rPr>
      <w:rFonts w:asciiTheme="majorBidi" w:hAnsiTheme="majorBidi"/>
      <w:i/>
      <w:iCs/>
      <w:color w:val="0F4761" w:themeColor="accent1" w:themeShade="BF"/>
    </w:rPr>
  </w:style>
  <w:style w:type="character" w:styleId="IntenseReference">
    <w:name w:val="Intense Reference"/>
    <w:basedOn w:val="DefaultParagraphFont"/>
    <w:uiPriority w:val="32"/>
    <w:qFormat/>
    <w:rsid w:val="00BD4DB8"/>
    <w:rPr>
      <w:b/>
      <w:bCs/>
      <w:smallCaps/>
      <w:color w:val="0F4761" w:themeColor="accent1" w:themeShade="BF"/>
      <w:spacing w:val="5"/>
    </w:rPr>
  </w:style>
  <w:style w:type="character" w:styleId="Strong">
    <w:name w:val="Strong"/>
    <w:basedOn w:val="DefaultParagraphFont"/>
    <w:uiPriority w:val="22"/>
    <w:qFormat/>
    <w:rsid w:val="00CA752B"/>
    <w:rPr>
      <w:b/>
      <w:bCs/>
    </w:rPr>
  </w:style>
  <w:style w:type="paragraph" w:styleId="NormalWeb">
    <w:name w:val="Normal (Web)"/>
    <w:basedOn w:val="Normal"/>
    <w:uiPriority w:val="99"/>
    <w:semiHidden/>
    <w:unhideWhenUsed/>
    <w:rsid w:val="00CA75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32C47"/>
    <w:rPr>
      <w:color w:val="0000FF"/>
      <w:u w:val="single"/>
    </w:rPr>
  </w:style>
  <w:style w:type="paragraph" w:styleId="Caption">
    <w:name w:val="caption"/>
    <w:basedOn w:val="Normal"/>
    <w:next w:val="Normal"/>
    <w:uiPriority w:val="35"/>
    <w:unhideWhenUsed/>
    <w:qFormat/>
    <w:rsid w:val="00295216"/>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A1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C8C"/>
    <w:rPr>
      <w:rFonts w:asciiTheme="minorBidi" w:hAnsiTheme="minorBidi"/>
      <w:sz w:val="22"/>
    </w:rPr>
  </w:style>
  <w:style w:type="paragraph" w:styleId="Footer">
    <w:name w:val="footer"/>
    <w:basedOn w:val="Normal"/>
    <w:link w:val="FooterChar"/>
    <w:uiPriority w:val="99"/>
    <w:unhideWhenUsed/>
    <w:rsid w:val="00DA1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C8C"/>
    <w:rPr>
      <w:rFonts w:asciiTheme="minorBidi" w:hAnsiTheme="minorBidi"/>
      <w:sz w:val="22"/>
    </w:rPr>
  </w:style>
  <w:style w:type="character" w:styleId="PageNumber">
    <w:name w:val="page number"/>
    <w:basedOn w:val="DefaultParagraphFont"/>
    <w:uiPriority w:val="99"/>
    <w:semiHidden/>
    <w:unhideWhenUsed/>
    <w:rsid w:val="00DA1C8C"/>
  </w:style>
  <w:style w:type="paragraph" w:styleId="TOCHeading">
    <w:name w:val="TOC Heading"/>
    <w:basedOn w:val="Heading1"/>
    <w:next w:val="Normal"/>
    <w:uiPriority w:val="39"/>
    <w:unhideWhenUsed/>
    <w:qFormat/>
    <w:rsid w:val="00C234C7"/>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C234C7"/>
    <w:pPr>
      <w:spacing w:before="120" w:after="120"/>
    </w:pPr>
    <w:rPr>
      <w:rFonts w:asciiTheme="minorHAnsi" w:hAnsiTheme="minorHAnsi" w:cs="Times New Roman"/>
      <w:b/>
      <w:bCs/>
      <w:caps/>
      <w:sz w:val="20"/>
    </w:rPr>
  </w:style>
  <w:style w:type="paragraph" w:styleId="TOC2">
    <w:name w:val="toc 2"/>
    <w:basedOn w:val="Normal"/>
    <w:next w:val="Normal"/>
    <w:autoRedefine/>
    <w:uiPriority w:val="39"/>
    <w:semiHidden/>
    <w:unhideWhenUsed/>
    <w:rsid w:val="00C234C7"/>
    <w:pPr>
      <w:spacing w:after="0"/>
      <w:ind w:left="220"/>
    </w:pPr>
    <w:rPr>
      <w:rFonts w:asciiTheme="minorHAnsi" w:hAnsiTheme="minorHAnsi" w:cs="Times New Roman"/>
      <w:smallCaps/>
      <w:sz w:val="20"/>
    </w:rPr>
  </w:style>
  <w:style w:type="paragraph" w:styleId="TOC3">
    <w:name w:val="toc 3"/>
    <w:basedOn w:val="Normal"/>
    <w:next w:val="Normal"/>
    <w:autoRedefine/>
    <w:uiPriority w:val="39"/>
    <w:semiHidden/>
    <w:unhideWhenUsed/>
    <w:rsid w:val="00C234C7"/>
    <w:pPr>
      <w:spacing w:after="0"/>
      <w:ind w:left="440"/>
    </w:pPr>
    <w:rPr>
      <w:rFonts w:asciiTheme="minorHAnsi" w:hAnsiTheme="minorHAnsi" w:cs="Times New Roman"/>
      <w:i/>
      <w:iCs/>
      <w:sz w:val="20"/>
    </w:rPr>
  </w:style>
  <w:style w:type="paragraph" w:styleId="TOC4">
    <w:name w:val="toc 4"/>
    <w:basedOn w:val="Normal"/>
    <w:next w:val="Normal"/>
    <w:autoRedefine/>
    <w:uiPriority w:val="39"/>
    <w:semiHidden/>
    <w:unhideWhenUsed/>
    <w:rsid w:val="00C234C7"/>
    <w:pPr>
      <w:spacing w:after="0"/>
      <w:ind w:left="660"/>
    </w:pPr>
    <w:rPr>
      <w:rFonts w:asciiTheme="minorHAnsi" w:hAnsiTheme="minorHAnsi" w:cs="Times New Roman"/>
      <w:sz w:val="18"/>
      <w:szCs w:val="21"/>
    </w:rPr>
  </w:style>
  <w:style w:type="paragraph" w:styleId="TOC5">
    <w:name w:val="toc 5"/>
    <w:basedOn w:val="Normal"/>
    <w:next w:val="Normal"/>
    <w:autoRedefine/>
    <w:uiPriority w:val="39"/>
    <w:semiHidden/>
    <w:unhideWhenUsed/>
    <w:rsid w:val="00C234C7"/>
    <w:pPr>
      <w:spacing w:after="0"/>
      <w:ind w:left="880"/>
    </w:pPr>
    <w:rPr>
      <w:rFonts w:asciiTheme="minorHAnsi" w:hAnsiTheme="minorHAnsi" w:cs="Times New Roman"/>
      <w:sz w:val="18"/>
      <w:szCs w:val="21"/>
    </w:rPr>
  </w:style>
  <w:style w:type="paragraph" w:styleId="TOC6">
    <w:name w:val="toc 6"/>
    <w:basedOn w:val="Normal"/>
    <w:next w:val="Normal"/>
    <w:autoRedefine/>
    <w:uiPriority w:val="39"/>
    <w:semiHidden/>
    <w:unhideWhenUsed/>
    <w:rsid w:val="00C234C7"/>
    <w:pPr>
      <w:spacing w:after="0"/>
      <w:ind w:left="1100"/>
    </w:pPr>
    <w:rPr>
      <w:rFonts w:asciiTheme="minorHAnsi" w:hAnsiTheme="minorHAnsi" w:cs="Times New Roman"/>
      <w:sz w:val="18"/>
      <w:szCs w:val="21"/>
    </w:rPr>
  </w:style>
  <w:style w:type="paragraph" w:styleId="TOC7">
    <w:name w:val="toc 7"/>
    <w:basedOn w:val="Normal"/>
    <w:next w:val="Normal"/>
    <w:autoRedefine/>
    <w:uiPriority w:val="39"/>
    <w:semiHidden/>
    <w:unhideWhenUsed/>
    <w:rsid w:val="00C234C7"/>
    <w:pPr>
      <w:spacing w:after="0"/>
      <w:ind w:left="1320"/>
    </w:pPr>
    <w:rPr>
      <w:rFonts w:asciiTheme="minorHAnsi" w:hAnsiTheme="minorHAnsi" w:cs="Times New Roman"/>
      <w:sz w:val="18"/>
      <w:szCs w:val="21"/>
    </w:rPr>
  </w:style>
  <w:style w:type="paragraph" w:styleId="TOC8">
    <w:name w:val="toc 8"/>
    <w:basedOn w:val="Normal"/>
    <w:next w:val="Normal"/>
    <w:autoRedefine/>
    <w:uiPriority w:val="39"/>
    <w:semiHidden/>
    <w:unhideWhenUsed/>
    <w:rsid w:val="00C234C7"/>
    <w:pPr>
      <w:spacing w:after="0"/>
      <w:ind w:left="1540"/>
    </w:pPr>
    <w:rPr>
      <w:rFonts w:asciiTheme="minorHAnsi" w:hAnsiTheme="minorHAnsi" w:cs="Times New Roman"/>
      <w:sz w:val="18"/>
      <w:szCs w:val="21"/>
    </w:rPr>
  </w:style>
  <w:style w:type="paragraph" w:styleId="TOC9">
    <w:name w:val="toc 9"/>
    <w:basedOn w:val="Normal"/>
    <w:next w:val="Normal"/>
    <w:autoRedefine/>
    <w:uiPriority w:val="39"/>
    <w:semiHidden/>
    <w:unhideWhenUsed/>
    <w:rsid w:val="00C234C7"/>
    <w:pPr>
      <w:spacing w:after="0"/>
      <w:ind w:left="1760"/>
    </w:pPr>
    <w:rPr>
      <w:rFonts w:asciiTheme="minorHAnsi" w:hAnsiTheme="minorHAnsi" w:cs="Times New Roman"/>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D776E-9880-2744-BE55-B413A787B1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3275</Words>
  <Characters>18672</Characters>
  <Application>Microsoft Office Word</Application>
  <DocSecurity>0</DocSecurity>
  <Lines>155</Lines>
  <Paragraphs>43</Paragraphs>
  <ScaleCrop>false</ScaleCrop>
  <Company/>
  <LinksUpToDate>false</LinksUpToDate>
  <CharactersWithSpaces>21904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Rabina Bi</cp:lastModifiedBy>
  <cp:revision>2</cp:revision>
  <dcterms:created xsi:type="dcterms:W3CDTF">2026-03-26T12:13:00Z</dcterms:created>
  <dcterms:modified xsi:type="dcterms:W3CDTF">2026-03-26T12:13:00Z</dcterms:modified>
</cp:coreProperties>
</file>