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322A" w:rsidRPr="00635AB8" w:rsidRDefault="00A5322A" w:rsidP="00A5322A">
      <w:pPr>
        <w:pBdr>
          <w:top w:val="nil"/>
          <w:left w:val="nil"/>
          <w:bottom w:val="nil"/>
          <w:right w:val="nil"/>
          <w:between w:val="nil"/>
        </w:pBdr>
        <w:spacing w:after="0"/>
        <w:jc w:val="center"/>
        <w:rPr>
          <w:rFonts w:eastAsia="Arial" w:cs="Arial"/>
          <w:b/>
          <w:bCs/>
          <w:sz w:val="36"/>
          <w:szCs w:val="36"/>
        </w:rPr>
      </w:pPr>
    </w:p>
    <w:p w:rsidR="00A5322A" w:rsidRPr="00635AB8" w:rsidRDefault="00A5322A" w:rsidP="00A5322A">
      <w:pPr>
        <w:jc w:val="center"/>
        <w:rPr>
          <w:rFonts w:eastAsia="Arial" w:cs="Arial"/>
          <w:b/>
          <w:bCs/>
          <w:sz w:val="32"/>
          <w:szCs w:val="32"/>
        </w:rPr>
      </w:pPr>
    </w:p>
    <w:p w:rsidR="00A5322A" w:rsidRPr="00635AB8" w:rsidRDefault="00A5322A" w:rsidP="00A5322A">
      <w:pPr>
        <w:jc w:val="center"/>
        <w:rPr>
          <w:rFonts w:eastAsia="Arial" w:cs="Arial"/>
          <w:b/>
          <w:bCs/>
          <w:sz w:val="32"/>
          <w:szCs w:val="32"/>
        </w:rPr>
      </w:pPr>
      <w:r w:rsidRPr="00635AB8">
        <w:rPr>
          <w:rFonts w:eastAsia="Arial" w:cs="Arial"/>
          <w:b/>
          <w:bCs/>
          <w:noProof/>
          <w:sz w:val="32"/>
          <w:szCs w:val="32"/>
          <w:lang w:val="en-IN" w:eastAsia="en-IN"/>
        </w:rPr>
        <w:drawing>
          <wp:inline distT="114300" distB="114300" distL="114300" distR="114300" wp14:anchorId="1E185CC4" wp14:editId="27AB88B9">
            <wp:extent cx="3116580" cy="929640"/>
            <wp:effectExtent l="0" t="0" r="7620" b="381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16580" cy="929640"/>
                    </a:xfrm>
                    <a:prstGeom prst="rect">
                      <a:avLst/>
                    </a:prstGeom>
                    <a:ln/>
                  </pic:spPr>
                </pic:pic>
              </a:graphicData>
            </a:graphic>
          </wp:inline>
        </w:drawing>
      </w:r>
    </w:p>
    <w:p w:rsidR="00A5322A" w:rsidRPr="00635AB8" w:rsidRDefault="00A5322A" w:rsidP="00A5322A">
      <w:pPr>
        <w:jc w:val="center"/>
        <w:rPr>
          <w:rFonts w:eastAsia="Arial" w:cs="Arial"/>
          <w:b/>
          <w:bCs/>
          <w:sz w:val="32"/>
          <w:szCs w:val="32"/>
        </w:rPr>
      </w:pPr>
      <w:r w:rsidRPr="00635AB8">
        <w:rPr>
          <w:rFonts w:eastAsia="Arial" w:cs="Arial"/>
          <w:b/>
          <w:bCs/>
          <w:sz w:val="32"/>
          <w:szCs w:val="32"/>
        </w:rPr>
        <w:t>Master of Business Administration</w:t>
      </w:r>
    </w:p>
    <w:p w:rsidR="00A5322A" w:rsidRPr="00635AB8" w:rsidRDefault="00A5322A" w:rsidP="00A5322A">
      <w:pPr>
        <w:jc w:val="center"/>
        <w:rPr>
          <w:rFonts w:eastAsia="Arial" w:cs="Arial"/>
          <w:b/>
          <w:bCs/>
          <w:sz w:val="32"/>
          <w:szCs w:val="32"/>
        </w:rPr>
      </w:pPr>
      <w:r w:rsidRPr="00635AB8">
        <w:rPr>
          <w:rFonts w:eastAsia="Arial" w:cs="Arial"/>
          <w:b/>
          <w:bCs/>
          <w:sz w:val="32"/>
          <w:szCs w:val="32"/>
        </w:rPr>
        <w:t>International Business Concepts</w:t>
      </w:r>
    </w:p>
    <w:p w:rsidR="00A5322A" w:rsidRPr="00635AB8" w:rsidRDefault="00A5322A" w:rsidP="00A5322A">
      <w:pPr>
        <w:jc w:val="center"/>
        <w:rPr>
          <w:rFonts w:eastAsia="Arial" w:cs="Arial"/>
          <w:b/>
          <w:bCs/>
          <w:sz w:val="32"/>
          <w:szCs w:val="32"/>
        </w:rPr>
      </w:pPr>
      <w:r w:rsidRPr="00635AB8">
        <w:rPr>
          <w:rFonts w:eastAsia="Arial" w:cs="Arial"/>
          <w:b/>
          <w:bCs/>
          <w:sz w:val="32"/>
          <w:szCs w:val="32"/>
        </w:rPr>
        <w:t>LCMB7034</w:t>
      </w:r>
    </w:p>
    <w:p w:rsidR="00A5322A" w:rsidRPr="00635AB8" w:rsidRDefault="00A5322A" w:rsidP="00A5322A">
      <w:pPr>
        <w:jc w:val="center"/>
        <w:rPr>
          <w:rFonts w:eastAsia="Arial" w:cs="Arial"/>
          <w:b/>
          <w:bCs/>
          <w:sz w:val="32"/>
          <w:szCs w:val="32"/>
        </w:rPr>
      </w:pPr>
      <w:r w:rsidRPr="00635AB8">
        <w:rPr>
          <w:rFonts w:eastAsia="Arial" w:cs="Arial"/>
          <w:b/>
          <w:bCs/>
          <w:sz w:val="32"/>
          <w:szCs w:val="32"/>
        </w:rPr>
        <w:t>Assignment Title: Report</w:t>
      </w:r>
    </w:p>
    <w:p w:rsidR="00A5322A" w:rsidRPr="00635AB8" w:rsidRDefault="00A5322A" w:rsidP="00A5322A">
      <w:pPr>
        <w:jc w:val="center"/>
        <w:rPr>
          <w:rFonts w:eastAsia="Arial" w:cs="Arial"/>
          <w:b/>
          <w:bCs/>
          <w:sz w:val="32"/>
          <w:szCs w:val="32"/>
        </w:rPr>
      </w:pPr>
      <w:r w:rsidRPr="00635AB8">
        <w:rPr>
          <w:rFonts w:eastAsia="Arial" w:cs="Arial"/>
          <w:b/>
          <w:bCs/>
          <w:sz w:val="32"/>
          <w:szCs w:val="32"/>
        </w:rPr>
        <w:t>International Business Consultancy Report of Tesco</w:t>
      </w:r>
    </w:p>
    <w:p w:rsidR="00A5322A" w:rsidRPr="00635AB8" w:rsidRDefault="00A5322A" w:rsidP="00A5322A">
      <w:pPr>
        <w:jc w:val="center"/>
        <w:rPr>
          <w:rFonts w:eastAsia="Arial" w:cs="Arial"/>
          <w:b/>
          <w:bCs/>
          <w:sz w:val="28"/>
          <w:szCs w:val="28"/>
        </w:rPr>
      </w:pPr>
    </w:p>
    <w:p w:rsidR="00A5322A" w:rsidRPr="00635AB8" w:rsidRDefault="00A5322A" w:rsidP="00A5322A">
      <w:pPr>
        <w:jc w:val="center"/>
        <w:rPr>
          <w:rFonts w:eastAsia="Arial" w:cs="Arial"/>
          <w:b/>
          <w:bCs/>
          <w:sz w:val="28"/>
          <w:szCs w:val="28"/>
        </w:rPr>
      </w:pPr>
      <w:r>
        <w:rPr>
          <w:rFonts w:eastAsia="Arial" w:cs="Arial"/>
          <w:b/>
          <w:bCs/>
          <w:sz w:val="28"/>
          <w:szCs w:val="28"/>
        </w:rPr>
        <w:t>Lecturer’s Name:</w:t>
      </w:r>
      <w:r w:rsidR="00B069BE">
        <w:rPr>
          <w:rFonts w:eastAsia="Arial" w:cs="Arial"/>
          <w:b/>
          <w:bCs/>
          <w:sz w:val="28"/>
          <w:szCs w:val="28"/>
        </w:rPr>
        <w:t xml:space="preserve"> </w:t>
      </w:r>
      <w:r>
        <w:rPr>
          <w:rFonts w:eastAsia="Arial" w:cs="Arial"/>
          <w:b/>
          <w:bCs/>
          <w:sz w:val="28"/>
          <w:szCs w:val="28"/>
        </w:rPr>
        <w:t xml:space="preserve">Hoang </w:t>
      </w:r>
      <w:r w:rsidR="00B069BE">
        <w:rPr>
          <w:rFonts w:eastAsia="Arial" w:cs="Arial"/>
          <w:b/>
          <w:bCs/>
          <w:sz w:val="28"/>
          <w:szCs w:val="28"/>
        </w:rPr>
        <w:t xml:space="preserve">Dang </w:t>
      </w:r>
      <w:r>
        <w:rPr>
          <w:rFonts w:eastAsia="Arial" w:cs="Arial"/>
          <w:b/>
          <w:bCs/>
          <w:sz w:val="28"/>
          <w:szCs w:val="28"/>
        </w:rPr>
        <w:t>Nguyen</w:t>
      </w:r>
    </w:p>
    <w:p w:rsidR="00A5322A" w:rsidRPr="00635AB8" w:rsidRDefault="00A5322A" w:rsidP="00A5322A">
      <w:pPr>
        <w:jc w:val="center"/>
        <w:rPr>
          <w:rFonts w:eastAsia="Arial" w:cs="Arial"/>
          <w:b/>
          <w:bCs/>
          <w:sz w:val="28"/>
          <w:szCs w:val="28"/>
        </w:rPr>
      </w:pPr>
      <w:r w:rsidRPr="00635AB8">
        <w:rPr>
          <w:rFonts w:eastAsia="Arial" w:cs="Arial"/>
          <w:b/>
          <w:bCs/>
          <w:sz w:val="28"/>
          <w:szCs w:val="28"/>
        </w:rPr>
        <w:t>Student Name:</w:t>
      </w:r>
      <w:r>
        <w:rPr>
          <w:rFonts w:eastAsia="Arial" w:cs="Arial"/>
          <w:b/>
          <w:bCs/>
          <w:sz w:val="28"/>
          <w:szCs w:val="28"/>
        </w:rPr>
        <w:t xml:space="preserve"> Shitanshu Pankaj Galledar</w:t>
      </w:r>
    </w:p>
    <w:p w:rsidR="00A5322A" w:rsidRPr="00635AB8" w:rsidRDefault="00A5322A" w:rsidP="00A5322A">
      <w:pPr>
        <w:jc w:val="center"/>
        <w:rPr>
          <w:rFonts w:eastAsia="Arial" w:cs="Arial"/>
          <w:b/>
          <w:bCs/>
          <w:sz w:val="28"/>
          <w:szCs w:val="28"/>
        </w:rPr>
      </w:pPr>
      <w:r w:rsidRPr="00635AB8">
        <w:rPr>
          <w:rFonts w:eastAsia="Arial" w:cs="Arial"/>
          <w:b/>
          <w:bCs/>
          <w:sz w:val="28"/>
          <w:szCs w:val="28"/>
        </w:rPr>
        <w:t>Student ID.:</w:t>
      </w:r>
      <w:r>
        <w:rPr>
          <w:rFonts w:eastAsia="Arial" w:cs="Arial"/>
          <w:b/>
          <w:bCs/>
          <w:sz w:val="28"/>
          <w:szCs w:val="28"/>
        </w:rPr>
        <w:t xml:space="preserve"> 2428869 </w:t>
      </w:r>
    </w:p>
    <w:p w:rsidR="00A5322A" w:rsidRPr="00635AB8" w:rsidRDefault="00A5322A" w:rsidP="00A5322A">
      <w:pPr>
        <w:jc w:val="center"/>
        <w:rPr>
          <w:rFonts w:eastAsia="Arial" w:cs="Arial"/>
          <w:b/>
          <w:bCs/>
          <w:sz w:val="28"/>
          <w:szCs w:val="28"/>
        </w:rPr>
      </w:pPr>
      <w:r w:rsidRPr="00635AB8">
        <w:rPr>
          <w:rFonts w:eastAsia="Arial" w:cs="Arial"/>
          <w:b/>
          <w:bCs/>
          <w:sz w:val="28"/>
          <w:szCs w:val="28"/>
        </w:rPr>
        <w:t>Word count: 5102</w:t>
      </w:r>
    </w:p>
    <w:p w:rsidR="00A5322A" w:rsidRDefault="00A5322A" w:rsidP="00A5322A">
      <w:pPr>
        <w:jc w:val="center"/>
        <w:rPr>
          <w:rFonts w:eastAsia="Arial" w:cs="Arial"/>
          <w:b/>
          <w:bCs/>
          <w:sz w:val="28"/>
          <w:szCs w:val="28"/>
        </w:rPr>
      </w:pPr>
      <w:r w:rsidRPr="00635AB8">
        <w:rPr>
          <w:rFonts w:eastAsia="Arial" w:cs="Arial"/>
          <w:b/>
          <w:bCs/>
          <w:sz w:val="28"/>
          <w:szCs w:val="28"/>
        </w:rPr>
        <w:t xml:space="preserve">Submission Date: </w:t>
      </w:r>
      <w:r>
        <w:rPr>
          <w:rFonts w:eastAsia="Arial" w:cs="Arial"/>
          <w:b/>
          <w:bCs/>
          <w:sz w:val="28"/>
          <w:szCs w:val="28"/>
        </w:rPr>
        <w:t>15</w:t>
      </w:r>
      <w:r>
        <w:rPr>
          <w:rFonts w:eastAsia="Arial" w:cs="Arial"/>
          <w:b/>
          <w:bCs/>
          <w:sz w:val="28"/>
          <w:szCs w:val="28"/>
          <w:vertAlign w:val="superscript"/>
        </w:rPr>
        <w:t xml:space="preserve">th </w:t>
      </w:r>
      <w:r>
        <w:rPr>
          <w:rFonts w:eastAsia="Arial" w:cs="Arial"/>
          <w:b/>
          <w:bCs/>
          <w:sz w:val="28"/>
          <w:szCs w:val="28"/>
        </w:rPr>
        <w:t>December 2025</w:t>
      </w:r>
    </w:p>
    <w:p w:rsidR="00A5322A" w:rsidRDefault="00A5322A" w:rsidP="00A5322A">
      <w:pPr>
        <w:rPr>
          <w:rFonts w:eastAsia="Arial" w:cs="Arial"/>
          <w:b/>
          <w:bCs/>
          <w:sz w:val="28"/>
          <w:szCs w:val="28"/>
        </w:rPr>
      </w:pPr>
      <w:r>
        <w:rPr>
          <w:rFonts w:eastAsia="Arial" w:cs="Arial"/>
          <w:b/>
          <w:bCs/>
          <w:sz w:val="28"/>
          <w:szCs w:val="28"/>
        </w:rPr>
        <w:br w:type="page"/>
      </w:r>
    </w:p>
    <w:p w:rsidR="00A5322A" w:rsidRPr="00635AB8" w:rsidRDefault="00A5322A" w:rsidP="00A5322A">
      <w:pPr>
        <w:keepNext/>
        <w:keepLines/>
        <w:pBdr>
          <w:top w:val="nil"/>
          <w:left w:val="nil"/>
          <w:bottom w:val="nil"/>
          <w:right w:val="nil"/>
          <w:between w:val="nil"/>
        </w:pBdr>
        <w:spacing w:before="240" w:after="0"/>
        <w:jc w:val="center"/>
        <w:rPr>
          <w:rFonts w:eastAsia="Arial" w:cs="Arial"/>
          <w:b/>
          <w:bCs/>
        </w:rPr>
      </w:pPr>
      <w:r w:rsidRPr="00635AB8">
        <w:rPr>
          <w:rFonts w:eastAsia="Arial" w:cs="Arial"/>
          <w:b/>
          <w:bCs/>
        </w:rPr>
        <w:lastRenderedPageBreak/>
        <w:t>Table of Contents</w:t>
      </w:r>
    </w:p>
    <w:sdt>
      <w:sdtPr>
        <w:id w:val="1275810035"/>
        <w:docPartObj>
          <w:docPartGallery w:val="Table of Contents"/>
          <w:docPartUnique/>
        </w:docPartObj>
      </w:sdtPr>
      <w:sdtEndPr/>
      <w:sdtContent>
        <w:p w:rsidR="00A5322A" w:rsidRPr="00635AB8" w:rsidRDefault="00A5322A" w:rsidP="00A5322A">
          <w:pPr>
            <w:pStyle w:val="TOC1"/>
            <w:rPr>
              <w:rFonts w:asciiTheme="minorHAnsi" w:eastAsiaTheme="minorEastAsia" w:hAnsiTheme="minorHAnsi" w:cstheme="minorBidi"/>
              <w:noProof/>
              <w:sz w:val="22"/>
              <w:szCs w:val="22"/>
              <w:lang w:eastAsia="en-GB"/>
            </w:rPr>
          </w:pPr>
          <w:r w:rsidRPr="00635AB8">
            <w:fldChar w:fldCharType="begin"/>
          </w:r>
          <w:r w:rsidRPr="00635AB8">
            <w:instrText xml:space="preserve"> TOC \h \u \z \t "Heading 1,1,Heading 2,2,Heading 3,3,"</w:instrText>
          </w:r>
          <w:r w:rsidRPr="00635AB8">
            <w:fldChar w:fldCharType="separate"/>
          </w:r>
          <w:hyperlink w:anchor="_Toc216118096" w:history="1">
            <w:r w:rsidRPr="00635AB8">
              <w:rPr>
                <w:rStyle w:val="Hyperlink"/>
                <w:rFonts w:eastAsia="Arial" w:cs="Arial"/>
                <w:noProof/>
              </w:rPr>
              <w:t>1. Introduction to the report</w:t>
            </w:r>
            <w:r w:rsidRPr="00635AB8">
              <w:rPr>
                <w:noProof/>
                <w:webHidden/>
              </w:rPr>
              <w:tab/>
            </w:r>
            <w:r w:rsidRPr="00635AB8">
              <w:rPr>
                <w:noProof/>
                <w:webHidden/>
              </w:rPr>
              <w:fldChar w:fldCharType="begin"/>
            </w:r>
            <w:r w:rsidRPr="00635AB8">
              <w:rPr>
                <w:noProof/>
                <w:webHidden/>
              </w:rPr>
              <w:instrText xml:space="preserve"> PAGEREF _Toc216118096 \h </w:instrText>
            </w:r>
            <w:r w:rsidRPr="00635AB8">
              <w:rPr>
                <w:noProof/>
                <w:webHidden/>
              </w:rPr>
            </w:r>
            <w:r w:rsidRPr="00635AB8">
              <w:rPr>
                <w:noProof/>
                <w:webHidden/>
              </w:rPr>
              <w:fldChar w:fldCharType="separate"/>
            </w:r>
            <w:r>
              <w:rPr>
                <w:noProof/>
                <w:webHidden/>
              </w:rPr>
              <w:t>3</w:t>
            </w:r>
            <w:r w:rsidRPr="00635AB8">
              <w:rPr>
                <w:noProof/>
                <w:webHidden/>
              </w:rPr>
              <w:fldChar w:fldCharType="end"/>
            </w:r>
          </w:hyperlink>
        </w:p>
        <w:p w:rsidR="00A5322A" w:rsidRPr="00635AB8" w:rsidRDefault="00514897" w:rsidP="00A5322A">
          <w:pPr>
            <w:pStyle w:val="TOC1"/>
            <w:rPr>
              <w:rFonts w:asciiTheme="minorHAnsi" w:eastAsiaTheme="minorEastAsia" w:hAnsiTheme="minorHAnsi" w:cstheme="minorBidi"/>
              <w:noProof/>
              <w:sz w:val="22"/>
              <w:szCs w:val="22"/>
              <w:lang w:eastAsia="en-GB"/>
            </w:rPr>
          </w:pPr>
          <w:hyperlink w:anchor="_Toc216118097" w:history="1">
            <w:r w:rsidR="00A5322A" w:rsidRPr="00635AB8">
              <w:rPr>
                <w:rStyle w:val="Hyperlink"/>
                <w:rFonts w:eastAsia="Arial" w:cs="Arial"/>
                <w:noProof/>
              </w:rPr>
              <w:t>2. Benefits and challenges of international operations</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_Toc216118097 \h </w:instrText>
            </w:r>
            <w:r w:rsidR="00A5322A" w:rsidRPr="00635AB8">
              <w:rPr>
                <w:noProof/>
                <w:webHidden/>
              </w:rPr>
            </w:r>
            <w:r w:rsidR="00A5322A" w:rsidRPr="00635AB8">
              <w:rPr>
                <w:noProof/>
                <w:webHidden/>
              </w:rPr>
              <w:fldChar w:fldCharType="separate"/>
            </w:r>
            <w:r w:rsidR="00A5322A">
              <w:rPr>
                <w:noProof/>
                <w:webHidden/>
              </w:rPr>
              <w:t>3</w:t>
            </w:r>
            <w:r w:rsidR="00A5322A" w:rsidRPr="00635AB8">
              <w:rPr>
                <w:noProof/>
                <w:webHidden/>
              </w:rPr>
              <w:fldChar w:fldCharType="end"/>
            </w:r>
          </w:hyperlink>
        </w:p>
        <w:p w:rsidR="00A5322A" w:rsidRPr="00635AB8" w:rsidRDefault="00514897" w:rsidP="00A5322A">
          <w:pPr>
            <w:pStyle w:val="TOC2"/>
            <w:tabs>
              <w:tab w:val="right" w:leader="dot" w:pos="9350"/>
            </w:tabs>
            <w:rPr>
              <w:rFonts w:asciiTheme="minorHAnsi" w:eastAsiaTheme="minorEastAsia" w:hAnsiTheme="minorHAnsi" w:cstheme="minorBidi"/>
              <w:noProof/>
              <w:sz w:val="22"/>
              <w:szCs w:val="22"/>
              <w:lang w:eastAsia="en-GB"/>
            </w:rPr>
          </w:pPr>
          <w:hyperlink w:anchor="_Toc216118098" w:history="1">
            <w:r w:rsidR="00A5322A" w:rsidRPr="00635AB8">
              <w:rPr>
                <w:rStyle w:val="Hyperlink"/>
                <w:rFonts w:eastAsia="Arial" w:cs="Arial"/>
                <w:noProof/>
              </w:rPr>
              <w:t>2.1 Reasons behind considering the company as an MNC</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_Toc216118098 \h </w:instrText>
            </w:r>
            <w:r w:rsidR="00A5322A" w:rsidRPr="00635AB8">
              <w:rPr>
                <w:noProof/>
                <w:webHidden/>
              </w:rPr>
            </w:r>
            <w:r w:rsidR="00A5322A" w:rsidRPr="00635AB8">
              <w:rPr>
                <w:noProof/>
                <w:webHidden/>
              </w:rPr>
              <w:fldChar w:fldCharType="separate"/>
            </w:r>
            <w:r w:rsidR="00A5322A">
              <w:rPr>
                <w:noProof/>
                <w:webHidden/>
              </w:rPr>
              <w:t>3</w:t>
            </w:r>
            <w:r w:rsidR="00A5322A" w:rsidRPr="00635AB8">
              <w:rPr>
                <w:noProof/>
                <w:webHidden/>
              </w:rPr>
              <w:fldChar w:fldCharType="end"/>
            </w:r>
          </w:hyperlink>
        </w:p>
        <w:p w:rsidR="00A5322A" w:rsidRPr="00635AB8" w:rsidRDefault="00514897" w:rsidP="00A5322A">
          <w:pPr>
            <w:pStyle w:val="TOC2"/>
            <w:tabs>
              <w:tab w:val="right" w:leader="dot" w:pos="9350"/>
            </w:tabs>
            <w:rPr>
              <w:rFonts w:asciiTheme="minorHAnsi" w:eastAsiaTheme="minorEastAsia" w:hAnsiTheme="minorHAnsi" w:cstheme="minorBidi"/>
              <w:noProof/>
              <w:sz w:val="22"/>
              <w:szCs w:val="22"/>
              <w:lang w:eastAsia="en-GB"/>
            </w:rPr>
          </w:pPr>
          <w:hyperlink w:anchor="_Toc216118099" w:history="1">
            <w:r w:rsidR="00A5322A" w:rsidRPr="00635AB8">
              <w:rPr>
                <w:rStyle w:val="Hyperlink"/>
                <w:rFonts w:eastAsia="Arial" w:cs="Arial"/>
                <w:noProof/>
              </w:rPr>
              <w:t>2.2 The different entry modes used by the company’s in entering the different international markets</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_Toc216118099 \h </w:instrText>
            </w:r>
            <w:r w:rsidR="00A5322A" w:rsidRPr="00635AB8">
              <w:rPr>
                <w:noProof/>
                <w:webHidden/>
              </w:rPr>
            </w:r>
            <w:r w:rsidR="00A5322A" w:rsidRPr="00635AB8">
              <w:rPr>
                <w:noProof/>
                <w:webHidden/>
              </w:rPr>
              <w:fldChar w:fldCharType="separate"/>
            </w:r>
            <w:r w:rsidR="00A5322A">
              <w:rPr>
                <w:noProof/>
                <w:webHidden/>
              </w:rPr>
              <w:t>5</w:t>
            </w:r>
            <w:r w:rsidR="00A5322A" w:rsidRPr="00635AB8">
              <w:rPr>
                <w:noProof/>
                <w:webHidden/>
              </w:rPr>
              <w:fldChar w:fldCharType="end"/>
            </w:r>
          </w:hyperlink>
        </w:p>
        <w:p w:rsidR="00A5322A" w:rsidRPr="00635AB8" w:rsidRDefault="00514897" w:rsidP="00A5322A">
          <w:pPr>
            <w:pStyle w:val="TOC2"/>
            <w:tabs>
              <w:tab w:val="right" w:leader="dot" w:pos="9350"/>
            </w:tabs>
            <w:rPr>
              <w:rFonts w:asciiTheme="minorHAnsi" w:eastAsiaTheme="minorEastAsia" w:hAnsiTheme="minorHAnsi" w:cstheme="minorBidi"/>
              <w:noProof/>
              <w:sz w:val="22"/>
              <w:szCs w:val="22"/>
              <w:lang w:eastAsia="en-GB"/>
            </w:rPr>
          </w:pPr>
          <w:hyperlink w:anchor="_Toc216118100" w:history="1">
            <w:r w:rsidR="00A5322A" w:rsidRPr="00635AB8">
              <w:rPr>
                <w:rStyle w:val="Hyperlink"/>
                <w:rFonts w:eastAsia="Arial" w:cs="Arial"/>
                <w:noProof/>
              </w:rPr>
              <w:t>2.3 Identifying a dominant entry mode for Tesco</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_Toc216118100 \h </w:instrText>
            </w:r>
            <w:r w:rsidR="00A5322A" w:rsidRPr="00635AB8">
              <w:rPr>
                <w:noProof/>
                <w:webHidden/>
              </w:rPr>
            </w:r>
            <w:r w:rsidR="00A5322A" w:rsidRPr="00635AB8">
              <w:rPr>
                <w:noProof/>
                <w:webHidden/>
              </w:rPr>
              <w:fldChar w:fldCharType="separate"/>
            </w:r>
            <w:r w:rsidR="00A5322A">
              <w:rPr>
                <w:noProof/>
                <w:webHidden/>
              </w:rPr>
              <w:t>7</w:t>
            </w:r>
            <w:r w:rsidR="00A5322A" w:rsidRPr="00635AB8">
              <w:rPr>
                <w:noProof/>
                <w:webHidden/>
              </w:rPr>
              <w:fldChar w:fldCharType="end"/>
            </w:r>
          </w:hyperlink>
        </w:p>
        <w:p w:rsidR="00A5322A" w:rsidRPr="00635AB8" w:rsidRDefault="00514897" w:rsidP="00A5322A">
          <w:pPr>
            <w:pStyle w:val="TOC2"/>
            <w:tabs>
              <w:tab w:val="right" w:leader="dot" w:pos="9350"/>
            </w:tabs>
            <w:rPr>
              <w:rFonts w:asciiTheme="minorHAnsi" w:eastAsiaTheme="minorEastAsia" w:hAnsiTheme="minorHAnsi" w:cstheme="minorBidi"/>
              <w:noProof/>
              <w:sz w:val="22"/>
              <w:szCs w:val="22"/>
              <w:lang w:eastAsia="en-GB"/>
            </w:rPr>
          </w:pPr>
          <w:hyperlink w:anchor="_Toc216118101" w:history="1">
            <w:r w:rsidR="00A5322A" w:rsidRPr="00635AB8">
              <w:rPr>
                <w:rStyle w:val="Hyperlink"/>
                <w:rFonts w:eastAsia="Arial" w:cs="Arial"/>
                <w:noProof/>
              </w:rPr>
              <w:t>2.4 The key benefits obtained by the company from its international operations</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_Toc216118101 \h </w:instrText>
            </w:r>
            <w:r w:rsidR="00A5322A" w:rsidRPr="00635AB8">
              <w:rPr>
                <w:noProof/>
                <w:webHidden/>
              </w:rPr>
            </w:r>
            <w:r w:rsidR="00A5322A" w:rsidRPr="00635AB8">
              <w:rPr>
                <w:noProof/>
                <w:webHidden/>
              </w:rPr>
              <w:fldChar w:fldCharType="separate"/>
            </w:r>
            <w:r w:rsidR="00A5322A">
              <w:rPr>
                <w:noProof/>
                <w:webHidden/>
              </w:rPr>
              <w:t>7</w:t>
            </w:r>
            <w:r w:rsidR="00A5322A" w:rsidRPr="00635AB8">
              <w:rPr>
                <w:noProof/>
                <w:webHidden/>
              </w:rPr>
              <w:fldChar w:fldCharType="end"/>
            </w:r>
          </w:hyperlink>
        </w:p>
        <w:p w:rsidR="00A5322A" w:rsidRPr="00635AB8" w:rsidRDefault="00514897" w:rsidP="00A5322A">
          <w:pPr>
            <w:pStyle w:val="TOC1"/>
            <w:rPr>
              <w:rFonts w:asciiTheme="minorHAnsi" w:eastAsiaTheme="minorEastAsia" w:hAnsiTheme="minorHAnsi" w:cstheme="minorBidi"/>
              <w:noProof/>
              <w:sz w:val="22"/>
              <w:szCs w:val="22"/>
              <w:lang w:eastAsia="en-GB"/>
            </w:rPr>
          </w:pPr>
          <w:hyperlink w:anchor="_Toc216118102" w:history="1">
            <w:r w:rsidR="00A5322A" w:rsidRPr="00635AB8">
              <w:rPr>
                <w:rStyle w:val="Hyperlink"/>
                <w:rFonts w:eastAsia="Arial" w:cs="Arial"/>
                <w:noProof/>
              </w:rPr>
              <w:t>3. How the OLI factors (Ownership, Location and Internalisation) impact the international market entry mode for Tesco</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_Toc216118102 \h </w:instrText>
            </w:r>
            <w:r w:rsidR="00A5322A" w:rsidRPr="00635AB8">
              <w:rPr>
                <w:noProof/>
                <w:webHidden/>
              </w:rPr>
            </w:r>
            <w:r w:rsidR="00A5322A" w:rsidRPr="00635AB8">
              <w:rPr>
                <w:noProof/>
                <w:webHidden/>
              </w:rPr>
              <w:fldChar w:fldCharType="separate"/>
            </w:r>
            <w:r w:rsidR="00A5322A">
              <w:rPr>
                <w:noProof/>
                <w:webHidden/>
              </w:rPr>
              <w:t>8</w:t>
            </w:r>
            <w:r w:rsidR="00A5322A" w:rsidRPr="00635AB8">
              <w:rPr>
                <w:noProof/>
                <w:webHidden/>
              </w:rPr>
              <w:fldChar w:fldCharType="end"/>
            </w:r>
          </w:hyperlink>
        </w:p>
        <w:p w:rsidR="00A5322A" w:rsidRPr="00635AB8" w:rsidRDefault="00514897" w:rsidP="00A5322A">
          <w:pPr>
            <w:pStyle w:val="TOC1"/>
            <w:rPr>
              <w:rFonts w:asciiTheme="minorHAnsi" w:eastAsiaTheme="minorEastAsia" w:hAnsiTheme="minorHAnsi" w:cstheme="minorBidi"/>
              <w:noProof/>
              <w:sz w:val="22"/>
              <w:szCs w:val="22"/>
              <w:lang w:eastAsia="en-GB"/>
            </w:rPr>
          </w:pPr>
          <w:hyperlink w:anchor="_Toc216118103" w:history="1">
            <w:r w:rsidR="00A5322A" w:rsidRPr="00635AB8">
              <w:rPr>
                <w:rStyle w:val="Hyperlink"/>
                <w:rFonts w:eastAsia="Arial" w:cs="Arial"/>
                <w:noProof/>
              </w:rPr>
              <w:t>4. How cultural differences between the home country of the company and the chosen emerging economy could impact both the company’s market entry strategy and its potential for success in that market</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_Toc216118103 \h </w:instrText>
            </w:r>
            <w:r w:rsidR="00A5322A" w:rsidRPr="00635AB8">
              <w:rPr>
                <w:noProof/>
                <w:webHidden/>
              </w:rPr>
            </w:r>
            <w:r w:rsidR="00A5322A" w:rsidRPr="00635AB8">
              <w:rPr>
                <w:noProof/>
                <w:webHidden/>
              </w:rPr>
              <w:fldChar w:fldCharType="separate"/>
            </w:r>
            <w:r w:rsidR="00A5322A">
              <w:rPr>
                <w:noProof/>
                <w:webHidden/>
              </w:rPr>
              <w:t>12</w:t>
            </w:r>
            <w:r w:rsidR="00A5322A" w:rsidRPr="00635AB8">
              <w:rPr>
                <w:noProof/>
                <w:webHidden/>
              </w:rPr>
              <w:fldChar w:fldCharType="end"/>
            </w:r>
          </w:hyperlink>
        </w:p>
        <w:p w:rsidR="00A5322A" w:rsidRPr="00635AB8" w:rsidRDefault="00514897" w:rsidP="00A5322A">
          <w:pPr>
            <w:pStyle w:val="TOC1"/>
            <w:rPr>
              <w:rFonts w:asciiTheme="minorHAnsi" w:eastAsiaTheme="minorEastAsia" w:hAnsiTheme="minorHAnsi" w:cstheme="minorBidi"/>
              <w:noProof/>
              <w:sz w:val="22"/>
              <w:szCs w:val="22"/>
              <w:lang w:eastAsia="en-GB"/>
            </w:rPr>
          </w:pPr>
          <w:hyperlink w:anchor="_Toc216118104" w:history="1">
            <w:r w:rsidR="00A5322A" w:rsidRPr="00635AB8">
              <w:rPr>
                <w:rStyle w:val="Hyperlink"/>
                <w:rFonts w:eastAsia="Arial" w:cs="Arial"/>
                <w:noProof/>
              </w:rPr>
              <w:t>5. Recommending three major adjustments the chosen company may need to consider in their Standard Operating Procedures (SOPs) to ensure success</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_Toc216118104 \h </w:instrText>
            </w:r>
            <w:r w:rsidR="00A5322A" w:rsidRPr="00635AB8">
              <w:rPr>
                <w:noProof/>
                <w:webHidden/>
              </w:rPr>
            </w:r>
            <w:r w:rsidR="00A5322A" w:rsidRPr="00635AB8">
              <w:rPr>
                <w:noProof/>
                <w:webHidden/>
              </w:rPr>
              <w:fldChar w:fldCharType="separate"/>
            </w:r>
            <w:r w:rsidR="00A5322A">
              <w:rPr>
                <w:noProof/>
                <w:webHidden/>
              </w:rPr>
              <w:t>15</w:t>
            </w:r>
            <w:r w:rsidR="00A5322A" w:rsidRPr="00635AB8">
              <w:rPr>
                <w:noProof/>
                <w:webHidden/>
              </w:rPr>
              <w:fldChar w:fldCharType="end"/>
            </w:r>
          </w:hyperlink>
        </w:p>
        <w:p w:rsidR="00A5322A" w:rsidRPr="00635AB8" w:rsidRDefault="00514897" w:rsidP="00A5322A">
          <w:pPr>
            <w:pStyle w:val="TOC1"/>
            <w:rPr>
              <w:rFonts w:asciiTheme="minorHAnsi" w:eastAsiaTheme="minorEastAsia" w:hAnsiTheme="minorHAnsi" w:cstheme="minorBidi"/>
              <w:noProof/>
              <w:sz w:val="22"/>
              <w:szCs w:val="22"/>
              <w:lang w:eastAsia="en-GB"/>
            </w:rPr>
          </w:pPr>
          <w:hyperlink w:anchor="_Toc216118105" w:history="1">
            <w:r w:rsidR="00A5322A" w:rsidRPr="00635AB8">
              <w:rPr>
                <w:rStyle w:val="Hyperlink"/>
                <w:rFonts w:eastAsia="Arial" w:cs="Arial"/>
                <w:noProof/>
              </w:rPr>
              <w:t>6. Conclusion to the report</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_Toc216118105 \h </w:instrText>
            </w:r>
            <w:r w:rsidR="00A5322A" w:rsidRPr="00635AB8">
              <w:rPr>
                <w:noProof/>
                <w:webHidden/>
              </w:rPr>
            </w:r>
            <w:r w:rsidR="00A5322A" w:rsidRPr="00635AB8">
              <w:rPr>
                <w:noProof/>
                <w:webHidden/>
              </w:rPr>
              <w:fldChar w:fldCharType="separate"/>
            </w:r>
            <w:r w:rsidR="00A5322A">
              <w:rPr>
                <w:noProof/>
                <w:webHidden/>
              </w:rPr>
              <w:t>19</w:t>
            </w:r>
            <w:r w:rsidR="00A5322A" w:rsidRPr="00635AB8">
              <w:rPr>
                <w:noProof/>
                <w:webHidden/>
              </w:rPr>
              <w:fldChar w:fldCharType="end"/>
            </w:r>
          </w:hyperlink>
        </w:p>
        <w:p w:rsidR="00A5322A" w:rsidRPr="00635AB8" w:rsidRDefault="00514897" w:rsidP="00A5322A">
          <w:pPr>
            <w:pStyle w:val="TOC1"/>
            <w:rPr>
              <w:rFonts w:asciiTheme="minorHAnsi" w:eastAsiaTheme="minorEastAsia" w:hAnsiTheme="minorHAnsi" w:cstheme="minorBidi"/>
              <w:noProof/>
              <w:sz w:val="22"/>
              <w:szCs w:val="22"/>
              <w:lang w:eastAsia="en-GB"/>
            </w:rPr>
          </w:pPr>
          <w:hyperlink w:anchor="_Toc216118106" w:history="1">
            <w:r w:rsidR="00A5322A" w:rsidRPr="00635AB8">
              <w:rPr>
                <w:rStyle w:val="Hyperlink"/>
                <w:rFonts w:eastAsia="Arial" w:cs="Arial"/>
                <w:noProof/>
              </w:rPr>
              <w:t>References</w:t>
            </w:r>
            <w:r w:rsidR="00A5322A" w:rsidRPr="00635AB8">
              <w:rPr>
                <w:noProof/>
                <w:webHidden/>
              </w:rPr>
              <w:tab/>
            </w:r>
            <w:r w:rsidR="00A5322A" w:rsidRPr="00635AB8">
              <w:rPr>
                <w:noProof/>
                <w:webHidden/>
              </w:rPr>
              <w:fldChar w:fldCharType="begin"/>
            </w:r>
            <w:r w:rsidR="00A5322A" w:rsidRPr="00635AB8">
              <w:rPr>
                <w:noProof/>
                <w:webHidden/>
              </w:rPr>
              <w:instrText xml:space="preserve"> PAGEREF _Toc216118106 \h </w:instrText>
            </w:r>
            <w:r w:rsidR="00A5322A" w:rsidRPr="00635AB8">
              <w:rPr>
                <w:noProof/>
                <w:webHidden/>
              </w:rPr>
            </w:r>
            <w:r w:rsidR="00A5322A" w:rsidRPr="00635AB8">
              <w:rPr>
                <w:noProof/>
                <w:webHidden/>
              </w:rPr>
              <w:fldChar w:fldCharType="separate"/>
            </w:r>
            <w:r w:rsidR="00A5322A">
              <w:rPr>
                <w:noProof/>
                <w:webHidden/>
              </w:rPr>
              <w:t>20</w:t>
            </w:r>
            <w:r w:rsidR="00A5322A" w:rsidRPr="00635AB8">
              <w:rPr>
                <w:noProof/>
                <w:webHidden/>
              </w:rPr>
              <w:fldChar w:fldCharType="end"/>
            </w:r>
          </w:hyperlink>
        </w:p>
        <w:p w:rsidR="00A5322A" w:rsidRPr="00635AB8" w:rsidRDefault="00A5322A" w:rsidP="00A5322A">
          <w:pPr>
            <w:rPr>
              <w:rFonts w:eastAsia="Arial" w:cs="Arial"/>
            </w:rPr>
          </w:pPr>
          <w:r w:rsidRPr="00635AB8">
            <w:fldChar w:fldCharType="end"/>
          </w:r>
        </w:p>
      </w:sdtContent>
    </w:sdt>
    <w:p w:rsidR="00A5322A" w:rsidRPr="00635AB8" w:rsidRDefault="00A5322A" w:rsidP="00A5322A">
      <w:pPr>
        <w:rPr>
          <w:rFonts w:eastAsia="Arial" w:cs="Arial"/>
          <w:b/>
          <w:bCs/>
        </w:rPr>
      </w:pPr>
      <w:bookmarkStart w:id="0" w:name="_heading=h.lo88to1zggkc" w:colFirst="0" w:colLast="0"/>
      <w:bookmarkEnd w:id="0"/>
      <w:r w:rsidRPr="00635AB8">
        <w:br w:type="page"/>
      </w:r>
    </w:p>
    <w:p w:rsidR="00A5322A" w:rsidRPr="00635AB8" w:rsidRDefault="00A5322A" w:rsidP="00A5322A">
      <w:pPr>
        <w:pStyle w:val="Heading1"/>
        <w:rPr>
          <w:rFonts w:eastAsia="Arial" w:cs="Arial"/>
          <w:color w:val="auto"/>
        </w:rPr>
      </w:pPr>
      <w:bookmarkStart w:id="1" w:name="_Toc216118096"/>
      <w:r w:rsidRPr="00635AB8">
        <w:rPr>
          <w:rFonts w:eastAsia="Arial" w:cs="Arial"/>
          <w:color w:val="auto"/>
        </w:rPr>
        <w:lastRenderedPageBreak/>
        <w:t>1. Introduction to the report</w:t>
      </w:r>
      <w:bookmarkEnd w:id="1"/>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 xml:space="preserve">The purpose of this report is to critically analyse Tesco’s market entry into Thailand, a country where it no longer operates, despite previously having a significant presence. Business growth and development must be managed through the application of effective strategies and an understanding of areas for improvement. In this report, Tesco is chosen as the country and its entry mode strategies are discussed along with the key benefits of internationalisation. In this regard, the home country is the UK, and the host country is Thailand, where Tesco is not situated at present. Basically, this report intends to evaluate Tesco’s market entry strategies, core benefits of internationalisation along with cultural differences between the UK and Thailand and Standard Operating Procedures (SOPs) that are required for successful market re-entry. </w:t>
      </w:r>
    </w:p>
    <w:p w:rsidR="00A5322A" w:rsidRDefault="00A5322A" w:rsidP="00A5322A">
      <w:pPr>
        <w:pBdr>
          <w:top w:val="nil"/>
          <w:left w:val="nil"/>
          <w:bottom w:val="nil"/>
          <w:right w:val="nil"/>
          <w:between w:val="nil"/>
        </w:pBdr>
        <w:spacing w:after="142"/>
        <w:rPr>
          <w:rFonts w:eastAsia="Arial" w:cs="Arial"/>
        </w:rPr>
      </w:pPr>
      <w:r w:rsidRPr="00635AB8">
        <w:rPr>
          <w:rFonts w:eastAsia="Arial" w:cs="Arial"/>
        </w:rPr>
        <w:t xml:space="preserve">This report analyses the need for organisations in regard to understanding how internal </w:t>
      </w:r>
      <w:r w:rsidRPr="00484CF3">
        <w:rPr>
          <w:rFonts w:eastAsia="Arial" w:cs="Arial"/>
        </w:rPr>
        <w:t>capabilities, competitive positioning, and cultural awareness broadly influence outcomes across the emerging economies. Apart from that, the cultural differences between the home country and the host country are evaluated along with Standard Operating Procedures (SOPs)</w:t>
      </w:r>
      <w:r w:rsidRPr="00635AB8">
        <w:rPr>
          <w:rFonts w:eastAsia="Arial" w:cs="Arial"/>
        </w:rPr>
        <w:t xml:space="preserve"> to ensure success in the chosen emerging economic country. The report aims to achieve the objective through the following structured assessment of Tesco’s entry strategy options, cultural frameworks analysis, including Hofstede’s dimensions and operational guidelines that are tailored to the Thai market.</w:t>
      </w:r>
    </w:p>
    <w:p w:rsidR="00484CF3" w:rsidRDefault="00484CF3" w:rsidP="00A5322A">
      <w:pPr>
        <w:pBdr>
          <w:top w:val="nil"/>
          <w:left w:val="nil"/>
          <w:bottom w:val="nil"/>
          <w:right w:val="nil"/>
          <w:between w:val="nil"/>
        </w:pBdr>
        <w:spacing w:after="142"/>
        <w:rPr>
          <w:rFonts w:eastAsia="Arial" w:cs="Arial"/>
        </w:rPr>
      </w:pPr>
    </w:p>
    <w:p w:rsidR="00484CF3" w:rsidRDefault="00484CF3" w:rsidP="00A5322A">
      <w:pPr>
        <w:pBdr>
          <w:top w:val="nil"/>
          <w:left w:val="nil"/>
          <w:bottom w:val="nil"/>
          <w:right w:val="nil"/>
          <w:between w:val="nil"/>
        </w:pBdr>
        <w:spacing w:after="142"/>
        <w:rPr>
          <w:rFonts w:eastAsia="Arial" w:cs="Arial"/>
        </w:rPr>
      </w:pPr>
    </w:p>
    <w:p w:rsidR="00484CF3" w:rsidRDefault="00484CF3" w:rsidP="00A5322A">
      <w:pPr>
        <w:pBdr>
          <w:top w:val="nil"/>
          <w:left w:val="nil"/>
          <w:bottom w:val="nil"/>
          <w:right w:val="nil"/>
          <w:between w:val="nil"/>
        </w:pBdr>
        <w:spacing w:after="142"/>
        <w:rPr>
          <w:rFonts w:eastAsia="Arial" w:cs="Arial"/>
        </w:rPr>
      </w:pPr>
    </w:p>
    <w:p w:rsidR="00484CF3" w:rsidRDefault="00484CF3" w:rsidP="00A5322A">
      <w:pPr>
        <w:pBdr>
          <w:top w:val="nil"/>
          <w:left w:val="nil"/>
          <w:bottom w:val="nil"/>
          <w:right w:val="nil"/>
          <w:between w:val="nil"/>
        </w:pBdr>
        <w:spacing w:after="142"/>
        <w:rPr>
          <w:rFonts w:eastAsia="Arial" w:cs="Arial"/>
        </w:rPr>
      </w:pPr>
    </w:p>
    <w:p w:rsidR="00484CF3" w:rsidRDefault="00484CF3" w:rsidP="00A5322A">
      <w:pPr>
        <w:pBdr>
          <w:top w:val="nil"/>
          <w:left w:val="nil"/>
          <w:bottom w:val="nil"/>
          <w:right w:val="nil"/>
          <w:between w:val="nil"/>
        </w:pBdr>
        <w:spacing w:after="142"/>
        <w:rPr>
          <w:rFonts w:eastAsia="Arial" w:cs="Arial"/>
        </w:rPr>
      </w:pPr>
    </w:p>
    <w:p w:rsidR="00484CF3" w:rsidRDefault="00484CF3" w:rsidP="00A5322A">
      <w:pPr>
        <w:pBdr>
          <w:top w:val="nil"/>
          <w:left w:val="nil"/>
          <w:bottom w:val="nil"/>
          <w:right w:val="nil"/>
          <w:between w:val="nil"/>
        </w:pBdr>
        <w:spacing w:after="142"/>
        <w:rPr>
          <w:rFonts w:eastAsia="Arial" w:cs="Arial"/>
        </w:rPr>
      </w:pPr>
    </w:p>
    <w:p w:rsidR="00484CF3" w:rsidRDefault="00484CF3" w:rsidP="00A5322A">
      <w:pPr>
        <w:pBdr>
          <w:top w:val="nil"/>
          <w:left w:val="nil"/>
          <w:bottom w:val="nil"/>
          <w:right w:val="nil"/>
          <w:between w:val="nil"/>
        </w:pBdr>
        <w:spacing w:after="142"/>
        <w:rPr>
          <w:rFonts w:eastAsia="Arial" w:cs="Arial"/>
        </w:rPr>
      </w:pPr>
    </w:p>
    <w:p w:rsidR="00484CF3" w:rsidRPr="00635AB8" w:rsidRDefault="00484CF3" w:rsidP="00A5322A">
      <w:pPr>
        <w:pBdr>
          <w:top w:val="nil"/>
          <w:left w:val="nil"/>
          <w:bottom w:val="nil"/>
          <w:right w:val="nil"/>
          <w:between w:val="nil"/>
        </w:pBdr>
        <w:spacing w:after="142"/>
        <w:rPr>
          <w:rFonts w:eastAsia="Arial" w:cs="Arial"/>
        </w:rPr>
      </w:pPr>
    </w:p>
    <w:p w:rsidR="00A5322A" w:rsidRPr="00635AB8" w:rsidRDefault="00A5322A" w:rsidP="00A5322A">
      <w:pPr>
        <w:pStyle w:val="Heading1"/>
        <w:rPr>
          <w:rFonts w:eastAsia="Arial" w:cs="Arial"/>
          <w:color w:val="auto"/>
        </w:rPr>
      </w:pPr>
      <w:bookmarkStart w:id="2" w:name="_Toc216118097"/>
      <w:r w:rsidRPr="00635AB8">
        <w:rPr>
          <w:rFonts w:eastAsia="Arial" w:cs="Arial"/>
          <w:color w:val="auto"/>
        </w:rPr>
        <w:lastRenderedPageBreak/>
        <w:t>2. Benefits and challenges of international operations</w:t>
      </w:r>
      <w:bookmarkEnd w:id="2"/>
      <w:r w:rsidRPr="00635AB8">
        <w:rPr>
          <w:rFonts w:eastAsia="Arial" w:cs="Arial"/>
          <w:color w:val="auto"/>
        </w:rPr>
        <w:t xml:space="preserve"> </w:t>
      </w:r>
    </w:p>
    <w:p w:rsidR="00A5322A" w:rsidRPr="00635AB8" w:rsidRDefault="00A5322A" w:rsidP="00A5322A">
      <w:pPr>
        <w:pStyle w:val="Heading2"/>
        <w:rPr>
          <w:rFonts w:eastAsia="Arial" w:cs="Arial"/>
          <w:color w:val="auto"/>
        </w:rPr>
      </w:pPr>
      <w:bookmarkStart w:id="3" w:name="_Toc216118098"/>
      <w:r w:rsidRPr="00635AB8">
        <w:rPr>
          <w:rFonts w:eastAsia="Arial" w:cs="Arial"/>
          <w:color w:val="auto"/>
        </w:rPr>
        <w:t>2.1 Reasons behind considering the company as an MNC</w:t>
      </w:r>
      <w:bookmarkEnd w:id="3"/>
    </w:p>
    <w:p w:rsidR="00A5322A" w:rsidRPr="00635AB8" w:rsidRDefault="00A5322A" w:rsidP="00A5322A">
      <w:pPr>
        <w:numPr>
          <w:ilvl w:val="1"/>
          <w:numId w:val="1"/>
        </w:numPr>
        <w:pBdr>
          <w:top w:val="nil"/>
          <w:left w:val="nil"/>
          <w:bottom w:val="nil"/>
          <w:right w:val="nil"/>
          <w:between w:val="nil"/>
        </w:pBdr>
        <w:spacing w:after="142"/>
        <w:ind w:hanging="360"/>
        <w:rPr>
          <w:rFonts w:eastAsia="Arial" w:cs="Arial"/>
        </w:rPr>
      </w:pPr>
      <w:r w:rsidRPr="00635AB8">
        <w:rPr>
          <w:rFonts w:eastAsia="Arial" w:cs="Arial"/>
        </w:rPr>
        <w:t>Multinational companies are those that have a wider market range in a number of countries. Tesco has a broader market in Europe and Asia. It is seen that the company has established stores in Ireland, Hungary, Slovakia, Czechia, Malaysia and so on (Tesco PLC, 2025a). Apart from retail, the company has expanded its business to include the retailing of books, clothing, electronics, as well as furniture, toys, petrol, software, financial services, telecommunications and internet services (Tesco PLC, 2025a). Therefore, it is clear that Tesco has almost all the features of an MNC. Thus, Tesco’s strong international presence, diversification in business model and adoption of supply chain practices strategically to justify its classification as one of the multinational corporations.</w:t>
      </w:r>
    </w:p>
    <w:p w:rsidR="00A5322A" w:rsidRPr="00635AB8" w:rsidRDefault="00A5322A" w:rsidP="00A5322A">
      <w:pPr>
        <w:numPr>
          <w:ilvl w:val="1"/>
          <w:numId w:val="1"/>
        </w:numPr>
        <w:pBdr>
          <w:top w:val="nil"/>
          <w:left w:val="nil"/>
          <w:bottom w:val="nil"/>
          <w:right w:val="nil"/>
          <w:between w:val="nil"/>
        </w:pBdr>
        <w:spacing w:after="142"/>
        <w:ind w:hanging="360"/>
        <w:rPr>
          <w:rFonts w:eastAsia="Arial" w:cs="Arial"/>
          <w:b/>
          <w:bCs/>
        </w:rPr>
      </w:pPr>
      <w:r w:rsidRPr="00635AB8">
        <w:rPr>
          <w:rFonts w:eastAsia="Arial" w:cs="Arial"/>
          <w:b/>
          <w:bCs/>
        </w:rPr>
        <w:t>2.2 The nature of the company's global operations, focusing on the different important aspects of the value chain</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 xml:space="preserve">In order to understand the global operational mode of Tesco, it will be necessary to apply Porter's value chain model. The targeted country is chosen as Thailand. This model is helpful to evaluate how a company can manage its global operations. </w:t>
      </w:r>
    </w:p>
    <w:p w:rsidR="00A5322A" w:rsidRPr="00635AB8" w:rsidRDefault="00A5322A" w:rsidP="00A5322A">
      <w:pPr>
        <w:spacing w:after="142"/>
        <w:rPr>
          <w:rFonts w:eastAsia="Arial" w:cs="Arial"/>
        </w:rPr>
      </w:pPr>
      <w:r w:rsidRPr="00635AB8">
        <w:rPr>
          <w:rFonts w:eastAsia="Arial" w:cs="Arial"/>
          <w:b/>
          <w:bCs/>
          <w:i/>
          <w:iCs/>
        </w:rPr>
        <w:t xml:space="preserve">Inbound logistics: </w:t>
      </w:r>
      <w:r w:rsidRPr="00635AB8">
        <w:rPr>
          <w:rFonts w:eastAsia="Arial" w:cs="Arial"/>
        </w:rPr>
        <w:t>It manages regional operations through establishing distribution centres and integrating manpower from diverse sources. This needs to be addressed as efficient inbound logistics can help in strengthening reliable sourcing and smooth supply flow while entering a new market like Thailand.</w:t>
      </w:r>
    </w:p>
    <w:p w:rsidR="00A5322A" w:rsidRPr="00635AB8" w:rsidRDefault="00A5322A" w:rsidP="00A5322A">
      <w:pPr>
        <w:spacing w:after="142"/>
        <w:rPr>
          <w:rFonts w:eastAsia="Arial" w:cs="Arial"/>
        </w:rPr>
      </w:pPr>
      <w:r w:rsidRPr="00635AB8">
        <w:rPr>
          <w:rFonts w:eastAsia="Arial" w:cs="Arial"/>
          <w:b/>
          <w:bCs/>
          <w:i/>
          <w:iCs/>
        </w:rPr>
        <w:t xml:space="preserve">Operations: </w:t>
      </w:r>
      <w:r w:rsidRPr="00635AB8">
        <w:rPr>
          <w:rFonts w:eastAsia="Arial" w:cs="Arial"/>
        </w:rPr>
        <w:t>Large store networks, convenience formats and automated warehouses help to manage operations (Tesco PLC, 2025a). In this aspect, addressing operations will be essential in maintaining consistency in service quality and achieving economies of scale throughout the global markets.</w:t>
      </w:r>
    </w:p>
    <w:p w:rsidR="00A5322A" w:rsidRPr="00635AB8" w:rsidRDefault="00A5322A" w:rsidP="00A5322A">
      <w:pPr>
        <w:spacing w:after="142"/>
        <w:rPr>
          <w:rFonts w:eastAsia="Arial" w:cs="Arial"/>
        </w:rPr>
      </w:pPr>
      <w:r w:rsidRPr="00635AB8">
        <w:rPr>
          <w:rFonts w:eastAsia="Arial" w:cs="Arial"/>
          <w:b/>
          <w:bCs/>
          <w:i/>
          <w:iCs/>
        </w:rPr>
        <w:t xml:space="preserve">Outbound logistics: </w:t>
      </w:r>
      <w:r w:rsidRPr="00635AB8">
        <w:rPr>
          <w:rFonts w:eastAsia="Arial" w:cs="Arial"/>
        </w:rPr>
        <w:t>Contributing to sustainable business by introducing home-delivery fleets and click-and-collect hubs (Tesco PLC, 2025b). Efficient outbound logistics would be required to meet growing consumer expectations in terms of achieving faster and greener deliveries in international markets.</w:t>
      </w:r>
    </w:p>
    <w:p w:rsidR="00A5322A" w:rsidRPr="00635AB8" w:rsidRDefault="00A5322A" w:rsidP="00A5322A">
      <w:pPr>
        <w:spacing w:after="142"/>
        <w:rPr>
          <w:rFonts w:eastAsia="Arial" w:cs="Arial"/>
        </w:rPr>
      </w:pPr>
      <w:r w:rsidRPr="00635AB8">
        <w:rPr>
          <w:rFonts w:eastAsia="Arial" w:cs="Arial"/>
          <w:b/>
          <w:bCs/>
          <w:i/>
          <w:iCs/>
        </w:rPr>
        <w:lastRenderedPageBreak/>
        <w:t xml:space="preserve">Marketing &amp; Sales: </w:t>
      </w:r>
      <w:r w:rsidRPr="00635AB8">
        <w:rPr>
          <w:rFonts w:eastAsia="Arial" w:cs="Arial"/>
        </w:rPr>
        <w:t>Clubcard data remains core to personalised promotions and the use of AI in advertisements is helping them to manage an upgraded marketing globally.  It is needed to be ensured for localisation of promotions and consumer engagement strategies within the culturally diverse markets.</w:t>
      </w:r>
    </w:p>
    <w:p w:rsidR="00A5322A" w:rsidRPr="00635AB8" w:rsidRDefault="00A5322A" w:rsidP="00A5322A">
      <w:pPr>
        <w:spacing w:after="142"/>
        <w:rPr>
          <w:rFonts w:eastAsia="Arial" w:cs="Arial"/>
        </w:rPr>
      </w:pPr>
      <w:r w:rsidRPr="00635AB8">
        <w:rPr>
          <w:rFonts w:eastAsia="Arial" w:cs="Arial"/>
          <w:b/>
          <w:bCs/>
          <w:i/>
          <w:iCs/>
        </w:rPr>
        <w:t xml:space="preserve">Service: </w:t>
      </w:r>
      <w:r w:rsidRPr="00635AB8">
        <w:rPr>
          <w:rFonts w:eastAsia="Arial" w:cs="Arial"/>
        </w:rPr>
        <w:t>After-sales, online fulfilment and community programmes reinforce loyalty and social license. In this aspect, service quality is vital as it signifies customer trust and retention in regard to determining long-term success across new markets.</w:t>
      </w:r>
    </w:p>
    <w:p w:rsidR="00A5322A" w:rsidRPr="00635AB8" w:rsidRDefault="00A5322A" w:rsidP="00A5322A">
      <w:pPr>
        <w:spacing w:after="142"/>
        <w:rPr>
          <w:rFonts w:eastAsia="Arial" w:cs="Arial"/>
        </w:rPr>
      </w:pPr>
      <w:r w:rsidRPr="00635AB8">
        <w:rPr>
          <w:rFonts w:eastAsia="Arial" w:cs="Arial"/>
          <w:b/>
          <w:bCs/>
          <w:i/>
          <w:iCs/>
        </w:rPr>
        <w:t xml:space="preserve">Procurement: </w:t>
      </w:r>
      <w:r w:rsidRPr="00635AB8">
        <w:rPr>
          <w:rFonts w:eastAsia="Arial" w:cs="Arial"/>
        </w:rPr>
        <w:t>The Company is focusing on managing supplier decarbonisation and waste reduction targets (the majority of suppliers are committed to net-zero paths), integrating sustainability into sourcing (McMillan, 2025). Tesco must focus on achieving this in regard to securing ethical and cost-effective suppliers in Thailand that will influence market competitiveness.</w:t>
      </w:r>
    </w:p>
    <w:p w:rsidR="00A5322A" w:rsidRPr="00635AB8" w:rsidRDefault="00A5322A" w:rsidP="00A5322A">
      <w:pPr>
        <w:spacing w:after="142"/>
        <w:rPr>
          <w:rFonts w:eastAsia="Arial" w:cs="Arial"/>
        </w:rPr>
      </w:pPr>
      <w:r w:rsidRPr="00635AB8">
        <w:rPr>
          <w:rFonts w:eastAsia="Arial" w:cs="Arial"/>
          <w:b/>
          <w:bCs/>
          <w:i/>
          <w:iCs/>
        </w:rPr>
        <w:t xml:space="preserve">Technology development: </w:t>
      </w:r>
      <w:r w:rsidRPr="00635AB8">
        <w:rPr>
          <w:rFonts w:eastAsia="Arial" w:cs="Arial"/>
        </w:rPr>
        <w:t>5,000+ strong tech capability uses AI on Clubcard data for personalisation, inventory optimisation and reduced food waste. Technological development needs to be addressed as digital efficiency and data-driven decisions are central to addressing cross-border business complexities.</w:t>
      </w:r>
    </w:p>
    <w:p w:rsidR="00A5322A" w:rsidRPr="00635AB8" w:rsidRDefault="00A5322A" w:rsidP="00A5322A">
      <w:pPr>
        <w:spacing w:after="142"/>
        <w:rPr>
          <w:rFonts w:eastAsia="Arial" w:cs="Arial"/>
        </w:rPr>
      </w:pPr>
      <w:r w:rsidRPr="00635AB8">
        <w:rPr>
          <w:rFonts w:eastAsia="Arial" w:cs="Arial"/>
          <w:b/>
          <w:bCs/>
          <w:i/>
          <w:iCs/>
        </w:rPr>
        <w:t xml:space="preserve">HRM &amp; Infrastructure: </w:t>
      </w:r>
      <w:r w:rsidRPr="00635AB8">
        <w:rPr>
          <w:rFonts w:eastAsia="Arial" w:cs="Arial"/>
        </w:rPr>
        <w:t>Investment in store formats, logistics sites and employee training enables consistent service standards across the global market range (Tesco PLC, 2025b). In this aspect, addressing HR and infrastructure is necessary in the context of building a competent workforce and ensuring local employees align with Tesco’s global standards.</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 xml:space="preserve">It is evident that the company’s reputation and well-developed business functions are helping it grow and expand its market into new countries. </w:t>
      </w:r>
    </w:p>
    <w:p w:rsidR="00A5322A" w:rsidRPr="00635AB8" w:rsidRDefault="00A5322A" w:rsidP="00A5322A">
      <w:pPr>
        <w:pStyle w:val="Heading2"/>
        <w:rPr>
          <w:rFonts w:eastAsia="Arial" w:cs="Arial"/>
          <w:color w:val="auto"/>
        </w:rPr>
      </w:pPr>
      <w:bookmarkStart w:id="4" w:name="_Toc216118099"/>
      <w:r w:rsidRPr="00635AB8">
        <w:rPr>
          <w:rFonts w:eastAsia="Arial" w:cs="Arial"/>
          <w:color w:val="auto"/>
        </w:rPr>
        <w:t>2.2 The different entry modes used by the company’s in entering the different international markets</w:t>
      </w:r>
      <w:bookmarkEnd w:id="4"/>
      <w:r w:rsidRPr="00635AB8">
        <w:rPr>
          <w:rFonts w:eastAsia="Arial" w:cs="Arial"/>
          <w:color w:val="auto"/>
        </w:rPr>
        <w:t xml:space="preserve"> </w:t>
      </w:r>
    </w:p>
    <w:p w:rsidR="00A5322A" w:rsidRPr="00635AB8" w:rsidRDefault="00A5322A" w:rsidP="00A5322A">
      <w:pPr>
        <w:spacing w:before="280" w:after="280"/>
        <w:rPr>
          <w:rFonts w:eastAsia="Arial" w:cs="Arial"/>
        </w:rPr>
      </w:pPr>
      <w:r w:rsidRPr="00635AB8">
        <w:rPr>
          <w:rFonts w:eastAsia="Arial" w:cs="Arial"/>
        </w:rPr>
        <w:t xml:space="preserve">As an MNC, Tesco uses a range of entry strategies to enter different country markets. This entry mode is detected by each market's economic conditions, competition, and regulatory environment. </w:t>
      </w:r>
    </w:p>
    <w:p w:rsidR="00A5322A" w:rsidRPr="00635AB8" w:rsidRDefault="00A5322A" w:rsidP="00A5322A">
      <w:pPr>
        <w:numPr>
          <w:ilvl w:val="0"/>
          <w:numId w:val="2"/>
        </w:numPr>
        <w:pBdr>
          <w:top w:val="nil"/>
          <w:left w:val="nil"/>
          <w:bottom w:val="nil"/>
          <w:right w:val="nil"/>
          <w:between w:val="nil"/>
        </w:pBdr>
        <w:spacing w:before="280" w:after="280"/>
        <w:rPr>
          <w:rFonts w:eastAsia="Arial" w:cs="Arial"/>
          <w:b/>
          <w:bCs/>
          <w:i/>
          <w:iCs/>
        </w:rPr>
      </w:pPr>
      <w:r w:rsidRPr="00635AB8">
        <w:rPr>
          <w:rFonts w:eastAsia="Arial" w:cs="Arial"/>
          <w:b/>
          <w:bCs/>
          <w:i/>
          <w:iCs/>
        </w:rPr>
        <w:lastRenderedPageBreak/>
        <w:t xml:space="preserve">Joint venture </w:t>
      </w:r>
    </w:p>
    <w:p w:rsidR="00A5322A" w:rsidRPr="00635AB8" w:rsidRDefault="00A5322A" w:rsidP="00A5322A">
      <w:pPr>
        <w:spacing w:before="280" w:after="280"/>
        <w:rPr>
          <w:rFonts w:eastAsia="Arial" w:cs="Arial"/>
        </w:rPr>
      </w:pPr>
      <w:r w:rsidRPr="00635AB8">
        <w:rPr>
          <w:rFonts w:eastAsia="Arial" w:cs="Arial"/>
        </w:rPr>
        <w:t xml:space="preserve">A joint venture is such an entry mode that is helpful for companies to share risks and gain advantages from local expertise. It can be stated that Tesco entered in South Korea in 1999, through a joint venture with Samsung, forming </w:t>
      </w:r>
      <w:r w:rsidRPr="00635AB8">
        <w:rPr>
          <w:rFonts w:eastAsia="Arial" w:cs="Arial"/>
          <w:i/>
          <w:iCs/>
        </w:rPr>
        <w:t xml:space="preserve">Homeplus </w:t>
      </w:r>
      <w:r w:rsidRPr="00635AB8">
        <w:rPr>
          <w:rFonts w:eastAsia="Arial" w:cs="Arial"/>
        </w:rPr>
        <w:t>(Tesco PLC, 2025b)</w:t>
      </w:r>
      <w:r w:rsidRPr="00635AB8">
        <w:rPr>
          <w:rFonts w:eastAsia="Arial" w:cs="Arial"/>
          <w:i/>
          <w:iCs/>
        </w:rPr>
        <w:t xml:space="preserve">. </w:t>
      </w:r>
      <w:r w:rsidRPr="00635AB8">
        <w:rPr>
          <w:rFonts w:eastAsia="Arial" w:cs="Arial"/>
        </w:rPr>
        <w:t xml:space="preserve">This joint venture helped leverage Samsung's retail management expertise and technology infrastructure. This entry mode highlighted that Tesco learned about Korean consumer preferences, such as high-tech shopping experiences and smaller urban stores. </w:t>
      </w:r>
    </w:p>
    <w:p w:rsidR="00A5322A" w:rsidRPr="00635AB8" w:rsidRDefault="00A5322A" w:rsidP="00A5322A">
      <w:pPr>
        <w:numPr>
          <w:ilvl w:val="0"/>
          <w:numId w:val="2"/>
        </w:numPr>
        <w:pBdr>
          <w:top w:val="nil"/>
          <w:left w:val="nil"/>
          <w:bottom w:val="nil"/>
          <w:right w:val="nil"/>
          <w:between w:val="nil"/>
        </w:pBdr>
        <w:spacing w:before="280" w:after="280"/>
        <w:rPr>
          <w:rFonts w:eastAsia="Arial" w:cs="Arial"/>
          <w:b/>
          <w:bCs/>
          <w:i/>
          <w:iCs/>
        </w:rPr>
      </w:pPr>
      <w:r w:rsidRPr="00635AB8">
        <w:rPr>
          <w:rFonts w:eastAsia="Arial" w:cs="Arial"/>
          <w:b/>
          <w:bCs/>
          <w:i/>
          <w:iCs/>
        </w:rPr>
        <w:t xml:space="preserve">Acquisition </w:t>
      </w:r>
    </w:p>
    <w:p w:rsidR="00A5322A" w:rsidRPr="00635AB8" w:rsidRDefault="00A5322A" w:rsidP="00A5322A">
      <w:pPr>
        <w:spacing w:before="280" w:after="280"/>
        <w:rPr>
          <w:rFonts w:eastAsia="Arial" w:cs="Arial"/>
        </w:rPr>
      </w:pPr>
      <w:r w:rsidRPr="00635AB8">
        <w:rPr>
          <w:rFonts w:eastAsia="Arial" w:cs="Arial"/>
        </w:rPr>
        <w:t xml:space="preserve">Acquisition is such a market entry mode in which a company enters a new market by purchasing an existing company, gaining control through stock purchase or other means. Adopting this entry mode is helpful for a company to expand its market base in a mature market. As evidence, in 1995, the company entered Poland by acquiring existing local chains such as Savit and Leader Price (Tesco PLC, 2025b). Along with this, the company expanded its market in Central Europe by following this strategy. </w:t>
      </w:r>
    </w:p>
    <w:p w:rsidR="00A5322A" w:rsidRPr="00635AB8" w:rsidRDefault="00A5322A" w:rsidP="00A5322A">
      <w:pPr>
        <w:numPr>
          <w:ilvl w:val="0"/>
          <w:numId w:val="2"/>
        </w:numPr>
        <w:pBdr>
          <w:top w:val="nil"/>
          <w:left w:val="nil"/>
          <w:bottom w:val="nil"/>
          <w:right w:val="nil"/>
          <w:between w:val="nil"/>
        </w:pBdr>
        <w:spacing w:before="280" w:after="280"/>
        <w:rPr>
          <w:rFonts w:eastAsia="Arial" w:cs="Arial"/>
          <w:b/>
          <w:bCs/>
          <w:i/>
          <w:iCs/>
        </w:rPr>
      </w:pPr>
      <w:r w:rsidRPr="00635AB8">
        <w:rPr>
          <w:rFonts w:eastAsia="Arial" w:cs="Arial"/>
          <w:b/>
          <w:bCs/>
          <w:i/>
          <w:iCs/>
        </w:rPr>
        <w:t xml:space="preserve">Strategic alliances </w:t>
      </w:r>
    </w:p>
    <w:p w:rsidR="00A5322A" w:rsidRPr="00635AB8" w:rsidRDefault="00A5322A" w:rsidP="00A5322A">
      <w:pPr>
        <w:spacing w:before="280" w:after="280"/>
        <w:rPr>
          <w:rFonts w:eastAsia="Arial" w:cs="Arial"/>
        </w:rPr>
      </w:pPr>
      <w:r w:rsidRPr="00635AB8">
        <w:rPr>
          <w:rFonts w:eastAsia="Arial" w:cs="Arial"/>
        </w:rPr>
        <w:t xml:space="preserve">The alliance is a cooperation or collaboration which aims for synergy, where each partner hopes that the benefits from the alliance will be greater than those from individual efforts. The alliance often involves technology transfer (access to knowledge and expertise), economic specialization, shared expenses and shared risk. This entry mode is helpful for companies to share knowledge and resources without complete ownership. It has been recorded that while entering China, the company formed a strategic alliance with </w:t>
      </w:r>
      <w:r w:rsidRPr="00635AB8">
        <w:rPr>
          <w:rFonts w:eastAsia="Arial" w:cs="Arial"/>
          <w:i/>
          <w:iCs/>
        </w:rPr>
        <w:t>China Resources Enterprise (CRE)</w:t>
      </w:r>
      <w:r w:rsidRPr="00635AB8">
        <w:rPr>
          <w:rFonts w:eastAsia="Arial" w:cs="Arial"/>
        </w:rPr>
        <w:t xml:space="preserve"> in 2014. As a result, the company gained the scope to utilise CRE's strong local network and regulatory familiarity. </w:t>
      </w:r>
    </w:p>
    <w:p w:rsidR="00A5322A" w:rsidRPr="00635AB8" w:rsidRDefault="00A5322A" w:rsidP="00A5322A">
      <w:pPr>
        <w:numPr>
          <w:ilvl w:val="0"/>
          <w:numId w:val="2"/>
        </w:numPr>
        <w:pBdr>
          <w:top w:val="nil"/>
          <w:left w:val="nil"/>
          <w:bottom w:val="nil"/>
          <w:right w:val="nil"/>
          <w:between w:val="nil"/>
        </w:pBdr>
        <w:spacing w:before="280" w:after="280"/>
        <w:rPr>
          <w:rFonts w:eastAsia="Arial" w:cs="Arial"/>
          <w:b/>
          <w:bCs/>
          <w:i/>
          <w:iCs/>
        </w:rPr>
      </w:pPr>
      <w:r w:rsidRPr="00635AB8">
        <w:rPr>
          <w:rFonts w:eastAsia="Arial" w:cs="Arial"/>
          <w:b/>
          <w:bCs/>
          <w:i/>
          <w:iCs/>
        </w:rPr>
        <w:t xml:space="preserve">Greenfield expansion </w:t>
      </w:r>
    </w:p>
    <w:p w:rsidR="00A5322A" w:rsidRPr="00635AB8" w:rsidRDefault="00A5322A" w:rsidP="00A5322A">
      <w:pPr>
        <w:spacing w:before="280" w:after="280"/>
        <w:rPr>
          <w:rFonts w:eastAsia="Arial" w:cs="Arial"/>
        </w:rPr>
      </w:pPr>
      <w:r w:rsidRPr="00635AB8">
        <w:rPr>
          <w:rFonts w:eastAsia="Arial" w:cs="Arial"/>
        </w:rPr>
        <w:t xml:space="preserve">Greenfield investment is used more often in cases where the company’s host country is experiencing high growth rates and higher inflation rates. In addition, those firms that are </w:t>
      </w:r>
      <w:r w:rsidRPr="00635AB8">
        <w:rPr>
          <w:rFonts w:eastAsia="Arial" w:cs="Arial"/>
        </w:rPr>
        <w:lastRenderedPageBreak/>
        <w:t>younger and with less multinational experience are more likely to use Greenfield investments. In this method, the company purchased local stores and rebranded those to enhance its own logistics, IT systems, and stores focused on Irish consumers.</w:t>
      </w:r>
    </w:p>
    <w:p w:rsidR="00A5322A" w:rsidRPr="00635AB8" w:rsidRDefault="00A5322A" w:rsidP="00A5322A">
      <w:pPr>
        <w:spacing w:before="280" w:after="280"/>
        <w:rPr>
          <w:rFonts w:eastAsia="Arial" w:cs="Arial"/>
        </w:rPr>
      </w:pPr>
      <w:r w:rsidRPr="00635AB8">
        <w:rPr>
          <w:rFonts w:eastAsia="Arial" w:cs="Arial"/>
        </w:rPr>
        <w:t>Therefore, in short, it is mentioned that the company followed joint ventures in high-risk emerging markets (South Korea), acquisitions in Central Europe (Poland, Hungary), strategic alliances in competitive Asian markets (China) and organic expansion in nearby, low-risk regions (Ireland).</w:t>
      </w:r>
    </w:p>
    <w:p w:rsidR="00A5322A" w:rsidRPr="00635AB8" w:rsidRDefault="00A5322A" w:rsidP="00A5322A">
      <w:pPr>
        <w:pStyle w:val="Heading2"/>
        <w:rPr>
          <w:rFonts w:eastAsia="Arial" w:cs="Arial"/>
          <w:color w:val="auto"/>
        </w:rPr>
      </w:pPr>
      <w:bookmarkStart w:id="5" w:name="_Toc216118100"/>
      <w:r w:rsidRPr="00635AB8">
        <w:rPr>
          <w:rFonts w:eastAsia="Arial" w:cs="Arial"/>
          <w:color w:val="auto"/>
        </w:rPr>
        <w:t>2.3 Identifying a dominant entry mode for Tesco</w:t>
      </w:r>
      <w:bookmarkEnd w:id="5"/>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 xml:space="preserve">The company primarily focuses on acquisitions as its primary entry strategy into international markets. As evidence, the company attained a 51% share in Hungary’s Global in 1995, rising to 99% by 2000 and this was achieved through an acquisition mode of entry. Nonetheless, the acquisition model remains dominant because it allows Tesco to implement its own systems, supply chain efficiencies and brand standards with minimal dilution of control. In the words of </w:t>
      </w:r>
      <w:r w:rsidRPr="00635AB8">
        <w:rPr>
          <w:rFonts w:eastAsia="Arial" w:cs="Arial"/>
          <w:highlight w:val="white"/>
        </w:rPr>
        <w:t xml:space="preserve">Brouthers </w:t>
      </w:r>
      <w:r w:rsidRPr="00635AB8">
        <w:rPr>
          <w:rFonts w:eastAsia="Arial" w:cs="Arial"/>
          <w:i/>
          <w:iCs/>
          <w:highlight w:val="white"/>
        </w:rPr>
        <w:t>et al.</w:t>
      </w:r>
      <w:r w:rsidRPr="00635AB8">
        <w:rPr>
          <w:rFonts w:eastAsia="Arial" w:cs="Arial"/>
          <w:highlight w:val="white"/>
        </w:rPr>
        <w:t xml:space="preserve"> (2022</w:t>
      </w:r>
      <w:r w:rsidRPr="00635AB8">
        <w:rPr>
          <w:rFonts w:eastAsia="Arial" w:cs="Arial"/>
        </w:rPr>
        <w:t xml:space="preserve">), selecting an effective entry mode strategy can enhance the company's exposure in its target market. Currently, the company is focusing on core markets, but its underlying principle of majority ownership remains evident. For instance, its acquisition of smaller retail chains in Ireland is consistent with this strategy. Considering all these facts, the acquisition is the dominant entry mode for Tesco's international expansion. </w:t>
      </w:r>
    </w:p>
    <w:p w:rsidR="00A5322A" w:rsidRPr="00635AB8" w:rsidRDefault="00A5322A" w:rsidP="00A5322A">
      <w:pPr>
        <w:pStyle w:val="Heading2"/>
        <w:rPr>
          <w:rFonts w:eastAsia="Arial" w:cs="Arial"/>
          <w:color w:val="auto"/>
        </w:rPr>
      </w:pPr>
      <w:bookmarkStart w:id="6" w:name="_Toc216118101"/>
      <w:r w:rsidRPr="00635AB8">
        <w:rPr>
          <w:rFonts w:eastAsia="Arial" w:cs="Arial"/>
          <w:color w:val="auto"/>
        </w:rPr>
        <w:t xml:space="preserve">2.4 </w:t>
      </w:r>
      <w:sdt>
        <w:sdtPr>
          <w:rPr>
            <w:color w:val="auto"/>
          </w:rPr>
          <w:tag w:val="goog_rdk_0"/>
          <w:id w:val="-603465674"/>
        </w:sdtPr>
        <w:sdtEndPr/>
        <w:sdtContent/>
      </w:sdt>
      <w:r w:rsidRPr="00635AB8">
        <w:rPr>
          <w:rFonts w:eastAsia="Arial" w:cs="Arial"/>
          <w:color w:val="auto"/>
        </w:rPr>
        <w:t>The key benefits obtained by the company from its international operations</w:t>
      </w:r>
      <w:bookmarkEnd w:id="6"/>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 xml:space="preserve">In order to manage the international operations, Tesco has obtained a range of benefits. Those are as discussed below- </w:t>
      </w:r>
    </w:p>
    <w:p w:rsidR="00A5322A" w:rsidRPr="00635AB8" w:rsidRDefault="00A5322A" w:rsidP="00A5322A">
      <w:pPr>
        <w:numPr>
          <w:ilvl w:val="0"/>
          <w:numId w:val="2"/>
        </w:numPr>
        <w:pBdr>
          <w:top w:val="nil"/>
          <w:left w:val="nil"/>
          <w:bottom w:val="nil"/>
          <w:right w:val="nil"/>
          <w:between w:val="nil"/>
        </w:pBdr>
        <w:spacing w:after="142"/>
        <w:rPr>
          <w:rFonts w:eastAsia="Arial" w:cs="Arial"/>
          <w:b/>
          <w:bCs/>
          <w:i/>
          <w:iCs/>
        </w:rPr>
      </w:pPr>
      <w:r w:rsidRPr="00635AB8">
        <w:rPr>
          <w:rFonts w:eastAsia="Arial" w:cs="Arial"/>
          <w:b/>
          <w:bCs/>
          <w:i/>
          <w:iCs/>
        </w:rPr>
        <w:t>Market expansion and revenue growth</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 xml:space="preserve">The international market provides scope for market expansion that helped Tesco to expand beyond the UK. For example, the company’s international business has generated sales of £9.2 billion and an operating profit of £465 million (Davey, 2025). As a result, Tesco's single-economy tendency is reduced. </w:t>
      </w:r>
    </w:p>
    <w:p w:rsidR="00A5322A" w:rsidRPr="00635AB8" w:rsidRDefault="00A5322A" w:rsidP="00A5322A">
      <w:pPr>
        <w:numPr>
          <w:ilvl w:val="0"/>
          <w:numId w:val="2"/>
        </w:numPr>
        <w:pBdr>
          <w:top w:val="nil"/>
          <w:left w:val="nil"/>
          <w:bottom w:val="nil"/>
          <w:right w:val="nil"/>
          <w:between w:val="nil"/>
        </w:pBdr>
        <w:spacing w:after="142"/>
        <w:rPr>
          <w:rFonts w:eastAsia="Arial" w:cs="Arial"/>
          <w:b/>
          <w:bCs/>
          <w:i/>
          <w:iCs/>
        </w:rPr>
      </w:pPr>
      <w:r w:rsidRPr="00635AB8">
        <w:rPr>
          <w:rFonts w:eastAsia="Arial" w:cs="Arial"/>
          <w:b/>
          <w:bCs/>
          <w:i/>
          <w:iCs/>
        </w:rPr>
        <w:t>Accessibility to resources</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lastRenderedPageBreak/>
        <w:t>International market operations are helping the company to establish a wider distribution network and logistical infrastructure across countries (</w:t>
      </w:r>
      <w:r w:rsidRPr="00635AB8">
        <w:rPr>
          <w:rFonts w:cs="Arial"/>
          <w:shd w:val="clear" w:color="auto" w:fill="FFFFFF"/>
        </w:rPr>
        <w:t xml:space="preserve">Al-Ababneh </w:t>
      </w:r>
      <w:r w:rsidRPr="00635AB8">
        <w:rPr>
          <w:rFonts w:cs="Arial"/>
          <w:i/>
          <w:shd w:val="clear" w:color="auto" w:fill="FFFFFF"/>
        </w:rPr>
        <w:t>et al.</w:t>
      </w:r>
      <w:r w:rsidRPr="00635AB8">
        <w:rPr>
          <w:rFonts w:cs="Arial"/>
          <w:shd w:val="clear" w:color="auto" w:fill="FFFFFF"/>
        </w:rPr>
        <w:t xml:space="preserve"> 2021</w:t>
      </w:r>
      <w:r w:rsidRPr="00635AB8">
        <w:rPr>
          <w:rFonts w:eastAsia="Arial" w:cs="Arial"/>
        </w:rPr>
        <w:t xml:space="preserve">). In this aspect, a strong workforce, accessibility to support from local suppliers will help Tesla to create value for sustainable development. As evidence, Tesco manages its regional business in Central Europe, where stores in Slovakia and the Czech Republic share up to one-third of their imported products. </w:t>
      </w:r>
    </w:p>
    <w:p w:rsidR="00A5322A" w:rsidRPr="00635AB8" w:rsidRDefault="00A5322A" w:rsidP="00A5322A">
      <w:pPr>
        <w:numPr>
          <w:ilvl w:val="0"/>
          <w:numId w:val="2"/>
        </w:numPr>
        <w:pBdr>
          <w:top w:val="nil"/>
          <w:left w:val="nil"/>
          <w:bottom w:val="nil"/>
          <w:right w:val="nil"/>
          <w:between w:val="nil"/>
        </w:pBdr>
        <w:spacing w:after="142"/>
        <w:rPr>
          <w:rFonts w:eastAsia="Arial" w:cs="Arial"/>
          <w:b/>
          <w:bCs/>
        </w:rPr>
      </w:pPr>
      <w:r w:rsidRPr="00635AB8">
        <w:rPr>
          <w:rFonts w:eastAsia="Arial" w:cs="Arial"/>
          <w:b/>
          <w:bCs/>
        </w:rPr>
        <w:t>Economies of Scale:</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International expansion enables Tesco to deal with significant economies of scale with regard to the wide scale of purchasing, sharing valuable logistics networks and centralisation of procurement processes. Notably, operating across multiple countries allows Tesco to negotiate for low supplier prices and optimization of distribution technologies (</w:t>
      </w:r>
      <w:r w:rsidRPr="00635AB8">
        <w:rPr>
          <w:rFonts w:eastAsia="Arial" w:cs="Arial"/>
          <w:highlight w:val="white"/>
        </w:rPr>
        <w:t>Fernie, 2023</w:t>
      </w:r>
      <w:r w:rsidRPr="00635AB8">
        <w:rPr>
          <w:rFonts w:eastAsia="Arial" w:cs="Arial"/>
        </w:rPr>
        <w:t xml:space="preserve">). These cost efficiencies allow for to reduction of per-unit expenses that will enable Tesco to communicate with competitive prices. </w:t>
      </w:r>
    </w:p>
    <w:p w:rsidR="00A5322A" w:rsidRPr="00635AB8" w:rsidRDefault="00A5322A" w:rsidP="00A5322A">
      <w:pPr>
        <w:numPr>
          <w:ilvl w:val="0"/>
          <w:numId w:val="2"/>
        </w:numPr>
        <w:pBdr>
          <w:top w:val="nil"/>
          <w:left w:val="nil"/>
          <w:bottom w:val="nil"/>
          <w:right w:val="nil"/>
          <w:between w:val="nil"/>
        </w:pBdr>
        <w:spacing w:after="142"/>
        <w:rPr>
          <w:rFonts w:eastAsia="Arial" w:cs="Arial"/>
          <w:b/>
          <w:bCs/>
          <w:i/>
          <w:iCs/>
        </w:rPr>
      </w:pPr>
      <w:r w:rsidRPr="00635AB8">
        <w:rPr>
          <w:rFonts w:eastAsia="Arial" w:cs="Arial"/>
          <w:b/>
          <w:bCs/>
          <w:i/>
          <w:iCs/>
        </w:rPr>
        <w:t>Managing brand recognition</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An international presence contributes to maintaining and developing Tesco’s global brand recognition. Not only can the brand values attract local investment and manpower in a new market, but the company can as well (</w:t>
      </w:r>
      <w:r w:rsidRPr="00635AB8">
        <w:rPr>
          <w:rFonts w:cs="Arial"/>
          <w:lang w:eastAsia="en-GB"/>
        </w:rPr>
        <w:t>Gupta, 2024</w:t>
      </w:r>
      <w:r w:rsidRPr="00635AB8">
        <w:rPr>
          <w:rFonts w:eastAsia="Arial" w:cs="Arial"/>
        </w:rPr>
        <w:t>). Hence, a resilient business structure can be created. In this aspect, a strong brand image can allow Tesco to reduce marketing costs, increasing customer loyalty along with supporting long-term positioning within competitive retail environments.</w:t>
      </w:r>
    </w:p>
    <w:p w:rsidR="00A5322A" w:rsidRPr="00635AB8" w:rsidRDefault="00A5322A" w:rsidP="00A5322A">
      <w:pPr>
        <w:numPr>
          <w:ilvl w:val="0"/>
          <w:numId w:val="2"/>
        </w:numPr>
        <w:pBdr>
          <w:top w:val="nil"/>
          <w:left w:val="nil"/>
          <w:bottom w:val="nil"/>
          <w:right w:val="nil"/>
          <w:between w:val="nil"/>
        </w:pBdr>
        <w:spacing w:after="142"/>
        <w:rPr>
          <w:rFonts w:eastAsia="Arial" w:cs="Arial"/>
          <w:b/>
          <w:bCs/>
          <w:i/>
          <w:iCs/>
        </w:rPr>
      </w:pPr>
      <w:r w:rsidRPr="00635AB8">
        <w:rPr>
          <w:rFonts w:eastAsia="Arial" w:cs="Arial"/>
          <w:b/>
          <w:bCs/>
          <w:i/>
          <w:iCs/>
        </w:rPr>
        <w:t xml:space="preserve">Innovation benefits </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Innovations such as automated warehouses, AI-driven Clubcard personalisation, and advanced supply-chain analytics are shared across countries, improving operational efficiency and customer experience. These benefits can be secured by Tesco in response to its expansion in the Thai market. It is helpful to enable the company to invest ahead of the competition and attain maximum market share (</w:t>
      </w:r>
      <w:r w:rsidRPr="00635AB8">
        <w:rPr>
          <w:rFonts w:eastAsia="Arial" w:cs="Arial"/>
          <w:highlight w:val="white"/>
        </w:rPr>
        <w:t>Ye and Dela, 2023</w:t>
      </w:r>
      <w:r w:rsidRPr="00635AB8">
        <w:rPr>
          <w:rFonts w:eastAsia="Arial" w:cs="Arial"/>
        </w:rPr>
        <w:t xml:space="preserve">). </w:t>
      </w:r>
    </w:p>
    <w:p w:rsidR="00A5322A" w:rsidRPr="00635AB8" w:rsidRDefault="00A5322A" w:rsidP="00A5322A">
      <w:pPr>
        <w:pBdr>
          <w:top w:val="nil"/>
          <w:left w:val="nil"/>
          <w:bottom w:val="nil"/>
          <w:right w:val="nil"/>
          <w:between w:val="nil"/>
        </w:pBdr>
        <w:spacing w:after="142"/>
        <w:rPr>
          <w:rFonts w:eastAsia="Arial" w:cs="Arial"/>
        </w:rPr>
      </w:pPr>
      <w:r w:rsidRPr="00635AB8">
        <w:rPr>
          <w:rFonts w:eastAsia="Arial" w:cs="Arial"/>
        </w:rPr>
        <w:t xml:space="preserve">Therefore, in short, Tesco's international business management is effective in generating revenue, managing innovation, strengthening the brand, and pursuing growth opportunities. Thus, overall strategic and financial performance can be improved. </w:t>
      </w:r>
    </w:p>
    <w:p w:rsidR="00A5322A" w:rsidRPr="00635AB8" w:rsidRDefault="00A5322A" w:rsidP="00A5322A">
      <w:pPr>
        <w:pStyle w:val="Heading1"/>
        <w:rPr>
          <w:rFonts w:eastAsia="Arial" w:cs="Arial"/>
          <w:color w:val="auto"/>
        </w:rPr>
      </w:pPr>
      <w:bookmarkStart w:id="7" w:name="_Toc216118102"/>
      <w:r w:rsidRPr="00635AB8">
        <w:rPr>
          <w:rFonts w:eastAsia="Arial" w:cs="Arial"/>
          <w:color w:val="auto"/>
        </w:rPr>
        <w:lastRenderedPageBreak/>
        <w:t>3. How the OLI factors (Ownership, Location and Internalisation) impact the international market entry mode for Tesco</w:t>
      </w:r>
      <w:bookmarkEnd w:id="7"/>
      <w:r w:rsidRPr="00635AB8">
        <w:rPr>
          <w:rFonts w:eastAsia="Arial" w:cs="Arial"/>
          <w:color w:val="auto"/>
        </w:rPr>
        <w:t xml:space="preserve"> </w:t>
      </w:r>
    </w:p>
    <w:p w:rsidR="00A5322A" w:rsidRPr="00635AB8" w:rsidRDefault="00A5322A" w:rsidP="00A5322A">
      <w:pPr>
        <w:spacing w:after="0"/>
        <w:rPr>
          <w:rFonts w:eastAsia="Arial" w:cs="Arial"/>
        </w:rPr>
      </w:pPr>
      <w:r w:rsidRPr="00635AB8">
        <w:rPr>
          <w:rFonts w:eastAsia="Arial" w:cs="Arial"/>
        </w:rPr>
        <w:t xml:space="preserve">The ownership, location and internalisation (OLI) variables of the Eclectic Paradigm by Dunning are the key factors affecting the decisions made by multinational corporations (MNCs) on the choice of a market entry mode. Tesco Plc, being a prominent MNC in the retail industry, provides a valuable example to study through the perspective of these OLI aspects with regard to its international expansion policies. </w:t>
      </w:r>
    </w:p>
    <w:p w:rsidR="00A5322A" w:rsidRPr="00635AB8" w:rsidRDefault="00A5322A" w:rsidP="00A5322A">
      <w:pPr>
        <w:spacing w:after="0"/>
        <w:rPr>
          <w:rFonts w:eastAsia="Arial" w:cs="Arial"/>
          <w:b/>
          <w:bCs/>
          <w:u w:val="single"/>
        </w:rPr>
      </w:pPr>
      <w:r w:rsidRPr="00635AB8">
        <w:rPr>
          <w:rFonts w:eastAsia="Arial" w:cs="Arial"/>
          <w:b/>
          <w:bCs/>
          <w:u w:val="single"/>
        </w:rPr>
        <w:t>Ownership Advantage</w:t>
      </w:r>
    </w:p>
    <w:p w:rsidR="00A5322A" w:rsidRPr="00635AB8" w:rsidRDefault="00A5322A" w:rsidP="00A5322A">
      <w:pPr>
        <w:spacing w:after="0"/>
        <w:rPr>
          <w:rFonts w:eastAsia="Arial" w:cs="Arial"/>
        </w:rPr>
      </w:pPr>
      <w:r w:rsidRPr="00635AB8">
        <w:rPr>
          <w:rFonts w:eastAsia="Arial" w:cs="Arial"/>
        </w:rPr>
        <w:t xml:space="preserve">The ownership advantages are firm-specific benefits, including proprietary technology, brand name, management and economies of scale, which provide a competitive advantage in international markets. The firm's benefits include strong brand recognition, data analytics through its Clubcard loyalty program, effective supply chain management, technological innovation (AI-based personalised marketing) and long experience in the retail industry (Collins and Gonçalves, 2022). </w:t>
      </w:r>
    </w:p>
    <w:p w:rsidR="00A5322A" w:rsidRPr="00635AB8" w:rsidRDefault="00A5322A" w:rsidP="00A5322A">
      <w:pPr>
        <w:spacing w:after="0"/>
        <w:jc w:val="center"/>
        <w:rPr>
          <w:rFonts w:eastAsia="Arial" w:cs="Arial"/>
        </w:rPr>
      </w:pPr>
      <w:r w:rsidRPr="00635AB8">
        <w:rPr>
          <w:rFonts w:eastAsia="Arial" w:cs="Arial"/>
          <w:noProof/>
          <w:lang w:val="en-IN" w:eastAsia="en-IN"/>
        </w:rPr>
        <w:drawing>
          <wp:inline distT="114300" distB="114300" distL="114300" distR="114300" wp14:anchorId="7AA8D98D" wp14:editId="3AAEE6D7">
            <wp:extent cx="4221480" cy="2110740"/>
            <wp:effectExtent l="0" t="0" r="0" b="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221480" cy="2110740"/>
                    </a:xfrm>
                    <a:prstGeom prst="rect">
                      <a:avLst/>
                    </a:prstGeom>
                    <a:ln/>
                  </pic:spPr>
                </pic:pic>
              </a:graphicData>
            </a:graphic>
          </wp:inline>
        </w:drawing>
      </w:r>
    </w:p>
    <w:p w:rsidR="00A5322A" w:rsidRPr="00635AB8" w:rsidRDefault="00A5322A" w:rsidP="00A5322A">
      <w:pPr>
        <w:spacing w:after="0"/>
        <w:jc w:val="center"/>
        <w:rPr>
          <w:rFonts w:eastAsia="Arial" w:cs="Arial"/>
          <w:b/>
          <w:bCs/>
        </w:rPr>
      </w:pPr>
      <w:r w:rsidRPr="00635AB8">
        <w:rPr>
          <w:rFonts w:eastAsia="Arial" w:cs="Arial"/>
          <w:b/>
          <w:bCs/>
        </w:rPr>
        <w:t>Figure 1: Tesco Clubcard</w:t>
      </w:r>
    </w:p>
    <w:p w:rsidR="00A5322A" w:rsidRPr="00635AB8" w:rsidRDefault="00A5322A" w:rsidP="00A5322A">
      <w:pPr>
        <w:spacing w:after="0"/>
        <w:jc w:val="center"/>
        <w:rPr>
          <w:rFonts w:eastAsia="Arial" w:cs="Arial"/>
        </w:rPr>
      </w:pPr>
      <w:r w:rsidRPr="00635AB8">
        <w:rPr>
          <w:rFonts w:eastAsia="Arial" w:cs="Arial"/>
        </w:rPr>
        <w:t>(Source: Collins and Gonçalves, 2022)</w:t>
      </w:r>
    </w:p>
    <w:p w:rsidR="00A5322A" w:rsidRPr="00635AB8" w:rsidRDefault="00A5322A" w:rsidP="00A5322A">
      <w:pPr>
        <w:spacing w:after="0"/>
        <w:rPr>
          <w:rFonts w:eastAsia="Arial" w:cs="Arial"/>
        </w:rPr>
      </w:pPr>
      <w:r w:rsidRPr="00635AB8">
        <w:rPr>
          <w:rFonts w:eastAsia="Arial" w:cs="Arial"/>
        </w:rPr>
        <w:t xml:space="preserve">As an illustration, Tesco's acquisition of Savit and Leader Price in Poland and Global stores in Hungary enabled fast market penetration and operational control in mature markets where it could effectively execute its own business model. The failed strategies of Tesco can also be attributed to the ownership advantage when Tesco entered the US through the Fresh and easy venture. </w:t>
      </w:r>
    </w:p>
    <w:p w:rsidR="00A5322A" w:rsidRPr="00635AB8" w:rsidRDefault="00A5322A" w:rsidP="00A5322A">
      <w:pPr>
        <w:spacing w:after="0"/>
        <w:rPr>
          <w:rFonts w:eastAsia="Arial" w:cs="Arial"/>
          <w:b/>
          <w:bCs/>
          <w:u w:val="single"/>
        </w:rPr>
      </w:pPr>
      <w:r w:rsidRPr="00635AB8">
        <w:rPr>
          <w:rFonts w:eastAsia="Arial" w:cs="Arial"/>
          <w:b/>
          <w:bCs/>
          <w:u w:val="single"/>
        </w:rPr>
        <w:t>Location Advantage</w:t>
      </w:r>
    </w:p>
    <w:p w:rsidR="00A5322A" w:rsidRPr="00635AB8" w:rsidRDefault="00A5322A" w:rsidP="00A5322A">
      <w:pPr>
        <w:spacing w:after="0"/>
        <w:rPr>
          <w:rFonts w:eastAsia="Arial" w:cs="Arial"/>
        </w:rPr>
      </w:pPr>
      <w:r w:rsidRPr="00635AB8">
        <w:rPr>
          <w:rFonts w:eastAsia="Arial" w:cs="Arial"/>
        </w:rPr>
        <w:lastRenderedPageBreak/>
        <w:t>Location advantage is country-specific and entails market size, economic conditions and access to resources, regulatory systems, consumer analysis, and cultural settings, which cause MNCs to enter a specific market. These location-specific conditions determine the entry modes Tesco chooses, the level of risk and the strategic fit. On the other hand, Tesco chose to pursue a joint venture with Samsung in the high-risk, culturally distinct emerging market of South Korea to implement a risk-mitigation strategy and leverage Samsung's existing knowledge and resources to overcome local consumer preferences and the regulatory environment (Petit, 2018).</w:t>
      </w:r>
    </w:p>
    <w:p w:rsidR="00A5322A" w:rsidRPr="00635AB8" w:rsidRDefault="00A5322A" w:rsidP="00A5322A">
      <w:pPr>
        <w:spacing w:after="0"/>
        <w:rPr>
          <w:rFonts w:eastAsia="Arial" w:cs="Arial"/>
          <w:b/>
          <w:bCs/>
          <w:u w:val="single"/>
        </w:rPr>
      </w:pPr>
      <w:r w:rsidRPr="00635AB8">
        <w:rPr>
          <w:rFonts w:eastAsia="Arial" w:cs="Arial"/>
          <w:b/>
          <w:bCs/>
          <w:u w:val="single"/>
        </w:rPr>
        <w:t>Internalization Advantage</w:t>
      </w:r>
    </w:p>
    <w:p w:rsidR="00A5322A" w:rsidRPr="00635AB8" w:rsidRDefault="00A5322A" w:rsidP="00A5322A">
      <w:pPr>
        <w:spacing w:after="0"/>
        <w:rPr>
          <w:rFonts w:eastAsia="Arial" w:cs="Arial"/>
        </w:rPr>
      </w:pPr>
      <w:r w:rsidRPr="00635AB8">
        <w:rPr>
          <w:rFonts w:eastAsia="Arial" w:cs="Arial"/>
        </w:rPr>
        <w:t>Internalisation benefits are the benefits of carrying out business inside the firm as opposed to the benefits of carrying out business outside the firm (in the external market (licensing or exporting) (</w:t>
      </w:r>
      <w:r w:rsidRPr="00635AB8">
        <w:rPr>
          <w:rFonts w:eastAsia="Arial" w:cs="Arial"/>
          <w:highlight w:val="white"/>
        </w:rPr>
        <w:t>Casson and Wadeson, 2018</w:t>
      </w:r>
      <w:r w:rsidRPr="00635AB8">
        <w:rPr>
          <w:rFonts w:eastAsia="Arial" w:cs="Arial"/>
        </w:rPr>
        <w:t>). Tesco has an internalisation advantage as it has chosen an ownership-based mode (acquisitions and Greenfield investments). One of the ways in which Tesco influences key value chain issues is through internalisation, which encompasses purchasing, inventory control, personalisation of marketing and after-sales services, all of which are necessary to ensure that the brand remains consistent and operational across geographies.</w:t>
      </w:r>
    </w:p>
    <w:p w:rsidR="00A5322A" w:rsidRPr="00635AB8" w:rsidRDefault="00A5322A" w:rsidP="00A5322A">
      <w:pPr>
        <w:spacing w:after="0"/>
        <w:rPr>
          <w:rFonts w:eastAsia="Arial" w:cs="Arial"/>
        </w:rPr>
      </w:pPr>
      <w:r w:rsidRPr="00635AB8">
        <w:rPr>
          <w:rFonts w:eastAsia="Arial" w:cs="Arial"/>
        </w:rPr>
        <w:t>As an illustration, Tesco has been able to adopt its HR practices, operational standards and cultural adaptation initiatives as well as safeguard its technological advantage and quality of customer service, by internalising operations in Thailand through wholly owned subsidiaries. This is exemplified by Tesco's withdrawal from the US, where a lack of internalisation led to an inability to understand local consumer behaviour (‌Petit, 2018). Therefore, having well-developed internalisation practices allows Tesco to leverage its ownership advantages in a globally distributed value chain with firm-wide integration, which is vital in a highly competitive retail industry where service rates and supply chain efficiency are the main determinants of success.</w:t>
      </w:r>
    </w:p>
    <w:p w:rsidR="00A5322A" w:rsidRPr="00635AB8" w:rsidRDefault="00A5322A" w:rsidP="00A5322A">
      <w:pPr>
        <w:spacing w:after="0"/>
        <w:rPr>
          <w:rFonts w:eastAsia="Arial" w:cs="Arial"/>
          <w:b/>
          <w:bCs/>
        </w:rPr>
      </w:pPr>
      <w:r w:rsidRPr="00635AB8">
        <w:rPr>
          <w:rFonts w:eastAsia="Arial" w:cs="Arial"/>
          <w:b/>
          <w:bCs/>
        </w:rPr>
        <w:t>Connecting OLI factors to the choice of market entry mode for the selected emerging economy</w:t>
      </w:r>
    </w:p>
    <w:p w:rsidR="00A5322A" w:rsidRPr="00635AB8" w:rsidRDefault="00A5322A" w:rsidP="00A5322A">
      <w:pPr>
        <w:spacing w:after="0"/>
        <w:rPr>
          <w:rFonts w:eastAsia="Arial" w:cs="Arial"/>
        </w:rPr>
      </w:pPr>
      <w:r w:rsidRPr="00635AB8">
        <w:rPr>
          <w:rFonts w:eastAsia="Arial" w:cs="Arial"/>
        </w:rPr>
        <w:t xml:space="preserve">The OLI framework is quite strong in shaping Tesco's strategies for international market entry mode, which is acquisition. The need to exploit its competitive advantages stems from ownership advantages, which drive Tesco to control by leading to acquisitions and </w:t>
      </w:r>
      <w:r w:rsidRPr="00635AB8">
        <w:rPr>
          <w:rFonts w:eastAsia="Arial" w:cs="Arial"/>
        </w:rPr>
        <w:lastRenderedPageBreak/>
        <w:t>Greenfield investments in stable, developed markets. Moreover, location benefits determine risk and access, leading Tesco to select joint ventures and strategic alliances in new and culturally distant markets to distribute risk and acquire insights into local markets. Overall, Tesco's globalisation strategy reveals that ownership, location and internalisation benefits are all important factors in determining entry mode decisions, which have allowed the organisation to balance control, risk and market opportunities in various global markets.</w:t>
      </w:r>
    </w:p>
    <w:p w:rsidR="00A5322A" w:rsidRPr="00635AB8" w:rsidRDefault="00A5322A" w:rsidP="00A5322A">
      <w:pPr>
        <w:spacing w:after="0"/>
        <w:rPr>
          <w:rFonts w:eastAsia="Arial" w:cs="Arial"/>
          <w:b/>
          <w:bCs/>
        </w:rPr>
      </w:pPr>
      <w:r w:rsidRPr="00635AB8">
        <w:rPr>
          <w:rFonts w:eastAsia="Arial" w:cs="Arial"/>
          <w:b/>
          <w:bCs/>
        </w:rPr>
        <w:t>Examples from the company’s international strategy</w:t>
      </w:r>
    </w:p>
    <w:p w:rsidR="00A5322A" w:rsidRPr="00635AB8" w:rsidRDefault="00A5322A" w:rsidP="00A5322A">
      <w:pPr>
        <w:spacing w:after="0"/>
        <w:rPr>
          <w:rFonts w:eastAsia="Arial" w:cs="Arial"/>
        </w:rPr>
      </w:pPr>
      <w:r w:rsidRPr="00635AB8">
        <w:rPr>
          <w:rFonts w:eastAsia="Arial" w:cs="Arial"/>
        </w:rPr>
        <w:t>The internationalisation strategy of Tesco mentions that the company leverages structured expansion models to adapt to diverse markets while maintaining operational control. The key example can be presented that its acquisition-led growth in Central Europe, where Tesco purchased Savit and Leader Price in Poland and Global stores in Hungary. On the other hand, Tesco’s strategic joint venture with Samsung in South Korea demonstrated its capacity to integrate local technological expertise into a high-growth market. Eventually, it resulted in the successful Homeplus brand. The green field expansion is most prominent in Ireland, which shows how Tesco capitalised on cultural similarity and economic stability to fully transplant its business model. Therefore, all of these examples collectively mention that the company follows a multi-mode international strategy driven by control, adaptability and long-term market positioning.</w:t>
      </w:r>
    </w:p>
    <w:p w:rsidR="00A5322A" w:rsidRPr="00635AB8" w:rsidRDefault="00A5322A" w:rsidP="00A5322A">
      <w:pPr>
        <w:spacing w:after="0"/>
        <w:rPr>
          <w:rFonts w:eastAsia="Arial" w:cs="Arial"/>
          <w:b/>
          <w:bCs/>
        </w:rPr>
      </w:pPr>
      <w:r w:rsidRPr="00635AB8">
        <w:rPr>
          <w:rFonts w:eastAsia="Arial" w:cs="Arial"/>
          <w:b/>
          <w:bCs/>
        </w:rPr>
        <w:t xml:space="preserve">Discussing which factor is dominant and why </w:t>
      </w:r>
    </w:p>
    <w:p w:rsidR="00A5322A" w:rsidRPr="00635AB8" w:rsidRDefault="00A5322A" w:rsidP="00A5322A">
      <w:pPr>
        <w:spacing w:after="0"/>
        <w:rPr>
          <w:rFonts w:eastAsia="Arial" w:cs="Arial"/>
        </w:rPr>
      </w:pPr>
      <w:r w:rsidRPr="00635AB8">
        <w:rPr>
          <w:rFonts w:eastAsia="Arial" w:cs="Arial"/>
        </w:rPr>
        <w:t>Based on the advantages, the location factor can be considered as dominant. Economic maturity, domestic competition and the strictness of regulations are among the location factors that determine Tesco's entry mode choice. High cultural distance and regulatory complexity in emerging markets are driving Tesco to adopt joint ventures or strategic alliances to share risks and gain domestic knowledge, as reflected in its partnership with China Resources Enterprise in China. Tesco is present in more than 10 countries in Europe and Asia through different entry modes, such as joint ventures in South Korea, acquisitions in Central Europe and strategic alliances in China and Ireland, all of which are based on location-specific strategic considerations. It highlights the point that effective internationalisation requires a dynamic balancing of OLI factors, which should be supplemented by cultural flexibility and local sensitivity.</w:t>
      </w:r>
    </w:p>
    <w:p w:rsidR="00A5322A" w:rsidRPr="00635AB8" w:rsidRDefault="00A5322A" w:rsidP="00A5322A">
      <w:pPr>
        <w:spacing w:after="0"/>
        <w:rPr>
          <w:rFonts w:eastAsia="Arial" w:cs="Arial"/>
          <w:b/>
          <w:bCs/>
        </w:rPr>
      </w:pPr>
      <w:r w:rsidRPr="00635AB8">
        <w:rPr>
          <w:rFonts w:eastAsia="Arial" w:cs="Arial"/>
          <w:b/>
          <w:bCs/>
        </w:rPr>
        <w:lastRenderedPageBreak/>
        <w:t>Superior competitive capabilities in ownership</w:t>
      </w:r>
    </w:p>
    <w:p w:rsidR="00A5322A" w:rsidRDefault="00A5322A" w:rsidP="00A5322A">
      <w:pPr>
        <w:spacing w:after="0"/>
        <w:rPr>
          <w:rFonts w:eastAsia="Arial" w:cs="Arial"/>
        </w:rPr>
      </w:pPr>
      <w:r w:rsidRPr="00635AB8">
        <w:rPr>
          <w:rFonts w:eastAsia="Arial" w:cs="Arial"/>
        </w:rPr>
        <w:t>The ownership advantage has a significant bearing on the acquisition choice that Tesco has used as its dominant market-entry mode. Through acquisitions, Tesco is able to take its proprietary systems and operating experience into new markets within a short time. One of the most prominent advantages is its advanced data analytics capability through the Clubcard loyalty programme. This advantage supports the company to optimise inventory, pricing and promotions more effectively than many competitors. Additionally, the company has also benefited from technological innovation, particularly its AI-led forecasting, waste reduction technologies and digital retail platforms. Thus, it can be mentioned that all of these ownership-based capabilities are effective in developing a competitive base, which is allowing Tesco to transfer its organisational system and managerial expertise into new international markets with high efficiency.</w:t>
      </w: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Pr="00635AB8" w:rsidRDefault="00484CF3" w:rsidP="00A5322A">
      <w:pPr>
        <w:spacing w:after="0"/>
        <w:rPr>
          <w:rFonts w:eastAsia="Arial" w:cs="Arial"/>
          <w:b/>
          <w:bCs/>
        </w:rPr>
      </w:pPr>
    </w:p>
    <w:p w:rsidR="00A5322A" w:rsidRPr="00635AB8" w:rsidRDefault="00A5322A" w:rsidP="00A5322A">
      <w:pPr>
        <w:pStyle w:val="Heading1"/>
        <w:rPr>
          <w:rFonts w:eastAsia="Arial" w:cs="Arial"/>
          <w:color w:val="auto"/>
        </w:rPr>
      </w:pPr>
      <w:bookmarkStart w:id="8" w:name="_Toc216118103"/>
      <w:r w:rsidRPr="00635AB8">
        <w:rPr>
          <w:rFonts w:eastAsia="Arial" w:cs="Arial"/>
          <w:color w:val="auto"/>
        </w:rPr>
        <w:lastRenderedPageBreak/>
        <w:t>4. How cultural differences between the home country of the company and the chosen emerging economy could impact both the company’s market entry strategy and its potential for success in that market</w:t>
      </w:r>
      <w:bookmarkEnd w:id="8"/>
    </w:p>
    <w:p w:rsidR="00A5322A" w:rsidRPr="00635AB8" w:rsidRDefault="00A5322A" w:rsidP="00A5322A">
      <w:pPr>
        <w:spacing w:after="0"/>
        <w:rPr>
          <w:rFonts w:eastAsia="Arial" w:cs="Arial"/>
        </w:rPr>
      </w:pPr>
      <w:r w:rsidRPr="00635AB8">
        <w:rPr>
          <w:rFonts w:eastAsia="Arial" w:cs="Arial"/>
        </w:rPr>
        <w:t xml:space="preserve">Entering Thailand can be an opportunity for Tesco as the country has a strong economy, a rapidly modernising retail sector, along with an increasing level of middle-class consumption. It is quite evident that Thailand's cultural environment differs from the UK and this must influence how Tesco designs its market entry strategy and operational approach. As mentioned by </w:t>
      </w:r>
      <w:r w:rsidRPr="00635AB8">
        <w:rPr>
          <w:rFonts w:eastAsia="Arial" w:cs="Arial"/>
          <w:highlight w:val="white"/>
        </w:rPr>
        <w:t>Su (2022</w:t>
      </w:r>
      <w:r w:rsidRPr="00635AB8">
        <w:rPr>
          <w:rFonts w:eastAsia="Arial" w:cs="Arial"/>
        </w:rPr>
        <w:t xml:space="preserve">), the Hofstede cultural dimensions theory is effective for comparing key aspects of the cultures of different countries. The comparative discussion is developed below- </w:t>
      </w:r>
    </w:p>
    <w:p w:rsidR="00A5322A" w:rsidRPr="00635AB8" w:rsidRDefault="00A5322A" w:rsidP="00A5322A">
      <w:pPr>
        <w:spacing w:after="0"/>
        <w:jc w:val="center"/>
        <w:rPr>
          <w:rFonts w:eastAsia="Arial" w:cs="Arial"/>
        </w:rPr>
      </w:pPr>
      <w:r w:rsidRPr="00635AB8">
        <w:rPr>
          <w:rFonts w:eastAsia="Arial" w:cs="Arial"/>
          <w:noProof/>
          <w:lang w:val="en-IN" w:eastAsia="en-IN"/>
        </w:rPr>
        <w:drawing>
          <wp:inline distT="0" distB="0" distL="0" distR="0" wp14:anchorId="62DAA03E" wp14:editId="78425811">
            <wp:extent cx="5943600" cy="3197225"/>
            <wp:effectExtent l="0" t="0" r="0" b="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197225"/>
                    </a:xfrm>
                    <a:prstGeom prst="rect">
                      <a:avLst/>
                    </a:prstGeom>
                    <a:ln/>
                  </pic:spPr>
                </pic:pic>
              </a:graphicData>
            </a:graphic>
          </wp:inline>
        </w:drawing>
      </w:r>
    </w:p>
    <w:p w:rsidR="00A5322A" w:rsidRPr="00635AB8" w:rsidRDefault="00A5322A" w:rsidP="00A5322A">
      <w:pPr>
        <w:spacing w:after="0"/>
        <w:jc w:val="center"/>
        <w:rPr>
          <w:rFonts w:eastAsia="Arial" w:cs="Arial"/>
          <w:b/>
          <w:bCs/>
        </w:rPr>
      </w:pPr>
      <w:r w:rsidRPr="00635AB8">
        <w:rPr>
          <w:rFonts w:eastAsia="Arial" w:cs="Arial"/>
          <w:b/>
          <w:bCs/>
        </w:rPr>
        <w:t xml:space="preserve">Figure 2: Hofstede country comparison </w:t>
      </w:r>
    </w:p>
    <w:p w:rsidR="00A5322A" w:rsidRPr="00635AB8" w:rsidRDefault="00A5322A" w:rsidP="00A5322A">
      <w:pPr>
        <w:spacing w:after="0"/>
        <w:jc w:val="center"/>
        <w:rPr>
          <w:rFonts w:eastAsia="Arial" w:cs="Arial"/>
        </w:rPr>
      </w:pPr>
      <w:r w:rsidRPr="00635AB8">
        <w:rPr>
          <w:rFonts w:eastAsia="Arial" w:cs="Arial"/>
        </w:rPr>
        <w:t>(Source: The Culture Factor Group, 2025)</w:t>
      </w:r>
    </w:p>
    <w:p w:rsidR="00A5322A" w:rsidRPr="00635AB8" w:rsidRDefault="00A5322A" w:rsidP="00A5322A">
      <w:pPr>
        <w:numPr>
          <w:ilvl w:val="0"/>
          <w:numId w:val="3"/>
        </w:numPr>
        <w:pBdr>
          <w:top w:val="nil"/>
          <w:left w:val="nil"/>
          <w:bottom w:val="nil"/>
          <w:right w:val="nil"/>
          <w:between w:val="nil"/>
        </w:pBdr>
        <w:spacing w:after="0"/>
        <w:rPr>
          <w:rFonts w:eastAsia="Arial" w:cs="Arial"/>
          <w:b/>
          <w:bCs/>
          <w:i/>
          <w:iCs/>
        </w:rPr>
      </w:pPr>
      <w:r w:rsidRPr="00635AB8">
        <w:rPr>
          <w:rFonts w:eastAsia="Arial" w:cs="Arial"/>
          <w:b/>
          <w:bCs/>
          <w:i/>
          <w:iCs/>
        </w:rPr>
        <w:t xml:space="preserve">Power distance </w:t>
      </w:r>
    </w:p>
    <w:p w:rsidR="00A5322A" w:rsidRPr="00635AB8" w:rsidRDefault="00A5322A" w:rsidP="00A5322A">
      <w:pPr>
        <w:spacing w:after="0"/>
        <w:rPr>
          <w:rFonts w:eastAsia="Arial" w:cs="Arial"/>
        </w:rPr>
      </w:pPr>
      <w:r w:rsidRPr="00635AB8">
        <w:rPr>
          <w:rFonts w:eastAsia="Arial" w:cs="Arial"/>
        </w:rPr>
        <w:t xml:space="preserve">In this regard, the score is low, which is based on a flat organisational hierarchy and decentralised decision-making. On the other hand, Thailand has scored 64, indicating that decision-making is centralised and that employees are less likely to challenge instructions (The Culture Factor Group, 2025). A high power-distance culture means Tesco cannot rely on a UK-style decentralised management approach when entering </w:t>
      </w:r>
      <w:r w:rsidRPr="00635AB8">
        <w:rPr>
          <w:rFonts w:eastAsia="Arial" w:cs="Arial"/>
        </w:rPr>
        <w:lastRenderedPageBreak/>
        <w:t>Thailand. In such a situation, a joint venture will be effective as Thai partners can guide Tesco in navigating hierarchical business norms. In order to have business success in the host country, however, Tesco needs to emphasise on structured chains of command, formal reporting systems, and leadership training that aligns with Thai expectations (</w:t>
      </w:r>
      <w:r w:rsidRPr="00635AB8">
        <w:rPr>
          <w:rFonts w:eastAsia="Arial" w:cs="Arial"/>
          <w:highlight w:val="white"/>
        </w:rPr>
        <w:t>Ziliani and Ieva, 2025</w:t>
      </w:r>
      <w:r w:rsidRPr="00635AB8">
        <w:rPr>
          <w:rFonts w:eastAsia="Arial" w:cs="Arial"/>
        </w:rPr>
        <w:t>). In case Tesco fails to adapt to Thailand’s hierarchy-driven management expectations, there will be a high scope of conflicts between UK-trained managers and Thai staff that can undermine operational stability and customer service quality. Hence, it becomes evident that if the hierarchical structure is not focused on employee engagement, union relations, and customer-facing management will be affected in the new country.</w:t>
      </w:r>
    </w:p>
    <w:p w:rsidR="00A5322A" w:rsidRPr="00635AB8" w:rsidRDefault="00A5322A" w:rsidP="00A5322A">
      <w:pPr>
        <w:numPr>
          <w:ilvl w:val="0"/>
          <w:numId w:val="3"/>
        </w:numPr>
        <w:pBdr>
          <w:top w:val="nil"/>
          <w:left w:val="nil"/>
          <w:bottom w:val="nil"/>
          <w:right w:val="nil"/>
          <w:between w:val="nil"/>
        </w:pBdr>
        <w:spacing w:after="0"/>
        <w:rPr>
          <w:rFonts w:eastAsia="Arial" w:cs="Arial"/>
          <w:b/>
          <w:bCs/>
          <w:i/>
          <w:iCs/>
        </w:rPr>
      </w:pPr>
      <w:r w:rsidRPr="00635AB8">
        <w:rPr>
          <w:rFonts w:eastAsia="Arial" w:cs="Arial"/>
          <w:b/>
          <w:bCs/>
          <w:i/>
          <w:iCs/>
        </w:rPr>
        <w:t xml:space="preserve">Individualism vs. Collectivism </w:t>
      </w:r>
    </w:p>
    <w:p w:rsidR="00A5322A" w:rsidRPr="00635AB8" w:rsidRDefault="00A5322A" w:rsidP="00A5322A">
      <w:pPr>
        <w:spacing w:after="0"/>
        <w:rPr>
          <w:rFonts w:eastAsia="Arial" w:cs="Arial"/>
        </w:rPr>
      </w:pPr>
      <w:r w:rsidRPr="00635AB8">
        <w:rPr>
          <w:rFonts w:eastAsia="Arial" w:cs="Arial"/>
        </w:rPr>
        <w:t>The UK's score for individualism is higher, reflecting personal achievement, self-expression, and autonomy. In contrast, Thailand's 20 score indicates collectivism and prioritising group harmony (The Culture Factor Group, 2025). Collectivist societies are built on trust-building, local partnerships, and long-term commitment, whereas individualist corporate cultures may prefer standardised operational models. In contrast to this, collectivist culture prioritises harmony over influence of aggressiveness, which means Tesco should focus on localisation to avoid the risk of cultural disconnection. In order to gain business success, Tesco needs to focus on relationship-building with suppliers, community leaders, regulators and employees. Staff motivation can be managed through team cohesion. Therefore, considering “people in mass” can support the company to maintain a stable business base in Thailand upon entering.</w:t>
      </w:r>
    </w:p>
    <w:p w:rsidR="00A5322A" w:rsidRPr="00635AB8" w:rsidRDefault="00A5322A" w:rsidP="00A5322A">
      <w:pPr>
        <w:numPr>
          <w:ilvl w:val="0"/>
          <w:numId w:val="3"/>
        </w:numPr>
        <w:pBdr>
          <w:top w:val="nil"/>
          <w:left w:val="nil"/>
          <w:bottom w:val="nil"/>
          <w:right w:val="nil"/>
          <w:between w:val="nil"/>
        </w:pBdr>
        <w:spacing w:after="0"/>
        <w:rPr>
          <w:rFonts w:eastAsia="Arial" w:cs="Arial"/>
          <w:b/>
          <w:bCs/>
          <w:i/>
          <w:iCs/>
        </w:rPr>
      </w:pPr>
      <w:r w:rsidRPr="00635AB8">
        <w:rPr>
          <w:rFonts w:eastAsia="Arial" w:cs="Arial"/>
          <w:b/>
          <w:bCs/>
          <w:i/>
          <w:iCs/>
        </w:rPr>
        <w:t xml:space="preserve">Masculinity vs. Femininity </w:t>
      </w:r>
    </w:p>
    <w:p w:rsidR="00A5322A" w:rsidRPr="00635AB8" w:rsidRDefault="00A5322A" w:rsidP="00A5322A">
      <w:pPr>
        <w:spacing w:after="0"/>
        <w:rPr>
          <w:rFonts w:eastAsia="Arial" w:cs="Arial"/>
        </w:rPr>
      </w:pPr>
      <w:r w:rsidRPr="00635AB8">
        <w:rPr>
          <w:rFonts w:eastAsia="Arial" w:cs="Arial"/>
        </w:rPr>
        <w:t xml:space="preserve">It is seen that the UK's masculinity score is 66, whereas the score in Thailand is 34 (The Culture Factor Group, 2025). Hence, UK culture is automatically competitive and achievement-oriented, while Thai culture is feminine, valuing cooperation, modesty and quality of life. In a feminine culture, “market-dominance” is considered as negative. From this perspective, the entering company can leverage social responsibility, customer care and community welfare to shape its brand identity in a new market. It is true that adaptation can be helpful to retain and develop service quality. Tesco can gain success by following these norms while entering Thailand. Without the adoption of cooperative </w:t>
      </w:r>
      <w:r w:rsidRPr="00635AB8">
        <w:rPr>
          <w:rFonts w:eastAsia="Arial" w:cs="Arial"/>
        </w:rPr>
        <w:lastRenderedPageBreak/>
        <w:t xml:space="preserve">culture in Thailand, Tesco may face critical risks that may slow down the process of consumer acceptance of its strong brand power. </w:t>
      </w:r>
    </w:p>
    <w:p w:rsidR="00A5322A" w:rsidRPr="00635AB8" w:rsidRDefault="00A5322A" w:rsidP="00A5322A">
      <w:pPr>
        <w:numPr>
          <w:ilvl w:val="0"/>
          <w:numId w:val="3"/>
        </w:numPr>
        <w:pBdr>
          <w:top w:val="nil"/>
          <w:left w:val="nil"/>
          <w:bottom w:val="nil"/>
          <w:right w:val="nil"/>
          <w:between w:val="nil"/>
        </w:pBdr>
        <w:spacing w:after="0"/>
        <w:rPr>
          <w:rFonts w:eastAsia="Arial" w:cs="Arial"/>
          <w:b/>
          <w:bCs/>
          <w:i/>
          <w:iCs/>
        </w:rPr>
      </w:pPr>
      <w:r w:rsidRPr="00635AB8">
        <w:rPr>
          <w:rFonts w:eastAsia="Arial" w:cs="Arial"/>
          <w:b/>
          <w:bCs/>
          <w:i/>
          <w:iCs/>
        </w:rPr>
        <w:t xml:space="preserve">Uncertainty Avoidance </w:t>
      </w:r>
    </w:p>
    <w:p w:rsidR="00A5322A" w:rsidRPr="00635AB8" w:rsidRDefault="00A5322A" w:rsidP="00A5322A">
      <w:pPr>
        <w:spacing w:after="0"/>
        <w:rPr>
          <w:rFonts w:eastAsia="Arial" w:cs="Arial"/>
        </w:rPr>
      </w:pPr>
      <w:r w:rsidRPr="00635AB8">
        <w:rPr>
          <w:rFonts w:eastAsia="Arial" w:cs="Arial"/>
        </w:rPr>
        <w:t>The score of the UK in this aspect is 35, whereas the score for Thailand is 92. From this, it is assumed that the UK goes well with ambiguity and flexible rules, whereas Thai people prefer rules, structure, stability and predictability. Hence, it will be necessary for the company to choose such an entry strategy that has a lower risk level, such as partnerships. Besides, as the Thai consumers mostly rely on the reputed brands (HKTDC, 2025). In the UK, Tesco follows self-checkout, automation, and experimentation, while the Thai shoppers may prefer traditional service interactions before adopting new processes. If the company fails to retain brand trust in the Thai market, it will hamper its business stability. Operational stability, strong communication as well as reliable service quality can help secure long-term loyalty (</w:t>
      </w:r>
      <w:r w:rsidRPr="00635AB8">
        <w:rPr>
          <w:rFonts w:eastAsia="Arial" w:cs="Arial"/>
          <w:highlight w:val="white"/>
        </w:rPr>
        <w:t xml:space="preserve">Kosasih </w:t>
      </w:r>
      <w:r w:rsidRPr="00635AB8">
        <w:rPr>
          <w:rFonts w:eastAsia="Arial" w:cs="Arial"/>
          <w:i/>
          <w:iCs/>
          <w:highlight w:val="white"/>
        </w:rPr>
        <w:t>et al</w:t>
      </w:r>
      <w:r w:rsidRPr="00635AB8">
        <w:rPr>
          <w:rFonts w:eastAsia="Arial" w:cs="Arial"/>
          <w:highlight w:val="white"/>
        </w:rPr>
        <w:t>. 2024</w:t>
      </w:r>
      <w:r w:rsidRPr="00635AB8">
        <w:rPr>
          <w:rFonts w:eastAsia="Arial" w:cs="Arial"/>
        </w:rPr>
        <w:t xml:space="preserve">). On the contrary, in case Tesco mostly prioritises automated UK-style systems too quickly that may force them to avoid unfamiliar shopping formats that can also damage initial market entry benefits. </w:t>
      </w:r>
    </w:p>
    <w:p w:rsidR="00A5322A" w:rsidRPr="00635AB8" w:rsidRDefault="00A5322A" w:rsidP="00A5322A">
      <w:pPr>
        <w:numPr>
          <w:ilvl w:val="0"/>
          <w:numId w:val="3"/>
        </w:numPr>
        <w:pBdr>
          <w:top w:val="nil"/>
          <w:left w:val="nil"/>
          <w:bottom w:val="nil"/>
          <w:right w:val="nil"/>
          <w:between w:val="nil"/>
        </w:pBdr>
        <w:spacing w:after="0"/>
        <w:rPr>
          <w:rFonts w:eastAsia="Arial" w:cs="Arial"/>
          <w:b/>
          <w:bCs/>
          <w:i/>
          <w:iCs/>
        </w:rPr>
      </w:pPr>
      <w:r w:rsidRPr="00635AB8">
        <w:rPr>
          <w:rFonts w:eastAsia="Arial" w:cs="Arial"/>
          <w:b/>
          <w:bCs/>
          <w:i/>
          <w:iCs/>
        </w:rPr>
        <w:t>Long-Term Orientation</w:t>
      </w:r>
    </w:p>
    <w:p w:rsidR="00A5322A" w:rsidRPr="00635AB8" w:rsidRDefault="00A5322A" w:rsidP="00A5322A">
      <w:pPr>
        <w:spacing w:after="0"/>
        <w:rPr>
          <w:rFonts w:eastAsia="Arial" w:cs="Arial"/>
        </w:rPr>
      </w:pPr>
      <w:r w:rsidRPr="00635AB8">
        <w:rPr>
          <w:rFonts w:eastAsia="Arial" w:cs="Arial"/>
        </w:rPr>
        <w:t>The UK score indicates a balanced orientation between short- and long-term thinking, whereas in Thailand a short-term orientation predominates, focusing on social obligations and immediate results (The Culture Factor Group, 2025). In this regard, Tesco needs to execute its long-term global strategy through quick wins, visible benefits and community engagement early in its market entry. However, a global long-term strategy without early tangible results will lead to failure in the context of attracting Thai consumers who consistently expect instant value and making localisation essential prior to early survival (</w:t>
      </w:r>
      <w:r w:rsidRPr="00635AB8">
        <w:rPr>
          <w:rFonts w:eastAsia="Arial" w:cs="Arial"/>
          <w:highlight w:val="white"/>
        </w:rPr>
        <w:t xml:space="preserve">Saka </w:t>
      </w:r>
      <w:r w:rsidRPr="00635AB8">
        <w:rPr>
          <w:rFonts w:eastAsia="Arial" w:cs="Arial"/>
          <w:i/>
          <w:iCs/>
          <w:highlight w:val="white"/>
        </w:rPr>
        <w:t>et al.</w:t>
      </w:r>
      <w:r w:rsidRPr="00635AB8">
        <w:rPr>
          <w:rFonts w:eastAsia="Arial" w:cs="Arial"/>
          <w:highlight w:val="white"/>
        </w:rPr>
        <w:t xml:space="preserve"> 2025</w:t>
      </w:r>
      <w:r w:rsidRPr="00635AB8">
        <w:rPr>
          <w:rFonts w:eastAsia="Arial" w:cs="Arial"/>
        </w:rPr>
        <w:t xml:space="preserve">). As a result of this, their brand visibility can be improved through short-term promotions, local hiring commitments, and immediate improvements to customer experience. Consistent pricing, frequent promotions, and regular engagement in local festivals or cultural events will be needed for the company to make its brand reliable upon entering the Thai market. </w:t>
      </w:r>
    </w:p>
    <w:p w:rsidR="00A5322A" w:rsidRPr="00635AB8" w:rsidRDefault="00A5322A" w:rsidP="00A5322A">
      <w:pPr>
        <w:numPr>
          <w:ilvl w:val="0"/>
          <w:numId w:val="3"/>
        </w:numPr>
        <w:pBdr>
          <w:top w:val="nil"/>
          <w:left w:val="nil"/>
          <w:bottom w:val="nil"/>
          <w:right w:val="nil"/>
          <w:between w:val="nil"/>
        </w:pBdr>
        <w:spacing w:after="0"/>
        <w:rPr>
          <w:rFonts w:eastAsia="Arial" w:cs="Arial"/>
          <w:b/>
          <w:bCs/>
          <w:i/>
          <w:iCs/>
        </w:rPr>
      </w:pPr>
      <w:r w:rsidRPr="00635AB8">
        <w:rPr>
          <w:rFonts w:eastAsia="Arial" w:cs="Arial"/>
          <w:b/>
          <w:bCs/>
          <w:i/>
          <w:iCs/>
        </w:rPr>
        <w:t xml:space="preserve">Indulgence vs. Restraint </w:t>
      </w:r>
    </w:p>
    <w:p w:rsidR="00A5322A" w:rsidRPr="00635AB8" w:rsidRDefault="00A5322A" w:rsidP="00A5322A">
      <w:pPr>
        <w:rPr>
          <w:rFonts w:eastAsia="Arial" w:cs="Arial"/>
        </w:rPr>
      </w:pPr>
      <w:r w:rsidRPr="00635AB8">
        <w:rPr>
          <w:rFonts w:eastAsia="Arial" w:cs="Arial"/>
        </w:rPr>
        <w:t xml:space="preserve">The score in this regard highlights that the UK is best suited for leisure spending, whereas Thailand prefers restrained spending habits, shaped by social norms and economic </w:t>
      </w:r>
      <w:r w:rsidRPr="00635AB8">
        <w:rPr>
          <w:rFonts w:eastAsia="Arial" w:cs="Arial"/>
        </w:rPr>
        <w:lastRenderedPageBreak/>
        <w:t>caution (PwC, 2025). Tesco can adopt its merchandising mix as the Thai people prefer practical value, savings, quality and functionality. On the contrary, failure to adapt pricing and product values in Thailand's restraint-oriented culture can lead to significant levels of misalignment with consumer expectations, along with weak sales performance (</w:t>
      </w:r>
      <w:r w:rsidRPr="00635AB8">
        <w:rPr>
          <w:rFonts w:eastAsia="Arial" w:cs="Arial"/>
          <w:highlight w:val="white"/>
        </w:rPr>
        <w:t>Shidore, 2022</w:t>
      </w:r>
      <w:r w:rsidRPr="00635AB8">
        <w:rPr>
          <w:rFonts w:eastAsia="Arial" w:cs="Arial"/>
        </w:rPr>
        <w:t>). This, in turn, will also be necessary to ensure the company’s long-term brand growth.</w:t>
      </w:r>
    </w:p>
    <w:p w:rsidR="00A5322A" w:rsidRDefault="00A5322A" w:rsidP="00A5322A">
      <w:pPr>
        <w:rPr>
          <w:rFonts w:eastAsia="Arial" w:cs="Arial"/>
        </w:rPr>
      </w:pPr>
      <w:r w:rsidRPr="00635AB8">
        <w:rPr>
          <w:rFonts w:eastAsia="Arial" w:cs="Arial"/>
        </w:rPr>
        <w:t>Thus, it can be clearly stated that the analysis can encourage the company to move towards joint ventures and acquisitions rather than full ownership. Hence, it is needless to state that as soon as Tesco aligns them with Thai culture, their business can find a path to success in the Thai market. Cultural adaptation is not optional, but it is a strategic requirement for long-term viability in Thailand’s competitive retail landscape.</w:t>
      </w: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484CF3" w:rsidRDefault="00484CF3" w:rsidP="00A5322A">
      <w:pPr>
        <w:rPr>
          <w:rFonts w:eastAsia="Arial" w:cs="Arial"/>
        </w:rPr>
      </w:pPr>
    </w:p>
    <w:p w:rsidR="00A5322A" w:rsidRPr="00635AB8" w:rsidRDefault="00A5322A" w:rsidP="00A5322A">
      <w:pPr>
        <w:pStyle w:val="Heading1"/>
        <w:rPr>
          <w:rFonts w:eastAsia="Arial" w:cs="Arial"/>
          <w:color w:val="auto"/>
        </w:rPr>
      </w:pPr>
      <w:bookmarkStart w:id="9" w:name="_Toc216118104"/>
      <w:r w:rsidRPr="00635AB8">
        <w:rPr>
          <w:rFonts w:eastAsia="Arial" w:cs="Arial"/>
          <w:color w:val="auto"/>
        </w:rPr>
        <w:lastRenderedPageBreak/>
        <w:t>5. Recommending three major adjustments the chosen company may need to consider in their Standard Operating Procedures (SOPs) to ensure success</w:t>
      </w:r>
      <w:bookmarkEnd w:id="9"/>
      <w:r w:rsidRPr="00635AB8">
        <w:rPr>
          <w:rFonts w:eastAsia="Arial" w:cs="Arial"/>
          <w:color w:val="auto"/>
        </w:rPr>
        <w:t xml:space="preserve"> </w:t>
      </w:r>
    </w:p>
    <w:p w:rsidR="00A5322A" w:rsidRPr="00635AB8" w:rsidRDefault="00A5322A" w:rsidP="00A5322A">
      <w:pPr>
        <w:spacing w:after="0"/>
        <w:rPr>
          <w:rFonts w:eastAsia="Arial" w:cs="Arial"/>
        </w:rPr>
      </w:pPr>
      <w:r w:rsidRPr="00635AB8">
        <w:rPr>
          <w:rFonts w:eastAsia="Arial" w:cs="Arial"/>
        </w:rPr>
        <w:t>In order to enter successfully and manage the business process without any immediate barriers in Thailand, Tesco needs to adapt its Standard Operating Procedures (SOPs) in ways that account for both the firm’s strategic advantages under the OLI framework and the substantial cultural differences identified through Hofstede’s model. It can be mentioned that if their operating system will be refined, it will lead the organisation to fulfil Thailand’s high power distance, collectivism, high uncertainty avoidance, short-term orientation, and moderate restraint (The Culture Factor Group, 2025). Therefore, the discussion below focuses on three critical SOP adjustments that can help Tesco achieve business success upon entering the new market and managing operations.</w:t>
      </w:r>
    </w:p>
    <w:p w:rsidR="00A5322A" w:rsidRPr="00635AB8" w:rsidRDefault="00A5322A" w:rsidP="00A5322A">
      <w:pPr>
        <w:spacing w:after="0"/>
        <w:rPr>
          <w:rFonts w:eastAsia="Arial" w:cs="Arial"/>
          <w:b/>
          <w:bCs/>
          <w:i/>
          <w:iCs/>
          <w:u w:val="single"/>
        </w:rPr>
      </w:pPr>
      <w:r w:rsidRPr="00635AB8">
        <w:rPr>
          <w:rFonts w:eastAsia="Arial" w:cs="Arial"/>
          <w:b/>
          <w:bCs/>
          <w:i/>
          <w:iCs/>
          <w:u w:val="single"/>
        </w:rPr>
        <w:t>SOP adjustment 1: Localised Leadership, Communication and HR Management Frameworks</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Its importance </w:t>
      </w:r>
    </w:p>
    <w:p w:rsidR="00A5322A" w:rsidRPr="00635AB8" w:rsidRDefault="00A5322A" w:rsidP="00A5322A">
      <w:pPr>
        <w:spacing w:after="0"/>
        <w:rPr>
          <w:rFonts w:eastAsia="Arial" w:cs="Arial"/>
        </w:rPr>
      </w:pPr>
      <w:r w:rsidRPr="00635AB8">
        <w:rPr>
          <w:rFonts w:eastAsia="Arial" w:cs="Arial"/>
        </w:rPr>
        <w:t>A higher score of power distance in the Thai market directly contrasts with the UK's more egalitarian structure. It can be mentioned that due to high power distance, the employees may need clear hierarchies, centralised authority and respect for seniority. At the same time, high collectivism is based on relational management and community-based incentives (The Culture Factor Group, 2025). On the other hand, Tesco's UK-based ownership includes empowerment, decentralised decision-making, and performance-driven HR systems. Hence, to adapt to Thailand's evolving culture, Tesco needs to localise its managerial SOPs.</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Key aspects for adjustment </w:t>
      </w:r>
    </w:p>
    <w:p w:rsidR="00A5322A" w:rsidRPr="00635AB8" w:rsidRDefault="00A5322A" w:rsidP="00A5322A">
      <w:pPr>
        <w:spacing w:after="0"/>
        <w:rPr>
          <w:rFonts w:eastAsia="Arial" w:cs="Arial"/>
        </w:rPr>
      </w:pPr>
      <w:r w:rsidRPr="00635AB8">
        <w:rPr>
          <w:rFonts w:eastAsia="Arial" w:cs="Arial"/>
        </w:rPr>
        <w:t>The company needs to adopt formalised hierarchical reporting structures. Upon entering the Thai market, it will be necessary to revise its HR and leadership SOPs to incorporate defined chains of command, formal escalation channels, along with visible senior leadership presence at the store level. This can be helpful to maintain firm control within the organisation and Thai expectations of stability will be met. Secondly, the company can introduce relationship-based HR policies by adopting a team culture rather than a reward culture (</w:t>
      </w:r>
      <w:r w:rsidRPr="00635AB8">
        <w:rPr>
          <w:rFonts w:eastAsia="Arial" w:cs="Arial"/>
          <w:highlight w:val="white"/>
        </w:rPr>
        <w:t>Madhani, 2021</w:t>
      </w:r>
      <w:r w:rsidRPr="00635AB8">
        <w:rPr>
          <w:rFonts w:eastAsia="Arial" w:cs="Arial"/>
        </w:rPr>
        <w:t xml:space="preserve">). Thirdly, the high-context communication protocols need </w:t>
      </w:r>
      <w:r w:rsidRPr="00635AB8">
        <w:rPr>
          <w:rFonts w:eastAsia="Arial" w:cs="Arial"/>
        </w:rPr>
        <w:lastRenderedPageBreak/>
        <w:t>to be incorporated based on respect, indirectness, and saving face. In this regard, the company's SOPs can include protocols for avoiding public criticism and for politeness. It can be assumed that this adjustment can be beneficial for reducing turnover, improving customer service scores and aligning with Thailand's feminine and collectivist cultural values.</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Strategic impact </w:t>
      </w:r>
    </w:p>
    <w:p w:rsidR="00A5322A" w:rsidRPr="00635AB8" w:rsidRDefault="00A5322A" w:rsidP="00A5322A">
      <w:pPr>
        <w:spacing w:after="0"/>
        <w:rPr>
          <w:rFonts w:eastAsia="Arial" w:cs="Arial"/>
        </w:rPr>
      </w:pPr>
      <w:r w:rsidRPr="00635AB8">
        <w:rPr>
          <w:rFonts w:eastAsia="Arial" w:cs="Arial"/>
        </w:rPr>
        <w:t xml:space="preserve">By aligning the OLI framework, it can be stated that the HR system needs to be reformed in line with Thai culture, rather than simply transferred, to avoid cultural conflict. Additionally, the location advantage can be mentioned as Thai labour markets reward hierarchical respect and relational management. On the contrary, SOPs of Tesco will need to be aligned with local people’s preferences for communication and support that can help to optimise their performance strategically while expanding in the Thailand market. It can be mentioned that localised yet internalised HR SOPs give Tesco consistent performance standards while remaining culturally compliant. </w:t>
      </w:r>
    </w:p>
    <w:p w:rsidR="00A5322A" w:rsidRPr="00635AB8" w:rsidRDefault="00A5322A" w:rsidP="00A5322A">
      <w:pPr>
        <w:spacing w:after="0"/>
        <w:rPr>
          <w:rFonts w:eastAsia="Arial" w:cs="Arial"/>
          <w:b/>
          <w:bCs/>
          <w:i/>
          <w:iCs/>
          <w:u w:val="single"/>
        </w:rPr>
      </w:pPr>
      <w:r w:rsidRPr="00635AB8">
        <w:rPr>
          <w:rFonts w:eastAsia="Arial" w:cs="Arial"/>
          <w:b/>
          <w:bCs/>
          <w:i/>
          <w:iCs/>
          <w:u w:val="single"/>
        </w:rPr>
        <w:t>SOP adjustment 2: Localised Customer Experience, Merchandising, and Service-Delivery Standards</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Its importance </w:t>
      </w:r>
    </w:p>
    <w:p w:rsidR="00A5322A" w:rsidRPr="00635AB8" w:rsidRDefault="00A5322A" w:rsidP="00A5322A">
      <w:pPr>
        <w:spacing w:after="0"/>
        <w:rPr>
          <w:rFonts w:eastAsia="Arial" w:cs="Arial"/>
        </w:rPr>
      </w:pPr>
      <w:r w:rsidRPr="00635AB8">
        <w:rPr>
          <w:rFonts w:eastAsia="Arial" w:cs="Arial"/>
        </w:rPr>
        <w:t xml:space="preserve">The key aspects of the cultural profile shape the consumer behaviour in different ways. First of all, purchasing decisions are influenced by family preferences and community norms. The feminine culture is focused on caregiving, friendliness as well as managing a good quality of life (The Culture Factor Group, 2025). Lastly, the moderate restraint reduces impulse-buying culture compared to indulgent markets like the UK. Considering all the aspects, it is evident that UK-based customer experience SOPs such as self-service, efficiency-driven layouts, short staff interactions and high personal choice may not support the company if they are not determined to adopt. </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Key aspects for adjustment </w:t>
      </w:r>
    </w:p>
    <w:p w:rsidR="00A5322A" w:rsidRPr="00635AB8" w:rsidRDefault="00A5322A" w:rsidP="00A5322A">
      <w:pPr>
        <w:spacing w:after="0"/>
        <w:rPr>
          <w:rFonts w:eastAsia="Arial" w:cs="Arial"/>
        </w:rPr>
      </w:pPr>
      <w:r w:rsidRPr="00635AB8">
        <w:rPr>
          <w:rFonts w:eastAsia="Arial" w:cs="Arial"/>
        </w:rPr>
        <w:t xml:space="preserve">The first adjustment the company can make is based on personalised, service-intensive customer interaction routines. It has been proven that Thai customers are focused on hospitality and relational engagement. The SOPs can be designed to emphasise guided assistance rather than self-checkout, to provide proactive help for baby boomers and elderly shoppers, and to ensure staff are present in the fresh store section. These can </w:t>
      </w:r>
      <w:r w:rsidRPr="00635AB8">
        <w:rPr>
          <w:rFonts w:eastAsia="Arial" w:cs="Arial"/>
        </w:rPr>
        <w:lastRenderedPageBreak/>
        <w:t>meet the needs of a collectivist culture. Secondly, culturally adapted merchandising and product assortment can be considered. The SOPs at this level can incorporate traditional festival products highlighted (Loy Krathong, Songkran), family-value packs emphasised over individual portions, as well as less shelf space for “treat-yourself indulgence" categories. These can meet Thailand's restrained culture. Thirdly, predictable, stability-focused service delivery can be focused. Through predictability, Tesco can build trust in the Thai market, where brand loyalty is built on reliability.</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Strategic impact </w:t>
      </w:r>
    </w:p>
    <w:p w:rsidR="00A5322A" w:rsidRPr="00635AB8" w:rsidRDefault="00A5322A" w:rsidP="00A5322A">
      <w:pPr>
        <w:spacing w:after="0"/>
        <w:rPr>
          <w:rFonts w:eastAsia="Arial" w:cs="Arial"/>
        </w:rPr>
      </w:pPr>
      <w:r w:rsidRPr="00635AB8">
        <w:rPr>
          <w:rFonts w:eastAsia="Arial" w:cs="Arial"/>
        </w:rPr>
        <w:t>By connecting the OLI framework, it can be suggested that Tesco's superior data capabilities can be used to tailor product assortments based on local preferences. On the contrary, the lack of market research to determine local people’s preferences affected international brands to reach customer satisfaction (</w:t>
      </w:r>
      <w:r w:rsidRPr="00635AB8">
        <w:rPr>
          <w:rFonts w:eastAsia="Arial" w:cs="Arial"/>
          <w:highlight w:val="white"/>
        </w:rPr>
        <w:t xml:space="preserve">Ilieva </w:t>
      </w:r>
      <w:r w:rsidRPr="00635AB8">
        <w:rPr>
          <w:rFonts w:eastAsia="Arial" w:cs="Arial"/>
          <w:i/>
          <w:iCs/>
          <w:highlight w:val="white"/>
        </w:rPr>
        <w:t>et al.</w:t>
      </w:r>
      <w:r w:rsidRPr="00635AB8">
        <w:rPr>
          <w:rFonts w:eastAsia="Arial" w:cs="Arial"/>
          <w:highlight w:val="white"/>
        </w:rPr>
        <w:t xml:space="preserve"> 2024</w:t>
      </w:r>
      <w:r w:rsidRPr="00635AB8">
        <w:rPr>
          <w:rFonts w:eastAsia="Arial" w:cs="Arial"/>
        </w:rPr>
        <w:t>). However, local food preferences can help Tesco to derive the value of strategic performance resilience. The location can provide an advantage in terms of requiring a culturally grounded service model. Control over service quality can ensure brand consistency across Thai branches.</w:t>
      </w:r>
    </w:p>
    <w:p w:rsidR="00A5322A" w:rsidRPr="00635AB8" w:rsidRDefault="00A5322A" w:rsidP="00A5322A">
      <w:pPr>
        <w:spacing w:after="0"/>
        <w:rPr>
          <w:rFonts w:eastAsia="Arial" w:cs="Arial"/>
        </w:rPr>
      </w:pPr>
      <w:r w:rsidRPr="00635AB8">
        <w:rPr>
          <w:rFonts w:eastAsia="Arial" w:cs="Arial"/>
        </w:rPr>
        <w:t xml:space="preserve">Through these adjustments, the brand acceptance of Tesco can be developed in Thailand. </w:t>
      </w:r>
    </w:p>
    <w:p w:rsidR="00A5322A" w:rsidRPr="00635AB8" w:rsidRDefault="00A5322A" w:rsidP="00A5322A">
      <w:pPr>
        <w:spacing w:after="0"/>
        <w:rPr>
          <w:rFonts w:eastAsia="Arial" w:cs="Arial"/>
          <w:b/>
          <w:bCs/>
          <w:i/>
          <w:iCs/>
          <w:u w:val="single"/>
        </w:rPr>
      </w:pPr>
      <w:r w:rsidRPr="00635AB8">
        <w:rPr>
          <w:rFonts w:eastAsia="Arial" w:cs="Arial"/>
          <w:b/>
          <w:bCs/>
          <w:i/>
          <w:iCs/>
          <w:u w:val="single"/>
        </w:rPr>
        <w:t>SOP adjustment 3: Supply-Chain, Sourcing and Partnership Protocols Tailored to Thai Cultural and Institutional Norms</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Its importance </w:t>
      </w:r>
    </w:p>
    <w:p w:rsidR="00A5322A" w:rsidRPr="00635AB8" w:rsidRDefault="00A5322A" w:rsidP="00A5322A">
      <w:pPr>
        <w:spacing w:after="0"/>
        <w:rPr>
          <w:rFonts w:eastAsia="Arial" w:cs="Arial"/>
        </w:rPr>
      </w:pPr>
      <w:r w:rsidRPr="00635AB8">
        <w:rPr>
          <w:rFonts w:eastAsia="Arial" w:cs="Arial"/>
        </w:rPr>
        <w:t xml:space="preserve">Thailand’s collectivism, high uncertainty avoidance and long-standing relationship-based business culture require loyalty-based supply partnerships (The Culture Factor Group, 2025). Moreover, it is seen that the Thai suppliers prefer long-term relationships and stable procurement policies. The ownership advantage of Tesco's UK-based supply chain relies on competition and rapid contract and cost optimisation, which may hamper business relationships in Thailand if not adapted. </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Key aspects for adjustment </w:t>
      </w:r>
    </w:p>
    <w:p w:rsidR="00A5322A" w:rsidRPr="00635AB8" w:rsidRDefault="00A5322A" w:rsidP="00A5322A">
      <w:pPr>
        <w:spacing w:after="0"/>
        <w:rPr>
          <w:rFonts w:eastAsia="Arial" w:cs="Arial"/>
        </w:rPr>
      </w:pPr>
      <w:r w:rsidRPr="00635AB8">
        <w:rPr>
          <w:rFonts w:eastAsia="Arial" w:cs="Arial"/>
        </w:rPr>
        <w:t xml:space="preserve">The adjustments are based on Relationship-based supplier engagement SOPs. In this regard, Tesco can focus on long-term contracts guaranteeing predictable demand and supplier-centred development programmes. These can be linked with the feminine culture of Thailand by emphasising partnership over competition. Secondly, increased local </w:t>
      </w:r>
      <w:r w:rsidRPr="00635AB8">
        <w:rPr>
          <w:rFonts w:eastAsia="Arial" w:cs="Arial"/>
        </w:rPr>
        <w:lastRenderedPageBreak/>
        <w:t>sourcing and culturally adapted quality-control systems can be effective. In order to build trust and reduce the risk of uncertainty, fresh-food sourcing should prioritise domestic suppliers, joint quality assurance training programmes should be introduced and SOPs must be based on Thai agricultural practices. These can support the company to respect Thailand’s local norms (</w:t>
      </w:r>
      <w:r w:rsidRPr="00635AB8">
        <w:rPr>
          <w:rFonts w:eastAsia="Arial" w:cs="Arial"/>
          <w:highlight w:val="white"/>
        </w:rPr>
        <w:t>Suwannarat, 2023</w:t>
      </w:r>
      <w:r w:rsidRPr="00635AB8">
        <w:rPr>
          <w:rFonts w:eastAsia="Arial" w:cs="Arial"/>
        </w:rPr>
        <w:t>). Under the category of regulatory and bureaucratic compliance SOPs, Government liaison roles and strong documentation systems to align with uncertainty avoidance will be needed. This increases operational stability and protects Tesco from legal or reputational risks.</w:t>
      </w:r>
    </w:p>
    <w:p w:rsidR="00A5322A" w:rsidRPr="00635AB8" w:rsidRDefault="00A5322A" w:rsidP="00A5322A">
      <w:pPr>
        <w:numPr>
          <w:ilvl w:val="0"/>
          <w:numId w:val="3"/>
        </w:numPr>
        <w:pBdr>
          <w:top w:val="nil"/>
          <w:left w:val="nil"/>
          <w:bottom w:val="nil"/>
          <w:right w:val="nil"/>
          <w:between w:val="nil"/>
        </w:pBdr>
        <w:spacing w:after="0"/>
        <w:rPr>
          <w:rFonts w:eastAsia="Arial" w:cs="Arial"/>
          <w:b/>
          <w:bCs/>
        </w:rPr>
      </w:pPr>
      <w:r w:rsidRPr="00635AB8">
        <w:rPr>
          <w:rFonts w:eastAsia="Arial" w:cs="Arial"/>
          <w:b/>
          <w:bCs/>
        </w:rPr>
        <w:t xml:space="preserve">Strategic impact </w:t>
      </w:r>
    </w:p>
    <w:p w:rsidR="00A5322A" w:rsidRPr="00635AB8" w:rsidRDefault="00A5322A" w:rsidP="00A5322A">
      <w:pPr>
        <w:spacing w:after="0"/>
        <w:rPr>
          <w:rFonts w:eastAsia="Arial" w:cs="Arial"/>
        </w:rPr>
      </w:pPr>
      <w:r w:rsidRPr="00635AB8">
        <w:rPr>
          <w:rFonts w:eastAsia="Arial" w:cs="Arial"/>
        </w:rPr>
        <w:t>By connecting with the OLI framework, it can be mentioned that Tesco’s advanced logistics systems can be localised to support Thai suppliers. Based on location advantage, Thailand’s agricultural strength offers local sourcing potential that can uplift cost competitiveness (</w:t>
      </w:r>
      <w:r w:rsidRPr="00635AB8">
        <w:rPr>
          <w:rFonts w:eastAsia="Arial" w:cs="Arial"/>
          <w:highlight w:val="white"/>
        </w:rPr>
        <w:t xml:space="preserve">Suwanmaneepong </w:t>
      </w:r>
      <w:r w:rsidRPr="00635AB8">
        <w:rPr>
          <w:rFonts w:eastAsia="Arial" w:cs="Arial"/>
          <w:i/>
          <w:iCs/>
          <w:highlight w:val="white"/>
        </w:rPr>
        <w:t>et al.</w:t>
      </w:r>
      <w:r w:rsidRPr="00635AB8">
        <w:rPr>
          <w:rFonts w:eastAsia="Arial" w:cs="Arial"/>
          <w:highlight w:val="white"/>
        </w:rPr>
        <w:t xml:space="preserve"> 2024</w:t>
      </w:r>
      <w:r w:rsidRPr="00635AB8">
        <w:rPr>
          <w:rFonts w:eastAsia="Arial" w:cs="Arial"/>
        </w:rPr>
        <w:t xml:space="preserve">). Tesco must focus on developing partnerships with agricultural firms in Thailand to deal with ethical sourcing. At the same time, managing supply-chain control while building strong relationships balances efficiency with legitimacy. However, before a partnership, Tesco must review the sustainability report of suppliers; otherwise, it may impose a burden of greenwashing to gain competitiveness. </w:t>
      </w:r>
    </w:p>
    <w:p w:rsidR="00484CF3" w:rsidRDefault="00A5322A" w:rsidP="00484CF3">
      <w:pPr>
        <w:spacing w:after="0"/>
        <w:rPr>
          <w:rFonts w:eastAsia="Arial" w:cs="Arial"/>
        </w:rPr>
      </w:pPr>
      <w:r w:rsidRPr="00635AB8">
        <w:rPr>
          <w:rFonts w:eastAsia="Arial" w:cs="Arial"/>
        </w:rPr>
        <w:t xml:space="preserve">Therefore, from the above discussion, it is clear that these three adjustments are essential for Tesco’s successful internationalisation into Thailand. It is noted that until or unless Tesco will be able to adjust to the cultural needs in the Thai market, attracting and retaining customers can always be an issue in the new market range. </w:t>
      </w:r>
      <w:bookmarkStart w:id="10" w:name="_Toc216118105"/>
    </w:p>
    <w:p w:rsidR="00484CF3" w:rsidRDefault="00484CF3" w:rsidP="00484CF3">
      <w:pPr>
        <w:spacing w:after="0"/>
        <w:rPr>
          <w:rFonts w:eastAsia="Arial" w:cs="Arial"/>
        </w:rPr>
      </w:pPr>
    </w:p>
    <w:p w:rsidR="00484CF3" w:rsidRDefault="00484CF3" w:rsidP="00484CF3">
      <w:pPr>
        <w:spacing w:after="0"/>
        <w:rPr>
          <w:rFonts w:eastAsia="Arial" w:cs="Arial"/>
        </w:rPr>
      </w:pPr>
    </w:p>
    <w:p w:rsidR="00484CF3" w:rsidRDefault="00484CF3" w:rsidP="00484CF3">
      <w:pPr>
        <w:spacing w:after="0"/>
        <w:rPr>
          <w:rFonts w:eastAsia="Arial" w:cs="Arial"/>
        </w:rPr>
      </w:pPr>
    </w:p>
    <w:p w:rsidR="00484CF3" w:rsidRDefault="00484CF3" w:rsidP="00484CF3">
      <w:pPr>
        <w:spacing w:after="0"/>
        <w:rPr>
          <w:rFonts w:eastAsia="Arial" w:cs="Arial"/>
        </w:rPr>
      </w:pPr>
    </w:p>
    <w:p w:rsidR="00484CF3" w:rsidRDefault="00484CF3" w:rsidP="00484CF3">
      <w:pPr>
        <w:spacing w:after="0"/>
        <w:rPr>
          <w:rFonts w:eastAsia="Arial" w:cs="Arial"/>
        </w:rPr>
      </w:pPr>
    </w:p>
    <w:p w:rsidR="00484CF3" w:rsidRPr="00484CF3" w:rsidRDefault="00484CF3" w:rsidP="00484CF3">
      <w:pPr>
        <w:spacing w:after="0"/>
        <w:rPr>
          <w:rFonts w:eastAsia="Arial"/>
        </w:rPr>
      </w:pPr>
    </w:p>
    <w:p w:rsidR="00A5322A" w:rsidRPr="00635AB8" w:rsidRDefault="00A5322A" w:rsidP="00A5322A">
      <w:pPr>
        <w:pStyle w:val="Heading1"/>
        <w:rPr>
          <w:rFonts w:eastAsia="Arial" w:cs="Arial"/>
          <w:color w:val="auto"/>
        </w:rPr>
      </w:pPr>
      <w:bookmarkStart w:id="11" w:name="_GoBack"/>
      <w:r w:rsidRPr="00635AB8">
        <w:rPr>
          <w:rFonts w:eastAsia="Arial" w:cs="Arial"/>
          <w:color w:val="auto"/>
        </w:rPr>
        <w:lastRenderedPageBreak/>
        <w:t>6. Conclusion to the report</w:t>
      </w:r>
      <w:bookmarkEnd w:id="10"/>
    </w:p>
    <w:bookmarkEnd w:id="11"/>
    <w:p w:rsidR="00A5322A" w:rsidRPr="00635AB8" w:rsidRDefault="00A5322A" w:rsidP="00A5322A">
      <w:pPr>
        <w:spacing w:after="0"/>
        <w:rPr>
          <w:rFonts w:eastAsia="Arial" w:cs="Arial"/>
        </w:rPr>
      </w:pPr>
      <w:r w:rsidRPr="00635AB8">
        <w:rPr>
          <w:rFonts w:eastAsia="Arial" w:cs="Arial"/>
        </w:rPr>
        <w:t xml:space="preserve">It can be concluded that Tesco's internationalisation into an emerging market is the outcome of firm-specific advantages and host-country cultural, institutional, and market conditions. It is identified that data-driven retail systems, supply-chain efficiency and brand reputation can be the ownership advantages for Tesco and it can enhance the company’s international expansion. The analysis highlights that cultural differences between the two countries may affect Tesco's marketing functions, but consumer behaviour and employee relations must be prioritised. Hofstede’s cultural dimensions clearly illustrate this gap, based on markets with high power distance, strong collectivism, along with elevated uncertainty avoidance and long-term orientation, such as in Thailand, which require significant adaptation. </w:t>
      </w:r>
    </w:p>
    <w:p w:rsidR="00A5322A" w:rsidRDefault="00A5322A" w:rsidP="00A5322A">
      <w:pPr>
        <w:spacing w:after="0"/>
        <w:rPr>
          <w:rFonts w:eastAsia="Arial" w:cs="Arial"/>
        </w:rPr>
      </w:pPr>
      <w:r w:rsidRPr="00635AB8">
        <w:rPr>
          <w:rFonts w:eastAsia="Arial" w:cs="Arial"/>
        </w:rPr>
        <w:t xml:space="preserve">The part of SOP adjustments, including localised HR systems, culturally aligned customer-experience operations and adaptive supply-chain protocols, emphasise the fact that standardisation must be balanced with sensitivity to host-country norms. Throughout the report, the discussion focuses on Tesco's internationalisation process and how its marketing strategies can impact it. It can be presented that the company has its own base of innovation and is also managing greater innovation and development recently, so it is evident that the company’s reputation and well-developed business functions are helping it grow and expand its market into new countries. Therefore, Tesco should follow ethical sourcing and dealing with localisation advantage can allow it to strengthen its competitiveness to optimise long-term sustainability. </w:t>
      </w: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Default="00484CF3" w:rsidP="00A5322A">
      <w:pPr>
        <w:spacing w:after="0"/>
        <w:rPr>
          <w:rFonts w:eastAsia="Arial" w:cs="Arial"/>
        </w:rPr>
      </w:pPr>
    </w:p>
    <w:p w:rsidR="00484CF3" w:rsidRPr="00367E4F" w:rsidRDefault="00484CF3" w:rsidP="00A5322A">
      <w:pPr>
        <w:spacing w:after="0"/>
        <w:rPr>
          <w:rFonts w:eastAsia="Arial" w:cs="Arial"/>
        </w:rPr>
      </w:pPr>
    </w:p>
    <w:p w:rsidR="00A5322A" w:rsidRPr="00635AB8" w:rsidRDefault="00A5322A" w:rsidP="00A5322A">
      <w:pPr>
        <w:pStyle w:val="Heading1"/>
        <w:rPr>
          <w:rFonts w:eastAsia="Arial" w:cs="Arial"/>
          <w:color w:val="auto"/>
        </w:rPr>
      </w:pPr>
      <w:bookmarkStart w:id="12" w:name="_Toc216118106"/>
      <w:r w:rsidRPr="00635AB8">
        <w:rPr>
          <w:rFonts w:eastAsia="Arial" w:cs="Arial"/>
          <w:color w:val="auto"/>
        </w:rPr>
        <w:lastRenderedPageBreak/>
        <w:t>References</w:t>
      </w:r>
      <w:bookmarkEnd w:id="12"/>
      <w:r w:rsidRPr="00635AB8">
        <w:rPr>
          <w:rFonts w:eastAsia="Arial" w:cs="Arial"/>
          <w:color w:val="auto"/>
        </w:rPr>
        <w:t xml:space="preserve"> </w:t>
      </w:r>
    </w:p>
    <w:p w:rsidR="00A5322A" w:rsidRPr="00635AB8" w:rsidRDefault="00A5322A" w:rsidP="00A5322A">
      <w:pPr>
        <w:spacing w:before="280" w:after="280"/>
        <w:rPr>
          <w:rFonts w:cs="Arial"/>
          <w:shd w:val="clear" w:color="auto" w:fill="FFFFFF"/>
        </w:rPr>
      </w:pPr>
      <w:r w:rsidRPr="00635AB8">
        <w:rPr>
          <w:rFonts w:cs="Arial"/>
          <w:shd w:val="clear" w:color="auto" w:fill="FFFFFF"/>
        </w:rPr>
        <w:t>Al-Ababneh, H.A., Dumanska, I., Derkach, E., Sokhetska, A. and Kemarska, L., (2021). Integration of logistics systems of developing countries into international logistics channels. </w:t>
      </w:r>
      <w:r w:rsidRPr="00635AB8">
        <w:rPr>
          <w:rFonts w:cs="Arial"/>
          <w:i/>
          <w:iCs/>
          <w:shd w:val="clear" w:color="auto" w:fill="FFFFFF"/>
        </w:rPr>
        <w:t>Acta logistica</w:t>
      </w:r>
      <w:r w:rsidRPr="00635AB8">
        <w:rPr>
          <w:rFonts w:cs="Arial"/>
          <w:shd w:val="clear" w:color="auto" w:fill="FFFFFF"/>
        </w:rPr>
        <w:t>, </w:t>
      </w:r>
      <w:r w:rsidRPr="00635AB8">
        <w:rPr>
          <w:rFonts w:cs="Arial"/>
          <w:i/>
          <w:iCs/>
          <w:shd w:val="clear" w:color="auto" w:fill="FFFFFF"/>
        </w:rPr>
        <w:t>8</w:t>
      </w:r>
      <w:r w:rsidRPr="00635AB8">
        <w:rPr>
          <w:rFonts w:cs="Arial"/>
          <w:shd w:val="clear" w:color="auto" w:fill="FFFFFF"/>
        </w:rPr>
        <w:t xml:space="preserve">(4), pp.329-340. </w:t>
      </w:r>
      <w:hyperlink r:id="rId10" w:history="1">
        <w:r w:rsidRPr="00635AB8">
          <w:rPr>
            <w:rStyle w:val="Hyperlink"/>
            <w:rFonts w:cs="Arial"/>
            <w:shd w:val="clear" w:color="auto" w:fill="FFFFFF"/>
          </w:rPr>
          <w:t>http://www.actalogistica.eu/issues/2021/IV_2021_03_AL-Ababneh_Dumanska_Derkach_Sokhetska_Kemarska.pdf</w:t>
        </w:r>
      </w:hyperlink>
    </w:p>
    <w:p w:rsidR="00A5322A" w:rsidRPr="00635AB8" w:rsidRDefault="00A5322A" w:rsidP="00A5322A">
      <w:pPr>
        <w:spacing w:before="280" w:after="280"/>
        <w:rPr>
          <w:rFonts w:eastAsia="Arial" w:cs="Arial"/>
          <w:highlight w:val="white"/>
        </w:rPr>
      </w:pPr>
      <w:r w:rsidRPr="00635AB8">
        <w:rPr>
          <w:rFonts w:eastAsia="Arial" w:cs="Arial"/>
          <w:highlight w:val="white"/>
        </w:rPr>
        <w:t xml:space="preserve">Brouthers, K.D., Chen, L., Li, S., and Shaheer, N. (2022). Charting new courses to enter foreign markets: Conceptualisation, theoretical framework, and research directions on non-traditional entry modes. </w:t>
      </w:r>
      <w:r w:rsidRPr="00635AB8">
        <w:rPr>
          <w:rFonts w:eastAsia="Arial" w:cs="Arial"/>
          <w:i/>
          <w:iCs/>
          <w:highlight w:val="white"/>
        </w:rPr>
        <w:t>Journal of International Business Studies</w:t>
      </w:r>
      <w:r w:rsidRPr="00635AB8">
        <w:rPr>
          <w:rFonts w:eastAsia="Arial" w:cs="Arial"/>
          <w:highlight w:val="white"/>
        </w:rPr>
        <w:t>, </w:t>
      </w:r>
      <w:r w:rsidRPr="00635AB8">
        <w:rPr>
          <w:rFonts w:eastAsia="Arial" w:cs="Arial"/>
          <w:i/>
          <w:iCs/>
          <w:highlight w:val="white"/>
        </w:rPr>
        <w:t>53</w:t>
      </w:r>
      <w:r w:rsidRPr="00635AB8">
        <w:rPr>
          <w:rFonts w:eastAsia="Arial" w:cs="Arial"/>
          <w:highlight w:val="white"/>
        </w:rPr>
        <w:t xml:space="preserve">(9), p.2088. </w:t>
      </w:r>
      <w:hyperlink r:id="rId11">
        <w:r w:rsidRPr="00635AB8">
          <w:rPr>
            <w:rFonts w:eastAsia="Arial" w:cs="Arial"/>
            <w:highlight w:val="white"/>
          </w:rPr>
          <w:t>https://pmc.ncbi.nlm.nih.gov/articles/PMC9030681/pdf/41267_2022_Article_521.pdf</w:t>
        </w:r>
      </w:hyperlink>
    </w:p>
    <w:p w:rsidR="00A5322A" w:rsidRPr="00635AB8" w:rsidRDefault="00A5322A" w:rsidP="00A5322A">
      <w:pPr>
        <w:spacing w:before="280" w:after="280"/>
        <w:rPr>
          <w:rFonts w:eastAsia="Arial" w:cs="Arial"/>
          <w:highlight w:val="white"/>
        </w:rPr>
      </w:pPr>
      <w:r w:rsidRPr="00635AB8">
        <w:rPr>
          <w:rFonts w:eastAsia="Arial" w:cs="Arial"/>
          <w:highlight w:val="white"/>
        </w:rPr>
        <w:t xml:space="preserve">Casson, M. and Wadeson, N. (2018). Emerging market multinationals and internalisation theory. </w:t>
      </w:r>
      <w:r w:rsidRPr="00635AB8">
        <w:rPr>
          <w:rFonts w:eastAsia="Arial" w:cs="Arial"/>
          <w:i/>
          <w:iCs/>
          <w:highlight w:val="white"/>
        </w:rPr>
        <w:t>International Business Review</w:t>
      </w:r>
      <w:r w:rsidRPr="00635AB8">
        <w:rPr>
          <w:rFonts w:eastAsia="Arial" w:cs="Arial"/>
          <w:highlight w:val="white"/>
        </w:rPr>
        <w:t xml:space="preserve">, </w:t>
      </w:r>
      <w:r w:rsidRPr="00635AB8">
        <w:rPr>
          <w:rFonts w:eastAsia="Arial" w:cs="Arial"/>
          <w:i/>
          <w:iCs/>
          <w:highlight w:val="white"/>
        </w:rPr>
        <w:t>27</w:t>
      </w:r>
      <w:r w:rsidRPr="00635AB8">
        <w:rPr>
          <w:rFonts w:eastAsia="Arial" w:cs="Arial"/>
          <w:highlight w:val="white"/>
        </w:rPr>
        <w:t>(6), pp.1150-1160.</w:t>
      </w:r>
      <w:r w:rsidRPr="00635AB8">
        <w:rPr>
          <w:rFonts w:eastAsia="Arial" w:cs="Arial"/>
        </w:rPr>
        <w:t xml:space="preserve"> </w:t>
      </w:r>
      <w:hyperlink r:id="rId12">
        <w:r w:rsidRPr="00635AB8">
          <w:rPr>
            <w:rFonts w:eastAsia="Arial" w:cs="Arial"/>
            <w:highlight w:val="white"/>
          </w:rPr>
          <w:t>https://www.sciencedirect.com/science/article/pii/S0969593117304043</w:t>
        </w:r>
      </w:hyperlink>
    </w:p>
    <w:p w:rsidR="00A5322A" w:rsidRPr="00635AB8" w:rsidRDefault="00A5322A" w:rsidP="00A5322A">
      <w:pPr>
        <w:spacing w:after="240"/>
        <w:rPr>
          <w:rFonts w:eastAsia="Arial" w:cs="Arial"/>
        </w:rPr>
      </w:pPr>
      <w:r w:rsidRPr="00635AB8">
        <w:rPr>
          <w:rFonts w:eastAsia="Arial" w:cs="Arial"/>
        </w:rPr>
        <w:t xml:space="preserve">Collins L F and Gonçalves, M. (2022). </w:t>
      </w:r>
      <w:r w:rsidRPr="00635AB8">
        <w:rPr>
          <w:rFonts w:eastAsia="Arial" w:cs="Arial"/>
          <w:i/>
          <w:iCs/>
        </w:rPr>
        <w:t>Tesco Clubcard ranked best supermarket loyalty scheme amid cost-of-living crisis</w:t>
      </w:r>
      <w:r w:rsidRPr="00635AB8">
        <w:rPr>
          <w:rFonts w:eastAsia="Arial" w:cs="Arial"/>
        </w:rPr>
        <w:t>. [Online] The Grocer. Available at: https://www.thegrocer.co.uk/news/tesco-clubcard-ranked-best-supermarket-loyalty-scheme-amid-cost-of-living-crisis/673332.article [Accessed 26 Oct. 2025]</w:t>
      </w:r>
    </w:p>
    <w:p w:rsidR="00A5322A" w:rsidRPr="00635AB8" w:rsidRDefault="00A5322A" w:rsidP="00A5322A">
      <w:pPr>
        <w:spacing w:before="280" w:after="280"/>
        <w:rPr>
          <w:rFonts w:eastAsia="Arial" w:cs="Arial"/>
        </w:rPr>
      </w:pPr>
      <w:r w:rsidRPr="00635AB8">
        <w:rPr>
          <w:rFonts w:eastAsia="Arial" w:cs="Arial"/>
        </w:rPr>
        <w:t xml:space="preserve">Davey, J. (2025). </w:t>
      </w:r>
      <w:r w:rsidRPr="00635AB8">
        <w:rPr>
          <w:rFonts w:eastAsia="Arial" w:cs="Arial"/>
          <w:i/>
          <w:iCs/>
        </w:rPr>
        <w:t>Britain’s Tesco raises profit outlook and bets on strong Christmas | Reuters</w:t>
      </w:r>
      <w:r w:rsidRPr="00635AB8">
        <w:rPr>
          <w:rFonts w:eastAsia="Arial" w:cs="Arial"/>
        </w:rPr>
        <w:t>. Available at: https://www.reuters.com/world/uk/britains-tesco-raises-annual-profit-outlook-2025-10-02/ (Accessed: 26 October 2025)</w:t>
      </w:r>
    </w:p>
    <w:p w:rsidR="00A5322A" w:rsidRPr="00635AB8" w:rsidRDefault="00A5322A" w:rsidP="00A5322A">
      <w:pPr>
        <w:spacing w:before="280" w:after="280"/>
        <w:rPr>
          <w:rFonts w:eastAsia="Arial" w:cs="Arial"/>
          <w:highlight w:val="white"/>
        </w:rPr>
      </w:pPr>
      <w:r w:rsidRPr="00635AB8">
        <w:rPr>
          <w:rFonts w:eastAsia="Arial" w:cs="Arial"/>
          <w:highlight w:val="white"/>
        </w:rPr>
        <w:t xml:space="preserve">Fernie, J. (2023). Relationships in the supply chain. In </w:t>
      </w:r>
      <w:r w:rsidRPr="00635AB8">
        <w:rPr>
          <w:rFonts w:eastAsia="Arial" w:cs="Arial"/>
          <w:i/>
          <w:iCs/>
          <w:highlight w:val="white"/>
        </w:rPr>
        <w:t>Logistics and retail management insights into current practice and trends from leading experts</w:t>
      </w:r>
      <w:r w:rsidRPr="00635AB8">
        <w:rPr>
          <w:rFonts w:eastAsia="Arial" w:cs="Arial"/>
          <w:highlight w:val="white"/>
        </w:rPr>
        <w:t xml:space="preserve"> (pp. 23-46). CRC Press.</w:t>
      </w:r>
      <w:r w:rsidRPr="00635AB8">
        <w:rPr>
          <w:rFonts w:eastAsia="Arial" w:cs="Arial"/>
        </w:rPr>
        <w:t xml:space="preserve"> </w:t>
      </w:r>
      <w:hyperlink r:id="rId13">
        <w:r w:rsidRPr="00635AB8">
          <w:rPr>
            <w:rFonts w:eastAsia="Arial" w:cs="Arial"/>
            <w:highlight w:val="white"/>
          </w:rPr>
          <w:t>https://www.taylorfrancis.com/chapters/edit/10.4324/9780429271144-2/relationships-supply-chain-john-fernie</w:t>
        </w:r>
      </w:hyperlink>
    </w:p>
    <w:p w:rsidR="00A5322A" w:rsidRPr="00635AB8" w:rsidRDefault="00A5322A" w:rsidP="00A5322A">
      <w:pPr>
        <w:spacing w:before="100" w:beforeAutospacing="1" w:after="100" w:afterAutospacing="1"/>
        <w:rPr>
          <w:rFonts w:cs="Arial"/>
          <w:lang w:eastAsia="en-GB"/>
        </w:rPr>
      </w:pPr>
      <w:r w:rsidRPr="00635AB8">
        <w:rPr>
          <w:rFonts w:cs="Arial"/>
          <w:lang w:eastAsia="en-GB"/>
        </w:rPr>
        <w:t xml:space="preserve">Gupta, S. (2024) </w:t>
      </w:r>
      <w:r w:rsidRPr="00635AB8">
        <w:rPr>
          <w:rFonts w:cs="Arial"/>
          <w:i/>
          <w:iCs/>
          <w:lang w:eastAsia="en-GB"/>
        </w:rPr>
        <w:t>Tesco: The Pillars of success and market leadership</w:t>
      </w:r>
      <w:r w:rsidRPr="00635AB8">
        <w:rPr>
          <w:rFonts w:cs="Arial"/>
          <w:lang w:eastAsia="en-GB"/>
        </w:rPr>
        <w:t xml:space="preserve">, </w:t>
      </w:r>
      <w:r w:rsidRPr="00635AB8">
        <w:rPr>
          <w:rFonts w:cs="Arial"/>
          <w:i/>
          <w:iCs/>
          <w:lang w:eastAsia="en-GB"/>
        </w:rPr>
        <w:t>Tesco’s Success: Innovation, Strategy &amp; Market Leadership</w:t>
      </w:r>
      <w:r w:rsidRPr="00635AB8">
        <w:rPr>
          <w:rFonts w:cs="Arial"/>
          <w:lang w:eastAsia="en-GB"/>
        </w:rPr>
        <w:t xml:space="preserve">. Available at: </w:t>
      </w:r>
      <w:r w:rsidRPr="00635AB8">
        <w:rPr>
          <w:rFonts w:cs="Arial"/>
          <w:lang w:eastAsia="en-GB"/>
        </w:rPr>
        <w:lastRenderedPageBreak/>
        <w:t>https://www.grocerydoppio.com/articles/tesco-the-pillars-of-success-and-market-leadership (Accessed: 08 December 2025)</w:t>
      </w:r>
    </w:p>
    <w:p w:rsidR="00A5322A" w:rsidRPr="00635AB8" w:rsidRDefault="00A5322A" w:rsidP="00A5322A">
      <w:pPr>
        <w:spacing w:before="240" w:after="240"/>
        <w:rPr>
          <w:rFonts w:eastAsia="Arial" w:cs="Arial"/>
          <w:highlight w:val="white"/>
        </w:rPr>
      </w:pPr>
      <w:r w:rsidRPr="00635AB8">
        <w:rPr>
          <w:rFonts w:eastAsia="Arial" w:cs="Arial"/>
          <w:highlight w:val="white"/>
        </w:rPr>
        <w:t xml:space="preserve">HKTDC (2025) </w:t>
      </w:r>
      <w:r w:rsidRPr="00635AB8">
        <w:rPr>
          <w:rFonts w:eastAsia="Arial" w:cs="Arial"/>
          <w:i/>
          <w:iCs/>
          <w:highlight w:val="white"/>
        </w:rPr>
        <w:t>HKTDC research</w:t>
      </w:r>
      <w:r w:rsidRPr="00635AB8">
        <w:rPr>
          <w:rFonts w:eastAsia="Arial" w:cs="Arial"/>
          <w:highlight w:val="white"/>
        </w:rPr>
        <w:t xml:space="preserve">. Available at: https://research.hktdc.com/en/article/NzE0NjA5NTE1 (Accessed: 08 December 2025). </w:t>
      </w:r>
    </w:p>
    <w:p w:rsidR="00A5322A" w:rsidRPr="00635AB8" w:rsidRDefault="00A5322A" w:rsidP="00A5322A">
      <w:pPr>
        <w:spacing w:after="0"/>
        <w:rPr>
          <w:rFonts w:eastAsia="Arial" w:cs="Arial"/>
          <w:highlight w:val="white"/>
        </w:rPr>
      </w:pPr>
      <w:r w:rsidRPr="00635AB8">
        <w:rPr>
          <w:rFonts w:eastAsia="Arial" w:cs="Arial"/>
          <w:highlight w:val="white"/>
        </w:rPr>
        <w:t xml:space="preserve">Ilieva, G., Yankova, T., Ruseva, M., Dzhabarova, Y., Klisarova-Belcheva, S., and Bratkov, M. (2024). Social media influencers: Customer attitudes and impact on purchase behaviour. </w:t>
      </w:r>
      <w:r w:rsidRPr="00635AB8">
        <w:rPr>
          <w:rFonts w:eastAsia="Arial" w:cs="Arial"/>
          <w:i/>
          <w:iCs/>
          <w:highlight w:val="white"/>
        </w:rPr>
        <w:t>Information</w:t>
      </w:r>
      <w:r w:rsidRPr="00635AB8">
        <w:rPr>
          <w:rFonts w:eastAsia="Arial" w:cs="Arial"/>
          <w:highlight w:val="white"/>
        </w:rPr>
        <w:t xml:space="preserve">, </w:t>
      </w:r>
      <w:r w:rsidRPr="00635AB8">
        <w:rPr>
          <w:rFonts w:eastAsia="Arial" w:cs="Arial"/>
          <w:i/>
          <w:iCs/>
          <w:highlight w:val="white"/>
        </w:rPr>
        <w:t>15</w:t>
      </w:r>
      <w:r w:rsidRPr="00635AB8">
        <w:rPr>
          <w:rFonts w:eastAsia="Arial" w:cs="Arial"/>
          <w:highlight w:val="white"/>
        </w:rPr>
        <w:t>(6), p.359.</w:t>
      </w:r>
      <w:r w:rsidRPr="00635AB8">
        <w:rPr>
          <w:rFonts w:eastAsia="Arial" w:cs="Arial"/>
        </w:rPr>
        <w:t xml:space="preserve"> </w:t>
      </w:r>
      <w:hyperlink r:id="rId14">
        <w:r w:rsidRPr="00635AB8">
          <w:rPr>
            <w:rFonts w:eastAsia="Arial" w:cs="Arial"/>
            <w:highlight w:val="white"/>
          </w:rPr>
          <w:t>https://www.mdpi.com/2078-2489/15/6/359</w:t>
        </w:r>
      </w:hyperlink>
    </w:p>
    <w:p w:rsidR="00A5322A" w:rsidRPr="00635AB8" w:rsidRDefault="00A5322A" w:rsidP="00A5322A">
      <w:pPr>
        <w:rPr>
          <w:rFonts w:eastAsia="Arial" w:cs="Arial"/>
          <w:highlight w:val="white"/>
        </w:rPr>
      </w:pPr>
      <w:r w:rsidRPr="00635AB8">
        <w:rPr>
          <w:rFonts w:eastAsia="Arial" w:cs="Arial"/>
          <w:highlight w:val="white"/>
        </w:rPr>
        <w:t xml:space="preserve">Kosasih, O., Hidayat, K., Hutahayan, B. and Sunarti, (2024). Achieving Sustainable Customer Loyalty in the Petrochemical Industry: The Effect of Service Innovation, Product Quality, and Corporate Image with Customer Satisfaction as a Mediator. </w:t>
      </w:r>
      <w:r w:rsidRPr="00635AB8">
        <w:rPr>
          <w:rFonts w:eastAsia="Arial" w:cs="Arial"/>
          <w:i/>
          <w:iCs/>
          <w:highlight w:val="white"/>
        </w:rPr>
        <w:t>Sustainability</w:t>
      </w:r>
      <w:r w:rsidRPr="00635AB8">
        <w:rPr>
          <w:rFonts w:eastAsia="Arial" w:cs="Arial"/>
          <w:highlight w:val="white"/>
        </w:rPr>
        <w:t xml:space="preserve">, </w:t>
      </w:r>
      <w:r w:rsidRPr="00635AB8">
        <w:rPr>
          <w:rFonts w:eastAsia="Arial" w:cs="Arial"/>
          <w:i/>
          <w:iCs/>
          <w:highlight w:val="white"/>
        </w:rPr>
        <w:t>16</w:t>
      </w:r>
      <w:r w:rsidRPr="00635AB8">
        <w:rPr>
          <w:rFonts w:eastAsia="Arial" w:cs="Arial"/>
          <w:highlight w:val="white"/>
        </w:rPr>
        <w:t>(16), p.7111.</w:t>
      </w:r>
      <w:r w:rsidRPr="00635AB8">
        <w:rPr>
          <w:rFonts w:eastAsia="Arial" w:cs="Arial"/>
        </w:rPr>
        <w:t xml:space="preserve"> </w:t>
      </w:r>
      <w:hyperlink r:id="rId15">
        <w:r w:rsidRPr="00635AB8">
          <w:rPr>
            <w:rFonts w:eastAsia="Arial" w:cs="Arial"/>
            <w:highlight w:val="white"/>
          </w:rPr>
          <w:t>https://www.mdpi.com/2071-1050/16/16/7111</w:t>
        </w:r>
      </w:hyperlink>
    </w:p>
    <w:p w:rsidR="00A5322A" w:rsidRPr="00635AB8" w:rsidRDefault="00A5322A" w:rsidP="00A5322A">
      <w:pPr>
        <w:rPr>
          <w:rFonts w:eastAsia="Arial" w:cs="Arial"/>
          <w:highlight w:val="white"/>
        </w:rPr>
      </w:pPr>
      <w:r w:rsidRPr="00635AB8">
        <w:rPr>
          <w:rFonts w:eastAsia="Arial" w:cs="Arial"/>
          <w:highlight w:val="white"/>
        </w:rPr>
        <w:t>Madhani, P.M., (2021). Building a customer-focused culture with rewards alignment: A cross-sectional analysis. </w:t>
      </w:r>
      <w:r w:rsidRPr="00635AB8">
        <w:rPr>
          <w:rFonts w:eastAsia="Arial" w:cs="Arial"/>
          <w:i/>
          <w:iCs/>
          <w:highlight w:val="white"/>
        </w:rPr>
        <w:t>International Journal of Electronic Customer Relationship Management</w:t>
      </w:r>
      <w:r w:rsidRPr="00635AB8">
        <w:rPr>
          <w:rFonts w:eastAsia="Arial" w:cs="Arial"/>
          <w:highlight w:val="white"/>
        </w:rPr>
        <w:t>, </w:t>
      </w:r>
      <w:r w:rsidRPr="00635AB8">
        <w:rPr>
          <w:rFonts w:eastAsia="Arial" w:cs="Arial"/>
          <w:i/>
          <w:iCs/>
          <w:highlight w:val="white"/>
        </w:rPr>
        <w:t>13</w:t>
      </w:r>
      <w:r w:rsidRPr="00635AB8">
        <w:rPr>
          <w:rFonts w:eastAsia="Arial" w:cs="Arial"/>
          <w:highlight w:val="white"/>
        </w:rPr>
        <w:t xml:space="preserve">(1), pp.45-80. </w:t>
      </w:r>
      <w:hyperlink r:id="rId16">
        <w:r w:rsidRPr="00635AB8">
          <w:rPr>
            <w:rFonts w:eastAsia="Arial" w:cs="Arial"/>
            <w:highlight w:val="white"/>
          </w:rPr>
          <w:t>https://papers.ssrn.com/sol3/Delivery.cfm?abstractid=4002477</w:t>
        </w:r>
      </w:hyperlink>
    </w:p>
    <w:p w:rsidR="00A5322A" w:rsidRPr="00635AB8" w:rsidRDefault="00A5322A" w:rsidP="00A5322A">
      <w:pPr>
        <w:spacing w:before="280" w:after="280"/>
        <w:rPr>
          <w:rFonts w:eastAsia="Arial" w:cs="Arial"/>
        </w:rPr>
      </w:pPr>
      <w:r w:rsidRPr="00635AB8">
        <w:rPr>
          <w:rFonts w:eastAsia="Arial" w:cs="Arial"/>
        </w:rPr>
        <w:t xml:space="preserve">McMillan, A. (2025). </w:t>
      </w:r>
      <w:r w:rsidRPr="00635AB8">
        <w:rPr>
          <w:rFonts w:eastAsia="Arial" w:cs="Arial"/>
          <w:i/>
          <w:iCs/>
        </w:rPr>
        <w:t>Yellow labels: How Tesco rescued 60 million meals | Sustainability Magazine</w:t>
      </w:r>
      <w:r w:rsidRPr="00635AB8">
        <w:rPr>
          <w:rFonts w:eastAsia="Arial" w:cs="Arial"/>
        </w:rPr>
        <w:t>. Available at: https://sustainabilitymag.com/articles/yellow-labels-how-tesco-rescued-60-million-meals (Accessed: 26 October 2025)</w:t>
      </w:r>
    </w:p>
    <w:p w:rsidR="00A5322A" w:rsidRPr="00635AB8" w:rsidRDefault="00A5322A" w:rsidP="00A5322A">
      <w:pPr>
        <w:spacing w:before="240" w:after="240"/>
        <w:rPr>
          <w:rFonts w:eastAsia="Arial" w:cs="Arial"/>
        </w:rPr>
      </w:pPr>
      <w:r w:rsidRPr="00635AB8">
        <w:rPr>
          <w:rFonts w:eastAsia="Arial" w:cs="Arial"/>
        </w:rPr>
        <w:t xml:space="preserve">‌Petit, M. (2018). </w:t>
      </w:r>
      <w:r w:rsidRPr="00635AB8">
        <w:rPr>
          <w:rFonts w:eastAsia="Arial" w:cs="Arial"/>
          <w:i/>
          <w:iCs/>
        </w:rPr>
        <w:t>How Tesco virtually created a new market in a country’s lifestyle</w:t>
      </w:r>
      <w:r w:rsidRPr="00635AB8">
        <w:rPr>
          <w:rFonts w:eastAsia="Arial" w:cs="Arial"/>
        </w:rPr>
        <w:t>. [Online] Business Today. Available at: https://www.businesstoday.in/magazine/lbs-case-study/story/case-study-tesco-virtually-created-new-market-based-on-country-lifestyle-143807-2015-02-06 [Accessed 26 Oct. 2025].</w:t>
      </w:r>
    </w:p>
    <w:p w:rsidR="00A5322A" w:rsidRPr="00635AB8" w:rsidRDefault="00A5322A" w:rsidP="00A5322A">
      <w:pPr>
        <w:spacing w:before="240" w:after="240"/>
        <w:rPr>
          <w:rFonts w:eastAsia="Arial" w:cs="Arial"/>
          <w:highlight w:val="white"/>
        </w:rPr>
      </w:pPr>
      <w:r w:rsidRPr="00635AB8">
        <w:rPr>
          <w:rFonts w:eastAsia="Arial" w:cs="Arial"/>
          <w:highlight w:val="white"/>
        </w:rPr>
        <w:t xml:space="preserve">PwC (2025) </w:t>
      </w:r>
      <w:r w:rsidRPr="00635AB8">
        <w:rPr>
          <w:rFonts w:eastAsia="Arial" w:cs="Arial"/>
          <w:i/>
          <w:iCs/>
          <w:highlight w:val="white"/>
        </w:rPr>
        <w:t>Thai consumers shift focus to essential goods amid economic worries: PWC report</w:t>
      </w:r>
      <w:r w:rsidRPr="00635AB8">
        <w:rPr>
          <w:rFonts w:eastAsia="Arial" w:cs="Arial"/>
          <w:highlight w:val="white"/>
        </w:rPr>
        <w:t xml:space="preserve">, </w:t>
      </w:r>
      <w:r w:rsidRPr="00635AB8">
        <w:rPr>
          <w:rFonts w:eastAsia="Arial" w:cs="Arial"/>
          <w:i/>
          <w:iCs/>
          <w:highlight w:val="white"/>
        </w:rPr>
        <w:t>PwC</w:t>
      </w:r>
      <w:r w:rsidRPr="00635AB8">
        <w:rPr>
          <w:rFonts w:eastAsia="Arial" w:cs="Arial"/>
          <w:highlight w:val="white"/>
        </w:rPr>
        <w:t xml:space="preserve">. Available at: https://www.pwc.com/th/en/press-room/press-release/2024/press-release-30-08-24-en.html (Accessed: 08 December 2025). </w:t>
      </w:r>
    </w:p>
    <w:p w:rsidR="00A5322A" w:rsidRPr="00635AB8" w:rsidRDefault="00A5322A" w:rsidP="00A5322A">
      <w:pPr>
        <w:rPr>
          <w:rFonts w:eastAsia="Arial" w:cs="Arial"/>
          <w:highlight w:val="white"/>
        </w:rPr>
      </w:pPr>
      <w:r w:rsidRPr="00635AB8">
        <w:rPr>
          <w:rFonts w:eastAsia="Arial" w:cs="Arial"/>
          <w:highlight w:val="white"/>
        </w:rPr>
        <w:lastRenderedPageBreak/>
        <w:t xml:space="preserve">Saka, T.N., Hormiga, E. and Valls-Pasola, J. (2025). Crisis response strategies: a digital reluctance perspective. </w:t>
      </w:r>
      <w:r w:rsidRPr="00635AB8">
        <w:rPr>
          <w:rFonts w:eastAsia="Arial" w:cs="Arial"/>
          <w:i/>
          <w:iCs/>
          <w:highlight w:val="white"/>
        </w:rPr>
        <w:t>Review of Managerial Science</w:t>
      </w:r>
      <w:r w:rsidRPr="00635AB8">
        <w:rPr>
          <w:rFonts w:eastAsia="Arial" w:cs="Arial"/>
          <w:highlight w:val="white"/>
        </w:rPr>
        <w:t xml:space="preserve">, </w:t>
      </w:r>
      <w:r w:rsidRPr="00635AB8">
        <w:rPr>
          <w:rFonts w:eastAsia="Arial" w:cs="Arial"/>
          <w:i/>
          <w:iCs/>
          <w:highlight w:val="white"/>
        </w:rPr>
        <w:t>19</w:t>
      </w:r>
      <w:r w:rsidRPr="00635AB8">
        <w:rPr>
          <w:rFonts w:eastAsia="Arial" w:cs="Arial"/>
          <w:highlight w:val="white"/>
        </w:rPr>
        <w:t>(8), pp.2569-2607.</w:t>
      </w:r>
      <w:r w:rsidRPr="00635AB8">
        <w:rPr>
          <w:rFonts w:eastAsia="Arial" w:cs="Arial"/>
        </w:rPr>
        <w:t xml:space="preserve"> </w:t>
      </w:r>
      <w:hyperlink r:id="rId17">
        <w:r w:rsidRPr="00635AB8">
          <w:rPr>
            <w:rFonts w:eastAsia="Arial" w:cs="Arial"/>
            <w:highlight w:val="white"/>
          </w:rPr>
          <w:t>https://link.springer.com/article/10.1007/s11846-024-00822-5</w:t>
        </w:r>
      </w:hyperlink>
    </w:p>
    <w:p w:rsidR="00A5322A" w:rsidRPr="00635AB8" w:rsidRDefault="00A5322A" w:rsidP="00A5322A">
      <w:pPr>
        <w:rPr>
          <w:rFonts w:eastAsia="Arial" w:cs="Arial"/>
          <w:highlight w:val="white"/>
        </w:rPr>
      </w:pPr>
      <w:r w:rsidRPr="00635AB8">
        <w:rPr>
          <w:rFonts w:eastAsia="Arial" w:cs="Arial"/>
          <w:highlight w:val="white"/>
        </w:rPr>
        <w:t xml:space="preserve">Shidore, S. (2022). </w:t>
      </w:r>
      <w:r w:rsidRPr="00635AB8">
        <w:rPr>
          <w:rFonts w:eastAsia="Arial" w:cs="Arial"/>
          <w:i/>
          <w:iCs/>
          <w:highlight w:val="white"/>
        </w:rPr>
        <w:t>Winning the Majority: A New US Bargain with the Global South</w:t>
      </w:r>
      <w:r w:rsidRPr="00635AB8">
        <w:rPr>
          <w:rFonts w:eastAsia="Arial" w:cs="Arial"/>
          <w:highlight w:val="white"/>
        </w:rPr>
        <w:t>. Quincy Institute for Responsible Statecraft.</w:t>
      </w:r>
      <w:r w:rsidRPr="00635AB8">
        <w:rPr>
          <w:rFonts w:eastAsia="Arial" w:cs="Arial"/>
        </w:rPr>
        <w:t xml:space="preserve"> </w:t>
      </w:r>
      <w:hyperlink r:id="rId18">
        <w:r w:rsidRPr="00635AB8">
          <w:rPr>
            <w:rFonts w:eastAsia="Arial" w:cs="Arial"/>
            <w:highlight w:val="white"/>
          </w:rPr>
          <w:t>https://quincyinst.s3.amazonaws.com/wp-content/uploads/2022/11/17213739/QUINCY-BRIEF-NO.-33-NOV-2022-SHIDORE.pdf</w:t>
        </w:r>
      </w:hyperlink>
    </w:p>
    <w:p w:rsidR="00A5322A" w:rsidRPr="00635AB8" w:rsidRDefault="00A5322A" w:rsidP="00A5322A">
      <w:pPr>
        <w:rPr>
          <w:rFonts w:eastAsia="Arial" w:cs="Arial"/>
          <w:highlight w:val="white"/>
        </w:rPr>
      </w:pPr>
      <w:r w:rsidRPr="00635AB8">
        <w:rPr>
          <w:rFonts w:eastAsia="Arial" w:cs="Arial"/>
          <w:highlight w:val="white"/>
        </w:rPr>
        <w:t>Su, C., (2022). Geert Hofstede’s cultural dimensions theory and its implications in SLA. </w:t>
      </w:r>
      <w:r w:rsidRPr="00635AB8">
        <w:rPr>
          <w:rFonts w:eastAsia="Arial" w:cs="Arial"/>
          <w:i/>
          <w:iCs/>
          <w:highlight w:val="white"/>
        </w:rPr>
        <w:t>Academic Journal of Humanities and Social Sciences</w:t>
      </w:r>
      <w:r w:rsidRPr="00635AB8">
        <w:rPr>
          <w:rFonts w:eastAsia="Arial" w:cs="Arial"/>
          <w:highlight w:val="white"/>
        </w:rPr>
        <w:t>, </w:t>
      </w:r>
      <w:r w:rsidRPr="00635AB8">
        <w:rPr>
          <w:rFonts w:eastAsia="Arial" w:cs="Arial"/>
          <w:i/>
          <w:iCs/>
          <w:highlight w:val="white"/>
        </w:rPr>
        <w:t>5</w:t>
      </w:r>
      <w:r w:rsidRPr="00635AB8">
        <w:rPr>
          <w:rFonts w:eastAsia="Arial" w:cs="Arial"/>
          <w:highlight w:val="white"/>
        </w:rPr>
        <w:t xml:space="preserve">(14), pp.57-61. </w:t>
      </w:r>
      <w:hyperlink r:id="rId19">
        <w:r w:rsidRPr="00635AB8">
          <w:rPr>
            <w:rFonts w:eastAsia="Arial" w:cs="Arial"/>
            <w:highlight w:val="white"/>
          </w:rPr>
          <w:t>https://francis-press.com/uploads/papers/kRpcr4xPb0x2loRbMYWXlTTqlHzVZ60lFISIhUra.pdf</w:t>
        </w:r>
      </w:hyperlink>
    </w:p>
    <w:p w:rsidR="00A5322A" w:rsidRPr="00635AB8" w:rsidRDefault="00A5322A" w:rsidP="00A5322A">
      <w:pPr>
        <w:spacing w:after="0"/>
        <w:rPr>
          <w:rFonts w:eastAsia="Arial" w:cs="Arial"/>
          <w:highlight w:val="white"/>
        </w:rPr>
      </w:pPr>
      <w:r w:rsidRPr="00635AB8">
        <w:rPr>
          <w:rFonts w:eastAsia="Arial" w:cs="Arial"/>
          <w:highlight w:val="white"/>
        </w:rPr>
        <w:t xml:space="preserve">Suwanmaneepong, S., Llones, C., Kerdsriserm, C., Khermkhan, J., Sabaijai, P.E., Samanakupt, T., Kaewtaphan, P., Chourwong, P., Mankeb, P. and Dana, L.P. (2024). Participatory value chain development. Insights from community-based enterprise in rural Thailand. </w:t>
      </w:r>
      <w:r w:rsidRPr="00635AB8">
        <w:rPr>
          <w:rFonts w:eastAsia="Arial" w:cs="Arial"/>
          <w:i/>
          <w:iCs/>
          <w:highlight w:val="white"/>
        </w:rPr>
        <w:t>International Journal of Agricultural Sustainability</w:t>
      </w:r>
      <w:r w:rsidRPr="00635AB8">
        <w:rPr>
          <w:rFonts w:eastAsia="Arial" w:cs="Arial"/>
          <w:highlight w:val="white"/>
        </w:rPr>
        <w:t xml:space="preserve">, </w:t>
      </w:r>
      <w:r w:rsidRPr="00635AB8">
        <w:rPr>
          <w:rFonts w:eastAsia="Arial" w:cs="Arial"/>
          <w:i/>
          <w:iCs/>
          <w:highlight w:val="white"/>
        </w:rPr>
        <w:t>22</w:t>
      </w:r>
      <w:r w:rsidRPr="00635AB8">
        <w:rPr>
          <w:rFonts w:eastAsia="Arial" w:cs="Arial"/>
          <w:highlight w:val="white"/>
        </w:rPr>
        <w:t>(1), p.2371703.</w:t>
      </w:r>
      <w:r w:rsidRPr="00635AB8">
        <w:rPr>
          <w:rFonts w:eastAsia="Arial" w:cs="Arial"/>
        </w:rPr>
        <w:t xml:space="preserve"> </w:t>
      </w:r>
      <w:hyperlink r:id="rId20">
        <w:r w:rsidRPr="00635AB8">
          <w:rPr>
            <w:rFonts w:eastAsia="Arial" w:cs="Arial"/>
            <w:highlight w:val="white"/>
          </w:rPr>
          <w:t>https://www.tandfonline.com/doi/full/10.1080/14735903.2024.2371703</w:t>
        </w:r>
      </w:hyperlink>
    </w:p>
    <w:p w:rsidR="00A5322A" w:rsidRPr="00635AB8" w:rsidRDefault="00A5322A" w:rsidP="00A5322A">
      <w:pPr>
        <w:spacing w:after="0"/>
        <w:rPr>
          <w:rFonts w:eastAsia="Arial" w:cs="Arial"/>
          <w:highlight w:val="white"/>
        </w:rPr>
      </w:pPr>
      <w:r w:rsidRPr="00635AB8">
        <w:rPr>
          <w:rFonts w:eastAsia="Arial" w:cs="Arial"/>
          <w:highlight w:val="white"/>
        </w:rPr>
        <w:t>Suwannarat, P. (2023). Understanding the difference in values-based motivation of managerial workers in spa businesses in Thailand. </w:t>
      </w:r>
      <w:r w:rsidRPr="00635AB8">
        <w:rPr>
          <w:rFonts w:eastAsia="Arial" w:cs="Arial"/>
          <w:i/>
          <w:iCs/>
          <w:highlight w:val="white"/>
        </w:rPr>
        <w:t>International Journal of Emerging Markets</w:t>
      </w:r>
      <w:r w:rsidRPr="00635AB8">
        <w:rPr>
          <w:rFonts w:eastAsia="Arial" w:cs="Arial"/>
          <w:highlight w:val="white"/>
        </w:rPr>
        <w:t>, </w:t>
      </w:r>
      <w:r w:rsidRPr="00635AB8">
        <w:rPr>
          <w:rFonts w:eastAsia="Arial" w:cs="Arial"/>
          <w:i/>
          <w:iCs/>
          <w:highlight w:val="white"/>
        </w:rPr>
        <w:t>18</w:t>
      </w:r>
      <w:r w:rsidRPr="00635AB8">
        <w:rPr>
          <w:rFonts w:eastAsia="Arial" w:cs="Arial"/>
          <w:highlight w:val="white"/>
        </w:rPr>
        <w:t xml:space="preserve">(2), pp.483-504. </w:t>
      </w:r>
      <w:hyperlink r:id="rId21">
        <w:r w:rsidRPr="00635AB8">
          <w:rPr>
            <w:rFonts w:eastAsia="Arial" w:cs="Arial"/>
            <w:highlight w:val="white"/>
          </w:rPr>
          <w:t>https://www.researchgate.net/profile/Pornlapas-Suwannarat/publication/351233523_Understanding_the_difference_of_values-based_motivation_of_managerial_workers_in_spa_businesses_in_Thailand/links/640c1bd3a1b72772e4ec1b58/Understanding-the-difference-of-values-based-motivation-of-managerial-workers-in-spa-businesses-in-Thailand.pdf</w:t>
        </w:r>
      </w:hyperlink>
    </w:p>
    <w:p w:rsidR="00A5322A" w:rsidRPr="00635AB8" w:rsidRDefault="00A5322A" w:rsidP="00A5322A">
      <w:pPr>
        <w:spacing w:after="0"/>
        <w:rPr>
          <w:rFonts w:eastAsia="Arial" w:cs="Arial"/>
          <w:highlight w:val="white"/>
        </w:rPr>
      </w:pPr>
      <w:r w:rsidRPr="00635AB8">
        <w:rPr>
          <w:rFonts w:eastAsia="Arial" w:cs="Arial"/>
        </w:rPr>
        <w:t xml:space="preserve">Tesco PLC (2025). </w:t>
      </w:r>
      <w:r w:rsidRPr="00635AB8">
        <w:rPr>
          <w:rFonts w:eastAsia="Arial" w:cs="Arial"/>
          <w:i/>
          <w:iCs/>
        </w:rPr>
        <w:t>About</w:t>
      </w:r>
      <w:r w:rsidRPr="00635AB8">
        <w:rPr>
          <w:rFonts w:eastAsia="Arial" w:cs="Arial"/>
        </w:rPr>
        <w:t xml:space="preserve">, </w:t>
      </w:r>
      <w:r w:rsidRPr="00635AB8">
        <w:rPr>
          <w:rFonts w:eastAsia="Arial" w:cs="Arial"/>
          <w:i/>
          <w:iCs/>
        </w:rPr>
        <w:t>Tesco PLC</w:t>
      </w:r>
      <w:r w:rsidRPr="00635AB8">
        <w:rPr>
          <w:rFonts w:eastAsia="Arial" w:cs="Arial"/>
        </w:rPr>
        <w:t>. Available at: https://www.tescoplc.com/about (Accessed: 26 October 2025)</w:t>
      </w:r>
    </w:p>
    <w:p w:rsidR="00A5322A" w:rsidRPr="00635AB8" w:rsidRDefault="00A5322A" w:rsidP="00A5322A">
      <w:pPr>
        <w:spacing w:before="280" w:after="280"/>
        <w:rPr>
          <w:rFonts w:eastAsia="Arial" w:cs="Arial"/>
        </w:rPr>
      </w:pPr>
      <w:r w:rsidRPr="00635AB8">
        <w:rPr>
          <w:rFonts w:eastAsia="Arial" w:cs="Arial"/>
        </w:rPr>
        <w:t xml:space="preserve">Tesco PLC (2025b). </w:t>
      </w:r>
      <w:r w:rsidRPr="00635AB8">
        <w:rPr>
          <w:rFonts w:eastAsia="Arial" w:cs="Arial"/>
          <w:i/>
          <w:iCs/>
        </w:rPr>
        <w:t>Annual report 2024</w:t>
      </w:r>
      <w:r w:rsidRPr="00635AB8">
        <w:rPr>
          <w:rFonts w:eastAsia="Arial" w:cs="Arial"/>
        </w:rPr>
        <w:t xml:space="preserve">, </w:t>
      </w:r>
      <w:r w:rsidRPr="00635AB8">
        <w:rPr>
          <w:rFonts w:eastAsia="Arial" w:cs="Arial"/>
          <w:i/>
          <w:iCs/>
        </w:rPr>
        <w:t>Tesco PLC</w:t>
      </w:r>
      <w:r w:rsidRPr="00635AB8">
        <w:rPr>
          <w:rFonts w:eastAsia="Arial" w:cs="Arial"/>
        </w:rPr>
        <w:t>. Available at: https://www.tescoplc.com/investors/reports-results-and-presentations/annual-report-2024 (Accessed: 26 October 2025)</w:t>
      </w:r>
    </w:p>
    <w:p w:rsidR="00A5322A" w:rsidRPr="00635AB8" w:rsidRDefault="00A5322A" w:rsidP="00A5322A">
      <w:pPr>
        <w:rPr>
          <w:rFonts w:eastAsia="Arial" w:cs="Arial"/>
          <w:highlight w:val="white"/>
        </w:rPr>
      </w:pPr>
      <w:r w:rsidRPr="00635AB8">
        <w:rPr>
          <w:rFonts w:eastAsia="Arial" w:cs="Arial"/>
        </w:rPr>
        <w:lastRenderedPageBreak/>
        <w:t xml:space="preserve">The Culture Factor Group (2025) </w:t>
      </w:r>
      <w:r w:rsidRPr="00635AB8">
        <w:rPr>
          <w:rFonts w:eastAsia="Arial" w:cs="Arial"/>
          <w:i/>
          <w:iCs/>
        </w:rPr>
        <w:t>Country comparison tool</w:t>
      </w:r>
      <w:r w:rsidRPr="00635AB8">
        <w:rPr>
          <w:rFonts w:eastAsia="Arial" w:cs="Arial"/>
        </w:rPr>
        <w:t xml:space="preserve">, </w:t>
      </w:r>
      <w:r w:rsidRPr="00635AB8">
        <w:rPr>
          <w:rFonts w:eastAsia="Arial" w:cs="Arial"/>
          <w:i/>
          <w:iCs/>
        </w:rPr>
        <w:t>The Culture Factor Group</w:t>
      </w:r>
      <w:r w:rsidRPr="00635AB8">
        <w:rPr>
          <w:rFonts w:eastAsia="Arial" w:cs="Arial"/>
        </w:rPr>
        <w:t>. Available at: https://www.theculturefactor.com/country-comparison-tool?countries=thailand%2Cunited%2Bkingdom (Accessed: 20 November 2025)</w:t>
      </w:r>
    </w:p>
    <w:p w:rsidR="00A5322A" w:rsidRPr="00635AB8" w:rsidRDefault="00A5322A" w:rsidP="00A5322A">
      <w:pPr>
        <w:spacing w:before="280" w:after="280"/>
        <w:rPr>
          <w:rFonts w:eastAsia="Arial" w:cs="Arial"/>
          <w:highlight w:val="white"/>
        </w:rPr>
      </w:pPr>
      <w:r w:rsidRPr="00635AB8">
        <w:rPr>
          <w:rFonts w:eastAsia="Arial" w:cs="Arial"/>
          <w:highlight w:val="white"/>
        </w:rPr>
        <w:t>Ye, J. and Dela, E. (2023). The effect of green investment and green financing on sustainable business performance of foreign chemical industries operating in Indonesia: the mediating role of corporate social responsibility. </w:t>
      </w:r>
      <w:r w:rsidRPr="00635AB8">
        <w:rPr>
          <w:rFonts w:eastAsia="Arial" w:cs="Arial"/>
          <w:i/>
          <w:iCs/>
          <w:highlight w:val="white"/>
        </w:rPr>
        <w:t>Sustainability</w:t>
      </w:r>
      <w:r w:rsidRPr="00635AB8">
        <w:rPr>
          <w:rFonts w:eastAsia="Arial" w:cs="Arial"/>
          <w:highlight w:val="white"/>
        </w:rPr>
        <w:t>, </w:t>
      </w:r>
      <w:r w:rsidRPr="00635AB8">
        <w:rPr>
          <w:rFonts w:eastAsia="Arial" w:cs="Arial"/>
          <w:i/>
          <w:iCs/>
          <w:highlight w:val="white"/>
        </w:rPr>
        <w:t>15</w:t>
      </w:r>
      <w:r w:rsidRPr="00635AB8">
        <w:rPr>
          <w:rFonts w:eastAsia="Arial" w:cs="Arial"/>
          <w:highlight w:val="white"/>
        </w:rPr>
        <w:t xml:space="preserve">(14), p.11218. </w:t>
      </w:r>
      <w:hyperlink r:id="rId22">
        <w:r w:rsidRPr="00635AB8">
          <w:rPr>
            <w:rFonts w:eastAsia="Arial" w:cs="Arial"/>
            <w:highlight w:val="white"/>
          </w:rPr>
          <w:t>https://www.mdpi.com/2071-1050/15/14/11218</w:t>
        </w:r>
      </w:hyperlink>
    </w:p>
    <w:p w:rsidR="00A5322A" w:rsidRPr="00635AB8" w:rsidRDefault="00A5322A" w:rsidP="00A5322A">
      <w:pPr>
        <w:rPr>
          <w:rFonts w:eastAsia="Arial" w:cs="Arial"/>
          <w:highlight w:val="white"/>
        </w:rPr>
      </w:pPr>
      <w:r w:rsidRPr="00635AB8">
        <w:rPr>
          <w:rFonts w:eastAsia="Arial" w:cs="Arial"/>
          <w:highlight w:val="white"/>
        </w:rPr>
        <w:t xml:space="preserve">Ziliani, C. and Ieva, M. (2025). </w:t>
      </w:r>
      <w:r w:rsidRPr="00635AB8">
        <w:rPr>
          <w:rFonts w:eastAsia="Arial" w:cs="Arial"/>
          <w:i/>
          <w:iCs/>
          <w:highlight w:val="white"/>
        </w:rPr>
        <w:t>Loyalty Management: Driving Engagement with Loyalty Programs and Customer Experience</w:t>
      </w:r>
      <w:r w:rsidRPr="00635AB8">
        <w:rPr>
          <w:rFonts w:eastAsia="Arial" w:cs="Arial"/>
          <w:highlight w:val="white"/>
        </w:rPr>
        <w:t>. Taylor &amp; Francis.</w:t>
      </w:r>
      <w:r w:rsidRPr="00635AB8">
        <w:rPr>
          <w:rFonts w:eastAsia="Arial" w:cs="Arial"/>
        </w:rPr>
        <w:t xml:space="preserve"> </w:t>
      </w:r>
      <w:hyperlink r:id="rId23" w:anchor="v=onepage&amp;q&amp;f=false">
        <w:r w:rsidRPr="00635AB8">
          <w:rPr>
            <w:rFonts w:eastAsia="Arial" w:cs="Arial"/>
            <w:highlight w:val="white"/>
          </w:rPr>
          <w:t>https://books.google.co.in/books?hl=en&amp;lr=&amp;id=Nfc3EQAAQBAJ&amp;oi=fnd&amp;pg=PA1961&amp;dq=Tesco+needs+to+emphasise+on+structured+chains+of+command,+formal+reporting+systems,+and+leadership+training+that+aligns+with+Thai+expectations&amp;ots=r74wy6fHdD&amp;sig=zuPXMuwu-tJc1ycrfol1emAL9P8&amp;redir_esc=y#v=onepage&amp;q&amp;f=false</w:t>
        </w:r>
      </w:hyperlink>
    </w:p>
    <w:p w:rsidR="00A5322A" w:rsidRPr="00635AB8" w:rsidRDefault="00A5322A" w:rsidP="00A5322A">
      <w:pPr>
        <w:spacing w:after="0"/>
        <w:rPr>
          <w:rFonts w:eastAsia="Arial" w:cs="Arial"/>
          <w:highlight w:val="white"/>
        </w:rPr>
      </w:pPr>
    </w:p>
    <w:p w:rsidR="00A5322A" w:rsidRPr="00635AB8" w:rsidRDefault="00A5322A" w:rsidP="00A5322A">
      <w:pPr>
        <w:spacing w:before="240" w:after="240"/>
        <w:rPr>
          <w:rFonts w:eastAsia="Arial" w:cs="Arial"/>
          <w:highlight w:val="white"/>
        </w:rPr>
      </w:pPr>
    </w:p>
    <w:p w:rsidR="00A5322A" w:rsidRPr="00635AB8" w:rsidRDefault="00A5322A" w:rsidP="00A5322A">
      <w:pPr>
        <w:spacing w:before="240" w:after="240"/>
        <w:rPr>
          <w:rFonts w:eastAsia="Arial" w:cs="Arial"/>
          <w:highlight w:val="white"/>
        </w:rPr>
      </w:pPr>
    </w:p>
    <w:p w:rsidR="00A5322A" w:rsidRPr="00635AB8" w:rsidRDefault="00A5322A" w:rsidP="00A5322A">
      <w:pPr>
        <w:rPr>
          <w:rFonts w:eastAsia="Arial" w:cs="Arial"/>
          <w:highlight w:val="white"/>
        </w:rPr>
      </w:pPr>
    </w:p>
    <w:p w:rsidR="00A5322A" w:rsidRPr="00635AB8" w:rsidRDefault="00A5322A" w:rsidP="00A5322A">
      <w:pPr>
        <w:rPr>
          <w:rFonts w:eastAsia="Arial" w:cs="Arial"/>
          <w:highlight w:val="white"/>
        </w:rPr>
      </w:pPr>
    </w:p>
    <w:p w:rsidR="00A5322A" w:rsidRPr="00635AB8" w:rsidRDefault="00A5322A" w:rsidP="00A5322A">
      <w:pPr>
        <w:rPr>
          <w:rFonts w:eastAsia="Arial" w:cs="Arial"/>
          <w:highlight w:val="white"/>
        </w:rPr>
      </w:pPr>
    </w:p>
    <w:p w:rsidR="00A5322A" w:rsidRPr="00635AB8" w:rsidRDefault="00A5322A" w:rsidP="00A5322A">
      <w:pPr>
        <w:spacing w:before="280" w:after="280"/>
        <w:rPr>
          <w:rFonts w:eastAsia="Arial" w:cs="Arial"/>
          <w:highlight w:val="white"/>
        </w:rPr>
      </w:pPr>
    </w:p>
    <w:p w:rsidR="00A5322A" w:rsidRPr="00635AB8" w:rsidRDefault="00A5322A" w:rsidP="00A5322A">
      <w:pPr>
        <w:spacing w:before="240" w:after="240"/>
        <w:rPr>
          <w:rFonts w:eastAsia="Arial" w:cs="Arial"/>
          <w:highlight w:val="white"/>
        </w:rPr>
      </w:pPr>
      <w:r w:rsidRPr="00635AB8">
        <w:rPr>
          <w:rFonts w:eastAsia="Arial" w:cs="Arial"/>
          <w:highlight w:val="white"/>
        </w:rPr>
        <w:t>‌</w:t>
      </w:r>
    </w:p>
    <w:p w:rsidR="004F67E2" w:rsidRDefault="004F67E2"/>
    <w:sectPr w:rsidR="004F67E2" w:rsidSect="00A664F2">
      <w:footerReference w:type="default" r:id="rId24"/>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4897" w:rsidRDefault="00514897">
      <w:pPr>
        <w:spacing w:after="0" w:line="240" w:lineRule="auto"/>
      </w:pPr>
      <w:r>
        <w:separator/>
      </w:r>
    </w:p>
  </w:endnote>
  <w:endnote w:type="continuationSeparator" w:id="0">
    <w:p w:rsidR="00514897" w:rsidRDefault="00514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1D38" w:rsidRPr="00626236" w:rsidRDefault="00A5322A">
    <w:pPr>
      <w:pBdr>
        <w:top w:val="nil"/>
        <w:left w:val="nil"/>
        <w:bottom w:val="nil"/>
        <w:right w:val="nil"/>
        <w:between w:val="nil"/>
      </w:pBdr>
      <w:tabs>
        <w:tab w:val="center" w:pos="4680"/>
        <w:tab w:val="right" w:pos="9360"/>
      </w:tabs>
      <w:spacing w:after="0" w:line="240" w:lineRule="auto"/>
      <w:jc w:val="right"/>
      <w:rPr>
        <w:rFonts w:cs="Arial"/>
        <w:color w:val="000000"/>
      </w:rPr>
    </w:pPr>
    <w:r w:rsidRPr="00626236">
      <w:rPr>
        <w:rFonts w:cs="Arial"/>
        <w:color w:val="000000"/>
      </w:rPr>
      <w:t xml:space="preserve">Page | </w:t>
    </w:r>
    <w:r w:rsidRPr="00626236">
      <w:rPr>
        <w:rFonts w:cs="Arial"/>
        <w:color w:val="000000"/>
      </w:rPr>
      <w:fldChar w:fldCharType="begin"/>
    </w:r>
    <w:r w:rsidRPr="00626236">
      <w:rPr>
        <w:rFonts w:cs="Arial"/>
        <w:color w:val="000000"/>
      </w:rPr>
      <w:instrText>PAGE</w:instrText>
    </w:r>
    <w:r w:rsidRPr="00626236">
      <w:rPr>
        <w:rFonts w:cs="Arial"/>
        <w:color w:val="000000"/>
      </w:rPr>
      <w:fldChar w:fldCharType="separate"/>
    </w:r>
    <w:r w:rsidR="00484CF3">
      <w:rPr>
        <w:rFonts w:cs="Arial"/>
        <w:noProof/>
        <w:color w:val="000000"/>
      </w:rPr>
      <w:t>2</w:t>
    </w:r>
    <w:r w:rsidRPr="00626236">
      <w:rPr>
        <w:rFonts w:cs="Arial"/>
        <w:color w:val="000000"/>
      </w:rPr>
      <w:fldChar w:fldCharType="end"/>
    </w:r>
    <w:r w:rsidRPr="00626236">
      <w:rPr>
        <w:rFonts w:cs="Arial"/>
        <w:color w:val="000000"/>
      </w:rPr>
      <w:t xml:space="preserve"> </w:t>
    </w:r>
  </w:p>
  <w:p w:rsidR="002F1D38" w:rsidRDefault="0051489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4897" w:rsidRDefault="00514897">
      <w:pPr>
        <w:spacing w:after="0" w:line="240" w:lineRule="auto"/>
      </w:pPr>
      <w:r>
        <w:separator/>
      </w:r>
    </w:p>
  </w:footnote>
  <w:footnote w:type="continuationSeparator" w:id="0">
    <w:p w:rsidR="00514897" w:rsidRDefault="00514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1064CB"/>
    <w:multiLevelType w:val="multilevel"/>
    <w:tmpl w:val="04D6C5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97A0A98"/>
    <w:multiLevelType w:val="multilevel"/>
    <w:tmpl w:val="151C43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67521A6"/>
    <w:multiLevelType w:val="multilevel"/>
    <w:tmpl w:val="33966F62"/>
    <w:lvl w:ilvl="0">
      <w:start w:val="1"/>
      <w:numFmt w:val="decimal"/>
      <w:lvlText w:val="%1."/>
      <w:lvlJc w:val="left"/>
      <w:pPr>
        <w:ind w:left="0" w:firstLine="0"/>
      </w:pPr>
    </w:lvl>
    <w:lvl w:ilvl="1">
      <w:numFmt w:val="bullet"/>
      <w:lvlText w:val=""/>
      <w:lvlJc w:val="left"/>
      <w:pPr>
        <w:ind w:left="0" w:firstLine="0"/>
      </w:pPr>
    </w:lvl>
    <w:lvl w:ilvl="2">
      <w:numFmt w:val="bullet"/>
      <w:lvlText w:val=""/>
      <w:lvlJc w:val="left"/>
      <w:pPr>
        <w:ind w:left="0" w:firstLine="0"/>
      </w:pPr>
    </w:lvl>
    <w:lvl w:ilvl="3">
      <w:numFmt w:val="bullet"/>
      <w:lvlText w:val=""/>
      <w:lvlJc w:val="left"/>
      <w:pPr>
        <w:ind w:left="0" w:firstLine="0"/>
      </w:pPr>
    </w:lvl>
    <w:lvl w:ilvl="4">
      <w:numFmt w:val="bullet"/>
      <w:lvlText w:val=""/>
      <w:lvlJc w:val="left"/>
      <w:pPr>
        <w:ind w:left="0" w:firstLine="0"/>
      </w:pPr>
    </w:lvl>
    <w:lvl w:ilvl="5">
      <w:numFmt w:val="bullet"/>
      <w:lvlText w:val=""/>
      <w:lvlJc w:val="left"/>
      <w:pPr>
        <w:ind w:left="0" w:firstLine="0"/>
      </w:pPr>
    </w:lvl>
    <w:lvl w:ilvl="6">
      <w:numFmt w:val="bullet"/>
      <w:lvlText w:val=""/>
      <w:lvlJc w:val="left"/>
      <w:pPr>
        <w:ind w:left="0" w:firstLine="0"/>
      </w:pPr>
    </w:lvl>
    <w:lvl w:ilvl="7">
      <w:numFmt w:val="bullet"/>
      <w:lvlText w:val=""/>
      <w:lvlJc w:val="left"/>
      <w:pPr>
        <w:ind w:left="0" w:firstLine="0"/>
      </w:pPr>
    </w:lvl>
    <w:lvl w:ilvl="8">
      <w:numFmt w:val="bullet"/>
      <w:lvlText w:val=""/>
      <w:lvlJc w:val="left"/>
      <w:pPr>
        <w:ind w:left="0" w:firstLine="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22A"/>
    <w:rsid w:val="00484CF3"/>
    <w:rsid w:val="004F67E2"/>
    <w:rsid w:val="00514897"/>
    <w:rsid w:val="0059063E"/>
    <w:rsid w:val="00A5322A"/>
    <w:rsid w:val="00B069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D2640"/>
  <w15:chartTrackingRefBased/>
  <w15:docId w15:val="{1FF35725-29E3-43A4-A3EE-0C2A9380F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322A"/>
    <w:pPr>
      <w:spacing w:after="200" w:line="360" w:lineRule="auto"/>
      <w:jc w:val="both"/>
    </w:pPr>
    <w:rPr>
      <w:rFonts w:ascii="Arial" w:eastAsia="Times New Roman" w:hAnsi="Arial" w:cs="Times New Roman"/>
      <w:sz w:val="24"/>
      <w:szCs w:val="24"/>
      <w:lang w:val="en-GB"/>
    </w:rPr>
  </w:style>
  <w:style w:type="paragraph" w:styleId="Heading1">
    <w:name w:val="heading 1"/>
    <w:basedOn w:val="Normal"/>
    <w:next w:val="Normal"/>
    <w:link w:val="Heading1Char"/>
    <w:uiPriority w:val="9"/>
    <w:qFormat/>
    <w:rsid w:val="00A5322A"/>
    <w:pPr>
      <w:keepNext/>
      <w:keepLines/>
      <w:spacing w:before="240" w:after="0"/>
      <w:outlineLvl w:val="0"/>
    </w:pPr>
    <w:rPr>
      <w:b/>
      <w:bCs/>
      <w:color w:val="000000"/>
      <w:sz w:val="28"/>
      <w:szCs w:val="28"/>
    </w:rPr>
  </w:style>
  <w:style w:type="paragraph" w:styleId="Heading2">
    <w:name w:val="heading 2"/>
    <w:basedOn w:val="Normal"/>
    <w:next w:val="Normal"/>
    <w:link w:val="Heading2Char"/>
    <w:uiPriority w:val="9"/>
    <w:unhideWhenUsed/>
    <w:qFormat/>
    <w:rsid w:val="00A5322A"/>
    <w:pPr>
      <w:keepNext/>
      <w:keepLines/>
      <w:spacing w:before="200" w:after="120"/>
      <w:outlineLvl w:val="1"/>
    </w:pPr>
    <w:rPr>
      <w:b/>
      <w:b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22A"/>
    <w:rPr>
      <w:rFonts w:ascii="Arial" w:eastAsia="Times New Roman" w:hAnsi="Arial" w:cs="Times New Roman"/>
      <w:b/>
      <w:bCs/>
      <w:color w:val="000000"/>
      <w:sz w:val="28"/>
      <w:szCs w:val="28"/>
      <w:lang w:val="en-GB"/>
    </w:rPr>
  </w:style>
  <w:style w:type="character" w:customStyle="1" w:styleId="Heading2Char">
    <w:name w:val="Heading 2 Char"/>
    <w:basedOn w:val="DefaultParagraphFont"/>
    <w:link w:val="Heading2"/>
    <w:uiPriority w:val="9"/>
    <w:rsid w:val="00A5322A"/>
    <w:rPr>
      <w:rFonts w:ascii="Arial" w:eastAsia="Times New Roman" w:hAnsi="Arial" w:cs="Times New Roman"/>
      <w:b/>
      <w:bCs/>
      <w:color w:val="000000"/>
      <w:sz w:val="24"/>
      <w:szCs w:val="24"/>
      <w:lang w:val="en-GB"/>
    </w:rPr>
  </w:style>
  <w:style w:type="character" w:styleId="Hyperlink">
    <w:name w:val="Hyperlink"/>
    <w:basedOn w:val="DefaultParagraphFont"/>
    <w:uiPriority w:val="99"/>
    <w:unhideWhenUsed/>
    <w:rsid w:val="00A5322A"/>
    <w:rPr>
      <w:color w:val="0563C1" w:themeColor="hyperlink"/>
      <w:u w:val="single"/>
    </w:rPr>
  </w:style>
  <w:style w:type="paragraph" w:styleId="TOC1">
    <w:name w:val="toc 1"/>
    <w:basedOn w:val="Normal"/>
    <w:next w:val="Normal"/>
    <w:autoRedefine/>
    <w:uiPriority w:val="39"/>
    <w:unhideWhenUsed/>
    <w:rsid w:val="00A5322A"/>
    <w:pPr>
      <w:tabs>
        <w:tab w:val="right" w:leader="dot" w:pos="9350"/>
      </w:tabs>
      <w:spacing w:after="100"/>
    </w:pPr>
  </w:style>
  <w:style w:type="paragraph" w:styleId="TOC2">
    <w:name w:val="toc 2"/>
    <w:basedOn w:val="Normal"/>
    <w:next w:val="Normal"/>
    <w:autoRedefine/>
    <w:uiPriority w:val="39"/>
    <w:unhideWhenUsed/>
    <w:rsid w:val="00A5322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ylorfrancis.com/chapters/edit/10.4324/9780429271144-2/relationships-supply-chain-john-fernie" TargetMode="External"/><Relationship Id="rId18" Type="http://schemas.openxmlformats.org/officeDocument/2006/relationships/hyperlink" Target="https://quincyinst.s3.amazonaws.com/wp-content/uploads/2022/11/17213739/QUINCY-BRIEF-NO.-33-NOV-2022-SHIDORE.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earchgate.net/profile/Pornlapas-Suwannarat/publication/351233523_Understanding_the_difference_of_values-based_motivation_of_managerial_workers_in_spa_businesses_in_Thailand/links/640c1bd3a1b72772e4ec1b58/Understanding-the-difference-of-values-based-motivation-of-managerial-workers-in-spa-businesses-in-Thailand.pdf" TargetMode="External"/><Relationship Id="rId7" Type="http://schemas.openxmlformats.org/officeDocument/2006/relationships/image" Target="media/image1.png"/><Relationship Id="rId12" Type="http://schemas.openxmlformats.org/officeDocument/2006/relationships/hyperlink" Target="https://www.sciencedirect.com/science/article/pii/S0969593117304043" TargetMode="External"/><Relationship Id="rId17" Type="http://schemas.openxmlformats.org/officeDocument/2006/relationships/hyperlink" Target="https://link.springer.com/article/10.1007/s11846-024-00822-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apers.ssrn.com/sol3/Delivery.cfm?abstractid=4002477" TargetMode="External"/><Relationship Id="rId20" Type="http://schemas.openxmlformats.org/officeDocument/2006/relationships/hyperlink" Target="https://www.tandfonline.com/doi/full/10.1080/14735903.2024.23717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9030681/pdf/41267_2022_Article_521.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dpi.com/2071-1050/16/16/7111" TargetMode="External"/><Relationship Id="rId23" Type="http://schemas.openxmlformats.org/officeDocument/2006/relationships/hyperlink" Target="https://books.google.co.in/books?hl=en&amp;lr=&amp;id=Nfc3EQAAQBAJ&amp;oi=fnd&amp;pg=PA1961&amp;dq=Tesco+needs+to+emphasise+on+structured+chains+of+command,+formal+reporting+systems,+and+leadership+training+that+aligns+with+Thai+expectations&amp;ots=r74wy6fHdD&amp;sig=zuPXMuwu-tJc1ycrfol1emAL9P8&amp;redir_esc=y" TargetMode="External"/><Relationship Id="rId10" Type="http://schemas.openxmlformats.org/officeDocument/2006/relationships/hyperlink" Target="http://www.actalogistica.eu/issues/2021/IV_2021_03_AL-Ababneh_Dumanska_Derkach_Sokhetska_Kemarska.pdf" TargetMode="External"/><Relationship Id="rId19" Type="http://schemas.openxmlformats.org/officeDocument/2006/relationships/hyperlink" Target="https://francis-press.com/uploads/papers/kRpcr4xPb0x2loRbMYWXlTTqlHzVZ60lFISIhUra.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2078-2489/15/6/359" TargetMode="External"/><Relationship Id="rId22" Type="http://schemas.openxmlformats.org/officeDocument/2006/relationships/hyperlink" Target="https://www.mdpi.com/2071-1050/15/14/112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25</Pages>
  <Words>7014</Words>
  <Characters>39983</Characters>
  <Application>Microsoft Office Word</Application>
  <DocSecurity>0</DocSecurity>
  <Lines>333</Lines>
  <Paragraphs>93</Paragraphs>
  <ScaleCrop>false</ScaleCrop>
  <Company/>
  <LinksUpToDate>false</LinksUpToDate>
  <CharactersWithSpaces>46904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Shitanshu Pankaj Galledar (2428869)</dc:creator>
  <cp:keywords/>
  <dc:description/>
  <cp:lastModifiedBy>Shitanshu Pankaj Galledar (2428869)</cp:lastModifiedBy>
  <cp:revision>3</cp:revision>
  <dcterms:created xsi:type="dcterms:W3CDTF">2025-12-14T16:28:00Z</dcterms:created>
  <dcterms:modified xsi:type="dcterms:W3CDTF">2025-12-15T04:11:00Z</dcterms:modified>
</cp:coreProperties>
</file>