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22973" w:rsidRDefault="00BD5132">
      <w:pPr>
        <w:rPr>
          <w:b/>
          <w:u w:val="single"/>
        </w:rPr>
      </w:pPr>
      <w:r w:rsidRPr="00BD5132">
        <w:rPr>
          <w:b/>
          <w:u w:val="single"/>
        </w:rPr>
        <w:t>Harvard Citing Example 1</w:t>
      </w:r>
    </w:p>
    <w:p w:rsidR="00BD5132" w:rsidRDefault="00BD5132">
      <w:pPr>
        <w:rPr>
          <w:b/>
        </w:rPr>
      </w:pPr>
      <w:r>
        <w:rPr>
          <w:b/>
        </w:rPr>
        <w:t>Up and coming Battery Technology</w:t>
      </w:r>
    </w:p>
    <w:p w:rsidR="00BD5132" w:rsidRDefault="00BD5132">
      <w:r>
        <w:t>The first lead acid battery was invented in the mid 1800’s by Gaston Plant</w:t>
      </w:r>
      <w:r>
        <w:rPr>
          <w:rFonts w:cstheme="minorHAnsi"/>
        </w:rPr>
        <w:t>é</w:t>
      </w:r>
      <w:r>
        <w:t xml:space="preserve"> (Boyle, 2003), since then there has been significant development in battery technology.</w:t>
      </w:r>
    </w:p>
    <w:p w:rsidR="00BD5132" w:rsidRDefault="00BD5132"/>
    <w:p w:rsidR="00BD5132" w:rsidRDefault="00BD5132">
      <w:r>
        <w:t>The lithium ion battery industry has grown exponentially in the last few years, dominating the battery markets for gadgets and are being used in electrical vehicles, (Energy Storage, 2017) as the name suggests, lithium ion is used to store electrical energy chemically. Although these types of batteries have greater energy density, as lightweight and often have lower maintenance than their equivalents, there are still some major disadvantages. (Boyle, 2003) Lithium Ion batteries discharge by themselves through time, they also suffer greatly with age and use, but predominantly, the major concern with these batteries, is the source of lithium ion itself. Lithium ion is a natural source and is depleting a fearsome rate, the cost of mining this material is often expensive and even dangerous at times, due to th</w:t>
      </w:r>
      <w:r w:rsidR="00A42BF0">
        <w:t>e location of the sources. (</w:t>
      </w:r>
      <w:r>
        <w:t xml:space="preserve">Ohio State University, 2017). </w:t>
      </w:r>
    </w:p>
    <w:p w:rsidR="00BD5132" w:rsidRDefault="00BD5132"/>
    <w:p w:rsidR="00BD5132" w:rsidRDefault="00BD5132">
      <w:pPr>
        <w:rPr>
          <w:b/>
        </w:rPr>
      </w:pPr>
      <w:r>
        <w:rPr>
          <w:b/>
        </w:rPr>
        <w:t>Reference List</w:t>
      </w:r>
    </w:p>
    <w:p w:rsidR="00BD5132" w:rsidRDefault="00EC4E56">
      <w:r>
        <w:t>Boyle, G.</w:t>
      </w:r>
      <w:r w:rsidR="00BD5132">
        <w:t xml:space="preserve"> </w:t>
      </w:r>
      <w:r>
        <w:t>(</w:t>
      </w:r>
      <w:r w:rsidR="00BD5132">
        <w:t>2003</w:t>
      </w:r>
      <w:r>
        <w:t>)</w:t>
      </w:r>
      <w:r w:rsidR="00BD5132">
        <w:t xml:space="preserve"> </w:t>
      </w:r>
      <w:r w:rsidR="00BD5132">
        <w:rPr>
          <w:i/>
        </w:rPr>
        <w:t>Energy Systems and Sustainability.</w:t>
      </w:r>
      <w:r w:rsidR="00BD5132">
        <w:t xml:space="preserve"> Oxford: Oxford University Press</w:t>
      </w:r>
    </w:p>
    <w:p w:rsidR="00BD5132" w:rsidRDefault="00BD5132">
      <w:pPr>
        <w:rPr>
          <w:sz w:val="20"/>
        </w:rPr>
      </w:pPr>
      <w:r>
        <w:t xml:space="preserve">Energy Storage </w:t>
      </w:r>
      <w:r w:rsidR="00EC4E56">
        <w:t>(</w:t>
      </w:r>
      <w:r>
        <w:t>2017</w:t>
      </w:r>
      <w:r w:rsidR="00EC4E56">
        <w:t>)</w:t>
      </w:r>
      <w:r>
        <w:t xml:space="preserve"> </w:t>
      </w:r>
      <w:r>
        <w:rPr>
          <w:i/>
        </w:rPr>
        <w:t xml:space="preserve">Lithium-ion predicted to dominate even in ‘longer duration’ global market. </w:t>
      </w:r>
      <w:r w:rsidR="00EC4E56">
        <w:t>Available at</w:t>
      </w:r>
      <w:r>
        <w:t xml:space="preserve">: </w:t>
      </w:r>
      <w:hyperlink r:id="rId4" w:history="1">
        <w:r w:rsidRPr="009843ED">
          <w:rPr>
            <w:rStyle w:val="Hyperlink"/>
          </w:rPr>
          <w:t>https://www.energy-storage.news/news/litthium-ion-to-dominate-even-in-longer-duration-global-market-says-i.h.s-ma</w:t>
        </w:r>
      </w:hyperlink>
      <w:r w:rsidR="00507830">
        <w:t xml:space="preserve"> (Accessed 27 November 2017).</w:t>
      </w:r>
    </w:p>
    <w:p w:rsidR="00BD5132" w:rsidRDefault="00EC4E56">
      <w:r>
        <w:t>Ohio State University.</w:t>
      </w:r>
      <w:r w:rsidR="00A42BF0">
        <w:t xml:space="preserve"> </w:t>
      </w:r>
      <w:r>
        <w:t>(</w:t>
      </w:r>
      <w:r w:rsidR="00A42BF0">
        <w:t>2017</w:t>
      </w:r>
      <w:r>
        <w:t>)</w:t>
      </w:r>
      <w:r w:rsidR="00A42BF0">
        <w:t xml:space="preserve"> </w:t>
      </w:r>
      <w:r w:rsidR="00A42BF0">
        <w:rPr>
          <w:i/>
        </w:rPr>
        <w:t xml:space="preserve">Effects of Mining Lithium. </w:t>
      </w:r>
      <w:r w:rsidR="00A42BF0">
        <w:t xml:space="preserve">Available at: </w:t>
      </w:r>
      <w:hyperlink r:id="rId5" w:history="1">
        <w:r w:rsidR="00A42BF0" w:rsidRPr="009843ED">
          <w:rPr>
            <w:rStyle w:val="Hyperlink"/>
          </w:rPr>
          <w:t>https://u.osu.edu/2367group3/environmental-concerns/effects-of-mining-lithium/</w:t>
        </w:r>
      </w:hyperlink>
      <w:r w:rsidR="00507830">
        <w:t xml:space="preserve"> (Accessed 27 November 2017)</w:t>
      </w:r>
    </w:p>
    <w:p w:rsidR="00A42BF0" w:rsidRDefault="00A42BF0"/>
    <w:p w:rsidR="007A439B" w:rsidRDefault="007A439B">
      <w:pPr>
        <w:rPr>
          <w:b/>
          <w:u w:val="single"/>
        </w:rPr>
      </w:pPr>
      <w:r>
        <w:rPr>
          <w:b/>
          <w:u w:val="single"/>
        </w:rPr>
        <w:t>Harvard Citing Example 2</w:t>
      </w:r>
    </w:p>
    <w:p w:rsidR="007A439B" w:rsidRDefault="007A439B">
      <w:pPr>
        <w:rPr>
          <w:b/>
        </w:rPr>
      </w:pPr>
      <w:r>
        <w:rPr>
          <w:b/>
        </w:rPr>
        <w:t>Good working practices including relevant health and safety.</w:t>
      </w:r>
    </w:p>
    <w:p w:rsidR="007A439B" w:rsidRDefault="007A439B">
      <w:r>
        <w:t xml:space="preserve">Holt (2015) identifies that accidents have causes and unless steps are taken to prevent them accidents will occur. </w:t>
      </w:r>
      <w:r w:rsidR="00A83E43">
        <w:t>He continues that planned preventative fault maintenance of equipment should be carried out at pre-determined intervals. (Holt, 2015)</w:t>
      </w:r>
    </w:p>
    <w:p w:rsidR="00A83E43" w:rsidRDefault="00A83E43">
      <w:r>
        <w:t xml:space="preserve">The Health and Safety Executive (2004) </w:t>
      </w:r>
      <w:r w:rsidR="003605C1">
        <w:t xml:space="preserve">states that eye protection should always be worn near machines being operated. Entanglement with rotating cutters can occur when loading/unloading components </w:t>
      </w:r>
      <w:r w:rsidR="00EC4E56">
        <w:t xml:space="preserve">or removing swarf. Therefore to avoid entanglement keep the machine clear of clutter. (HSE, 2004). </w:t>
      </w:r>
    </w:p>
    <w:p w:rsidR="00EC4E56" w:rsidRDefault="00EC4E56"/>
    <w:p w:rsidR="00EC4E56" w:rsidRDefault="00EC4E56">
      <w:pPr>
        <w:rPr>
          <w:b/>
        </w:rPr>
      </w:pPr>
      <w:r>
        <w:rPr>
          <w:b/>
        </w:rPr>
        <w:t>Reference List</w:t>
      </w:r>
    </w:p>
    <w:p w:rsidR="00AB2DAC" w:rsidRDefault="00AB2DAC" w:rsidP="00AB2DAC">
      <w:r>
        <w:t xml:space="preserve">Health and Safety Executive. (2004) </w:t>
      </w:r>
      <w:r>
        <w:rPr>
          <w:i/>
        </w:rPr>
        <w:t xml:space="preserve">Health and safety in engineering workshops. </w:t>
      </w:r>
      <w:r>
        <w:t xml:space="preserve">London. Crown. </w:t>
      </w:r>
    </w:p>
    <w:p w:rsidR="00EC4E56" w:rsidRDefault="00EC4E56">
      <w:r>
        <w:t xml:space="preserve">Holt, A.S. (2015) </w:t>
      </w:r>
      <w:r>
        <w:rPr>
          <w:i/>
        </w:rPr>
        <w:t>Principles of health and safety at work.</w:t>
      </w:r>
      <w:r>
        <w:t xml:space="preserve"> Abingdon, Routledge</w:t>
      </w:r>
    </w:p>
    <w:p w:rsidR="005249F4" w:rsidRDefault="005249F4" w:rsidP="005249F4">
      <w:pPr>
        <w:jc w:val="center"/>
        <w:rPr>
          <w:b/>
          <w:sz w:val="32"/>
          <w:u w:val="single"/>
        </w:rPr>
      </w:pPr>
      <w:r>
        <w:rPr>
          <w:b/>
          <w:sz w:val="32"/>
          <w:u w:val="single"/>
        </w:rPr>
        <w:lastRenderedPageBreak/>
        <w:t>Referencing</w:t>
      </w:r>
      <w:r>
        <w:rPr>
          <w:b/>
          <w:sz w:val="32"/>
          <w:u w:val="single"/>
        </w:rPr>
        <w:t xml:space="preserve"> Information</w:t>
      </w:r>
    </w:p>
    <w:p w:rsidR="005249F4" w:rsidRPr="00B31C5E" w:rsidRDefault="005249F4" w:rsidP="005249F4">
      <w:pPr>
        <w:rPr>
          <w:i/>
          <w:sz w:val="28"/>
          <w:u w:val="single"/>
        </w:rPr>
      </w:pPr>
      <w:r>
        <w:rPr>
          <w:i/>
          <w:sz w:val="28"/>
          <w:u w:val="single"/>
        </w:rPr>
        <w:t xml:space="preserve">Where to find the information to include in your reference? </w:t>
      </w:r>
    </w:p>
    <w:tbl>
      <w:tblPr>
        <w:tblStyle w:val="TableGrid"/>
        <w:tblW w:w="0" w:type="auto"/>
        <w:tblLook w:val="04A0" w:firstRow="1" w:lastRow="0" w:firstColumn="1" w:lastColumn="0" w:noHBand="0" w:noVBand="1"/>
      </w:tblPr>
      <w:tblGrid>
        <w:gridCol w:w="4508"/>
        <w:gridCol w:w="4508"/>
      </w:tblGrid>
      <w:tr w:rsidR="005249F4" w:rsidTr="005A65A7">
        <w:tc>
          <w:tcPr>
            <w:tcW w:w="4508" w:type="dxa"/>
          </w:tcPr>
          <w:p w:rsidR="005249F4" w:rsidRDefault="005249F4" w:rsidP="005A65A7">
            <w:pPr>
              <w:rPr>
                <w:b/>
                <w:sz w:val="32"/>
              </w:rPr>
            </w:pPr>
            <w:r>
              <w:rPr>
                <w:b/>
                <w:sz w:val="32"/>
              </w:rPr>
              <w:t>Books</w:t>
            </w:r>
          </w:p>
          <w:p w:rsidR="005249F4" w:rsidRDefault="005249F4" w:rsidP="005A65A7">
            <w:pPr>
              <w:rPr>
                <w:b/>
                <w:sz w:val="32"/>
              </w:rPr>
            </w:pPr>
          </w:p>
          <w:p w:rsidR="005249F4" w:rsidRDefault="005249F4" w:rsidP="005A65A7">
            <w:pPr>
              <w:rPr>
                <w:b/>
                <w:sz w:val="32"/>
              </w:rPr>
            </w:pPr>
          </w:p>
          <w:p w:rsidR="005249F4" w:rsidRDefault="005249F4" w:rsidP="005A65A7">
            <w:pPr>
              <w:rPr>
                <w:b/>
                <w:sz w:val="32"/>
              </w:rPr>
            </w:pPr>
          </w:p>
          <w:p w:rsidR="005249F4" w:rsidRPr="00B31C5E" w:rsidRDefault="005249F4" w:rsidP="005A65A7">
            <w:pPr>
              <w:rPr>
                <w:b/>
                <w:sz w:val="32"/>
              </w:rPr>
            </w:pPr>
          </w:p>
        </w:tc>
        <w:tc>
          <w:tcPr>
            <w:tcW w:w="4508" w:type="dxa"/>
          </w:tcPr>
          <w:p w:rsidR="005249F4" w:rsidRPr="00B31C5E" w:rsidRDefault="005249F4" w:rsidP="005A65A7">
            <w:pPr>
              <w:rPr>
                <w:b/>
                <w:sz w:val="32"/>
              </w:rPr>
            </w:pPr>
            <w:r>
              <w:rPr>
                <w:b/>
                <w:sz w:val="32"/>
              </w:rPr>
              <w:t>Printed Journal Articles</w:t>
            </w:r>
          </w:p>
        </w:tc>
      </w:tr>
      <w:tr w:rsidR="005249F4" w:rsidTr="005A65A7">
        <w:tc>
          <w:tcPr>
            <w:tcW w:w="4508" w:type="dxa"/>
          </w:tcPr>
          <w:p w:rsidR="005249F4" w:rsidRPr="00B31C5E" w:rsidRDefault="005249F4" w:rsidP="005A65A7">
            <w:pPr>
              <w:rPr>
                <w:b/>
                <w:sz w:val="32"/>
              </w:rPr>
            </w:pPr>
            <w:r>
              <w:rPr>
                <w:b/>
                <w:sz w:val="32"/>
              </w:rPr>
              <w:t>Electronic Journal Articles</w:t>
            </w:r>
          </w:p>
        </w:tc>
        <w:tc>
          <w:tcPr>
            <w:tcW w:w="4508" w:type="dxa"/>
          </w:tcPr>
          <w:p w:rsidR="005249F4" w:rsidRDefault="005249F4" w:rsidP="005A65A7">
            <w:pPr>
              <w:rPr>
                <w:b/>
                <w:sz w:val="32"/>
              </w:rPr>
            </w:pPr>
            <w:r>
              <w:rPr>
                <w:b/>
                <w:sz w:val="32"/>
              </w:rPr>
              <w:t>Web Pages</w:t>
            </w:r>
          </w:p>
          <w:p w:rsidR="005249F4" w:rsidRDefault="005249F4" w:rsidP="005A65A7">
            <w:pPr>
              <w:rPr>
                <w:b/>
                <w:sz w:val="32"/>
              </w:rPr>
            </w:pPr>
          </w:p>
          <w:p w:rsidR="005249F4" w:rsidRDefault="005249F4" w:rsidP="005A65A7">
            <w:pPr>
              <w:rPr>
                <w:b/>
                <w:sz w:val="32"/>
              </w:rPr>
            </w:pPr>
          </w:p>
          <w:p w:rsidR="005249F4" w:rsidRDefault="005249F4" w:rsidP="005A65A7">
            <w:pPr>
              <w:rPr>
                <w:b/>
                <w:sz w:val="32"/>
              </w:rPr>
            </w:pPr>
          </w:p>
          <w:p w:rsidR="005249F4" w:rsidRPr="00B31C5E" w:rsidRDefault="005249F4" w:rsidP="005A65A7">
            <w:pPr>
              <w:rPr>
                <w:b/>
                <w:sz w:val="32"/>
              </w:rPr>
            </w:pPr>
          </w:p>
        </w:tc>
      </w:tr>
    </w:tbl>
    <w:p w:rsidR="005249F4" w:rsidRDefault="005249F4" w:rsidP="005249F4">
      <w:pPr>
        <w:rPr>
          <w:i/>
          <w:sz w:val="32"/>
          <w:u w:val="single"/>
        </w:rPr>
      </w:pPr>
    </w:p>
    <w:p w:rsidR="005249F4" w:rsidRDefault="005249F4" w:rsidP="005249F4">
      <w:pPr>
        <w:rPr>
          <w:i/>
          <w:sz w:val="32"/>
          <w:u w:val="single"/>
        </w:rPr>
      </w:pPr>
      <w:r>
        <w:rPr>
          <w:i/>
          <w:sz w:val="32"/>
          <w:u w:val="single"/>
        </w:rPr>
        <w:t>Elements needed for a citation</w:t>
      </w:r>
    </w:p>
    <w:p w:rsidR="005249F4" w:rsidRPr="007F7E9A" w:rsidRDefault="005249F4" w:rsidP="005249F4">
      <w:pPr>
        <w:rPr>
          <w:b/>
          <w:sz w:val="24"/>
        </w:rPr>
      </w:pPr>
      <w:r w:rsidRPr="007F7E9A">
        <w:rPr>
          <w:b/>
          <w:sz w:val="24"/>
        </w:rPr>
        <w:t>Authors:</w:t>
      </w:r>
    </w:p>
    <w:p w:rsidR="005249F4" w:rsidRDefault="005249F4" w:rsidP="005249F4">
      <w:pPr>
        <w:rPr>
          <w:b/>
          <w:sz w:val="24"/>
        </w:rPr>
      </w:pPr>
    </w:p>
    <w:p w:rsidR="005249F4" w:rsidRPr="007F7E9A" w:rsidRDefault="005249F4" w:rsidP="005249F4">
      <w:pPr>
        <w:rPr>
          <w:b/>
          <w:sz w:val="24"/>
        </w:rPr>
      </w:pPr>
    </w:p>
    <w:p w:rsidR="005249F4" w:rsidRPr="007F7E9A" w:rsidRDefault="005249F4" w:rsidP="005249F4">
      <w:pPr>
        <w:rPr>
          <w:b/>
          <w:sz w:val="24"/>
        </w:rPr>
      </w:pPr>
      <w:r w:rsidRPr="007F7E9A">
        <w:rPr>
          <w:b/>
          <w:sz w:val="24"/>
        </w:rPr>
        <w:t xml:space="preserve">Year/date of publication: </w:t>
      </w:r>
    </w:p>
    <w:p w:rsidR="005249F4" w:rsidRPr="007F7E9A" w:rsidRDefault="005249F4" w:rsidP="005249F4">
      <w:pPr>
        <w:rPr>
          <w:b/>
          <w:sz w:val="24"/>
        </w:rPr>
      </w:pPr>
    </w:p>
    <w:p w:rsidR="005249F4" w:rsidRPr="007F7E9A" w:rsidRDefault="005249F4" w:rsidP="005249F4">
      <w:pPr>
        <w:rPr>
          <w:b/>
          <w:sz w:val="24"/>
        </w:rPr>
      </w:pPr>
      <w:r w:rsidRPr="007F7E9A">
        <w:rPr>
          <w:b/>
          <w:sz w:val="24"/>
        </w:rPr>
        <w:t>Title:</w:t>
      </w:r>
    </w:p>
    <w:p w:rsidR="005249F4" w:rsidRPr="007F7E9A" w:rsidRDefault="005249F4" w:rsidP="005249F4">
      <w:pPr>
        <w:rPr>
          <w:b/>
          <w:sz w:val="24"/>
        </w:rPr>
      </w:pPr>
    </w:p>
    <w:p w:rsidR="005249F4" w:rsidRDefault="005249F4" w:rsidP="005249F4">
      <w:pPr>
        <w:rPr>
          <w:b/>
          <w:sz w:val="24"/>
        </w:rPr>
      </w:pPr>
      <w:r w:rsidRPr="007F7E9A">
        <w:rPr>
          <w:b/>
          <w:sz w:val="24"/>
        </w:rPr>
        <w:t>Edition;</w:t>
      </w:r>
    </w:p>
    <w:p w:rsidR="005249F4" w:rsidRPr="007F7E9A" w:rsidRDefault="005249F4" w:rsidP="005249F4">
      <w:pPr>
        <w:rPr>
          <w:b/>
          <w:sz w:val="24"/>
        </w:rPr>
      </w:pPr>
    </w:p>
    <w:p w:rsidR="005249F4" w:rsidRPr="007F7E9A" w:rsidRDefault="005249F4" w:rsidP="005249F4">
      <w:pPr>
        <w:rPr>
          <w:b/>
          <w:sz w:val="24"/>
        </w:rPr>
      </w:pPr>
      <w:r w:rsidRPr="007F7E9A">
        <w:rPr>
          <w:b/>
          <w:sz w:val="24"/>
        </w:rPr>
        <w:t>Place of Publication;</w:t>
      </w:r>
    </w:p>
    <w:p w:rsidR="005249F4" w:rsidRPr="007F7E9A" w:rsidRDefault="005249F4" w:rsidP="005249F4">
      <w:pPr>
        <w:rPr>
          <w:b/>
          <w:sz w:val="24"/>
        </w:rPr>
      </w:pPr>
    </w:p>
    <w:p w:rsidR="005249F4" w:rsidRPr="007F7E9A" w:rsidRDefault="005249F4" w:rsidP="005249F4">
      <w:pPr>
        <w:rPr>
          <w:b/>
          <w:sz w:val="24"/>
        </w:rPr>
      </w:pPr>
      <w:r w:rsidRPr="007F7E9A">
        <w:rPr>
          <w:b/>
          <w:sz w:val="24"/>
        </w:rPr>
        <w:t>Issue information:</w:t>
      </w:r>
    </w:p>
    <w:p w:rsidR="005249F4" w:rsidRDefault="005249F4" w:rsidP="005249F4">
      <w:pPr>
        <w:rPr>
          <w:b/>
          <w:sz w:val="32"/>
        </w:rPr>
      </w:pPr>
    </w:p>
    <w:p w:rsidR="005249F4" w:rsidRPr="007F7E9A" w:rsidRDefault="005249F4" w:rsidP="005249F4">
      <w:pPr>
        <w:rPr>
          <w:b/>
          <w:sz w:val="20"/>
        </w:rPr>
      </w:pPr>
      <w:r w:rsidRPr="007F7E9A">
        <w:rPr>
          <w:b/>
          <w:sz w:val="24"/>
        </w:rPr>
        <w:t>Page numbers:</w:t>
      </w:r>
    </w:p>
    <w:p w:rsidR="005249F4" w:rsidRPr="007F7E9A" w:rsidRDefault="005249F4" w:rsidP="005249F4">
      <w:pPr>
        <w:rPr>
          <w:b/>
          <w:sz w:val="24"/>
        </w:rPr>
      </w:pPr>
    </w:p>
    <w:p w:rsidR="005249F4" w:rsidRDefault="005249F4">
      <w:r w:rsidRPr="007F7E9A">
        <w:rPr>
          <w:b/>
          <w:sz w:val="24"/>
        </w:rPr>
        <w:t>URLs;</w:t>
      </w:r>
      <w:bookmarkStart w:id="0" w:name="_GoBack"/>
      <w:bookmarkEnd w:id="0"/>
    </w:p>
    <w:sectPr w:rsidR="005249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5132"/>
    <w:rsid w:val="00205420"/>
    <w:rsid w:val="003605C1"/>
    <w:rsid w:val="00507830"/>
    <w:rsid w:val="005249F4"/>
    <w:rsid w:val="005674EA"/>
    <w:rsid w:val="007471C3"/>
    <w:rsid w:val="007A439B"/>
    <w:rsid w:val="00922973"/>
    <w:rsid w:val="00A42BF0"/>
    <w:rsid w:val="00A83E43"/>
    <w:rsid w:val="00AB2DAC"/>
    <w:rsid w:val="00BD5132"/>
    <w:rsid w:val="00E60AED"/>
    <w:rsid w:val="00EB2325"/>
    <w:rsid w:val="00EC4E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E2F51"/>
  <w15:chartTrackingRefBased/>
  <w15:docId w15:val="{5DCAF07C-BACA-4E3B-8F33-25F7B2044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D5132"/>
    <w:rPr>
      <w:color w:val="0563C1" w:themeColor="hyperlink"/>
      <w:u w:val="single"/>
    </w:rPr>
  </w:style>
  <w:style w:type="character" w:styleId="FollowedHyperlink">
    <w:name w:val="FollowedHyperlink"/>
    <w:basedOn w:val="DefaultParagraphFont"/>
    <w:uiPriority w:val="99"/>
    <w:semiHidden/>
    <w:unhideWhenUsed/>
    <w:rsid w:val="00507830"/>
    <w:rPr>
      <w:color w:val="954F72" w:themeColor="followedHyperlink"/>
      <w:u w:val="single"/>
    </w:rPr>
  </w:style>
  <w:style w:type="paragraph" w:styleId="BalloonText">
    <w:name w:val="Balloon Text"/>
    <w:basedOn w:val="Normal"/>
    <w:link w:val="BalloonTextChar"/>
    <w:uiPriority w:val="99"/>
    <w:semiHidden/>
    <w:unhideWhenUsed/>
    <w:rsid w:val="00EB232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2325"/>
    <w:rPr>
      <w:rFonts w:ascii="Segoe UI" w:hAnsi="Segoe UI" w:cs="Segoe UI"/>
      <w:sz w:val="18"/>
      <w:szCs w:val="18"/>
    </w:rPr>
  </w:style>
  <w:style w:type="table" w:styleId="TableGrid">
    <w:name w:val="Table Grid"/>
    <w:basedOn w:val="TableNormal"/>
    <w:uiPriority w:val="39"/>
    <w:rsid w:val="005249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u.osu.edu/2367group3/environmental-concerns/effects-of-mining-lithium/" TargetMode="External"/><Relationship Id="rId4" Type="http://schemas.openxmlformats.org/officeDocument/2006/relationships/hyperlink" Target="https://www.energy-storage.news/news/litthium-ion-to-dominate-even-in-longer-duration-global-market-says-i.h.s-m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447</Words>
  <Characters>2549</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Kerry Tudor</dc:creator>
  <cp:keywords/>
  <dc:description/>
  <cp:lastModifiedBy>Kerry Tudor</cp:lastModifiedBy>
  <cp:revision>2</cp:revision>
  <cp:lastPrinted>2018-10-09T10:25:00Z</cp:lastPrinted>
  <dcterms:created xsi:type="dcterms:W3CDTF">2019-10-02T12:11:00Z</dcterms:created>
  <dcterms:modified xsi:type="dcterms:W3CDTF">2019-10-02T12:11:00Z</dcterms:modified>
</cp:coreProperties>
</file>