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943FB3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  <w:b/>
          <w:bCs/>
          <w:u w:val="single"/>
        </w:rPr>
      </w:pPr>
      <w:r w:rsidRPr="004724DB">
        <w:rPr>
          <w:rFonts w:ascii="Arial" w:hAnsi="Arial"/>
          <w:b/>
          <w:bCs/>
          <w:u w:val="single"/>
        </w:rPr>
        <w:t xml:space="preserve">Reference List </w:t>
      </w:r>
    </w:p>
    <w:p w14:paraId="3A5C6768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  <w:b/>
          <w:bCs/>
          <w:u w:val="single"/>
        </w:rPr>
      </w:pPr>
    </w:p>
    <w:p w14:paraId="05F7CF29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Abrahams, M. (2017) How repetition and detail can improve your story telling [blog]. Available at: </w:t>
      </w:r>
      <w:hyperlink r:id="rId6" w:history="1">
        <w:r w:rsidRPr="004724DB">
          <w:rPr>
            <w:rStyle w:val="Hyperlink"/>
            <w:rFonts w:ascii="Arial" w:hAnsi="Arial"/>
          </w:rPr>
          <w:t>https://www.nofreakingspeaking.com/how-repetition-and-detail-can-improve-your-story-telling/</w:t>
        </w:r>
      </w:hyperlink>
      <w:r w:rsidRPr="004724DB">
        <w:rPr>
          <w:rFonts w:ascii="Arial" w:hAnsi="Arial"/>
        </w:rPr>
        <w:t xml:space="preserve"> (Accessed: 3</w:t>
      </w:r>
      <w:r w:rsidRPr="004724DB">
        <w:rPr>
          <w:rFonts w:ascii="Arial" w:hAnsi="Arial"/>
          <w:vertAlign w:val="superscript"/>
        </w:rPr>
        <w:t>rd</w:t>
      </w:r>
      <w:r w:rsidRPr="004724DB">
        <w:rPr>
          <w:rFonts w:ascii="Arial" w:hAnsi="Arial"/>
        </w:rPr>
        <w:t xml:space="preserve"> December 2020).</w:t>
      </w:r>
    </w:p>
    <w:p w14:paraId="0ED30B39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51624D71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Allen, J. W, &amp; Lalonde, C.E. (2015) ‘Children’s Use of Speech and Repetition in Oral Storytelling’, </w:t>
      </w:r>
      <w:r w:rsidRPr="004724DB">
        <w:rPr>
          <w:rFonts w:ascii="Arial" w:hAnsi="Arial"/>
          <w:i/>
          <w:iCs/>
        </w:rPr>
        <w:t>Human Development</w:t>
      </w:r>
      <w:r w:rsidRPr="004724DB">
        <w:rPr>
          <w:rFonts w:ascii="Arial" w:hAnsi="Arial"/>
        </w:rPr>
        <w:t>, 58(2), PP. 70-96.</w:t>
      </w:r>
    </w:p>
    <w:p w14:paraId="4341C9AF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4DE30C0D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Andrew, M.I (No date) </w:t>
      </w:r>
      <w:r w:rsidRPr="004724DB">
        <w:rPr>
          <w:rFonts w:ascii="Arial" w:hAnsi="Arial"/>
          <w:i/>
          <w:iCs/>
        </w:rPr>
        <w:t>6 essential skills for reading comprehension</w:t>
      </w:r>
      <w:r w:rsidRPr="004724DB">
        <w:rPr>
          <w:rFonts w:ascii="Arial" w:hAnsi="Arial"/>
        </w:rPr>
        <w:t xml:space="preserve">. Available at: </w:t>
      </w:r>
      <w:hyperlink r:id="rId7" w:history="1">
        <w:r w:rsidRPr="004724DB">
          <w:rPr>
            <w:rStyle w:val="Hyperlink"/>
            <w:rFonts w:ascii="Arial" w:hAnsi="Arial"/>
          </w:rPr>
          <w:t>https://www.understood.org/en/learning-thinking-differences/child-learning-disabilities/reading-issues/6-essential-skills-needed-for-reading-comprehension</w:t>
        </w:r>
      </w:hyperlink>
      <w:r w:rsidRPr="004724DB">
        <w:rPr>
          <w:rFonts w:ascii="Arial" w:hAnsi="Arial"/>
        </w:rPr>
        <w:t xml:space="preserve"> (Accessed: 3</w:t>
      </w:r>
      <w:r w:rsidRPr="004724DB">
        <w:rPr>
          <w:rFonts w:ascii="Arial" w:hAnsi="Arial"/>
          <w:vertAlign w:val="superscript"/>
        </w:rPr>
        <w:t>rd</w:t>
      </w:r>
      <w:r w:rsidRPr="004724DB">
        <w:rPr>
          <w:rFonts w:ascii="Arial" w:hAnsi="Arial"/>
        </w:rPr>
        <w:t xml:space="preserve"> December 2020).</w:t>
      </w:r>
    </w:p>
    <w:p w14:paraId="1A522185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5BDCBA24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Bealing</w:t>
      </w:r>
      <w:proofErr w:type="spellEnd"/>
      <w:r w:rsidRPr="004724DB">
        <w:rPr>
          <w:rFonts w:ascii="Arial" w:hAnsi="Arial"/>
        </w:rPr>
        <w:t xml:space="preserve">, J. (2011) </w:t>
      </w:r>
      <w:r w:rsidRPr="004724DB">
        <w:rPr>
          <w:rFonts w:ascii="Arial" w:hAnsi="Arial"/>
          <w:i/>
          <w:iCs/>
        </w:rPr>
        <w:t>Again, again why repetition in reading helps children learn more</w:t>
      </w:r>
      <w:r w:rsidRPr="004724DB">
        <w:rPr>
          <w:rFonts w:ascii="Arial" w:hAnsi="Arial"/>
        </w:rPr>
        <w:t xml:space="preserve">. Available at: </w:t>
      </w:r>
      <w:hyperlink r:id="rId8" w:history="1">
        <w:r w:rsidRPr="004724DB">
          <w:rPr>
            <w:rStyle w:val="Hyperlink"/>
            <w:rFonts w:ascii="Arial" w:hAnsi="Arial"/>
          </w:rPr>
          <w:t>http://www.sussex.ac.uk/broadcast/read/7040</w:t>
        </w:r>
      </w:hyperlink>
      <w:r w:rsidRPr="004724DB">
        <w:rPr>
          <w:rFonts w:ascii="Arial" w:hAnsi="Arial"/>
        </w:rPr>
        <w:t>. (Accessed: 3</w:t>
      </w:r>
      <w:r w:rsidRPr="004724DB">
        <w:rPr>
          <w:rFonts w:ascii="Arial" w:hAnsi="Arial"/>
          <w:vertAlign w:val="superscript"/>
        </w:rPr>
        <w:t>rd</w:t>
      </w:r>
      <w:r w:rsidRPr="004724DB">
        <w:rPr>
          <w:rFonts w:ascii="Arial" w:hAnsi="Arial"/>
        </w:rPr>
        <w:t xml:space="preserve"> December 2020).</w:t>
      </w:r>
    </w:p>
    <w:p w14:paraId="3DDDD437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0223135B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Cameron et.al (2011) ‘Representational Gesture, Pointing Gesture, and Memory Recall of Preschool Children’, </w:t>
      </w:r>
      <w:r w:rsidRPr="004724DB">
        <w:rPr>
          <w:rFonts w:ascii="Arial" w:hAnsi="Arial"/>
          <w:i/>
          <w:iCs/>
        </w:rPr>
        <w:t>Journal of Nonverbal Behaviour</w:t>
      </w:r>
      <w:r w:rsidRPr="004724DB">
        <w:rPr>
          <w:rFonts w:ascii="Arial" w:hAnsi="Arial"/>
        </w:rPr>
        <w:t>, 35(2), pp. 155-171.</w:t>
      </w:r>
    </w:p>
    <w:p w14:paraId="16AA4794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  <w:b/>
          <w:bCs/>
          <w:u w:val="single"/>
        </w:rPr>
      </w:pPr>
    </w:p>
    <w:p w14:paraId="1D88B11E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Costello, R. (2019) </w:t>
      </w:r>
      <w:r w:rsidRPr="004724DB">
        <w:rPr>
          <w:rFonts w:ascii="Arial" w:hAnsi="Arial"/>
          <w:i/>
          <w:iCs/>
        </w:rPr>
        <w:t>The benefits of storytelling: Help Kids develop social emotional learning</w:t>
      </w:r>
      <w:r w:rsidRPr="004724DB">
        <w:rPr>
          <w:rFonts w:ascii="Arial" w:hAnsi="Arial"/>
        </w:rPr>
        <w:t xml:space="preserve">. Available at: </w:t>
      </w:r>
      <w:hyperlink r:id="rId9" w:history="1">
        <w:r w:rsidRPr="004724DB">
          <w:rPr>
            <w:rStyle w:val="Hyperlink"/>
            <w:rFonts w:ascii="Arial" w:hAnsi="Arial"/>
          </w:rPr>
          <w:t>https://www.yoremikids.com/news/storytelling-benefits-child-development</w:t>
        </w:r>
      </w:hyperlink>
      <w:r w:rsidRPr="004724DB">
        <w:rPr>
          <w:rFonts w:ascii="Arial" w:hAnsi="Arial"/>
        </w:rPr>
        <w:t xml:space="preserve"> (Accessed: 30</w:t>
      </w:r>
      <w:r w:rsidRPr="004724DB">
        <w:rPr>
          <w:rFonts w:ascii="Arial" w:hAnsi="Arial"/>
          <w:vertAlign w:val="superscript"/>
        </w:rPr>
        <w:t>th</w:t>
      </w:r>
      <w:r w:rsidRPr="004724DB">
        <w:rPr>
          <w:rFonts w:ascii="Arial" w:hAnsi="Arial"/>
        </w:rPr>
        <w:t xml:space="preserve"> November 2020).</w:t>
      </w:r>
    </w:p>
    <w:p w14:paraId="1FFF86CB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28E2EABF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Eason, S. H, et.al (2012). ‘Reader–text interactions: How differential text and question types influence cognitive skills needed for reading comprehension’, </w:t>
      </w:r>
      <w:r w:rsidRPr="004724DB">
        <w:rPr>
          <w:rFonts w:ascii="Arial" w:hAnsi="Arial"/>
          <w:i/>
          <w:iCs/>
        </w:rPr>
        <w:t>Journal of Educational Psychology</w:t>
      </w:r>
      <w:r w:rsidRPr="004724DB">
        <w:rPr>
          <w:rFonts w:ascii="Arial" w:hAnsi="Arial"/>
        </w:rPr>
        <w:t>, 104(3), pp. 515-528.</w:t>
      </w:r>
    </w:p>
    <w:p w14:paraId="2454626D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5450BC8C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Friday, M.J. (2014) </w:t>
      </w:r>
      <w:r w:rsidRPr="004724DB">
        <w:rPr>
          <w:rFonts w:ascii="Arial" w:hAnsi="Arial"/>
          <w:i/>
          <w:iCs/>
        </w:rPr>
        <w:t>Why storytelling in the classroom matters</w:t>
      </w:r>
      <w:r w:rsidRPr="004724DB">
        <w:rPr>
          <w:rFonts w:ascii="Arial" w:hAnsi="Arial"/>
        </w:rPr>
        <w:t xml:space="preserve">. Available at: </w:t>
      </w:r>
      <w:hyperlink r:id="rId10" w:history="1">
        <w:r w:rsidRPr="004724DB">
          <w:rPr>
            <w:rStyle w:val="Hyperlink"/>
            <w:rFonts w:ascii="Arial" w:hAnsi="Arial"/>
          </w:rPr>
          <w:t>https://www.edutopia.org/blog/storytelling-in-the-classroom-matters-matthew-friday</w:t>
        </w:r>
      </w:hyperlink>
      <w:r w:rsidRPr="004724DB">
        <w:rPr>
          <w:rFonts w:ascii="Arial" w:hAnsi="Arial"/>
        </w:rPr>
        <w:t xml:space="preserve"> (Accessed:24th November 2020).</w:t>
      </w:r>
    </w:p>
    <w:p w14:paraId="385E359B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113B409F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lastRenderedPageBreak/>
        <w:t>Geoffmead</w:t>
      </w:r>
      <w:proofErr w:type="spellEnd"/>
      <w:r w:rsidRPr="004724DB">
        <w:rPr>
          <w:rFonts w:ascii="Arial" w:hAnsi="Arial"/>
        </w:rPr>
        <w:t xml:space="preserve"> (2015) </w:t>
      </w:r>
      <w:r w:rsidRPr="004724DB">
        <w:rPr>
          <w:rFonts w:ascii="Arial" w:hAnsi="Arial"/>
          <w:i/>
          <w:iCs/>
        </w:rPr>
        <w:t>Storytelling: The art of imagination</w:t>
      </w:r>
      <w:r w:rsidRPr="004724DB">
        <w:rPr>
          <w:rFonts w:ascii="Arial" w:hAnsi="Arial"/>
        </w:rPr>
        <w:t xml:space="preserve">. Available at: </w:t>
      </w:r>
      <w:hyperlink r:id="rId11" w:history="1">
        <w:r w:rsidRPr="004724DB">
          <w:rPr>
            <w:rStyle w:val="Hyperlink"/>
            <w:rFonts w:ascii="Arial" w:hAnsi="Arial"/>
          </w:rPr>
          <w:t>https://narrativeleadershiplimited.wordpress.com/2015/02/12/storytelling-the-art-of-imagination/</w:t>
        </w:r>
      </w:hyperlink>
      <w:r w:rsidRPr="004724DB">
        <w:rPr>
          <w:rFonts w:ascii="Arial" w:hAnsi="Arial"/>
        </w:rPr>
        <w:t xml:space="preserve"> (Accessed: 24</w:t>
      </w:r>
      <w:r w:rsidRPr="004724DB">
        <w:rPr>
          <w:rFonts w:ascii="Arial" w:hAnsi="Arial"/>
          <w:vertAlign w:val="superscript"/>
        </w:rPr>
        <w:t>th</w:t>
      </w:r>
      <w:r w:rsidRPr="004724DB">
        <w:rPr>
          <w:rFonts w:ascii="Arial" w:hAnsi="Arial"/>
        </w:rPr>
        <w:t xml:space="preserve"> November 2020). </w:t>
      </w:r>
    </w:p>
    <w:p w14:paraId="292AC7EA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69441FAA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Haigh, et.al. (2011). ‘Tell me a story — a conceptual exploration of storytelling in healthcare education’, </w:t>
      </w:r>
      <w:r w:rsidRPr="004724DB">
        <w:rPr>
          <w:rFonts w:ascii="Arial" w:hAnsi="Arial"/>
          <w:i/>
          <w:iCs/>
        </w:rPr>
        <w:t>Nurse Education Today</w:t>
      </w:r>
      <w:r w:rsidRPr="004724DB">
        <w:rPr>
          <w:rFonts w:ascii="Arial" w:hAnsi="Arial"/>
        </w:rPr>
        <w:t>, 31(4), pp. 408-411.</w:t>
      </w:r>
    </w:p>
    <w:p w14:paraId="757FBDC8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40A0999E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Heathfield, D. (No date) </w:t>
      </w:r>
      <w:r w:rsidRPr="004724DB">
        <w:rPr>
          <w:rFonts w:ascii="Arial" w:hAnsi="Arial"/>
          <w:i/>
          <w:iCs/>
        </w:rPr>
        <w:t>Rhythm, rhyme, repetition, reasoning and response in oral storytelling</w:t>
      </w:r>
      <w:r w:rsidRPr="004724DB">
        <w:rPr>
          <w:rFonts w:ascii="Arial" w:hAnsi="Arial"/>
        </w:rPr>
        <w:t xml:space="preserve">. Available at: </w:t>
      </w:r>
      <w:hyperlink r:id="rId12" w:history="1">
        <w:r w:rsidRPr="004724DB">
          <w:rPr>
            <w:rStyle w:val="Hyperlink"/>
            <w:rFonts w:ascii="Arial" w:hAnsi="Arial"/>
          </w:rPr>
          <w:t>https://www.teachingenglish.org.uk/article/rhythm-rhyme-repetition-reasoning-response-oral-storytelling</w:t>
        </w:r>
      </w:hyperlink>
      <w:r w:rsidRPr="004724DB">
        <w:rPr>
          <w:rFonts w:ascii="Arial" w:hAnsi="Arial"/>
        </w:rPr>
        <w:t xml:space="preserve"> (Accessed: 2</w:t>
      </w:r>
      <w:r w:rsidRPr="004724DB">
        <w:rPr>
          <w:rFonts w:ascii="Arial" w:hAnsi="Arial"/>
          <w:vertAlign w:val="superscript"/>
        </w:rPr>
        <w:t>nd</w:t>
      </w:r>
      <w:r w:rsidRPr="004724DB">
        <w:rPr>
          <w:rFonts w:ascii="Arial" w:hAnsi="Arial"/>
        </w:rPr>
        <w:t xml:space="preserve"> December 2020). </w:t>
      </w:r>
    </w:p>
    <w:p w14:paraId="6C3214E4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58586E81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Hurst, M. (2014) </w:t>
      </w:r>
      <w:r w:rsidRPr="004724DB">
        <w:rPr>
          <w:rFonts w:ascii="Arial" w:hAnsi="Arial"/>
          <w:i/>
          <w:iCs/>
        </w:rPr>
        <w:t>Jerome Bruner’s theory of development: Discovery learning &amp; representation</w:t>
      </w:r>
      <w:r w:rsidRPr="004724DB">
        <w:rPr>
          <w:rFonts w:ascii="Arial" w:hAnsi="Arial"/>
        </w:rPr>
        <w:t xml:space="preserve">. Available at: </w:t>
      </w:r>
      <w:hyperlink r:id="rId13" w:history="1">
        <w:r w:rsidRPr="004724DB">
          <w:rPr>
            <w:rStyle w:val="Hyperlink"/>
            <w:rFonts w:ascii="Arial" w:hAnsi="Arial"/>
          </w:rPr>
          <w:t>https://study.com/academy/lesson/jerome-bruners-theory-of-development-discovery-learning-representation.html</w:t>
        </w:r>
      </w:hyperlink>
      <w:r w:rsidRPr="004724DB">
        <w:rPr>
          <w:rFonts w:ascii="Arial" w:hAnsi="Arial"/>
        </w:rPr>
        <w:t xml:space="preserve"> (Accessed: 25</w:t>
      </w:r>
      <w:r w:rsidRPr="004724DB">
        <w:rPr>
          <w:rFonts w:ascii="Arial" w:hAnsi="Arial"/>
          <w:vertAlign w:val="superscript"/>
        </w:rPr>
        <w:t>th</w:t>
      </w:r>
      <w:r w:rsidRPr="004724DB">
        <w:rPr>
          <w:rFonts w:ascii="Arial" w:hAnsi="Arial"/>
        </w:rPr>
        <w:t xml:space="preserve"> November 2020). </w:t>
      </w:r>
    </w:p>
    <w:p w14:paraId="5394387C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7847BCEB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Imdieke</w:t>
      </w:r>
      <w:proofErr w:type="spellEnd"/>
      <w:r w:rsidRPr="004724DB">
        <w:rPr>
          <w:rFonts w:ascii="Arial" w:hAnsi="Arial"/>
        </w:rPr>
        <w:t xml:space="preserve">, S. J. (1991). ‘Using traditional storytellers' props’, </w:t>
      </w:r>
      <w:r w:rsidRPr="004724DB">
        <w:rPr>
          <w:rFonts w:ascii="Arial" w:hAnsi="Arial"/>
          <w:i/>
          <w:iCs/>
        </w:rPr>
        <w:t>The Reading Teacher</w:t>
      </w:r>
      <w:r w:rsidRPr="004724DB">
        <w:rPr>
          <w:rFonts w:ascii="Arial" w:hAnsi="Arial"/>
        </w:rPr>
        <w:t>, 45(4), pp. 329-330.</w:t>
      </w:r>
    </w:p>
    <w:p w14:paraId="73277556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4BCD48B8" w14:textId="77777777" w:rsidR="003E6005" w:rsidRPr="004724DB" w:rsidRDefault="003E6005" w:rsidP="004724DB">
      <w:pPr>
        <w:tabs>
          <w:tab w:val="left" w:pos="7476"/>
        </w:tabs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Krzywinski</w:t>
      </w:r>
      <w:proofErr w:type="spellEnd"/>
      <w:r w:rsidRPr="004724DB">
        <w:rPr>
          <w:rFonts w:ascii="Arial" w:hAnsi="Arial"/>
        </w:rPr>
        <w:t xml:space="preserve">, et.al, (2013). ‘Storytelling’, </w:t>
      </w:r>
      <w:r w:rsidRPr="004724DB">
        <w:rPr>
          <w:rFonts w:ascii="Arial" w:hAnsi="Arial"/>
          <w:i/>
          <w:iCs/>
        </w:rPr>
        <w:t>Nature methods</w:t>
      </w:r>
      <w:r w:rsidRPr="004724DB">
        <w:rPr>
          <w:rFonts w:ascii="Arial" w:hAnsi="Arial"/>
        </w:rPr>
        <w:t>, 10(8), p.687.</w:t>
      </w:r>
      <w:r w:rsidRPr="004724DB">
        <w:rPr>
          <w:rFonts w:ascii="Arial" w:hAnsi="Arial"/>
        </w:rPr>
        <w:tab/>
      </w:r>
    </w:p>
    <w:p w14:paraId="1D6BAB04" w14:textId="77777777" w:rsidR="003E6005" w:rsidRPr="004724DB" w:rsidRDefault="003E6005" w:rsidP="004724DB">
      <w:pPr>
        <w:tabs>
          <w:tab w:val="left" w:pos="7476"/>
        </w:tabs>
        <w:spacing w:line="360" w:lineRule="auto"/>
        <w:jc w:val="both"/>
        <w:rPr>
          <w:rFonts w:ascii="Arial" w:hAnsi="Arial"/>
        </w:rPr>
      </w:pPr>
    </w:p>
    <w:p w14:paraId="468C68B5" w14:textId="77777777" w:rsidR="003E6005" w:rsidRPr="004724DB" w:rsidRDefault="003E6005" w:rsidP="004724DB">
      <w:pPr>
        <w:tabs>
          <w:tab w:val="left" w:pos="7476"/>
        </w:tabs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Lally, M &amp; Valentine-French, S. (2019) </w:t>
      </w:r>
      <w:r w:rsidRPr="004724DB">
        <w:rPr>
          <w:rFonts w:ascii="Arial" w:hAnsi="Arial"/>
          <w:i/>
          <w:iCs/>
        </w:rPr>
        <w:t xml:space="preserve">Lifespan Development: A psychological Perspective Second Edition. </w:t>
      </w:r>
      <w:r w:rsidRPr="004724DB">
        <w:rPr>
          <w:rFonts w:ascii="Arial" w:hAnsi="Arial"/>
        </w:rPr>
        <w:t xml:space="preserve">San Francisco: Creative Commons. </w:t>
      </w:r>
    </w:p>
    <w:p w14:paraId="1399C0B2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0C823772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Mitty, E., (2010). ‘Storytelling’. </w:t>
      </w:r>
      <w:r w:rsidRPr="004724DB">
        <w:rPr>
          <w:rFonts w:ascii="Arial" w:hAnsi="Arial"/>
          <w:i/>
          <w:iCs/>
        </w:rPr>
        <w:t>Geriatric nursing</w:t>
      </w:r>
      <w:r w:rsidRPr="004724DB">
        <w:rPr>
          <w:rFonts w:ascii="Arial" w:hAnsi="Arial"/>
        </w:rPr>
        <w:t>, 31(1), pp.58–62.</w:t>
      </w:r>
    </w:p>
    <w:p w14:paraId="7A95CE87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60210122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National Literacy Trust (No date) </w:t>
      </w:r>
      <w:r w:rsidRPr="004724DB">
        <w:rPr>
          <w:rFonts w:ascii="Arial" w:hAnsi="Arial"/>
          <w:i/>
          <w:iCs/>
        </w:rPr>
        <w:t>About us</w:t>
      </w:r>
      <w:r w:rsidRPr="004724DB">
        <w:rPr>
          <w:rFonts w:ascii="Arial" w:hAnsi="Arial"/>
        </w:rPr>
        <w:t xml:space="preserve">. Available at: </w:t>
      </w:r>
      <w:hyperlink r:id="rId14" w:history="1">
        <w:r w:rsidRPr="004724DB">
          <w:rPr>
            <w:rStyle w:val="Hyperlink"/>
            <w:rFonts w:ascii="Arial" w:hAnsi="Arial"/>
          </w:rPr>
          <w:t>https://literacytrust.org.uk/about-us/</w:t>
        </w:r>
      </w:hyperlink>
      <w:r w:rsidRPr="004724DB">
        <w:rPr>
          <w:rFonts w:ascii="Arial" w:hAnsi="Arial"/>
        </w:rPr>
        <w:t xml:space="preserve"> (Accessed: 25</w:t>
      </w:r>
      <w:r w:rsidRPr="004724DB">
        <w:rPr>
          <w:rFonts w:ascii="Arial" w:hAnsi="Arial"/>
          <w:vertAlign w:val="superscript"/>
        </w:rPr>
        <w:t>th</w:t>
      </w:r>
      <w:r w:rsidRPr="004724DB">
        <w:rPr>
          <w:rFonts w:ascii="Arial" w:hAnsi="Arial"/>
        </w:rPr>
        <w:t xml:space="preserve"> November 2020). </w:t>
      </w:r>
    </w:p>
    <w:p w14:paraId="6D356B5C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3564ABD9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Reutzel</w:t>
      </w:r>
      <w:proofErr w:type="spellEnd"/>
      <w:r w:rsidRPr="004724DB">
        <w:rPr>
          <w:rFonts w:ascii="Arial" w:hAnsi="Arial"/>
        </w:rPr>
        <w:t>, D. R. (1995) ‘</w:t>
      </w:r>
      <w:proofErr w:type="spellStart"/>
      <w:r w:rsidRPr="004724DB">
        <w:rPr>
          <w:rFonts w:ascii="Arial" w:hAnsi="Arial"/>
        </w:rPr>
        <w:t>fingerpoint</w:t>
      </w:r>
      <w:proofErr w:type="spellEnd"/>
      <w:r w:rsidRPr="004724DB">
        <w:rPr>
          <w:rFonts w:ascii="Arial" w:hAnsi="Arial"/>
        </w:rPr>
        <w:t xml:space="preserve">-reading and beyond: learning about print strategies (LAPS)’, </w:t>
      </w:r>
      <w:r w:rsidRPr="004724DB">
        <w:rPr>
          <w:rFonts w:ascii="Arial" w:hAnsi="Arial"/>
          <w:i/>
          <w:iCs/>
        </w:rPr>
        <w:t>Reading Horizons</w:t>
      </w:r>
      <w:r w:rsidRPr="004724DB">
        <w:rPr>
          <w:rFonts w:ascii="Arial" w:hAnsi="Arial"/>
        </w:rPr>
        <w:t>, 35(4), pp. 310-328.</w:t>
      </w:r>
    </w:p>
    <w:p w14:paraId="72216E62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07949B8B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lastRenderedPageBreak/>
        <w:t>Roy-</w:t>
      </w:r>
      <w:proofErr w:type="spellStart"/>
      <w:r w:rsidRPr="004724DB">
        <w:rPr>
          <w:rFonts w:ascii="Arial" w:hAnsi="Arial"/>
        </w:rPr>
        <w:t>Charland</w:t>
      </w:r>
      <w:proofErr w:type="spellEnd"/>
      <w:r w:rsidRPr="004724DB">
        <w:rPr>
          <w:rFonts w:ascii="Arial" w:hAnsi="Arial"/>
        </w:rPr>
        <w:t>, A. et.al, (2015). ‘If I point, do they look</w:t>
      </w:r>
      <w:proofErr w:type="gramStart"/>
      <w:r w:rsidRPr="004724DB">
        <w:rPr>
          <w:rFonts w:ascii="Arial" w:hAnsi="Arial"/>
        </w:rPr>
        <w:t>? :</w:t>
      </w:r>
      <w:proofErr w:type="gramEnd"/>
      <w:r w:rsidRPr="004724DB">
        <w:rPr>
          <w:rFonts w:ascii="Arial" w:hAnsi="Arial"/>
        </w:rPr>
        <w:t xml:space="preserve"> The impact of attention–orientation strategies on text exploration during shared book reading’, </w:t>
      </w:r>
      <w:r w:rsidRPr="004724DB">
        <w:rPr>
          <w:rFonts w:ascii="Arial" w:hAnsi="Arial"/>
          <w:i/>
          <w:iCs/>
        </w:rPr>
        <w:t>Reading &amp; Writing</w:t>
      </w:r>
      <w:r w:rsidRPr="004724DB">
        <w:rPr>
          <w:rFonts w:ascii="Arial" w:hAnsi="Arial"/>
        </w:rPr>
        <w:t>, 28(9), pp. 1285-1305.</w:t>
      </w:r>
    </w:p>
    <w:p w14:paraId="6B1FD35F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3EFCE656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 xml:space="preserve">Stewart, E. (No date) Pointing at words as you read aloud could help your child. Available at: </w:t>
      </w:r>
      <w:hyperlink r:id="rId15" w:history="1">
        <w:r w:rsidRPr="004724DB">
          <w:rPr>
            <w:rStyle w:val="Hyperlink"/>
            <w:rFonts w:ascii="Arial" w:hAnsi="Arial"/>
          </w:rPr>
          <w:t>https://www.madeformums.com/news/pointing-at-words-as-you-read-aloud-could-help-your-child/</w:t>
        </w:r>
      </w:hyperlink>
      <w:r w:rsidRPr="004724DB">
        <w:rPr>
          <w:rFonts w:ascii="Arial" w:hAnsi="Arial"/>
        </w:rPr>
        <w:t xml:space="preserve"> (Accessed: 3</w:t>
      </w:r>
      <w:r w:rsidRPr="004724DB">
        <w:rPr>
          <w:rFonts w:ascii="Arial" w:hAnsi="Arial"/>
          <w:vertAlign w:val="superscript"/>
        </w:rPr>
        <w:t>rd</w:t>
      </w:r>
      <w:r w:rsidRPr="004724DB">
        <w:rPr>
          <w:rFonts w:ascii="Arial" w:hAnsi="Arial"/>
        </w:rPr>
        <w:t xml:space="preserve"> December). </w:t>
      </w:r>
    </w:p>
    <w:p w14:paraId="071D50C8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0AB0AC7A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r w:rsidRPr="004724DB">
        <w:rPr>
          <w:rFonts w:ascii="Arial" w:hAnsi="Arial"/>
        </w:rPr>
        <w:t>The Empowered Educator (2018</w:t>
      </w:r>
      <w:r w:rsidRPr="004724DB">
        <w:rPr>
          <w:rFonts w:ascii="Arial" w:hAnsi="Arial"/>
          <w:i/>
          <w:iCs/>
        </w:rPr>
        <w:t>) Playful Storytelling – Using a story bag, basket or prop box</w:t>
      </w:r>
      <w:r w:rsidRPr="004724DB">
        <w:rPr>
          <w:rFonts w:ascii="Arial" w:hAnsi="Arial"/>
        </w:rPr>
        <w:t xml:space="preserve">. Available at: </w:t>
      </w:r>
      <w:hyperlink r:id="rId16" w:history="1">
        <w:r w:rsidRPr="004724DB">
          <w:rPr>
            <w:rStyle w:val="Hyperlink"/>
            <w:rFonts w:ascii="Arial" w:hAnsi="Arial"/>
          </w:rPr>
          <w:t>https://www.theempowerededucatoronline.com/2018/11/story-bag-basket-or-prop-box.html/</w:t>
        </w:r>
      </w:hyperlink>
      <w:r w:rsidRPr="004724DB">
        <w:rPr>
          <w:rFonts w:ascii="Arial" w:hAnsi="Arial"/>
        </w:rPr>
        <w:t xml:space="preserve"> (Accessed: 25</w:t>
      </w:r>
      <w:r w:rsidRPr="004724DB">
        <w:rPr>
          <w:rFonts w:ascii="Arial" w:hAnsi="Arial"/>
          <w:vertAlign w:val="superscript"/>
        </w:rPr>
        <w:t>th</w:t>
      </w:r>
      <w:r w:rsidRPr="004724DB">
        <w:rPr>
          <w:rFonts w:ascii="Arial" w:hAnsi="Arial"/>
        </w:rPr>
        <w:t xml:space="preserve"> November 2020). </w:t>
      </w:r>
    </w:p>
    <w:p w14:paraId="36D5710E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355EEA6C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Tomasello</w:t>
      </w:r>
      <w:proofErr w:type="spellEnd"/>
      <w:r w:rsidRPr="004724DB">
        <w:rPr>
          <w:rFonts w:ascii="Arial" w:hAnsi="Arial"/>
        </w:rPr>
        <w:t>, M. et al. (2007). ‘A new look at infant pointing’,</w:t>
      </w:r>
      <w:r w:rsidRPr="004724DB">
        <w:rPr>
          <w:rFonts w:ascii="Arial" w:hAnsi="Arial"/>
          <w:i/>
          <w:iCs/>
        </w:rPr>
        <w:t xml:space="preserve"> Child Development, </w:t>
      </w:r>
      <w:r w:rsidRPr="004724DB">
        <w:rPr>
          <w:rFonts w:ascii="Arial" w:hAnsi="Arial"/>
        </w:rPr>
        <w:t>78(3), pp. 705-722.</w:t>
      </w:r>
    </w:p>
    <w:p w14:paraId="1553FDE4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523FC056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Tomasello</w:t>
      </w:r>
      <w:proofErr w:type="spellEnd"/>
      <w:r w:rsidRPr="004724DB">
        <w:rPr>
          <w:rFonts w:ascii="Arial" w:hAnsi="Arial"/>
        </w:rPr>
        <w:t xml:space="preserve">, M. (2003). </w:t>
      </w:r>
      <w:r w:rsidRPr="004724DB">
        <w:rPr>
          <w:rFonts w:ascii="Arial" w:hAnsi="Arial"/>
          <w:i/>
          <w:iCs/>
        </w:rPr>
        <w:t xml:space="preserve">Constructing a </w:t>
      </w:r>
      <w:proofErr w:type="gramStart"/>
      <w:r w:rsidRPr="004724DB">
        <w:rPr>
          <w:rFonts w:ascii="Arial" w:hAnsi="Arial"/>
          <w:i/>
          <w:iCs/>
        </w:rPr>
        <w:t>language :</w:t>
      </w:r>
      <w:proofErr w:type="gramEnd"/>
      <w:r w:rsidRPr="004724DB">
        <w:rPr>
          <w:rFonts w:ascii="Arial" w:hAnsi="Arial"/>
          <w:i/>
          <w:iCs/>
        </w:rPr>
        <w:t xml:space="preserve"> A usage-based theory of language acquisition</w:t>
      </w:r>
      <w:r w:rsidRPr="004724DB">
        <w:rPr>
          <w:rFonts w:ascii="Arial" w:hAnsi="Arial"/>
        </w:rPr>
        <w:t>. Cambridge, Mass.: Harvard University Press.</w:t>
      </w:r>
    </w:p>
    <w:p w14:paraId="72C27908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29AA2749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Walan</w:t>
      </w:r>
      <w:proofErr w:type="spellEnd"/>
      <w:r w:rsidRPr="004724DB">
        <w:rPr>
          <w:rFonts w:ascii="Arial" w:hAnsi="Arial"/>
        </w:rPr>
        <w:t xml:space="preserve">, S. (2019). ‘Teaching children science through storytelling combined with hands-on activities - a successful instructional strategy?’ </w:t>
      </w:r>
      <w:r w:rsidRPr="004724DB">
        <w:rPr>
          <w:rFonts w:ascii="Arial" w:hAnsi="Arial"/>
          <w:i/>
          <w:iCs/>
        </w:rPr>
        <w:t xml:space="preserve">Education </w:t>
      </w:r>
      <w:r w:rsidRPr="004724DB">
        <w:rPr>
          <w:rFonts w:ascii="Arial" w:hAnsi="Arial"/>
        </w:rPr>
        <w:t>3-13, 47(1), pp.34–46.</w:t>
      </w:r>
    </w:p>
    <w:p w14:paraId="7FB1ED43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</w:p>
    <w:p w14:paraId="67E82A0F" w14:textId="77777777" w:rsidR="003E6005" w:rsidRPr="004724DB" w:rsidRDefault="003E6005" w:rsidP="004724DB">
      <w:pPr>
        <w:spacing w:line="360" w:lineRule="auto"/>
        <w:jc w:val="both"/>
        <w:rPr>
          <w:rFonts w:ascii="Arial" w:hAnsi="Arial"/>
        </w:rPr>
      </w:pPr>
      <w:proofErr w:type="spellStart"/>
      <w:r w:rsidRPr="004724DB">
        <w:rPr>
          <w:rFonts w:ascii="Arial" w:hAnsi="Arial"/>
        </w:rPr>
        <w:t>Weibell</w:t>
      </w:r>
      <w:proofErr w:type="spellEnd"/>
      <w:r w:rsidRPr="004724DB">
        <w:rPr>
          <w:rFonts w:ascii="Arial" w:hAnsi="Arial"/>
        </w:rPr>
        <w:t xml:space="preserve">, C. J. (2011) </w:t>
      </w:r>
      <w:r w:rsidRPr="004724DB">
        <w:rPr>
          <w:rFonts w:ascii="Arial" w:hAnsi="Arial"/>
          <w:i/>
          <w:iCs/>
        </w:rPr>
        <w:t>Principles of learning: 7 principles to guide personalised, student-centred learning in the technology-enhanced, blended learning environment</w:t>
      </w:r>
      <w:r w:rsidRPr="004724DB">
        <w:rPr>
          <w:rFonts w:ascii="Arial" w:hAnsi="Arial"/>
        </w:rPr>
        <w:t xml:space="preserve">. Available at: </w:t>
      </w:r>
      <w:hyperlink r:id="rId17" w:history="1">
        <w:r w:rsidRPr="004724DB">
          <w:rPr>
            <w:rStyle w:val="Hyperlink"/>
            <w:rFonts w:ascii="Arial" w:hAnsi="Arial"/>
          </w:rPr>
          <w:t>https://principlesoflearning.wordpress.com/dissertation/chapter-4-results/themes-identified/repetition/</w:t>
        </w:r>
      </w:hyperlink>
      <w:r w:rsidRPr="004724DB">
        <w:rPr>
          <w:rFonts w:ascii="Arial" w:hAnsi="Arial"/>
        </w:rPr>
        <w:t xml:space="preserve"> (Accessed: 2</w:t>
      </w:r>
      <w:r w:rsidRPr="004724DB">
        <w:rPr>
          <w:rFonts w:ascii="Arial" w:hAnsi="Arial"/>
          <w:vertAlign w:val="superscript"/>
        </w:rPr>
        <w:t>nd</w:t>
      </w:r>
      <w:r w:rsidRPr="004724DB">
        <w:rPr>
          <w:rFonts w:ascii="Arial" w:hAnsi="Arial"/>
        </w:rPr>
        <w:t xml:space="preserve"> December 2020). </w:t>
      </w:r>
    </w:p>
    <w:p w14:paraId="50A27211" w14:textId="77777777" w:rsidR="003E6005" w:rsidRPr="0097285D" w:rsidRDefault="003E6005" w:rsidP="003E6005"/>
    <w:p w14:paraId="751D9E2E" w14:textId="77777777" w:rsidR="008E4A1D" w:rsidRDefault="008E4A1D"/>
    <w:sectPr w:rsidR="008E4A1D" w:rsidSect="0084079C">
      <w:headerReference w:type="default" r:id="rId18"/>
      <w:footerReference w:type="even" r:id="rId19"/>
      <w:foot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BD0904" w14:textId="77777777" w:rsidR="00AB6E19" w:rsidRDefault="00AB6E19" w:rsidP="004724DB">
      <w:r>
        <w:separator/>
      </w:r>
    </w:p>
  </w:endnote>
  <w:endnote w:type="continuationSeparator" w:id="0">
    <w:p w14:paraId="66022D45" w14:textId="77777777" w:rsidR="00AB6E19" w:rsidRDefault="00AB6E19" w:rsidP="004724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37424429"/>
      <w:docPartObj>
        <w:docPartGallery w:val="Page Numbers (Bottom of Page)"/>
        <w:docPartUnique/>
      </w:docPartObj>
    </w:sdtPr>
    <w:sdtContent>
      <w:p w14:paraId="4CAC7731" w14:textId="428F6F88" w:rsidR="004724DB" w:rsidRDefault="004724DB" w:rsidP="000653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CFFCEC8" w14:textId="77777777" w:rsidR="004724DB" w:rsidRDefault="004724DB" w:rsidP="004724D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211816999"/>
      <w:docPartObj>
        <w:docPartGallery w:val="Page Numbers (Bottom of Page)"/>
        <w:docPartUnique/>
      </w:docPartObj>
    </w:sdtPr>
    <w:sdtContent>
      <w:p w14:paraId="542D06C4" w14:textId="6A5CBA14" w:rsidR="004724DB" w:rsidRDefault="004724DB" w:rsidP="000653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C91105A" w14:textId="77777777" w:rsidR="004724DB" w:rsidRDefault="004724DB" w:rsidP="004724D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2DF55C" w14:textId="77777777" w:rsidR="00AB6E19" w:rsidRDefault="00AB6E19" w:rsidP="004724DB">
      <w:r>
        <w:separator/>
      </w:r>
    </w:p>
  </w:footnote>
  <w:footnote w:type="continuationSeparator" w:id="0">
    <w:p w14:paraId="24EECD6E" w14:textId="77777777" w:rsidR="00AB6E19" w:rsidRDefault="00AB6E19" w:rsidP="004724D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91C858" w14:textId="62C75124" w:rsidR="004724DB" w:rsidRDefault="004724DB">
    <w:pPr>
      <w:pStyle w:val="Header"/>
    </w:pPr>
    <w:r>
      <w:t>1900498</w:t>
    </w:r>
    <w:r>
      <w:ptab w:relativeTo="margin" w:alignment="center" w:leader="none"/>
    </w:r>
    <w:r>
      <w:ptab w:relativeTo="margin" w:alignment="right" w:leader="none"/>
    </w:r>
    <w:r>
      <w:t>EAEE5004/C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005"/>
    <w:rsid w:val="00112B9E"/>
    <w:rsid w:val="003E6005"/>
    <w:rsid w:val="004724DB"/>
    <w:rsid w:val="0084079C"/>
    <w:rsid w:val="008E4A1D"/>
    <w:rsid w:val="00AB6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8D34B9"/>
  <w15:chartTrackingRefBased/>
  <w15:docId w15:val="{B1D8CD3A-23EF-F54D-BFF0-B5E2773B1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600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600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24D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24DB"/>
  </w:style>
  <w:style w:type="paragraph" w:styleId="Footer">
    <w:name w:val="footer"/>
    <w:basedOn w:val="Normal"/>
    <w:link w:val="FooterChar"/>
    <w:uiPriority w:val="99"/>
    <w:unhideWhenUsed/>
    <w:rsid w:val="004724D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24DB"/>
  </w:style>
  <w:style w:type="character" w:styleId="PageNumber">
    <w:name w:val="page number"/>
    <w:basedOn w:val="DefaultParagraphFont"/>
    <w:uiPriority w:val="99"/>
    <w:semiHidden/>
    <w:unhideWhenUsed/>
    <w:rsid w:val="004724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ussex.ac.uk/broadcast/read/7040" TargetMode="External"/><Relationship Id="rId13" Type="http://schemas.openxmlformats.org/officeDocument/2006/relationships/hyperlink" Target="https://study.com/academy/lesson/jerome-bruners-theory-of-development-discovery-learning-representation.html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understood.org/en/learning-thinking-differences/child-learning-disabilities/reading-issues/6-essential-skills-needed-for-reading-comprehension" TargetMode="External"/><Relationship Id="rId12" Type="http://schemas.openxmlformats.org/officeDocument/2006/relationships/hyperlink" Target="https://www.teachingenglish.org.uk/article/rhythm-rhyme-repetition-reasoning-response-oral-storytelling" TargetMode="External"/><Relationship Id="rId17" Type="http://schemas.openxmlformats.org/officeDocument/2006/relationships/hyperlink" Target="https://principlesoflearning.wordpress.com/dissertation/chapter-4-results/themes-identified/repetiti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empowerededucatoronline.com/2018/11/story-bag-basket-or-prop-box.html/" TargetMode="External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www.nofreakingspeaking.com/how-repetition-and-detail-can-improve-your-story-telling/" TargetMode="External"/><Relationship Id="rId11" Type="http://schemas.openxmlformats.org/officeDocument/2006/relationships/hyperlink" Target="https://narrativeleadershiplimited.wordpress.com/2015/02/12/storytelling-the-art-of-imagination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madeformums.com/news/pointing-at-words-as-you-read-aloud-could-help-your-child/" TargetMode="External"/><Relationship Id="rId10" Type="http://schemas.openxmlformats.org/officeDocument/2006/relationships/hyperlink" Target="https://www.edutopia.org/blog/storytelling-in-the-classroom-matters-matthew-friday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yoremikids.com/news/storytelling-benefits-child-development" TargetMode="External"/><Relationship Id="rId14" Type="http://schemas.openxmlformats.org/officeDocument/2006/relationships/hyperlink" Target="https://literacytrust.org.uk/about-u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859</Words>
  <Characters>4897</Characters>
  <Application>Microsoft Office Word</Application>
  <DocSecurity>0</DocSecurity>
  <Lines>40</Lines>
  <Paragraphs>11</Paragraphs>
  <ScaleCrop>false</ScaleCrop>
  <Company/>
  <LinksUpToDate>false</LinksUpToDate>
  <CharactersWithSpaces>5745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phillips-gall</dc:creator>
  <cp:keywords/>
  <dc:description/>
  <cp:lastModifiedBy>yasmin phillips-gall</cp:lastModifiedBy>
  <cp:revision>2</cp:revision>
  <dcterms:created xsi:type="dcterms:W3CDTF">2020-12-05T11:23:00Z</dcterms:created>
  <dcterms:modified xsi:type="dcterms:W3CDTF">2020-12-05T11:27:00Z</dcterms:modified>
</cp:coreProperties>
</file>