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58918993"/>
        <w:docPartObj>
          <w:docPartGallery w:val="Cover Pages"/>
          <w:docPartUnique/>
        </w:docPartObj>
      </w:sdtPr>
      <w:sdtEndPr>
        <w:rPr>
          <w:color w:val="156082" w:themeColor="accent1"/>
          <w:lang w:val="en-US"/>
        </w:rPr>
      </w:sdtEndPr>
      <w:sdtContent>
        <w:p w14:paraId="1D0756B2" w14:textId="52226C9A" w:rsidR="008D4A1F" w:rsidRDefault="008D4A1F">
          <w:r>
            <w:rPr>
              <w:noProof/>
            </w:rPr>
            <mc:AlternateContent>
              <mc:Choice Requires="wpg">
                <w:drawing>
                  <wp:anchor distT="0" distB="0" distL="114300" distR="114300" simplePos="0" relativeHeight="251659264" behindDoc="1" locked="0" layoutInCell="1" allowOverlap="1" wp14:anchorId="3D95ADCD" wp14:editId="20728E98">
                    <wp:simplePos x="0" y="0"/>
                    <wp:positionH relativeFrom="page">
                      <wp:align>center</wp:align>
                    </wp:positionH>
                    <wp:positionV relativeFrom="page">
                      <wp:align>center</wp:align>
                    </wp:positionV>
                    <wp:extent cx="686462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21BF0E" w14:textId="1A57327B" w:rsidR="008D4A1F" w:rsidRDefault="008D4A1F">
                                      <w:pPr>
                                        <w:pStyle w:val="NoSpacing"/>
                                        <w:spacing w:before="120"/>
                                        <w:jc w:val="center"/>
                                        <w:rPr>
                                          <w:color w:val="FFFFFF" w:themeColor="background1"/>
                                        </w:rPr>
                                      </w:pPr>
                                      <w:r>
                                        <w:rPr>
                                          <w:color w:val="FFFFFF" w:themeColor="background1"/>
                                        </w:rPr>
                                        <w:t>Iram Shaheen (2520951)</w:t>
                                      </w:r>
                                    </w:p>
                                  </w:sdtContent>
                                </w:sdt>
                                <w:p w14:paraId="79AB42F7" w14:textId="0E4E8A0E" w:rsidR="008D4A1F" w:rsidRDefault="00C0356D">
                                  <w:pPr>
                                    <w:pStyle w:val="NoSpacing"/>
                                    <w:spacing w:before="120"/>
                                    <w:jc w:val="center"/>
                                    <w:rPr>
                                      <w:color w:val="FFFFFF" w:themeColor="background1"/>
                                    </w:rPr>
                                  </w:pPr>
                                  <w:r>
                                    <w:rPr>
                                      <w:color w:val="FFFFFF" w:themeColor="background1"/>
                                    </w:rPr>
                                    <w:t>U</w:t>
                                  </w:r>
                                  <w:r w:rsidR="00596A49">
                                    <w:rPr>
                                      <w:color w:val="FFFFFF" w:themeColor="background1"/>
                                    </w:rPr>
                                    <w:t>WTSD.</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562100"/>
                                <a:ext cx="6858000" cy="279930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BookTitle"/>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BookTitle"/>
                                    </w:rPr>
                                  </w:sdtEndPr>
                                  <w:sdtContent>
                                    <w:p w14:paraId="3A34F77D" w14:textId="53A164E2" w:rsidR="008D4A1F" w:rsidRPr="00BA7413" w:rsidRDefault="00C0356D" w:rsidP="00BA7413">
                                      <w:pPr>
                                        <w:pStyle w:val="ListParagraph"/>
                                        <w:rPr>
                                          <w:rStyle w:val="BookTitle"/>
                                          <w:sz w:val="32"/>
                                          <w:szCs w:val="32"/>
                                        </w:rPr>
                                      </w:pPr>
                                      <w:r>
                                        <w:rPr>
                                          <w:rStyle w:val="BookTitle"/>
                                          <w:sz w:val="32"/>
                                          <w:szCs w:val="32"/>
                                        </w:rPr>
                                        <w:t>Introduction to public health: Module code lchs4008. Topic: type 1 diabetes: lecturers: name dr Aishat Bakre.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95ADCD"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21BF0E" w14:textId="1A57327B" w:rsidR="008D4A1F" w:rsidRDefault="008D4A1F">
                                <w:pPr>
                                  <w:pStyle w:val="NoSpacing"/>
                                  <w:spacing w:before="120"/>
                                  <w:jc w:val="center"/>
                                  <w:rPr>
                                    <w:color w:val="FFFFFF" w:themeColor="background1"/>
                                  </w:rPr>
                                </w:pPr>
                                <w:r>
                                  <w:rPr>
                                    <w:color w:val="FFFFFF" w:themeColor="background1"/>
                                  </w:rPr>
                                  <w:t>Iram Shaheen (2520951)</w:t>
                                </w:r>
                              </w:p>
                            </w:sdtContent>
                          </w:sdt>
                          <w:p w14:paraId="79AB42F7" w14:textId="0E4E8A0E" w:rsidR="008D4A1F" w:rsidRDefault="00C0356D">
                            <w:pPr>
                              <w:pStyle w:val="NoSpacing"/>
                              <w:spacing w:before="120"/>
                              <w:jc w:val="center"/>
                              <w:rPr>
                                <w:color w:val="FFFFFF" w:themeColor="background1"/>
                              </w:rPr>
                            </w:pPr>
                            <w:r>
                              <w:rPr>
                                <w:color w:val="FFFFFF" w:themeColor="background1"/>
                              </w:rPr>
                              <w:t>U</w:t>
                            </w:r>
                            <w:r w:rsidR="00596A49">
                              <w:rPr>
                                <w:color w:val="FFFFFF" w:themeColor="background1"/>
                              </w:rPr>
                              <w:t>WTSD.</w:t>
                            </w:r>
                          </w:p>
                        </w:txbxContent>
                      </v:textbox>
                    </v:rect>
                    <v:shapetype id="_x0000_t202" coordsize="21600,21600" o:spt="202" path="m,l,21600r21600,l21600,xe">
                      <v:stroke joinstyle="miter"/>
                      <v:path gradientshapeok="t" o:connecttype="rect"/>
                    </v:shapetype>
                    <v:shape id="Text Box 196" o:spid="_x0000_s1029" type="#_x0000_t202" style="position:absolute;left:66;top:15621;width:68580;height:27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BookTitle"/>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rPr>
                                <w:rStyle w:val="BookTitle"/>
                              </w:rPr>
                            </w:sdtEndPr>
                            <w:sdtContent>
                              <w:p w14:paraId="3A34F77D" w14:textId="53A164E2" w:rsidR="008D4A1F" w:rsidRPr="00BA7413" w:rsidRDefault="00C0356D" w:rsidP="00BA7413">
                                <w:pPr>
                                  <w:pStyle w:val="ListParagraph"/>
                                  <w:rPr>
                                    <w:rStyle w:val="BookTitle"/>
                                    <w:sz w:val="32"/>
                                    <w:szCs w:val="32"/>
                                  </w:rPr>
                                </w:pPr>
                                <w:r>
                                  <w:rPr>
                                    <w:rStyle w:val="BookTitle"/>
                                    <w:sz w:val="32"/>
                                    <w:szCs w:val="32"/>
                                  </w:rPr>
                                  <w:t>Introduction to public health: Module code lchs4008. Topic: type 1 diabetes: lecturers: name dr Aishat Bakre.</w:t>
                                </w:r>
                              </w:p>
                            </w:sdtContent>
                          </w:sdt>
                        </w:txbxContent>
                      </v:textbox>
                    </v:shape>
                    <w10:wrap anchorx="page" anchory="page"/>
                  </v:group>
                </w:pict>
              </mc:Fallback>
            </mc:AlternateContent>
          </w:r>
        </w:p>
        <w:p w14:paraId="46D112FD" w14:textId="4D019E4A" w:rsidR="008D4A1F" w:rsidRDefault="008D4A1F">
          <w:pPr>
            <w:rPr>
              <w:color w:val="156082" w:themeColor="accent1"/>
              <w:lang w:val="en-US"/>
            </w:rPr>
          </w:pPr>
          <w:r>
            <w:rPr>
              <w:color w:val="156082" w:themeColor="accent1"/>
              <w:lang w:val="en-US"/>
            </w:rPr>
            <w:br w:type="page"/>
          </w:r>
        </w:p>
      </w:sdtContent>
    </w:sdt>
    <w:p w14:paraId="7D1BBE6D" w14:textId="04714134" w:rsidR="00ED13FF" w:rsidRDefault="00ED13FF">
      <w:pPr>
        <w:pStyle w:val="Footer"/>
        <w:jc w:val="right"/>
      </w:pPr>
    </w:p>
    <w:p w14:paraId="199F5237" w14:textId="5925203C" w:rsidR="00F15BA6" w:rsidRPr="00ED13FF" w:rsidRDefault="00544611">
      <w:pPr>
        <w:rPr>
          <w:rFonts w:ascii="Arial" w:hAnsi="Arial" w:cs="Arial"/>
          <w:b/>
          <w:bCs/>
        </w:rPr>
      </w:pPr>
      <w:r w:rsidRPr="00ED13FF">
        <w:rPr>
          <w:rFonts w:ascii="Arial" w:hAnsi="Arial" w:cs="Arial"/>
          <w:b/>
          <w:bCs/>
        </w:rPr>
        <w:t>Introd</w:t>
      </w:r>
      <w:r w:rsidR="00B01740" w:rsidRPr="00ED13FF">
        <w:rPr>
          <w:rFonts w:ascii="Arial" w:hAnsi="Arial" w:cs="Arial"/>
          <w:b/>
          <w:bCs/>
        </w:rPr>
        <w:t>uction</w:t>
      </w:r>
    </w:p>
    <w:p w14:paraId="14A39F70" w14:textId="2A4BA666" w:rsidR="00214D62" w:rsidRPr="00ED13FF" w:rsidRDefault="00214D62">
      <w:pPr>
        <w:rPr>
          <w:rFonts w:ascii="Arial" w:hAnsi="Arial" w:cs="Arial"/>
        </w:rPr>
      </w:pPr>
      <w:r w:rsidRPr="00ED13FF">
        <w:rPr>
          <w:rFonts w:ascii="Arial" w:hAnsi="Arial" w:cs="Arial"/>
        </w:rPr>
        <w:t xml:space="preserve">Type 1 diabetes </w:t>
      </w:r>
      <w:r w:rsidR="004A64B1" w:rsidRPr="00ED13FF">
        <w:rPr>
          <w:rFonts w:ascii="Arial" w:hAnsi="Arial" w:cs="Arial"/>
        </w:rPr>
        <w:t xml:space="preserve">(T1D) </w:t>
      </w:r>
      <w:r w:rsidRPr="00ED13FF">
        <w:rPr>
          <w:rFonts w:ascii="Arial" w:hAnsi="Arial" w:cs="Arial"/>
        </w:rPr>
        <w:t>is a chronic autoimmune disease in which the body cannot entire</w:t>
      </w:r>
      <w:r w:rsidR="0010354A" w:rsidRPr="00ED13FF">
        <w:rPr>
          <w:rFonts w:ascii="Arial" w:hAnsi="Arial" w:cs="Arial"/>
        </w:rPr>
        <w:t xml:space="preserve">ly regulate the level of glucose </w:t>
      </w:r>
      <w:r w:rsidR="00981851" w:rsidRPr="00ED13FF">
        <w:rPr>
          <w:rFonts w:ascii="Arial" w:hAnsi="Arial" w:cs="Arial"/>
        </w:rPr>
        <w:t>(</w:t>
      </w:r>
      <w:r w:rsidR="005B35CA" w:rsidRPr="00ED13FF">
        <w:rPr>
          <w:rFonts w:ascii="Arial" w:hAnsi="Arial" w:cs="Arial"/>
        </w:rPr>
        <w:t>sugar)</w:t>
      </w:r>
      <w:r w:rsidR="004E1889" w:rsidRPr="00ED13FF">
        <w:rPr>
          <w:rFonts w:ascii="Arial" w:hAnsi="Arial" w:cs="Arial"/>
        </w:rPr>
        <w:t xml:space="preserve"> </w:t>
      </w:r>
      <w:r w:rsidR="00256171" w:rsidRPr="00ED13FF">
        <w:rPr>
          <w:rFonts w:ascii="Arial" w:hAnsi="Arial" w:cs="Arial"/>
        </w:rPr>
        <w:t>i</w:t>
      </w:r>
      <w:r w:rsidR="0010354A" w:rsidRPr="00ED13FF">
        <w:rPr>
          <w:rFonts w:ascii="Arial" w:hAnsi="Arial" w:cs="Arial"/>
        </w:rPr>
        <w:t>n the blood</w:t>
      </w:r>
      <w:r w:rsidR="00BE0E97" w:rsidRPr="00ED13FF">
        <w:rPr>
          <w:rFonts w:ascii="Arial" w:hAnsi="Arial" w:cs="Arial"/>
        </w:rPr>
        <w:t xml:space="preserve"> (DiMeglio et al., 2018)</w:t>
      </w:r>
      <w:r w:rsidR="0010354A" w:rsidRPr="00ED13FF">
        <w:rPr>
          <w:rFonts w:ascii="Arial" w:hAnsi="Arial" w:cs="Arial"/>
        </w:rPr>
        <w:t>.</w:t>
      </w:r>
    </w:p>
    <w:p w14:paraId="2FA2DD6B" w14:textId="5ABB7CAC" w:rsidR="004A64B1" w:rsidRPr="00ED13FF" w:rsidRDefault="00BE0E97" w:rsidP="0064781C">
      <w:pPr>
        <w:rPr>
          <w:rFonts w:ascii="Arial" w:hAnsi="Arial" w:cs="Arial"/>
        </w:rPr>
      </w:pPr>
      <w:r w:rsidRPr="00ED13FF">
        <w:rPr>
          <w:rFonts w:ascii="Arial" w:hAnsi="Arial" w:cs="Arial"/>
        </w:rPr>
        <w:t xml:space="preserve">Some of the symptoms of Type 1 diabetes may include: peeing a lot more often, especially at night, which may result in bed wetting in children; extreme thirst alongside a dry mouth, causing one to drink a lot more fluids than usual; severe fatigue; low energy levels; unexplained weight </w:t>
      </w:r>
    </w:p>
    <w:p w14:paraId="6CDA07C6" w14:textId="59359342" w:rsidR="004E1889" w:rsidRPr="00ED13FF" w:rsidRDefault="004A64B1">
      <w:pPr>
        <w:rPr>
          <w:rFonts w:ascii="Arial" w:hAnsi="Arial" w:cs="Arial"/>
        </w:rPr>
      </w:pPr>
      <w:r w:rsidRPr="00ED13FF">
        <w:rPr>
          <w:rFonts w:ascii="Arial" w:hAnsi="Arial" w:cs="Arial"/>
        </w:rPr>
        <w:t>Type 1 diabetes (T1D) is a growing global health challenge. An estimated 9.5 million people live with T1D worldwide, with 513,000 new cases diagnosed in 2025 alone</w:t>
      </w:r>
      <w:r w:rsidR="0064781C" w:rsidRPr="00ED13FF">
        <w:rPr>
          <w:rFonts w:ascii="Arial" w:hAnsi="Arial" w:cs="Arial"/>
        </w:rPr>
        <w:t xml:space="preserve">; </w:t>
      </w:r>
      <w:r w:rsidRPr="00ED13FF">
        <w:rPr>
          <w:rFonts w:ascii="Arial" w:hAnsi="Arial" w:cs="Arial"/>
        </w:rPr>
        <w:t xml:space="preserve">a 2.4% annual increase projected to reach 14.7 million by </w:t>
      </w:r>
      <w:proofErr w:type="gramStart"/>
      <w:r w:rsidRPr="00ED13FF">
        <w:rPr>
          <w:rFonts w:ascii="Arial" w:hAnsi="Arial" w:cs="Arial"/>
        </w:rPr>
        <w:t>2040 .</w:t>
      </w:r>
      <w:proofErr w:type="gramEnd"/>
      <w:r w:rsidRPr="00ED13FF">
        <w:rPr>
          <w:rFonts w:ascii="Arial" w:hAnsi="Arial" w:cs="Arial"/>
        </w:rPr>
        <w:t xml:space="preserve"> In Europe, childhood incidence nearly doubled from 10.85 to 20.96 per 100,000 between 1994 and 2022, with the UK facing persistent diagnostic delays and high rates of diabetic ketoacidosis at present</w:t>
      </w:r>
      <w:r w:rsidR="0064781C" w:rsidRPr="00ED13FF">
        <w:rPr>
          <w:rFonts w:ascii="Arial" w:hAnsi="Arial" w:cs="Arial"/>
        </w:rPr>
        <w:t xml:space="preserve">. </w:t>
      </w:r>
    </w:p>
    <w:p w14:paraId="4062C68F" w14:textId="77777777" w:rsidR="00AB4806" w:rsidRDefault="00AB4806">
      <w:pPr>
        <w:rPr>
          <w:rFonts w:ascii="Arial" w:hAnsi="Arial" w:cs="Arial"/>
        </w:rPr>
      </w:pPr>
    </w:p>
    <w:p w14:paraId="5D21ED3A" w14:textId="621F811E" w:rsidR="00ED13FF" w:rsidRPr="00ED13FF" w:rsidRDefault="00ED13FF">
      <w:pPr>
        <w:rPr>
          <w:rFonts w:ascii="Arial" w:hAnsi="Arial" w:cs="Arial"/>
          <w:b/>
          <w:bCs/>
        </w:rPr>
      </w:pPr>
      <w:r w:rsidRPr="00ED13FF">
        <w:rPr>
          <w:rFonts w:ascii="Arial" w:hAnsi="Arial" w:cs="Arial"/>
          <w:b/>
          <w:bCs/>
        </w:rPr>
        <w:t>Main Body</w:t>
      </w:r>
    </w:p>
    <w:p w14:paraId="4D384D9E" w14:textId="1B5CF79B" w:rsidR="00ED13FF" w:rsidRPr="00ED13FF" w:rsidRDefault="0064781C">
      <w:pPr>
        <w:rPr>
          <w:rFonts w:ascii="Arial" w:hAnsi="Arial" w:cs="Arial"/>
        </w:rPr>
      </w:pPr>
      <w:r w:rsidRPr="00ED13FF">
        <w:rPr>
          <w:rFonts w:ascii="Arial" w:hAnsi="Arial" w:cs="Arial"/>
        </w:rPr>
        <w:t>There are a range of methods that can be used to measure and monitor T1D</w:t>
      </w:r>
      <w:r w:rsidR="00A112F2" w:rsidRPr="00ED13FF">
        <w:rPr>
          <w:rFonts w:ascii="Arial" w:hAnsi="Arial" w:cs="Arial"/>
        </w:rPr>
        <w:t xml:space="preserve"> </w:t>
      </w:r>
      <w:proofErr w:type="gramStart"/>
      <w:r w:rsidR="00A112F2" w:rsidRPr="00ED13FF">
        <w:rPr>
          <w:rFonts w:ascii="Arial" w:hAnsi="Arial" w:cs="Arial"/>
        </w:rPr>
        <w:t>in order to</w:t>
      </w:r>
      <w:proofErr w:type="gramEnd"/>
      <w:r w:rsidR="00A112F2" w:rsidRPr="00ED13FF">
        <w:rPr>
          <w:rFonts w:ascii="Arial" w:hAnsi="Arial" w:cs="Arial"/>
        </w:rPr>
        <w:t xml:space="preserve"> understand how well blood sugar is being controlled, how the disease is progressing and what treatment changes may be needed</w:t>
      </w:r>
      <w:r w:rsidRPr="00ED13FF">
        <w:rPr>
          <w:rFonts w:ascii="Arial" w:hAnsi="Arial" w:cs="Arial"/>
        </w:rPr>
        <w:t>.</w:t>
      </w:r>
      <w:r w:rsidR="00A112F2" w:rsidRPr="00ED13FF">
        <w:rPr>
          <w:rFonts w:ascii="Arial" w:hAnsi="Arial" w:cs="Arial"/>
        </w:rPr>
        <w:t xml:space="preserve"> T1D can be identified early on through a simple blood test</w:t>
      </w:r>
      <w:r w:rsidR="005E66CD">
        <w:rPr>
          <w:rFonts w:ascii="Arial" w:hAnsi="Arial" w:cs="Arial"/>
        </w:rPr>
        <w:t xml:space="preserve">. </w:t>
      </w:r>
      <w:r w:rsidR="00A112F2" w:rsidRPr="00ED13FF">
        <w:rPr>
          <w:rFonts w:ascii="Arial" w:hAnsi="Arial" w:cs="Arial"/>
        </w:rPr>
        <w:t xml:space="preserve">Having 2 or more antibodies present in the body </w:t>
      </w:r>
      <w:r w:rsidR="00ED13FF" w:rsidRPr="00ED13FF">
        <w:rPr>
          <w:rFonts w:ascii="Arial" w:hAnsi="Arial" w:cs="Arial"/>
        </w:rPr>
        <w:t>indicates</w:t>
      </w:r>
      <w:r w:rsidR="00A112F2" w:rsidRPr="00ED13FF">
        <w:rPr>
          <w:rFonts w:ascii="Arial" w:hAnsi="Arial" w:cs="Arial"/>
        </w:rPr>
        <w:t xml:space="preserve"> that a person is in </w:t>
      </w:r>
      <w:r w:rsidR="00ED13FF" w:rsidRPr="00ED13FF">
        <w:rPr>
          <w:rFonts w:ascii="Arial" w:hAnsi="Arial" w:cs="Arial"/>
        </w:rPr>
        <w:t>the</w:t>
      </w:r>
      <w:r w:rsidR="00A112F2" w:rsidRPr="00ED13FF">
        <w:rPr>
          <w:rFonts w:ascii="Arial" w:hAnsi="Arial" w:cs="Arial"/>
        </w:rPr>
        <w:t xml:space="preserve"> early pre-symptomatic phase of the disease</w:t>
      </w:r>
      <w:r w:rsidR="005E66CD">
        <w:rPr>
          <w:rFonts w:ascii="Arial" w:hAnsi="Arial" w:cs="Arial"/>
        </w:rPr>
        <w:t xml:space="preserve"> </w:t>
      </w:r>
      <w:r w:rsidR="005E66CD" w:rsidRPr="005E66CD">
        <w:rPr>
          <w:rFonts w:ascii="Arial" w:hAnsi="Arial" w:cs="Arial"/>
        </w:rPr>
        <w:t>(Moore et al., 2024)</w:t>
      </w:r>
      <w:r w:rsidR="00A112F2" w:rsidRPr="00ED13FF">
        <w:rPr>
          <w:rFonts w:ascii="Arial" w:hAnsi="Arial" w:cs="Arial"/>
        </w:rPr>
        <w:t xml:space="preserve">. </w:t>
      </w:r>
      <w:r w:rsidR="00ED13FF" w:rsidRPr="00ED13FF">
        <w:rPr>
          <w:rFonts w:ascii="Arial" w:hAnsi="Arial" w:cs="Arial"/>
        </w:rPr>
        <w:t xml:space="preserve">Following the diagnosis, the most common way to check how things are progressing is through a blood test known as </w:t>
      </w:r>
      <w:r w:rsidR="00A112F2" w:rsidRPr="00ED13FF">
        <w:rPr>
          <w:rFonts w:ascii="Arial" w:hAnsi="Arial" w:cs="Arial"/>
        </w:rPr>
        <w:t>HbA1c, which gives an average of blood sugar levels over the past two to three months and helps doctors gauge the risk of future complications. A large Swedish study found that this blood test lines up closely with newer wearable technology that tracks sugar levels moment by moment</w:t>
      </w:r>
      <w:r w:rsidR="005E66CD">
        <w:rPr>
          <w:rFonts w:ascii="Arial" w:hAnsi="Arial" w:cs="Arial"/>
        </w:rPr>
        <w:t xml:space="preserve"> </w:t>
      </w:r>
      <w:r w:rsidR="005E66CD" w:rsidRPr="005E66CD">
        <w:rPr>
          <w:rFonts w:ascii="Arial" w:hAnsi="Arial" w:cs="Arial"/>
        </w:rPr>
        <w:t>(Eliasson et al., 2024)</w:t>
      </w:r>
      <w:r w:rsidR="00A112F2" w:rsidRPr="00ED13FF">
        <w:rPr>
          <w:rFonts w:ascii="Arial" w:hAnsi="Arial" w:cs="Arial"/>
        </w:rPr>
        <w:t xml:space="preserve">. But the HbA1c number on its own does not tell the whole story, because it cannot show how often blood sugar drops too low or spikes too high throughout the day. </w:t>
      </w:r>
    </w:p>
    <w:p w14:paraId="03FB70D4" w14:textId="2C117D14" w:rsidR="0064781C" w:rsidRPr="00ED13FF" w:rsidRDefault="00A112F2">
      <w:pPr>
        <w:rPr>
          <w:rFonts w:ascii="Arial" w:hAnsi="Arial" w:cs="Arial"/>
        </w:rPr>
      </w:pPr>
      <w:r w:rsidRPr="00ED13FF">
        <w:rPr>
          <w:rFonts w:ascii="Arial" w:hAnsi="Arial" w:cs="Arial"/>
        </w:rPr>
        <w:t>This is where continuous glucose monitoring (CGM) comes in: a small sensor worn on the skin measures sugar levels in the fluid just under the surface every few minutes, giving a much clearer and more detailed picture of what is happening day and night</w:t>
      </w:r>
      <w:r w:rsidR="0069685F">
        <w:rPr>
          <w:rFonts w:ascii="Arial" w:hAnsi="Arial" w:cs="Arial"/>
        </w:rPr>
        <w:t xml:space="preserve">. </w:t>
      </w:r>
      <w:r w:rsidRPr="00ED13FF">
        <w:rPr>
          <w:rFonts w:ascii="Arial" w:hAnsi="Arial" w:cs="Arial"/>
        </w:rPr>
        <w:t>Research has shown that using CGM leads to better blood sugar control overall, without increasing the risk of dangerous low blood sugar episodes</w:t>
      </w:r>
      <w:r w:rsidR="0069685F">
        <w:rPr>
          <w:rFonts w:ascii="Arial" w:hAnsi="Arial" w:cs="Arial"/>
        </w:rPr>
        <w:t xml:space="preserve"> </w:t>
      </w:r>
      <w:r w:rsidR="0069685F" w:rsidRPr="0069685F">
        <w:rPr>
          <w:rFonts w:ascii="Arial" w:hAnsi="Arial" w:cs="Arial"/>
        </w:rPr>
        <w:t>(Sergio Di Molfetta et al., 2023</w:t>
      </w:r>
      <w:proofErr w:type="gramStart"/>
      <w:r w:rsidR="0069685F" w:rsidRPr="0069685F">
        <w:rPr>
          <w:rFonts w:ascii="Arial" w:hAnsi="Arial" w:cs="Arial"/>
        </w:rPr>
        <w:t>)</w:t>
      </w:r>
      <w:r w:rsidRPr="00ED13FF">
        <w:rPr>
          <w:rFonts w:ascii="Arial" w:hAnsi="Arial" w:cs="Arial"/>
        </w:rPr>
        <w:t xml:space="preserve"> .</w:t>
      </w:r>
      <w:proofErr w:type="gramEnd"/>
      <w:r w:rsidRPr="00ED13FF">
        <w:rPr>
          <w:rFonts w:ascii="Arial" w:hAnsi="Arial" w:cs="Arial"/>
        </w:rPr>
        <w:t xml:space="preserve"> Many people still rely on traditional finger-prick blood tests for quick spot checks and to confirm CGM readings, and these remain an important part of daily management. For those needing more advanced support, insulin pumps that deliver a steady flow of insulin under the skin can be linked to CGM sensors to create what is often called a "hybrid </w:t>
      </w:r>
      <w:proofErr w:type="gramStart"/>
      <w:r w:rsidRPr="00ED13FF">
        <w:rPr>
          <w:rFonts w:ascii="Arial" w:hAnsi="Arial" w:cs="Arial"/>
        </w:rPr>
        <w:t>closed-loop</w:t>
      </w:r>
      <w:proofErr w:type="gramEnd"/>
      <w:r w:rsidRPr="00ED13FF">
        <w:rPr>
          <w:rFonts w:ascii="Arial" w:hAnsi="Arial" w:cs="Arial"/>
        </w:rPr>
        <w:t xml:space="preserve">" system, sometimes referred to as an artificial pancreas. These systems use smart software to automatically adjust insulin doses throughout the day, and a major UK study found that switching to this technology led to meaningful improvements in blood sugar control and quality of life for adults who had previously </w:t>
      </w:r>
      <w:proofErr w:type="gramStart"/>
      <w:r w:rsidRPr="00ED13FF">
        <w:rPr>
          <w:rFonts w:ascii="Arial" w:hAnsi="Arial" w:cs="Arial"/>
        </w:rPr>
        <w:t>struggled .</w:t>
      </w:r>
      <w:proofErr w:type="gramEnd"/>
      <w:r w:rsidRPr="00ED13FF">
        <w:rPr>
          <w:rFonts w:ascii="Arial" w:hAnsi="Arial" w:cs="Arial"/>
        </w:rPr>
        <w:t xml:space="preserve"> Another useful blood test, called C-peptide, helps doctors see how much insulin the body is still producing on its own, which is helpful for confirming a T1D diagnosis and tracking how the disease is changing over time. Leading guidelines now recommend regular check-ups that include glucose monitoring, autoantibody testing, and metabolic assessments for anyone identified through early screening, so that interventions can begin as soon as possible</w:t>
      </w:r>
      <w:r w:rsidR="0069685F">
        <w:rPr>
          <w:rFonts w:ascii="Arial" w:hAnsi="Arial" w:cs="Arial"/>
        </w:rPr>
        <w:t xml:space="preserve"> </w:t>
      </w:r>
      <w:r w:rsidR="0069685F" w:rsidRPr="0069685F">
        <w:rPr>
          <w:rFonts w:ascii="Arial" w:hAnsi="Arial" w:cs="Arial"/>
        </w:rPr>
        <w:t>(Phillip et al., 2024)</w:t>
      </w:r>
      <w:r w:rsidRPr="00ED13FF">
        <w:rPr>
          <w:rFonts w:ascii="Arial" w:hAnsi="Arial" w:cs="Arial"/>
        </w:rPr>
        <w:t xml:space="preserve">. Together, these tools give people with T1D and their care teams a much better chance of </w:t>
      </w:r>
      <w:r w:rsidRPr="00ED13FF">
        <w:rPr>
          <w:rFonts w:ascii="Arial" w:hAnsi="Arial" w:cs="Arial"/>
        </w:rPr>
        <w:lastRenderedPageBreak/>
        <w:t>catching the disease early, managing it day by day, and avoiding serious emergencies like diabetic ketoacidosis.</w:t>
      </w:r>
    </w:p>
    <w:p w14:paraId="00BA9E75" w14:textId="0A7B3F73" w:rsidR="005B35CA" w:rsidRPr="00ED13FF" w:rsidRDefault="005B35CA">
      <w:pPr>
        <w:rPr>
          <w:rFonts w:ascii="Arial" w:hAnsi="Arial" w:cs="Arial"/>
        </w:rPr>
      </w:pPr>
    </w:p>
    <w:p w14:paraId="7822C540" w14:textId="71D80EBE" w:rsidR="00ED13FF" w:rsidRPr="00ED13FF" w:rsidRDefault="00ED13FF" w:rsidP="00ED13FF">
      <w:pPr>
        <w:rPr>
          <w:rFonts w:ascii="Arial" w:hAnsi="Arial" w:cs="Arial"/>
        </w:rPr>
      </w:pPr>
      <w:r w:rsidRPr="00ED13FF">
        <w:rPr>
          <w:rFonts w:ascii="Arial" w:hAnsi="Arial" w:cs="Arial"/>
        </w:rPr>
        <w:t xml:space="preserve">Controlling type 1 diabetes is a daily commitment that involves several key steps working together. Because the body can no longer produce its own insulin, people with T1D must take insulin every day, usually through multiple injections given with meals and at bedtime, or through an insulin pump that delivers a steady flow of insulin under the </w:t>
      </w:r>
      <w:r w:rsidR="00DC3590" w:rsidRPr="00ED13FF">
        <w:rPr>
          <w:rFonts w:ascii="Arial" w:hAnsi="Arial" w:cs="Arial"/>
        </w:rPr>
        <w:t>skin.</w:t>
      </w:r>
      <w:r w:rsidRPr="00ED13FF">
        <w:rPr>
          <w:rFonts w:ascii="Arial" w:hAnsi="Arial" w:cs="Arial"/>
        </w:rPr>
        <w:t xml:space="preserve"> Getting the dose right is not straightforward, because it depends on what someone is eating, how active they are, and how their body is responding on any given day. This is where working with a specialist nurse or diabetes dietitian becomes </w:t>
      </w:r>
      <w:proofErr w:type="gramStart"/>
      <w:r w:rsidRPr="00ED13FF">
        <w:rPr>
          <w:rFonts w:ascii="Arial" w:hAnsi="Arial" w:cs="Arial"/>
        </w:rPr>
        <w:t>really important</w:t>
      </w:r>
      <w:proofErr w:type="gramEnd"/>
      <w:r w:rsidRPr="00ED13FF">
        <w:rPr>
          <w:rFonts w:ascii="Arial" w:hAnsi="Arial" w:cs="Arial"/>
        </w:rPr>
        <w:t xml:space="preserve">. Together, they help individuals create a personalised meal plan that balances food choices with the right amount of insulin. Learning to count carbohydrates is a central skill, because carbohydrates have the biggest direct effect on blood sugar levels, and understanding how different foods raise glucose helps people make more informed choices about what and when to </w:t>
      </w:r>
      <w:r w:rsidR="00DC3590" w:rsidRPr="00ED13FF">
        <w:rPr>
          <w:rFonts w:ascii="Arial" w:hAnsi="Arial" w:cs="Arial"/>
        </w:rPr>
        <w:t>eat.</w:t>
      </w:r>
      <w:r w:rsidRPr="00ED13FF">
        <w:rPr>
          <w:rFonts w:ascii="Arial" w:hAnsi="Arial" w:cs="Arial"/>
        </w:rPr>
        <w:t xml:space="preserve"> Research has also shown that working with a registered dietitian to follow a lower-carbohydrate approach can improve blood sugar control, reduce the amount of insulin needed, and improve quality of life, </w:t>
      </w:r>
      <w:proofErr w:type="gramStart"/>
      <w:r w:rsidR="00DC3590">
        <w:rPr>
          <w:rFonts w:ascii="Arial" w:hAnsi="Arial" w:cs="Arial"/>
        </w:rPr>
        <w:t>as long as</w:t>
      </w:r>
      <w:proofErr w:type="gramEnd"/>
      <w:r w:rsidR="00DC3590">
        <w:rPr>
          <w:rFonts w:ascii="Arial" w:hAnsi="Arial" w:cs="Arial"/>
        </w:rPr>
        <w:t xml:space="preserve"> </w:t>
      </w:r>
      <w:r w:rsidRPr="00ED13FF">
        <w:rPr>
          <w:rFonts w:ascii="Arial" w:hAnsi="Arial" w:cs="Arial"/>
        </w:rPr>
        <w:t xml:space="preserve">it is done with professional support </w:t>
      </w:r>
      <w:r w:rsidR="0069685F" w:rsidRPr="0069685F">
        <w:rPr>
          <w:rFonts w:ascii="Arial" w:hAnsi="Arial" w:cs="Arial"/>
        </w:rPr>
        <w:t>(Turton et al., 2023)</w:t>
      </w:r>
      <w:r w:rsidRPr="00ED13FF">
        <w:rPr>
          <w:rFonts w:ascii="Arial" w:hAnsi="Arial" w:cs="Arial"/>
        </w:rPr>
        <w:t xml:space="preserve">. Physical activity is also encouraged, but it requires careful planning because exercise can cause blood sugar to drop unexpectedly, meaning people often need to adjust their insulin doses or eat a snack before and after activity to stay safe. For those using an insulin pump, settings can be tailored to account for exercise, illness, or changes in </w:t>
      </w:r>
      <w:r w:rsidR="00DC3590" w:rsidRPr="00ED13FF">
        <w:rPr>
          <w:rFonts w:ascii="Arial" w:hAnsi="Arial" w:cs="Arial"/>
        </w:rPr>
        <w:t>routine.</w:t>
      </w:r>
    </w:p>
    <w:p w14:paraId="68F61977" w14:textId="3FCFB162" w:rsidR="00ED13FF" w:rsidRPr="00ED13FF" w:rsidRDefault="00ED13FF" w:rsidP="00ED13FF">
      <w:pPr>
        <w:rPr>
          <w:rFonts w:ascii="Arial" w:hAnsi="Arial" w:cs="Arial"/>
        </w:rPr>
      </w:pPr>
      <w:r w:rsidRPr="00ED13FF">
        <w:rPr>
          <w:rFonts w:ascii="Arial" w:hAnsi="Arial" w:cs="Arial"/>
        </w:rPr>
        <w:t xml:space="preserve">The consequences of living with type 1 diabetes extend far beyond blood sugar numbers. In the short term, the most dangerous acute complication is diabetic ketoacidosis (DKA), a serious condition that happens when there is not enough insulin in the body, causing blood sugar to rise to dangerously high levels and the blood to become acidic. DKA is a medical emergency that can lead to hospitalisation and, in severe cases, can be life-threatening, particularly through complications such as brain </w:t>
      </w:r>
      <w:r w:rsidR="0069685F" w:rsidRPr="00ED13FF">
        <w:rPr>
          <w:rFonts w:ascii="Arial" w:hAnsi="Arial" w:cs="Arial"/>
        </w:rPr>
        <w:t>swelling.</w:t>
      </w:r>
      <w:r w:rsidRPr="00ED13FF">
        <w:rPr>
          <w:rFonts w:ascii="Arial" w:hAnsi="Arial" w:cs="Arial"/>
        </w:rPr>
        <w:t xml:space="preserve"> Alarmingly, studies have found that many people living with T1D do not fully understand what DKA is, what symptoms to watch for, or how to prevent it, with one survey finding that nearly a third of patients were not even familiar with the </w:t>
      </w:r>
      <w:r w:rsidR="0069685F" w:rsidRPr="00ED13FF">
        <w:rPr>
          <w:rFonts w:ascii="Arial" w:hAnsi="Arial" w:cs="Arial"/>
        </w:rPr>
        <w:t>term.</w:t>
      </w:r>
      <w:r w:rsidRPr="00ED13FF">
        <w:rPr>
          <w:rFonts w:ascii="Arial" w:hAnsi="Arial" w:cs="Arial"/>
        </w:rPr>
        <w:t xml:space="preserve"> Over the longer term, poorly controlled blood sugar can damage blood vessels and nerves throughout the body, leading to complications such as eye disease that can cause blindness, kidney disease that may progress to dialysis, nerve damage in the feet that can result in amputations, and an increased risk of heart disease and </w:t>
      </w:r>
      <w:r w:rsidR="0069685F" w:rsidRPr="00ED13FF">
        <w:rPr>
          <w:rFonts w:ascii="Arial" w:hAnsi="Arial" w:cs="Arial"/>
        </w:rPr>
        <w:t>stroke.</w:t>
      </w:r>
      <w:r w:rsidRPr="00ED13FF">
        <w:rPr>
          <w:rFonts w:ascii="Arial" w:hAnsi="Arial" w:cs="Arial"/>
        </w:rPr>
        <w:t xml:space="preserve"> The mental and emotional toll is equally significant. A large survey found that </w:t>
      </w:r>
      <w:proofErr w:type="gramStart"/>
      <w:r w:rsidRPr="00ED13FF">
        <w:rPr>
          <w:rFonts w:ascii="Arial" w:hAnsi="Arial" w:cs="Arial"/>
        </w:rPr>
        <w:t>the majority of</w:t>
      </w:r>
      <w:proofErr w:type="gramEnd"/>
      <w:r w:rsidRPr="00ED13FF">
        <w:rPr>
          <w:rFonts w:ascii="Arial" w:hAnsi="Arial" w:cs="Arial"/>
        </w:rPr>
        <w:t xml:space="preserve"> people with T1D reported experiencing anxiety, depression, fear of low blood sugar, and diabetes-related distress, with many saying the condition had negatively affected their self-esteem and led to feelings of loneliness </w:t>
      </w:r>
      <w:r w:rsidR="0069685F" w:rsidRPr="0069685F">
        <w:rPr>
          <w:rFonts w:ascii="Arial" w:hAnsi="Arial" w:cs="Arial"/>
        </w:rPr>
        <w:t>(Ryan Charles Kelly et al., 2023)</w:t>
      </w:r>
      <w:r w:rsidR="0069685F">
        <w:rPr>
          <w:rFonts w:ascii="Arial" w:hAnsi="Arial" w:cs="Arial"/>
        </w:rPr>
        <w:t xml:space="preserve">. </w:t>
      </w:r>
      <w:r w:rsidRPr="00ED13FF">
        <w:rPr>
          <w:rFonts w:ascii="Arial" w:hAnsi="Arial" w:cs="Arial"/>
        </w:rPr>
        <w:t xml:space="preserve">The burden also falls on families, with research showing that caregivers of children with T1D report lower quality of life and significant emotional </w:t>
      </w:r>
      <w:r w:rsidR="0069685F" w:rsidRPr="00ED13FF">
        <w:rPr>
          <w:rFonts w:ascii="Arial" w:hAnsi="Arial" w:cs="Arial"/>
        </w:rPr>
        <w:t>strain.</w:t>
      </w:r>
      <w:r w:rsidRPr="00ED13FF">
        <w:rPr>
          <w:rFonts w:ascii="Arial" w:hAnsi="Arial" w:cs="Arial"/>
        </w:rPr>
        <w:t xml:space="preserve"> In the wider community, T1D can affect a person's ability to work, attend school regularly, drive safely, and maintain social relationships, all of which can contribute to isolation and reduced participation in everyday life.</w:t>
      </w:r>
    </w:p>
    <w:p w14:paraId="7548B1C6" w14:textId="3ADF9C45" w:rsidR="005B35CA" w:rsidRPr="00ED13FF" w:rsidRDefault="00ED13FF">
      <w:pPr>
        <w:rPr>
          <w:rFonts w:ascii="Arial" w:hAnsi="Arial" w:cs="Arial"/>
        </w:rPr>
      </w:pPr>
      <w:r w:rsidRPr="00ED13FF">
        <w:rPr>
          <w:rFonts w:ascii="Arial" w:hAnsi="Arial" w:cs="Arial"/>
        </w:rPr>
        <w:t xml:space="preserve">To meet the needs of individuals affected by T1D within the community, a range of health and social care support services are essential. At the core is access to a dedicated diabetes specialist nurse who can provide ongoing education, help with insulin dose adjustments, and offer practical day-to-day guidance. Specialist dietitians play a vital role in helping people develop sustainable eating plans and learn carbohydrate counting skills. Mental health support should be embedded within routine diabetes care, yet research shows that many diabetes teams have never raised the topic of psychological well-being with their patients, </w:t>
      </w:r>
      <w:r w:rsidRPr="00ED13FF">
        <w:rPr>
          <w:rFonts w:ascii="Arial" w:hAnsi="Arial" w:cs="Arial"/>
        </w:rPr>
        <w:lastRenderedPageBreak/>
        <w:t xml:space="preserve">despite the overwhelming majority saying they would welcome </w:t>
      </w:r>
      <w:r w:rsidR="0069685F" w:rsidRPr="00ED13FF">
        <w:rPr>
          <w:rFonts w:ascii="Arial" w:hAnsi="Arial" w:cs="Arial"/>
        </w:rPr>
        <w:t>it.</w:t>
      </w:r>
      <w:r w:rsidRPr="00ED13FF">
        <w:rPr>
          <w:rFonts w:ascii="Arial" w:hAnsi="Arial" w:cs="Arial"/>
        </w:rPr>
        <w:t xml:space="preserve"> This points to a clear gap in current provision that needs addressing. Access to modern diabetes technology, including CGM devices and insulin pumps, should be available to all who would benefit, regardless of where they live or their financial situation, as these tools have been shown to meaningfully improve both health outcomes and quality of life. Community-based peer support groups, both in person and online, can help reduce feelings of isolation by connecting people who share similar experiences. For children and young people, schools need to be supported with training and clear care plans so that students with T1D are safe and included during the school day. Finally, integrated care models that bring together doctors, nurses, dietitians, psychologists, and community health workers under one coordinated approach have been shown to improve outcomes and ensure that no aspect of a person's care is </w:t>
      </w:r>
      <w:r w:rsidR="0069685F" w:rsidRPr="00ED13FF">
        <w:rPr>
          <w:rFonts w:ascii="Arial" w:hAnsi="Arial" w:cs="Arial"/>
        </w:rPr>
        <w:t>overlooked.</w:t>
      </w:r>
    </w:p>
    <w:p w14:paraId="5DED9871" w14:textId="77777777" w:rsidR="00DC3590" w:rsidRDefault="00DC3590" w:rsidP="0069685F"/>
    <w:p w14:paraId="15254695" w14:textId="3EF1D10C" w:rsidR="00AB4806" w:rsidRDefault="00ED13FF" w:rsidP="0069685F">
      <w:pPr>
        <w:rPr>
          <w:rFonts w:ascii="Arial" w:hAnsi="Arial" w:cs="Arial"/>
          <w:b/>
          <w:bCs/>
        </w:rPr>
      </w:pPr>
      <w:r w:rsidRPr="00DC3590">
        <w:rPr>
          <w:rFonts w:ascii="Arial" w:hAnsi="Arial" w:cs="Arial"/>
          <w:b/>
          <w:bCs/>
        </w:rPr>
        <w:t>Conclusion</w:t>
      </w:r>
    </w:p>
    <w:p w14:paraId="7457BB43" w14:textId="382E3C72" w:rsidR="00DC3590" w:rsidRPr="00DC3590" w:rsidRDefault="00DC3590" w:rsidP="0069685F">
      <w:pPr>
        <w:rPr>
          <w:rFonts w:ascii="Arial" w:hAnsi="Arial" w:cs="Arial"/>
        </w:rPr>
      </w:pPr>
      <w:r w:rsidRPr="00DC3590">
        <w:rPr>
          <w:rFonts w:ascii="Arial" w:hAnsi="Arial" w:cs="Arial"/>
        </w:rPr>
        <w:t xml:space="preserve">In </w:t>
      </w:r>
      <w:r>
        <w:rPr>
          <w:rFonts w:ascii="Arial" w:hAnsi="Arial" w:cs="Arial"/>
        </w:rPr>
        <w:t xml:space="preserve">summary, </w:t>
      </w:r>
      <w:r w:rsidRPr="00DC3590">
        <w:rPr>
          <w:rFonts w:ascii="Arial" w:hAnsi="Arial" w:cs="Arial"/>
        </w:rPr>
        <w:t xml:space="preserve">T1D is a </w:t>
      </w:r>
      <w:r>
        <w:rPr>
          <w:rFonts w:ascii="Arial" w:hAnsi="Arial" w:cs="Arial"/>
        </w:rPr>
        <w:t xml:space="preserve">lifelong autoimmune disease condition that requires constant insulin management and careful lifestyle balance. While effective control is possible with modern support from health specialists, T1D still carries serious physical risks including life-threatening ketoacidosis and long-term </w:t>
      </w:r>
      <w:r w:rsidR="00A11039">
        <w:rPr>
          <w:rFonts w:ascii="Arial" w:hAnsi="Arial" w:cs="Arial"/>
        </w:rPr>
        <w:t xml:space="preserve">health </w:t>
      </w:r>
      <w:proofErr w:type="spellStart"/>
      <w:r w:rsidR="00A11039">
        <w:rPr>
          <w:rFonts w:ascii="Arial" w:hAnsi="Arial" w:cs="Arial"/>
        </w:rPr>
        <w:t>commplications</w:t>
      </w:r>
      <w:proofErr w:type="spellEnd"/>
      <w:r w:rsidR="00A11039">
        <w:rPr>
          <w:rFonts w:ascii="Arial" w:hAnsi="Arial" w:cs="Arial"/>
        </w:rPr>
        <w:t xml:space="preserve">. Beyond individual health, there is a substantial amount of burden on families, education and healthcare systems. Ensuring accessible care, research and community support remains vital to help improve quality of life for all those affected. </w:t>
      </w:r>
    </w:p>
    <w:p w14:paraId="49AA9C9B" w14:textId="77777777" w:rsidR="00DC3590" w:rsidRDefault="00DC3590" w:rsidP="0069685F">
      <w:pPr>
        <w:rPr>
          <w:rFonts w:ascii="Arial" w:hAnsi="Arial" w:cs="Arial"/>
          <w:b/>
          <w:bCs/>
        </w:rPr>
      </w:pPr>
    </w:p>
    <w:p w14:paraId="1B01DE03" w14:textId="349D08F1" w:rsidR="00DC3590" w:rsidRPr="00DC3590" w:rsidRDefault="00DC3590" w:rsidP="00DC3590">
      <w:pPr>
        <w:rPr>
          <w:rFonts w:ascii="Arial" w:hAnsi="Arial" w:cs="Arial"/>
          <w:b/>
          <w:bCs/>
        </w:rPr>
      </w:pPr>
      <w:r>
        <w:rPr>
          <w:rFonts w:ascii="Arial" w:hAnsi="Arial" w:cs="Arial"/>
          <w:b/>
          <w:bCs/>
        </w:rPr>
        <w:t>References</w:t>
      </w:r>
    </w:p>
    <w:sdt>
      <w:sdtPr>
        <w:rPr>
          <w:rFonts w:asciiTheme="minorHAnsi" w:eastAsiaTheme="minorEastAsia" w:hAnsiTheme="minorHAnsi" w:cstheme="minorBidi"/>
          <w:caps w:val="0"/>
          <w:sz w:val="22"/>
          <w:szCs w:val="22"/>
        </w:rPr>
        <w:id w:val="2088879758"/>
        <w:docPartObj>
          <w:docPartGallery w:val="Bibliographies"/>
          <w:docPartUnique/>
        </w:docPartObj>
      </w:sdtPr>
      <w:sdtEndPr/>
      <w:sdtContent>
        <w:p w14:paraId="6A725E05" w14:textId="46015393" w:rsidR="00DC3590" w:rsidRPr="00DC3590" w:rsidRDefault="00DC3590" w:rsidP="00DC3590">
          <w:pPr>
            <w:pStyle w:val="Heading1"/>
            <w:rPr>
              <w:rFonts w:ascii="Arial" w:hAnsi="Arial" w:cs="Arial"/>
              <w:b/>
              <w:bCs/>
              <w:sz w:val="22"/>
              <w:szCs w:val="22"/>
            </w:rPr>
          </w:pPr>
        </w:p>
        <w:sdt>
          <w:sdtPr>
            <w:rPr>
              <w:rFonts w:ascii="Arial" w:hAnsi="Arial" w:cs="Arial"/>
            </w:rPr>
            <w:id w:val="-992487109"/>
            <w:bibliography/>
          </w:sdtPr>
          <w:sdtEndPr>
            <w:rPr>
              <w:rFonts w:asciiTheme="minorHAnsi" w:hAnsiTheme="minorHAnsi" w:cstheme="minorBidi"/>
            </w:rPr>
          </w:sdtEndPr>
          <w:sdtContent>
            <w:p w14:paraId="3839265F" w14:textId="61C4DED7" w:rsidR="005E66CD" w:rsidRPr="00DC3590" w:rsidRDefault="005E66CD" w:rsidP="005E66CD">
              <w:pPr>
                <w:pStyle w:val="Bibliography"/>
                <w:rPr>
                  <w:rFonts w:ascii="Arial" w:hAnsi="Arial" w:cs="Arial"/>
                </w:rPr>
              </w:pPr>
              <w:r w:rsidRPr="00DC3590">
                <w:rPr>
                  <w:rFonts w:ascii="Arial" w:hAnsi="Arial" w:cs="Arial"/>
                </w:rPr>
                <w:t xml:space="preserve">Eliasson, B., </w:t>
              </w:r>
              <w:proofErr w:type="spellStart"/>
              <w:r w:rsidRPr="00DC3590">
                <w:rPr>
                  <w:rFonts w:ascii="Arial" w:hAnsi="Arial" w:cs="Arial"/>
                </w:rPr>
                <w:t>Kjölhede</w:t>
              </w:r>
              <w:proofErr w:type="spellEnd"/>
              <w:r w:rsidRPr="00DC3590">
                <w:rPr>
                  <w:rFonts w:ascii="Arial" w:hAnsi="Arial" w:cs="Arial"/>
                </w:rPr>
                <w:t xml:space="preserve">, E.A., </w:t>
              </w:r>
              <w:proofErr w:type="spellStart"/>
              <w:r w:rsidRPr="00DC3590">
                <w:rPr>
                  <w:rFonts w:ascii="Arial" w:hAnsi="Arial" w:cs="Arial"/>
                </w:rPr>
                <w:t>Salö</w:t>
              </w:r>
              <w:proofErr w:type="spellEnd"/>
              <w:r w:rsidRPr="00DC3590">
                <w:rPr>
                  <w:rFonts w:ascii="Arial" w:hAnsi="Arial" w:cs="Arial"/>
                </w:rPr>
                <w:t xml:space="preserve">, S., Nielsen, N.F. and Katarina </w:t>
              </w:r>
              <w:proofErr w:type="spellStart"/>
              <w:r w:rsidRPr="00DC3590">
                <w:rPr>
                  <w:rFonts w:ascii="Arial" w:hAnsi="Arial" w:cs="Arial"/>
                </w:rPr>
                <w:t>Eeg</w:t>
              </w:r>
              <w:proofErr w:type="spellEnd"/>
              <w:r w:rsidRPr="00DC3590">
                <w:rPr>
                  <w:rFonts w:ascii="Arial" w:hAnsi="Arial" w:cs="Arial"/>
                </w:rPr>
                <w:t xml:space="preserve">-Olofsson (2024). Associations Between HbA1c and Glucose Time in Range Using Continuous Glucose Monitoring in Type 1 Diabetes: Cross-Sectional Population-Based Study. </w:t>
              </w:r>
              <w:r w:rsidRPr="00DC3590">
                <w:rPr>
                  <w:rFonts w:ascii="Arial" w:hAnsi="Arial" w:cs="Arial"/>
                  <w:i/>
                  <w:iCs/>
                </w:rPr>
                <w:t>Diabetes Therapy</w:t>
              </w:r>
              <w:r w:rsidRPr="00DC3590">
                <w:rPr>
                  <w:rFonts w:ascii="Arial" w:hAnsi="Arial" w:cs="Arial"/>
                </w:rPr>
                <w:t>, 15(6), pp.1301–1312. doi:10.1007/s13300-024-01572-z.</w:t>
              </w:r>
              <w:r w:rsidR="000511F4" w:rsidRPr="00DC3590">
                <w:rPr>
                  <w:rFonts w:ascii="Arial" w:hAnsi="Arial" w:cs="Arial"/>
                </w:rPr>
                <w:fldChar w:fldCharType="begin"/>
              </w:r>
              <w:r w:rsidR="000511F4" w:rsidRPr="00DC3590">
                <w:rPr>
                  <w:rFonts w:ascii="Arial" w:hAnsi="Arial" w:cs="Arial"/>
                </w:rPr>
                <w:instrText xml:space="preserve"> BIBLIOGRAPHY </w:instrText>
              </w:r>
              <w:r w:rsidR="000511F4" w:rsidRPr="00DC3590">
                <w:rPr>
                  <w:rFonts w:ascii="Arial" w:hAnsi="Arial" w:cs="Arial"/>
                </w:rPr>
                <w:fldChar w:fldCharType="separate"/>
              </w:r>
            </w:p>
            <w:p w14:paraId="3E7FCDAE" w14:textId="77777777" w:rsidR="005E66CD" w:rsidRPr="00DC3590" w:rsidRDefault="005E66CD" w:rsidP="005E66CD">
              <w:pPr>
                <w:rPr>
                  <w:rFonts w:ascii="Arial" w:hAnsi="Arial" w:cs="Arial"/>
                </w:rPr>
              </w:pPr>
            </w:p>
            <w:p w14:paraId="08863D19" w14:textId="77777777" w:rsidR="005E66CD" w:rsidRPr="00DC3590" w:rsidRDefault="005E66CD" w:rsidP="005E66CD">
              <w:pPr>
                <w:rPr>
                  <w:rFonts w:ascii="Arial" w:hAnsi="Arial" w:cs="Arial"/>
                </w:rPr>
              </w:pPr>
              <w:r w:rsidRPr="00DC3590">
                <w:rPr>
                  <w:rFonts w:ascii="Arial" w:hAnsi="Arial" w:cs="Arial"/>
                </w:rPr>
                <w:t xml:space="preserve">Moore, D., Leibel, N., Polonsky, W. and Rodriguez, H. (2024). Recommendations for Screening and Monitoring the Stages of Type 1 Diabetes in the Immune Therapy Era. </w:t>
              </w:r>
              <w:r w:rsidRPr="00DC3590">
                <w:rPr>
                  <w:rFonts w:ascii="Arial" w:hAnsi="Arial" w:cs="Arial"/>
                  <w:i/>
                  <w:iCs/>
                </w:rPr>
                <w:t>International Journal of General Medicine</w:t>
              </w:r>
              <w:r w:rsidRPr="00DC3590">
                <w:rPr>
                  <w:rFonts w:ascii="Arial" w:hAnsi="Arial" w:cs="Arial"/>
                </w:rPr>
                <w:t>, [online] Volume 17, pp.3003–3014. doi:10.2147/</w:t>
              </w:r>
              <w:proofErr w:type="gramStart"/>
              <w:r w:rsidRPr="00DC3590">
                <w:rPr>
                  <w:rFonts w:ascii="Arial" w:hAnsi="Arial" w:cs="Arial"/>
                </w:rPr>
                <w:t>ijgm.s</w:t>
              </w:r>
              <w:proofErr w:type="gramEnd"/>
              <w:r w:rsidRPr="00DC3590">
                <w:rPr>
                  <w:rFonts w:ascii="Arial" w:hAnsi="Arial" w:cs="Arial"/>
                </w:rPr>
                <w:t>438009.</w:t>
              </w:r>
            </w:p>
            <w:p w14:paraId="6FBE1E1B" w14:textId="77777777" w:rsidR="0069685F" w:rsidRPr="00DC3590" w:rsidRDefault="0069685F" w:rsidP="005E66CD">
              <w:pPr>
                <w:rPr>
                  <w:rFonts w:ascii="Arial" w:hAnsi="Arial" w:cs="Arial"/>
                </w:rPr>
              </w:pPr>
            </w:p>
            <w:p w14:paraId="68AB0422" w14:textId="77BC3EFD" w:rsidR="0069685F" w:rsidRPr="00DC3590" w:rsidRDefault="0069685F" w:rsidP="0069685F">
              <w:pPr>
                <w:rPr>
                  <w:rFonts w:ascii="Arial" w:hAnsi="Arial" w:cs="Arial"/>
                </w:rPr>
              </w:pPr>
              <w:r w:rsidRPr="00DC3590">
                <w:rPr>
                  <w:rFonts w:ascii="Arial" w:hAnsi="Arial" w:cs="Arial"/>
                </w:rPr>
                <w:t xml:space="preserve">Phillip, M., Achenbach, P., Ananta Addala, Albanese-O’Neill, A., Tadej Battelino, Bell, K.J., Rachel E.J. Besser, Bonifacio, E., Colhoun, H.M., Couper, J.J., Craig, M.E., Danne, T., Carine de Beaufort, Klemen Dovc, Driscoll, K.A., Dutta, S., Osagie Ebekozien, Helena Elding Larsson, Feiten, D.J., </w:t>
              </w:r>
              <w:proofErr w:type="spellStart"/>
              <w:r w:rsidRPr="00DC3590">
                <w:rPr>
                  <w:rFonts w:ascii="Arial" w:hAnsi="Arial" w:cs="Arial"/>
                </w:rPr>
                <w:t>Frohnert</w:t>
              </w:r>
              <w:proofErr w:type="spellEnd"/>
              <w:r w:rsidRPr="00DC3590">
                <w:rPr>
                  <w:rFonts w:ascii="Arial" w:hAnsi="Arial" w:cs="Arial"/>
                </w:rPr>
                <w:t xml:space="preserve">, B.I., Gabbay, R.A., Gallagher, M.P., Greenbaum, C.J., Griffin, K.J., Hagopian, W., Haller, M.J., Hendrieckx, C., Hendriks, E., Richard I.G. Holt, Hughes, L., Ismail, H.M., Jacobsen, L.M., Johnson, S.B., Kolb, L.E., </w:t>
              </w:r>
              <w:proofErr w:type="spellStart"/>
              <w:r w:rsidRPr="00DC3590">
                <w:rPr>
                  <w:rFonts w:ascii="Arial" w:hAnsi="Arial" w:cs="Arial"/>
                </w:rPr>
                <w:t>Kordonouri</w:t>
              </w:r>
              <w:proofErr w:type="spellEnd"/>
              <w:r w:rsidRPr="00DC3590">
                <w:rPr>
                  <w:rFonts w:ascii="Arial" w:hAnsi="Arial" w:cs="Arial"/>
                </w:rPr>
                <w:t>, O., Lange, K., Lash, R.W., Åke Lernmark, Libman, I., Lundgren, M., Maahs, D.M., M. Loredana Marcovecchio, Mathieu, C., Miller, K.M., O’Donnell, H.K., Tal Oron, Patil, S.P., Rodica Pop-</w:t>
              </w:r>
              <w:proofErr w:type="spellStart"/>
              <w:r w:rsidRPr="00DC3590">
                <w:rPr>
                  <w:rFonts w:ascii="Arial" w:hAnsi="Arial" w:cs="Arial"/>
                </w:rPr>
                <w:t>Busui</w:t>
              </w:r>
              <w:proofErr w:type="spellEnd"/>
              <w:r w:rsidRPr="00DC3590">
                <w:rPr>
                  <w:rFonts w:ascii="Arial" w:hAnsi="Arial" w:cs="Arial"/>
                </w:rPr>
                <w:t xml:space="preserve">, Rewers, M.J., Rich, S.S., Schatz, D.A., Rifka Schulman-Rosenbaum, Simmons, K.M., Sims, E.K., Skyler, J.S., Smith, L.B., Speake, C., Steck, A.K., Nicholas P.B. Thomas, </w:t>
              </w:r>
              <w:proofErr w:type="spellStart"/>
              <w:r w:rsidRPr="00DC3590">
                <w:rPr>
                  <w:rFonts w:ascii="Arial" w:hAnsi="Arial" w:cs="Arial"/>
                </w:rPr>
                <w:t>Tonyushkina</w:t>
              </w:r>
              <w:proofErr w:type="spellEnd"/>
              <w:r w:rsidRPr="00DC3590">
                <w:rPr>
                  <w:rFonts w:ascii="Arial" w:hAnsi="Arial" w:cs="Arial"/>
                </w:rPr>
                <w:t xml:space="preserve">, K.N., Riitta Veijola, Wentworth, J.M., </w:t>
              </w:r>
              <w:proofErr w:type="spellStart"/>
              <w:r w:rsidRPr="00DC3590">
                <w:rPr>
                  <w:rFonts w:ascii="Arial" w:hAnsi="Arial" w:cs="Arial"/>
                </w:rPr>
                <w:t>Wherrett</w:t>
              </w:r>
              <w:proofErr w:type="spellEnd"/>
              <w:r w:rsidRPr="00DC3590">
                <w:rPr>
                  <w:rFonts w:ascii="Arial" w:hAnsi="Arial" w:cs="Arial"/>
                </w:rPr>
                <w:t xml:space="preserve">, D.K., Wood, J.R., Ziegler, A.-G. </w:t>
              </w:r>
              <w:r w:rsidRPr="00DC3590">
                <w:rPr>
                  <w:rFonts w:ascii="Arial" w:hAnsi="Arial" w:cs="Arial"/>
                </w:rPr>
                <w:lastRenderedPageBreak/>
                <w:t xml:space="preserve">and DiMeglio, L.A. (2024). Consensus Guidance for Monitoring Individuals </w:t>
              </w:r>
              <w:proofErr w:type="gramStart"/>
              <w:r w:rsidRPr="00DC3590">
                <w:rPr>
                  <w:rFonts w:ascii="Arial" w:hAnsi="Arial" w:cs="Arial"/>
                </w:rPr>
                <w:t>With</w:t>
              </w:r>
              <w:proofErr w:type="gramEnd"/>
              <w:r w:rsidRPr="00DC3590">
                <w:rPr>
                  <w:rFonts w:ascii="Arial" w:hAnsi="Arial" w:cs="Arial"/>
                </w:rPr>
                <w:t xml:space="preserve"> Islet Autoantibody–Positive Pre-Stage 3 Type 1 Diabetes. </w:t>
              </w:r>
              <w:r w:rsidRPr="00DC3590">
                <w:rPr>
                  <w:rFonts w:ascii="Arial" w:hAnsi="Arial" w:cs="Arial"/>
                  <w:i/>
                  <w:iCs/>
                </w:rPr>
                <w:t>Diabetes care</w:t>
              </w:r>
              <w:r w:rsidRPr="00DC3590">
                <w:rPr>
                  <w:rFonts w:ascii="Arial" w:hAnsi="Arial" w:cs="Arial"/>
                </w:rPr>
                <w:t>, 47(8). doi:10.2337/dci24-0042.</w:t>
              </w:r>
            </w:p>
            <w:p w14:paraId="7294AD48" w14:textId="77777777" w:rsidR="0069685F" w:rsidRPr="00DC3590" w:rsidRDefault="0069685F" w:rsidP="005E66CD">
              <w:pPr>
                <w:rPr>
                  <w:rFonts w:ascii="Arial" w:hAnsi="Arial" w:cs="Arial"/>
                </w:rPr>
              </w:pPr>
            </w:p>
            <w:p w14:paraId="7CA1B5EF" w14:textId="77777777" w:rsidR="0069685F" w:rsidRPr="00DC3590" w:rsidRDefault="0069685F" w:rsidP="0069685F">
              <w:pPr>
                <w:rPr>
                  <w:rFonts w:ascii="Arial" w:hAnsi="Arial" w:cs="Arial"/>
                </w:rPr>
              </w:pPr>
              <w:r w:rsidRPr="00DC3590">
                <w:rPr>
                  <w:rFonts w:ascii="Arial" w:hAnsi="Arial" w:cs="Arial"/>
                </w:rPr>
                <w:t>Ryan Charles Kelly, Holt, R., Desborough, L., Majidi, S., Town, M., Naranjo, D., Messer, L.H., Barnard-Kelly, K., Soderberg, J. and Barnard</w:t>
              </w:r>
              <w:r w:rsidRPr="00DC3590">
                <w:rPr>
                  <w:rFonts w:ascii="Cambria Math" w:hAnsi="Cambria Math" w:cs="Cambria Math"/>
                </w:rPr>
                <w:t>‐</w:t>
              </w:r>
              <w:r w:rsidRPr="00DC3590">
                <w:rPr>
                  <w:rFonts w:ascii="Arial" w:hAnsi="Arial" w:cs="Arial"/>
                </w:rPr>
                <w:t xml:space="preserve">Kelly, K. (2023). The Psychosocial Burdens of Living with Diabetes. </w:t>
              </w:r>
              <w:r w:rsidRPr="00DC3590">
                <w:rPr>
                  <w:rFonts w:ascii="Arial" w:hAnsi="Arial" w:cs="Arial"/>
                  <w:i/>
                  <w:iCs/>
                </w:rPr>
                <w:t>Diabetic Medicine</w:t>
              </w:r>
              <w:r w:rsidRPr="00DC3590">
                <w:rPr>
                  <w:rFonts w:ascii="Arial" w:hAnsi="Arial" w:cs="Arial"/>
                </w:rPr>
                <w:t>, 41(3). doi:10.1111/dme.15219.</w:t>
              </w:r>
            </w:p>
            <w:p w14:paraId="6CECBE47" w14:textId="77777777" w:rsidR="00DC3590" w:rsidRPr="00DC3590" w:rsidRDefault="00DC3590" w:rsidP="0069685F">
              <w:pPr>
                <w:rPr>
                  <w:rFonts w:ascii="Arial" w:hAnsi="Arial" w:cs="Arial"/>
                </w:rPr>
              </w:pPr>
            </w:p>
            <w:p w14:paraId="008AC25B" w14:textId="1C173060" w:rsidR="00DC3590" w:rsidRPr="00DC3590" w:rsidRDefault="00DC3590" w:rsidP="00DC3590">
              <w:pPr>
                <w:pStyle w:val="Bibliography"/>
                <w:rPr>
                  <w:rFonts w:ascii="Arial" w:hAnsi="Arial" w:cs="Arial"/>
                </w:rPr>
              </w:pPr>
              <w:r w:rsidRPr="00DC3590">
                <w:rPr>
                  <w:rFonts w:ascii="Arial" w:hAnsi="Arial" w:cs="Arial"/>
                </w:rPr>
                <w:t xml:space="preserve">Sergio Di Molfetta, Valentina Annamaria Genchi, Cignarelli, A., </w:t>
              </w:r>
              <w:proofErr w:type="spellStart"/>
              <w:r w:rsidRPr="00DC3590">
                <w:rPr>
                  <w:rFonts w:ascii="Arial" w:hAnsi="Arial" w:cs="Arial"/>
                </w:rPr>
                <w:t>Natalicchio</w:t>
              </w:r>
              <w:proofErr w:type="spellEnd"/>
              <w:r w:rsidRPr="00DC3590">
                <w:rPr>
                  <w:rFonts w:ascii="Arial" w:hAnsi="Arial" w:cs="Arial"/>
                </w:rPr>
                <w:t>, A., Perrini, S., Laviola, L. and Giorgino, F. (2023). Professional continuous glucose monitoring in patients with diabetes mellitus: A systematic review and meta</w:t>
              </w:r>
              <w:r w:rsidRPr="00DC3590">
                <w:rPr>
                  <w:rFonts w:ascii="Cambria Math" w:hAnsi="Cambria Math" w:cs="Cambria Math"/>
                </w:rPr>
                <w:t>‐</w:t>
              </w:r>
              <w:r w:rsidRPr="00DC3590">
                <w:rPr>
                  <w:rFonts w:ascii="Arial" w:hAnsi="Arial" w:cs="Arial"/>
                </w:rPr>
                <w:t xml:space="preserve">analysis. </w:t>
              </w:r>
              <w:r w:rsidRPr="00DC3590">
                <w:rPr>
                  <w:rFonts w:ascii="Arial" w:hAnsi="Arial" w:cs="Arial"/>
                  <w:i/>
                  <w:iCs/>
                </w:rPr>
                <w:t>Diabetes, Obesity and Metabolism</w:t>
              </w:r>
              <w:r w:rsidRPr="00DC3590">
                <w:rPr>
                  <w:rFonts w:ascii="Arial" w:hAnsi="Arial" w:cs="Arial"/>
                </w:rPr>
                <w:t>, 25(5), pp.1301–1310. doi:10.1111/dom.14981.</w:t>
              </w:r>
            </w:p>
            <w:p w14:paraId="17D92CF6" w14:textId="77777777" w:rsidR="00DC3590" w:rsidRPr="00DC3590" w:rsidRDefault="00DC3590" w:rsidP="0069685F">
              <w:pPr>
                <w:rPr>
                  <w:rFonts w:ascii="Arial" w:hAnsi="Arial" w:cs="Arial"/>
                </w:rPr>
              </w:pPr>
            </w:p>
            <w:p w14:paraId="6AF64D97" w14:textId="35E34419" w:rsidR="005E66CD" w:rsidRPr="00DC3590" w:rsidRDefault="00DC3590" w:rsidP="005E66CD">
              <w:pPr>
                <w:rPr>
                  <w:rFonts w:ascii="Arial" w:hAnsi="Arial" w:cs="Arial"/>
                </w:rPr>
              </w:pPr>
              <w:r w:rsidRPr="00DC3590">
                <w:rPr>
                  <w:rFonts w:ascii="Arial" w:hAnsi="Arial" w:cs="Arial"/>
                </w:rPr>
                <w:t xml:space="preserve">Sims, E.K., Skyler, J.S., Smith, L.B., Speake, C., Steck, A.K., Nicholas P.B. Thomas, </w:t>
              </w:r>
              <w:proofErr w:type="spellStart"/>
              <w:r w:rsidRPr="00DC3590">
                <w:rPr>
                  <w:rFonts w:ascii="Arial" w:hAnsi="Arial" w:cs="Arial"/>
                </w:rPr>
                <w:t>Tonyushkina</w:t>
              </w:r>
              <w:proofErr w:type="spellEnd"/>
              <w:r w:rsidRPr="00DC3590">
                <w:rPr>
                  <w:rFonts w:ascii="Arial" w:hAnsi="Arial" w:cs="Arial"/>
                </w:rPr>
                <w:t xml:space="preserve">, K.N., Riitta Veijola, Wentworth, J.M., </w:t>
              </w:r>
              <w:proofErr w:type="spellStart"/>
              <w:r w:rsidRPr="00DC3590">
                <w:rPr>
                  <w:rFonts w:ascii="Arial" w:hAnsi="Arial" w:cs="Arial"/>
                </w:rPr>
                <w:t>Wherrett</w:t>
              </w:r>
              <w:proofErr w:type="spellEnd"/>
              <w:r w:rsidRPr="00DC3590">
                <w:rPr>
                  <w:rFonts w:ascii="Arial" w:hAnsi="Arial" w:cs="Arial"/>
                </w:rPr>
                <w:t xml:space="preserve">, D.K., Wood, J.R., Ziegler, A.-G. and DiMeglio, L.A. (2024). Consensus Guidance for Monitoring Individuals </w:t>
              </w:r>
              <w:proofErr w:type="gramStart"/>
              <w:r w:rsidRPr="00DC3590">
                <w:rPr>
                  <w:rFonts w:ascii="Arial" w:hAnsi="Arial" w:cs="Arial"/>
                </w:rPr>
                <w:t>With</w:t>
              </w:r>
              <w:proofErr w:type="gramEnd"/>
              <w:r w:rsidRPr="00DC3590">
                <w:rPr>
                  <w:rFonts w:ascii="Arial" w:hAnsi="Arial" w:cs="Arial"/>
                </w:rPr>
                <w:t xml:space="preserve"> Islet Autoantibody–Positive Pre-Stage 3 Type 1 Diabetes. </w:t>
              </w:r>
              <w:r w:rsidRPr="00DC3590">
                <w:rPr>
                  <w:rFonts w:ascii="Arial" w:hAnsi="Arial" w:cs="Arial"/>
                  <w:i/>
                  <w:iCs/>
                </w:rPr>
                <w:t>Diabetes care</w:t>
              </w:r>
              <w:r w:rsidRPr="00DC3590">
                <w:rPr>
                  <w:rFonts w:ascii="Arial" w:hAnsi="Arial" w:cs="Arial"/>
                </w:rPr>
                <w:t>, 47(8). doi:10.2337/dci24-0042.</w:t>
              </w:r>
            </w:p>
            <w:p w14:paraId="0980746C" w14:textId="77777777" w:rsidR="00DC3590" w:rsidRPr="00DC3590" w:rsidRDefault="00DC3590" w:rsidP="005E66CD">
              <w:pPr>
                <w:rPr>
                  <w:rFonts w:ascii="Arial" w:hAnsi="Arial" w:cs="Arial"/>
                </w:rPr>
              </w:pPr>
            </w:p>
            <w:p w14:paraId="05C353F8" w14:textId="77777777" w:rsidR="00DC3590" w:rsidRPr="00DC3590" w:rsidRDefault="00DC3590" w:rsidP="00DC3590">
              <w:pPr>
                <w:rPr>
                  <w:rFonts w:ascii="Arial" w:hAnsi="Arial" w:cs="Arial"/>
                </w:rPr>
              </w:pPr>
              <w:r w:rsidRPr="00DC3590">
                <w:rPr>
                  <w:rFonts w:ascii="Arial" w:hAnsi="Arial" w:cs="Arial"/>
                </w:rPr>
                <w:t xml:space="preserve">Turton, J.L., Brinkworth, G. D, Parker, H., Lim, D., Lee, K., Rush, A., Johnson, R. and Rooney, K.B. (2023). Effects of a low-carbohydrate diet in adults with type 1 diabetes management: A single arm non-randomised clinical trial. </w:t>
              </w:r>
              <w:proofErr w:type="spellStart"/>
              <w:r w:rsidRPr="00DC3590">
                <w:rPr>
                  <w:rFonts w:ascii="Arial" w:hAnsi="Arial" w:cs="Arial"/>
                  <w:i/>
                  <w:iCs/>
                </w:rPr>
                <w:t>Plos</w:t>
              </w:r>
              <w:proofErr w:type="spellEnd"/>
              <w:r w:rsidRPr="00DC3590">
                <w:rPr>
                  <w:rFonts w:ascii="Arial" w:hAnsi="Arial" w:cs="Arial"/>
                  <w:i/>
                  <w:iCs/>
                </w:rPr>
                <w:t xml:space="preserve"> One</w:t>
              </w:r>
              <w:r w:rsidRPr="00DC3590">
                <w:rPr>
                  <w:rFonts w:ascii="Arial" w:hAnsi="Arial" w:cs="Arial"/>
                </w:rPr>
                <w:t xml:space="preserve">, 18(7), </w:t>
              </w:r>
              <w:proofErr w:type="gramStart"/>
              <w:r w:rsidRPr="00DC3590">
                <w:rPr>
                  <w:rFonts w:ascii="Arial" w:hAnsi="Arial" w:cs="Arial"/>
                </w:rPr>
                <w:t>pp.e</w:t>
              </w:r>
              <w:proofErr w:type="gramEnd"/>
              <w:r w:rsidRPr="00DC3590">
                <w:rPr>
                  <w:rFonts w:ascii="Arial" w:hAnsi="Arial" w:cs="Arial"/>
                </w:rPr>
                <w:t xml:space="preserve">0288440-e0288440. </w:t>
              </w:r>
              <w:proofErr w:type="gramStart"/>
              <w:r w:rsidRPr="00DC3590">
                <w:rPr>
                  <w:rFonts w:ascii="Arial" w:hAnsi="Arial" w:cs="Arial"/>
                </w:rPr>
                <w:t>doi:10.1371/journal.pone</w:t>
              </w:r>
              <w:proofErr w:type="gramEnd"/>
              <w:r w:rsidRPr="00DC3590">
                <w:rPr>
                  <w:rFonts w:ascii="Arial" w:hAnsi="Arial" w:cs="Arial"/>
                </w:rPr>
                <w:t>.0288440.</w:t>
              </w:r>
            </w:p>
            <w:p w14:paraId="47AE536D" w14:textId="77777777" w:rsidR="00DC3590" w:rsidRPr="00DC3590" w:rsidRDefault="00DC3590" w:rsidP="005E66CD">
              <w:pPr>
                <w:rPr>
                  <w:rFonts w:ascii="Arial" w:hAnsi="Arial" w:cs="Arial"/>
                </w:rPr>
              </w:pPr>
            </w:p>
            <w:p w14:paraId="202B85B9" w14:textId="77777777" w:rsidR="005E66CD" w:rsidRPr="00DC3590" w:rsidRDefault="005E66CD" w:rsidP="005E66CD">
              <w:pPr>
                <w:rPr>
                  <w:rFonts w:ascii="Arial" w:hAnsi="Arial" w:cs="Arial"/>
                </w:rPr>
              </w:pPr>
            </w:p>
            <w:p w14:paraId="40BC33E4" w14:textId="0381CC3A" w:rsidR="000511F4" w:rsidRPr="00DC3590" w:rsidRDefault="000511F4" w:rsidP="005E66CD">
              <w:pPr>
                <w:pStyle w:val="Bibliography"/>
                <w:rPr>
                  <w:rFonts w:ascii="Arial" w:hAnsi="Arial" w:cs="Arial"/>
                  <w:noProof/>
                </w:rPr>
              </w:pPr>
            </w:p>
            <w:p w14:paraId="2B70F06E" w14:textId="012D6F49" w:rsidR="000511F4" w:rsidRDefault="000511F4" w:rsidP="000511F4">
              <w:r w:rsidRPr="00DC3590">
                <w:rPr>
                  <w:rFonts w:ascii="Arial" w:hAnsi="Arial" w:cs="Arial"/>
                  <w:b/>
                  <w:bCs/>
                  <w:noProof/>
                </w:rPr>
                <w:fldChar w:fldCharType="end"/>
              </w:r>
            </w:p>
          </w:sdtContent>
        </w:sdt>
      </w:sdtContent>
    </w:sdt>
    <w:p w14:paraId="3E01FA3D" w14:textId="2BF2D95C" w:rsidR="001A5F66" w:rsidRDefault="001A5F66"/>
    <w:sectPr w:rsidR="001A5F66" w:rsidSect="00ED13F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86916" w14:textId="77777777" w:rsidR="00AF7759" w:rsidRDefault="00AF7759" w:rsidP="00ED13FF">
      <w:pPr>
        <w:spacing w:after="0" w:line="240" w:lineRule="auto"/>
      </w:pPr>
      <w:r>
        <w:separator/>
      </w:r>
    </w:p>
  </w:endnote>
  <w:endnote w:type="continuationSeparator" w:id="0">
    <w:p w14:paraId="21E23A95" w14:textId="77777777" w:rsidR="00AF7759" w:rsidRDefault="00AF7759" w:rsidP="00ED1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602058"/>
      <w:docPartObj>
        <w:docPartGallery w:val="Page Numbers (Bottom of Page)"/>
        <w:docPartUnique/>
      </w:docPartObj>
    </w:sdtPr>
    <w:sdtEndPr>
      <w:rPr>
        <w:noProof/>
      </w:rPr>
    </w:sdtEndPr>
    <w:sdtContent>
      <w:p w14:paraId="1F48E9E3" w14:textId="5C15142C" w:rsidR="00ED13FF" w:rsidRDefault="00ED13FF">
        <w:pPr>
          <w:pStyle w:val="Footer"/>
        </w:pPr>
        <w:r>
          <w:fldChar w:fldCharType="begin"/>
        </w:r>
        <w:r>
          <w:instrText xml:space="preserve"> PAGE   \* MERGEFORMAT </w:instrText>
        </w:r>
        <w:r>
          <w:fldChar w:fldCharType="separate"/>
        </w:r>
        <w:r>
          <w:rPr>
            <w:noProof/>
          </w:rPr>
          <w:t>2</w:t>
        </w:r>
        <w:r>
          <w:rPr>
            <w:noProof/>
          </w:rPr>
          <w:fldChar w:fldCharType="end"/>
        </w:r>
      </w:p>
    </w:sdtContent>
  </w:sdt>
  <w:p w14:paraId="0A96CB15" w14:textId="77777777" w:rsidR="00ED13FF" w:rsidRDefault="00ED1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7E681" w14:textId="77777777" w:rsidR="00AF7759" w:rsidRDefault="00AF7759" w:rsidP="00ED13FF">
      <w:pPr>
        <w:spacing w:after="0" w:line="240" w:lineRule="auto"/>
      </w:pPr>
      <w:r>
        <w:separator/>
      </w:r>
    </w:p>
  </w:footnote>
  <w:footnote w:type="continuationSeparator" w:id="0">
    <w:p w14:paraId="2401585C" w14:textId="77777777" w:rsidR="00AF7759" w:rsidRDefault="00AF7759" w:rsidP="00ED1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4E7FBB"/>
    <w:multiLevelType w:val="hybridMultilevel"/>
    <w:tmpl w:val="1B98D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A90930"/>
    <w:multiLevelType w:val="hybridMultilevel"/>
    <w:tmpl w:val="73085D0A"/>
    <w:lvl w:ilvl="0" w:tplc="65CCBBD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7341684">
    <w:abstractNumId w:val="0"/>
  </w:num>
  <w:num w:numId="2" w16cid:durableId="319506072">
    <w:abstractNumId w:val="0"/>
  </w:num>
  <w:num w:numId="3" w16cid:durableId="1768960798">
    <w:abstractNumId w:val="0"/>
  </w:num>
  <w:num w:numId="4" w16cid:durableId="4868536">
    <w:abstractNumId w:val="0"/>
  </w:num>
  <w:num w:numId="5" w16cid:durableId="1958413328">
    <w:abstractNumId w:val="0"/>
  </w:num>
  <w:num w:numId="6" w16cid:durableId="239413302">
    <w:abstractNumId w:val="0"/>
  </w:num>
  <w:num w:numId="7" w16cid:durableId="1955205373">
    <w:abstractNumId w:val="0"/>
  </w:num>
  <w:num w:numId="8" w16cid:durableId="481436029">
    <w:abstractNumId w:val="0"/>
  </w:num>
  <w:num w:numId="9" w16cid:durableId="160707368">
    <w:abstractNumId w:val="0"/>
  </w:num>
  <w:num w:numId="10" w16cid:durableId="891500058">
    <w:abstractNumId w:val="0"/>
  </w:num>
  <w:num w:numId="11" w16cid:durableId="658266431">
    <w:abstractNumId w:val="1"/>
  </w:num>
  <w:num w:numId="12" w16cid:durableId="2267679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13D"/>
    <w:rsid w:val="000355C2"/>
    <w:rsid w:val="000511F4"/>
    <w:rsid w:val="000E7D07"/>
    <w:rsid w:val="0010354A"/>
    <w:rsid w:val="001600A9"/>
    <w:rsid w:val="001A5F66"/>
    <w:rsid w:val="00213011"/>
    <w:rsid w:val="00214D62"/>
    <w:rsid w:val="00240768"/>
    <w:rsid w:val="00256171"/>
    <w:rsid w:val="0031284A"/>
    <w:rsid w:val="003C1A53"/>
    <w:rsid w:val="003D0541"/>
    <w:rsid w:val="00473D23"/>
    <w:rsid w:val="004A64B1"/>
    <w:rsid w:val="004E1889"/>
    <w:rsid w:val="00522056"/>
    <w:rsid w:val="00523362"/>
    <w:rsid w:val="00544611"/>
    <w:rsid w:val="00596A49"/>
    <w:rsid w:val="005B35CA"/>
    <w:rsid w:val="005C3C76"/>
    <w:rsid w:val="005E66CD"/>
    <w:rsid w:val="0064781C"/>
    <w:rsid w:val="00671AFB"/>
    <w:rsid w:val="0069685F"/>
    <w:rsid w:val="006A5579"/>
    <w:rsid w:val="00752585"/>
    <w:rsid w:val="00753F2F"/>
    <w:rsid w:val="007574E8"/>
    <w:rsid w:val="007D2110"/>
    <w:rsid w:val="0083160C"/>
    <w:rsid w:val="00845880"/>
    <w:rsid w:val="008D4A1F"/>
    <w:rsid w:val="008E21AE"/>
    <w:rsid w:val="00981851"/>
    <w:rsid w:val="00994986"/>
    <w:rsid w:val="009A642D"/>
    <w:rsid w:val="00A11039"/>
    <w:rsid w:val="00A112F2"/>
    <w:rsid w:val="00A16CA9"/>
    <w:rsid w:val="00A61722"/>
    <w:rsid w:val="00AB4806"/>
    <w:rsid w:val="00AF7759"/>
    <w:rsid w:val="00B01740"/>
    <w:rsid w:val="00BA2227"/>
    <w:rsid w:val="00BA7413"/>
    <w:rsid w:val="00BE0E97"/>
    <w:rsid w:val="00C0356D"/>
    <w:rsid w:val="00CD0907"/>
    <w:rsid w:val="00CE34C7"/>
    <w:rsid w:val="00D14AE6"/>
    <w:rsid w:val="00D43980"/>
    <w:rsid w:val="00DC3590"/>
    <w:rsid w:val="00DD7D8F"/>
    <w:rsid w:val="00E14CB6"/>
    <w:rsid w:val="00E22383"/>
    <w:rsid w:val="00EA113D"/>
    <w:rsid w:val="00EC288B"/>
    <w:rsid w:val="00ED13FF"/>
    <w:rsid w:val="00ED79EE"/>
    <w:rsid w:val="00F06B8D"/>
    <w:rsid w:val="00F15BA6"/>
    <w:rsid w:val="00F74B5B"/>
    <w:rsid w:val="00FC625A"/>
    <w:rsid w:val="00FC6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9964C"/>
  <w15:chartTrackingRefBased/>
  <w15:docId w15:val="{E44737F6-F8A0-4A15-8668-117345305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3C76"/>
  </w:style>
  <w:style w:type="paragraph" w:styleId="Heading1">
    <w:name w:val="heading 1"/>
    <w:basedOn w:val="Normal"/>
    <w:next w:val="Normal"/>
    <w:link w:val="Heading1Char"/>
    <w:uiPriority w:val="9"/>
    <w:qFormat/>
    <w:rsid w:val="005C3C76"/>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5C3C76"/>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5C3C76"/>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5C3C76"/>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5C3C76"/>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5C3C76"/>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5C3C76"/>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5C3C76"/>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5C3C76"/>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C76"/>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5C3C76"/>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5C3C76"/>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5C3C76"/>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5C3C76"/>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5C3C76"/>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5C3C76"/>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5C3C76"/>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5C3C76"/>
    <w:rPr>
      <w:rFonts w:asciiTheme="majorHAnsi" w:eastAsiaTheme="majorEastAsia" w:hAnsiTheme="majorHAnsi" w:cstheme="majorBidi"/>
      <w:b/>
      <w:bCs/>
      <w:i/>
      <w:iCs/>
      <w:caps/>
      <w:color w:val="7F7F7F" w:themeColor="text1" w:themeTint="80"/>
      <w:sz w:val="20"/>
      <w:szCs w:val="20"/>
    </w:rPr>
  </w:style>
  <w:style w:type="paragraph" w:styleId="Title">
    <w:name w:val="Title"/>
    <w:basedOn w:val="Normal"/>
    <w:next w:val="Normal"/>
    <w:link w:val="TitleChar"/>
    <w:uiPriority w:val="10"/>
    <w:qFormat/>
    <w:rsid w:val="005C3C76"/>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5C3C76"/>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5C3C76"/>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5C3C76"/>
    <w:rPr>
      <w:rFonts w:asciiTheme="majorHAnsi" w:eastAsiaTheme="majorEastAsia" w:hAnsiTheme="majorHAnsi" w:cstheme="majorBidi"/>
      <w:smallCaps/>
      <w:color w:val="595959" w:themeColor="text1" w:themeTint="A6"/>
      <w:sz w:val="28"/>
      <w:szCs w:val="28"/>
    </w:rPr>
  </w:style>
  <w:style w:type="paragraph" w:styleId="Quote">
    <w:name w:val="Quote"/>
    <w:basedOn w:val="Normal"/>
    <w:next w:val="Normal"/>
    <w:link w:val="QuoteChar"/>
    <w:uiPriority w:val="29"/>
    <w:qFormat/>
    <w:rsid w:val="005C3C76"/>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5C3C76"/>
    <w:rPr>
      <w:rFonts w:asciiTheme="majorHAnsi" w:eastAsiaTheme="majorEastAsia" w:hAnsiTheme="majorHAnsi" w:cstheme="majorBidi"/>
      <w:sz w:val="25"/>
      <w:szCs w:val="25"/>
    </w:rPr>
  </w:style>
  <w:style w:type="paragraph" w:styleId="ListParagraph">
    <w:name w:val="List Paragraph"/>
    <w:basedOn w:val="Normal"/>
    <w:uiPriority w:val="34"/>
    <w:qFormat/>
    <w:rsid w:val="00EA113D"/>
    <w:pPr>
      <w:ind w:left="720"/>
      <w:contextualSpacing/>
    </w:pPr>
  </w:style>
  <w:style w:type="character" w:styleId="IntenseEmphasis">
    <w:name w:val="Intense Emphasis"/>
    <w:basedOn w:val="DefaultParagraphFont"/>
    <w:uiPriority w:val="21"/>
    <w:qFormat/>
    <w:rsid w:val="005C3C76"/>
    <w:rPr>
      <w:b/>
      <w:bCs/>
      <w:i/>
      <w:iCs/>
    </w:rPr>
  </w:style>
  <w:style w:type="paragraph" w:styleId="IntenseQuote">
    <w:name w:val="Intense Quote"/>
    <w:basedOn w:val="Normal"/>
    <w:next w:val="Normal"/>
    <w:link w:val="IntenseQuoteChar"/>
    <w:uiPriority w:val="30"/>
    <w:qFormat/>
    <w:rsid w:val="005C3C76"/>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5C3C76"/>
    <w:rPr>
      <w:color w:val="404040" w:themeColor="text1" w:themeTint="BF"/>
      <w:sz w:val="32"/>
      <w:szCs w:val="32"/>
    </w:rPr>
  </w:style>
  <w:style w:type="character" w:styleId="IntenseReference">
    <w:name w:val="Intense Reference"/>
    <w:basedOn w:val="DefaultParagraphFont"/>
    <w:uiPriority w:val="32"/>
    <w:qFormat/>
    <w:rsid w:val="005C3C76"/>
    <w:rPr>
      <w:b/>
      <w:bCs/>
      <w:caps w:val="0"/>
      <w:smallCaps/>
      <w:color w:val="auto"/>
      <w:spacing w:val="3"/>
      <w:u w:val="single"/>
    </w:rPr>
  </w:style>
  <w:style w:type="paragraph" w:styleId="NoSpacing">
    <w:name w:val="No Spacing"/>
    <w:link w:val="NoSpacingChar"/>
    <w:uiPriority w:val="1"/>
    <w:qFormat/>
    <w:rsid w:val="005C3C76"/>
    <w:pPr>
      <w:spacing w:after="0" w:line="240" w:lineRule="auto"/>
    </w:pPr>
  </w:style>
  <w:style w:type="character" w:customStyle="1" w:styleId="NoSpacingChar">
    <w:name w:val="No Spacing Char"/>
    <w:basedOn w:val="DefaultParagraphFont"/>
    <w:link w:val="NoSpacing"/>
    <w:uiPriority w:val="1"/>
    <w:rsid w:val="009A642D"/>
  </w:style>
  <w:style w:type="paragraph" w:styleId="Caption">
    <w:name w:val="caption"/>
    <w:basedOn w:val="Normal"/>
    <w:next w:val="Normal"/>
    <w:uiPriority w:val="35"/>
    <w:semiHidden/>
    <w:unhideWhenUsed/>
    <w:qFormat/>
    <w:rsid w:val="005C3C76"/>
    <w:pPr>
      <w:spacing w:line="240" w:lineRule="auto"/>
    </w:pPr>
    <w:rPr>
      <w:b/>
      <w:bCs/>
      <w:smallCaps/>
      <w:color w:val="595959" w:themeColor="text1" w:themeTint="A6"/>
    </w:rPr>
  </w:style>
  <w:style w:type="character" w:styleId="Strong">
    <w:name w:val="Strong"/>
    <w:basedOn w:val="DefaultParagraphFont"/>
    <w:uiPriority w:val="22"/>
    <w:qFormat/>
    <w:rsid w:val="005C3C76"/>
    <w:rPr>
      <w:b/>
      <w:bCs/>
    </w:rPr>
  </w:style>
  <w:style w:type="character" w:styleId="Emphasis">
    <w:name w:val="Emphasis"/>
    <w:basedOn w:val="DefaultParagraphFont"/>
    <w:uiPriority w:val="20"/>
    <w:qFormat/>
    <w:rsid w:val="005C3C76"/>
    <w:rPr>
      <w:i/>
      <w:iCs/>
    </w:rPr>
  </w:style>
  <w:style w:type="character" w:styleId="SubtleEmphasis">
    <w:name w:val="Subtle Emphasis"/>
    <w:basedOn w:val="DefaultParagraphFont"/>
    <w:uiPriority w:val="19"/>
    <w:qFormat/>
    <w:rsid w:val="005C3C76"/>
    <w:rPr>
      <w:i/>
      <w:iCs/>
      <w:color w:val="595959" w:themeColor="text1" w:themeTint="A6"/>
    </w:rPr>
  </w:style>
  <w:style w:type="character" w:styleId="SubtleReference">
    <w:name w:val="Subtle Reference"/>
    <w:basedOn w:val="DefaultParagraphFont"/>
    <w:uiPriority w:val="31"/>
    <w:qFormat/>
    <w:rsid w:val="005C3C76"/>
    <w:rPr>
      <w:smallCaps/>
      <w:color w:val="404040" w:themeColor="text1" w:themeTint="BF"/>
      <w:u w:val="single" w:color="7F7F7F" w:themeColor="text1" w:themeTint="80"/>
    </w:rPr>
  </w:style>
  <w:style w:type="character" w:styleId="BookTitle">
    <w:name w:val="Book Title"/>
    <w:basedOn w:val="DefaultParagraphFont"/>
    <w:uiPriority w:val="33"/>
    <w:qFormat/>
    <w:rsid w:val="005C3C76"/>
    <w:rPr>
      <w:b/>
      <w:bCs/>
      <w:smallCaps/>
      <w:spacing w:val="7"/>
    </w:rPr>
  </w:style>
  <w:style w:type="paragraph" w:styleId="TOCHeading">
    <w:name w:val="TOC Heading"/>
    <w:basedOn w:val="Heading1"/>
    <w:next w:val="Normal"/>
    <w:uiPriority w:val="39"/>
    <w:unhideWhenUsed/>
    <w:qFormat/>
    <w:rsid w:val="005C3C76"/>
    <w:pPr>
      <w:outlineLvl w:val="9"/>
    </w:pPr>
  </w:style>
  <w:style w:type="character" w:styleId="Hyperlink">
    <w:name w:val="Hyperlink"/>
    <w:basedOn w:val="DefaultParagraphFont"/>
    <w:uiPriority w:val="99"/>
    <w:unhideWhenUsed/>
    <w:rsid w:val="00CE34C7"/>
    <w:rPr>
      <w:color w:val="467886" w:themeColor="hyperlink"/>
      <w:u w:val="single"/>
    </w:rPr>
  </w:style>
  <w:style w:type="character" w:styleId="UnresolvedMention">
    <w:name w:val="Unresolved Mention"/>
    <w:basedOn w:val="DefaultParagraphFont"/>
    <w:uiPriority w:val="99"/>
    <w:semiHidden/>
    <w:unhideWhenUsed/>
    <w:rsid w:val="00CE34C7"/>
    <w:rPr>
      <w:color w:val="605E5C"/>
      <w:shd w:val="clear" w:color="auto" w:fill="E1DFDD"/>
    </w:rPr>
  </w:style>
  <w:style w:type="paragraph" w:styleId="Bibliography">
    <w:name w:val="Bibliography"/>
    <w:basedOn w:val="Normal"/>
    <w:next w:val="Normal"/>
    <w:uiPriority w:val="37"/>
    <w:unhideWhenUsed/>
    <w:rsid w:val="006A5579"/>
  </w:style>
  <w:style w:type="paragraph" w:styleId="Footer">
    <w:name w:val="footer"/>
    <w:basedOn w:val="Normal"/>
    <w:link w:val="FooterChar"/>
    <w:uiPriority w:val="99"/>
    <w:unhideWhenUsed/>
    <w:rsid w:val="00ED13FF"/>
    <w:pPr>
      <w:tabs>
        <w:tab w:val="center" w:pos="4680"/>
        <w:tab w:val="right" w:pos="9360"/>
      </w:tabs>
      <w:spacing w:after="0" w:line="240" w:lineRule="auto"/>
    </w:pPr>
    <w:rPr>
      <w:rFonts w:cs="Times New Roman"/>
      <w:lang w:val="en-US"/>
    </w:rPr>
  </w:style>
  <w:style w:type="character" w:customStyle="1" w:styleId="FooterChar">
    <w:name w:val="Footer Char"/>
    <w:basedOn w:val="DefaultParagraphFont"/>
    <w:link w:val="Footer"/>
    <w:uiPriority w:val="99"/>
    <w:rsid w:val="00ED13FF"/>
    <w:rPr>
      <w:rFonts w:cs="Times New Roman"/>
      <w:lang w:val="en-US"/>
    </w:rPr>
  </w:style>
  <w:style w:type="paragraph" w:styleId="Header">
    <w:name w:val="header"/>
    <w:basedOn w:val="Normal"/>
    <w:link w:val="HeaderChar"/>
    <w:uiPriority w:val="99"/>
    <w:unhideWhenUsed/>
    <w:rsid w:val="00ED1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81241">
      <w:bodyDiv w:val="1"/>
      <w:marLeft w:val="0"/>
      <w:marRight w:val="0"/>
      <w:marTop w:val="0"/>
      <w:marBottom w:val="0"/>
      <w:divBdr>
        <w:top w:val="none" w:sz="0" w:space="0" w:color="auto"/>
        <w:left w:val="none" w:sz="0" w:space="0" w:color="auto"/>
        <w:bottom w:val="none" w:sz="0" w:space="0" w:color="auto"/>
        <w:right w:val="none" w:sz="0" w:space="0" w:color="auto"/>
      </w:divBdr>
    </w:div>
    <w:div w:id="860239361">
      <w:bodyDiv w:val="1"/>
      <w:marLeft w:val="0"/>
      <w:marRight w:val="0"/>
      <w:marTop w:val="0"/>
      <w:marBottom w:val="0"/>
      <w:divBdr>
        <w:top w:val="none" w:sz="0" w:space="0" w:color="auto"/>
        <w:left w:val="none" w:sz="0" w:space="0" w:color="auto"/>
        <w:bottom w:val="none" w:sz="0" w:space="0" w:color="auto"/>
        <w:right w:val="none" w:sz="0" w:space="0" w:color="auto"/>
      </w:divBdr>
    </w:div>
    <w:div w:id="957299887">
      <w:bodyDiv w:val="1"/>
      <w:marLeft w:val="0"/>
      <w:marRight w:val="0"/>
      <w:marTop w:val="0"/>
      <w:marBottom w:val="0"/>
      <w:divBdr>
        <w:top w:val="none" w:sz="0" w:space="0" w:color="auto"/>
        <w:left w:val="none" w:sz="0" w:space="0" w:color="auto"/>
        <w:bottom w:val="none" w:sz="0" w:space="0" w:color="auto"/>
        <w:right w:val="none" w:sz="0" w:space="0" w:color="auto"/>
      </w:divBdr>
    </w:div>
    <w:div w:id="1008680071">
      <w:bodyDiv w:val="1"/>
      <w:marLeft w:val="0"/>
      <w:marRight w:val="0"/>
      <w:marTop w:val="0"/>
      <w:marBottom w:val="0"/>
      <w:divBdr>
        <w:top w:val="none" w:sz="0" w:space="0" w:color="auto"/>
        <w:left w:val="none" w:sz="0" w:space="0" w:color="auto"/>
        <w:bottom w:val="none" w:sz="0" w:space="0" w:color="auto"/>
        <w:right w:val="none" w:sz="0" w:space="0" w:color="auto"/>
      </w:divBdr>
    </w:div>
    <w:div w:id="1251350550">
      <w:bodyDiv w:val="1"/>
      <w:marLeft w:val="0"/>
      <w:marRight w:val="0"/>
      <w:marTop w:val="0"/>
      <w:marBottom w:val="0"/>
      <w:divBdr>
        <w:top w:val="none" w:sz="0" w:space="0" w:color="auto"/>
        <w:left w:val="none" w:sz="0" w:space="0" w:color="auto"/>
        <w:bottom w:val="none" w:sz="0" w:space="0" w:color="auto"/>
        <w:right w:val="none" w:sz="0" w:space="0" w:color="auto"/>
      </w:divBdr>
    </w:div>
    <w:div w:id="1260674327">
      <w:bodyDiv w:val="1"/>
      <w:marLeft w:val="0"/>
      <w:marRight w:val="0"/>
      <w:marTop w:val="0"/>
      <w:marBottom w:val="0"/>
      <w:divBdr>
        <w:top w:val="none" w:sz="0" w:space="0" w:color="auto"/>
        <w:left w:val="none" w:sz="0" w:space="0" w:color="auto"/>
        <w:bottom w:val="none" w:sz="0" w:space="0" w:color="auto"/>
        <w:right w:val="none" w:sz="0" w:space="0" w:color="auto"/>
      </w:divBdr>
    </w:div>
    <w:div w:id="1492451609">
      <w:bodyDiv w:val="1"/>
      <w:marLeft w:val="0"/>
      <w:marRight w:val="0"/>
      <w:marTop w:val="0"/>
      <w:marBottom w:val="0"/>
      <w:divBdr>
        <w:top w:val="none" w:sz="0" w:space="0" w:color="auto"/>
        <w:left w:val="none" w:sz="0" w:space="0" w:color="auto"/>
        <w:bottom w:val="none" w:sz="0" w:space="0" w:color="auto"/>
        <w:right w:val="none" w:sz="0" w:space="0" w:color="auto"/>
      </w:divBdr>
    </w:div>
    <w:div w:id="1894341385">
      <w:bodyDiv w:val="1"/>
      <w:marLeft w:val="0"/>
      <w:marRight w:val="0"/>
      <w:marTop w:val="0"/>
      <w:marBottom w:val="0"/>
      <w:divBdr>
        <w:top w:val="none" w:sz="0" w:space="0" w:color="auto"/>
        <w:left w:val="none" w:sz="0" w:space="0" w:color="auto"/>
        <w:bottom w:val="none" w:sz="0" w:space="0" w:color="auto"/>
        <w:right w:val="none" w:sz="0" w:space="0" w:color="auto"/>
      </w:divBdr>
    </w:div>
    <w:div w:id="1972204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Pro18</b:Tag>
    <b:SourceType>InternetSite</b:SourceType>
    <b:Guid>{188F4E40-A021-4A46-8556-FFA624B06027}</b:Guid>
    <b:Title>Type 1 Diabetes</b:Title>
    <b:Year>2018</b:Year>
    <b:YearAccessed>2026</b:YearAccessed>
    <b:MonthAccessed>July</b:MonthAccessed>
    <b:DayAccessed>Thursday</b:DayAccessed>
    <b:URL>https://www.thelancet.com/journals/lancet/article/PIIS0140-6736(18)31320-5/abstract</b:URL>
    <b:Author>
      <b:Author>
        <b:NameList>
          <b:Person>
            <b:Last>DiMeglio</b:Last>
            <b:First>Prof</b:First>
            <b:Middle>Linda A</b:Middle>
          </b:Person>
        </b:NameList>
      </b:Author>
    </b:Author>
    <b:RefOrder>1</b:RefOrder>
  </b:Source>
  <b:Source>
    <b:Tag>htt</b:Tag>
    <b:SourceType>InternetSite</b:SourceType>
    <b:Guid>{66B57E12-5AEC-46E8-ADB1-C4D65EA87544}</b:Guid>
    <b:URL>https://www.nejm.org/doi/full/10.1056/NEJMoa1610187</b:URL>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901998615f0cd9cefe260473b8f34021">
  <xsd:schema xmlns:xsd="http://www.w3.org/2001/XMLSchema" xmlns:xs="http://www.w3.org/2001/XMLSchema" xmlns:p="http://schemas.microsoft.com/office/2006/metadata/properties" xmlns:ns3="901b7179-a49d-4669-ab88-101a0e80079b" targetNamespace="http://schemas.microsoft.com/office/2006/metadata/properties" ma:root="true" ma:fieldsID="57175dc9c8bf3726798d04b4d7f0df1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764C0E-5AB1-4A44-BEF5-A4A73B7E09B9}">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E38A740A-9EA6-4F3C-BDD9-EDFDD86409CA}">
  <ds:schemaRefs>
    <ds:schemaRef ds:uri="http://schemas.openxmlformats.org/officeDocument/2006/bibliography"/>
  </ds:schemaRefs>
</ds:datastoreItem>
</file>

<file path=customXml/itemProps3.xml><?xml version="1.0" encoding="utf-8"?>
<ds:datastoreItem xmlns:ds="http://schemas.openxmlformats.org/officeDocument/2006/customXml" ds:itemID="{141CBC28-999B-43AF-B6E9-D2DC244393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EA0176-96D3-4C7D-BEA9-66A0A5803B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1850</Words>
  <Characters>10550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Introduction to public health: Module code lchs4008. Topic: type 1 diabetes: lecturers: name dr Aishat Bakre.</vt:lpstr>
    </vt:vector>
  </TitlesOfParts>
  <Company/>
  <LinksUpToDate>false</LinksUpToDate>
  <CharactersWithSpaces>12376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 Module code lchs4008. Topic: type 1 diabetes: lecturers: name dr Aishat Bakre.</dc:title>
  <dc:subject/>
  <dc:creator>Iram Shaheen (2520951)</dc:creator>
  <cp:keywords/>
  <dc:description/>
  <cp:lastModifiedBy>Iram Shaheen (2520951)</cp:lastModifiedBy>
  <cp:revision>2</cp:revision>
  <dcterms:created xsi:type="dcterms:W3CDTF">2026-07-21T00:33:00Z</dcterms:created>
  <dcterms:modified xsi:type="dcterms:W3CDTF">2026-07-21T00:33:00Z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