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0B64E" w14:textId="77777777" w:rsidR="00401783" w:rsidRPr="00CC7B88" w:rsidRDefault="00401783" w:rsidP="00401783">
      <w:pPr>
        <w:jc w:val="center"/>
        <w:rPr>
          <w:rFonts w:ascii="Arial" w:eastAsia="Calibri" w:hAnsi="Arial" w:cs="Arial"/>
          <w:b/>
          <w:bCs/>
          <w:sz w:val="48"/>
          <w:szCs w:val="48"/>
        </w:rPr>
      </w:pPr>
      <w:bookmarkStart w:id="0" w:name="_Hlk101532644"/>
      <w:bookmarkEnd w:id="0"/>
      <w:r w:rsidRPr="00CC7B88">
        <w:rPr>
          <w:rFonts w:ascii="Arial" w:eastAsia="Calibri" w:hAnsi="Arial" w:cs="Arial"/>
          <w:b/>
          <w:bCs/>
          <w:sz w:val="48"/>
          <w:szCs w:val="48"/>
        </w:rPr>
        <w:t>University of Wales Trinity Saint David</w:t>
      </w:r>
    </w:p>
    <w:p w14:paraId="2D1ECE77" w14:textId="77777777" w:rsidR="00401783" w:rsidRPr="00CC7B88" w:rsidRDefault="00401783" w:rsidP="00401783">
      <w:pPr>
        <w:jc w:val="center"/>
        <w:rPr>
          <w:rFonts w:ascii="Arial" w:eastAsia="Calibri" w:hAnsi="Arial" w:cs="Arial"/>
          <w:sz w:val="48"/>
          <w:szCs w:val="48"/>
        </w:rPr>
      </w:pPr>
      <w:r w:rsidRPr="00CC7B88">
        <w:rPr>
          <w:rFonts w:ascii="Arial" w:eastAsia="Calibri" w:hAnsi="Arial" w:cs="Arial"/>
          <w:sz w:val="48"/>
          <w:szCs w:val="48"/>
        </w:rPr>
        <w:t>London Campus</w:t>
      </w:r>
    </w:p>
    <w:p w14:paraId="11E375F0" w14:textId="77777777" w:rsidR="00401783" w:rsidRPr="00CC7B88" w:rsidRDefault="00401783" w:rsidP="00401783">
      <w:pPr>
        <w:jc w:val="center"/>
        <w:rPr>
          <w:rFonts w:ascii="Arial" w:eastAsia="Calibri" w:hAnsi="Arial" w:cs="Arial"/>
          <w:sz w:val="48"/>
          <w:szCs w:val="48"/>
        </w:rPr>
      </w:pPr>
    </w:p>
    <w:p w14:paraId="5E302F55" w14:textId="77777777" w:rsidR="00401783" w:rsidRPr="00CC7B88" w:rsidRDefault="00401783" w:rsidP="00401783">
      <w:pPr>
        <w:jc w:val="center"/>
        <w:rPr>
          <w:rFonts w:ascii="Arial" w:eastAsia="Calibri" w:hAnsi="Arial" w:cs="Arial"/>
          <w:b/>
          <w:bCs/>
          <w:sz w:val="48"/>
          <w:szCs w:val="48"/>
        </w:rPr>
      </w:pPr>
      <w:r>
        <w:rPr>
          <w:rFonts w:ascii="Arial" w:eastAsia="Calibri" w:hAnsi="Arial" w:cs="Arial"/>
          <w:b/>
          <w:bCs/>
          <w:sz w:val="48"/>
          <w:szCs w:val="48"/>
        </w:rPr>
        <w:t xml:space="preserve">Managing People </w:t>
      </w:r>
    </w:p>
    <w:p w14:paraId="7994C417" w14:textId="77777777" w:rsidR="00401783" w:rsidRPr="00CC7B88" w:rsidRDefault="00401783" w:rsidP="00401783">
      <w:pPr>
        <w:jc w:val="center"/>
        <w:rPr>
          <w:rFonts w:ascii="Arial" w:eastAsia="Calibri" w:hAnsi="Arial" w:cs="Arial"/>
          <w:b/>
          <w:bCs/>
          <w:sz w:val="48"/>
          <w:szCs w:val="48"/>
        </w:rPr>
      </w:pPr>
    </w:p>
    <w:p w14:paraId="5B339BFE" w14:textId="53B4A855" w:rsidR="00401783" w:rsidRPr="00CC7B88" w:rsidRDefault="00401783" w:rsidP="00401783">
      <w:pPr>
        <w:jc w:val="center"/>
        <w:rPr>
          <w:rFonts w:ascii="Arial" w:eastAsia="Calibri" w:hAnsi="Arial" w:cs="Arial"/>
          <w:b/>
          <w:bCs/>
          <w:sz w:val="48"/>
          <w:szCs w:val="48"/>
        </w:rPr>
      </w:pPr>
      <w:r w:rsidRPr="00CC7B88">
        <w:rPr>
          <w:rFonts w:ascii="Arial" w:eastAsia="Calibri" w:hAnsi="Arial" w:cs="Arial"/>
          <w:b/>
          <w:bCs/>
          <w:sz w:val="48"/>
          <w:szCs w:val="48"/>
        </w:rPr>
        <w:t>Assessment</w:t>
      </w:r>
      <w:r>
        <w:rPr>
          <w:rFonts w:ascii="Arial" w:eastAsia="Calibri" w:hAnsi="Arial" w:cs="Arial"/>
          <w:b/>
          <w:bCs/>
          <w:sz w:val="48"/>
          <w:szCs w:val="48"/>
        </w:rPr>
        <w:t xml:space="preserve"> 2</w:t>
      </w:r>
      <w:r w:rsidRPr="00CC7B88">
        <w:rPr>
          <w:rFonts w:ascii="Arial" w:eastAsia="Calibri" w:hAnsi="Arial" w:cs="Arial"/>
          <w:b/>
          <w:bCs/>
          <w:sz w:val="48"/>
          <w:szCs w:val="48"/>
        </w:rPr>
        <w:t>:</w:t>
      </w:r>
      <w:r w:rsidRPr="00CC7B88">
        <w:rPr>
          <w:rFonts w:ascii="Calibri" w:eastAsia="Calibri" w:hAnsi="Calibri" w:cs="Arial"/>
        </w:rPr>
        <w:t xml:space="preserve"> </w:t>
      </w:r>
      <w:r w:rsidRPr="000113BD">
        <w:rPr>
          <w:rFonts w:ascii="Arial" w:eastAsia="Calibri" w:hAnsi="Arial" w:cs="Arial"/>
          <w:sz w:val="48"/>
          <w:szCs w:val="48"/>
        </w:rPr>
        <w:t>Report</w:t>
      </w:r>
    </w:p>
    <w:p w14:paraId="65F44001" w14:textId="77777777" w:rsidR="00401783" w:rsidRPr="00CC7B88" w:rsidRDefault="00401783" w:rsidP="00401783">
      <w:pPr>
        <w:jc w:val="center"/>
        <w:rPr>
          <w:rFonts w:ascii="Arial" w:eastAsia="Calibri" w:hAnsi="Arial" w:cs="Arial"/>
          <w:b/>
          <w:bCs/>
          <w:sz w:val="48"/>
          <w:szCs w:val="48"/>
        </w:rPr>
      </w:pPr>
    </w:p>
    <w:p w14:paraId="6648534F" w14:textId="77777777" w:rsidR="00401783" w:rsidRPr="00CC7B88" w:rsidRDefault="00401783" w:rsidP="00401783">
      <w:pPr>
        <w:rPr>
          <w:rFonts w:ascii="Arial" w:eastAsia="Calibri" w:hAnsi="Arial" w:cs="Arial"/>
          <w:b/>
          <w:bCs/>
          <w:sz w:val="48"/>
          <w:szCs w:val="48"/>
        </w:rPr>
      </w:pPr>
    </w:p>
    <w:p w14:paraId="7FB0DB95" w14:textId="77777777" w:rsidR="00401783" w:rsidRPr="00CC7B88" w:rsidRDefault="00401783" w:rsidP="00401783">
      <w:pPr>
        <w:jc w:val="center"/>
        <w:rPr>
          <w:rFonts w:ascii="Arial" w:eastAsia="Calibri" w:hAnsi="Arial" w:cs="Arial"/>
          <w:b/>
          <w:bCs/>
          <w:sz w:val="48"/>
          <w:szCs w:val="48"/>
        </w:rPr>
      </w:pPr>
    </w:p>
    <w:p w14:paraId="3EE4D3D2" w14:textId="77777777" w:rsidR="00401783" w:rsidRPr="00CC7B88" w:rsidRDefault="00401783" w:rsidP="00401783">
      <w:pPr>
        <w:jc w:val="center"/>
        <w:rPr>
          <w:rFonts w:ascii="Arial" w:eastAsia="Calibri" w:hAnsi="Arial" w:cs="Arial"/>
          <w:b/>
          <w:bCs/>
          <w:sz w:val="48"/>
          <w:szCs w:val="48"/>
        </w:rPr>
      </w:pPr>
      <w:r w:rsidRPr="00CC7B88">
        <w:rPr>
          <w:rFonts w:ascii="Arial" w:eastAsia="Calibri" w:hAnsi="Arial" w:cs="Arial"/>
          <w:b/>
          <w:bCs/>
          <w:sz w:val="48"/>
          <w:szCs w:val="48"/>
        </w:rPr>
        <w:t xml:space="preserve">Lector: </w:t>
      </w:r>
      <w:r>
        <w:rPr>
          <w:rFonts w:ascii="Arial" w:eastAsia="Calibri" w:hAnsi="Arial" w:cs="Arial"/>
          <w:b/>
          <w:bCs/>
          <w:sz w:val="48"/>
          <w:szCs w:val="48"/>
        </w:rPr>
        <w:t xml:space="preserve">Nishi </w:t>
      </w:r>
      <w:proofErr w:type="spellStart"/>
      <w:r>
        <w:rPr>
          <w:rFonts w:ascii="Arial" w:eastAsia="Calibri" w:hAnsi="Arial" w:cs="Arial"/>
          <w:b/>
          <w:bCs/>
          <w:sz w:val="48"/>
          <w:szCs w:val="48"/>
        </w:rPr>
        <w:t>Ramsurrun</w:t>
      </w:r>
      <w:proofErr w:type="spellEnd"/>
    </w:p>
    <w:p w14:paraId="6B9F0052" w14:textId="77777777" w:rsidR="00401783" w:rsidRPr="00CC7B88" w:rsidRDefault="00401783" w:rsidP="00401783">
      <w:pPr>
        <w:jc w:val="center"/>
        <w:rPr>
          <w:rFonts w:ascii="Arial" w:eastAsia="Calibri" w:hAnsi="Arial" w:cs="Arial"/>
          <w:b/>
          <w:bCs/>
          <w:sz w:val="48"/>
          <w:szCs w:val="48"/>
        </w:rPr>
      </w:pPr>
    </w:p>
    <w:p w14:paraId="4DDC2C3F" w14:textId="77777777" w:rsidR="00401783" w:rsidRPr="00CC7B88" w:rsidRDefault="00401783" w:rsidP="00401783">
      <w:pPr>
        <w:jc w:val="center"/>
        <w:rPr>
          <w:rFonts w:ascii="Arial" w:eastAsia="Calibri" w:hAnsi="Arial" w:cs="Arial"/>
          <w:b/>
          <w:bCs/>
          <w:sz w:val="48"/>
          <w:szCs w:val="48"/>
        </w:rPr>
      </w:pPr>
      <w:r w:rsidRPr="00CC7B88">
        <w:rPr>
          <w:rFonts w:ascii="Arial" w:eastAsia="Calibri" w:hAnsi="Arial" w:cs="Arial"/>
          <w:b/>
          <w:bCs/>
          <w:sz w:val="48"/>
          <w:szCs w:val="48"/>
        </w:rPr>
        <w:t>Galina Gancheva 2022711</w:t>
      </w:r>
    </w:p>
    <w:p w14:paraId="129A3A71" w14:textId="77777777" w:rsidR="00401783" w:rsidRPr="00CC7B88" w:rsidRDefault="00401783" w:rsidP="00401783">
      <w:pPr>
        <w:jc w:val="center"/>
        <w:rPr>
          <w:rFonts w:ascii="Arial" w:eastAsia="Calibri" w:hAnsi="Arial" w:cs="Arial"/>
          <w:b/>
          <w:bCs/>
          <w:sz w:val="48"/>
          <w:szCs w:val="48"/>
        </w:rPr>
      </w:pPr>
    </w:p>
    <w:p w14:paraId="41C0B474" w14:textId="77777777" w:rsidR="00401783" w:rsidRPr="00CC7B88" w:rsidRDefault="00401783" w:rsidP="00401783">
      <w:pPr>
        <w:jc w:val="center"/>
        <w:rPr>
          <w:rFonts w:ascii="Arial" w:eastAsia="Calibri" w:hAnsi="Arial" w:cs="Arial"/>
          <w:b/>
          <w:bCs/>
          <w:sz w:val="48"/>
          <w:szCs w:val="48"/>
        </w:rPr>
      </w:pPr>
    </w:p>
    <w:p w14:paraId="18D790D9" w14:textId="77777777" w:rsidR="00401783" w:rsidRPr="00CC7B88" w:rsidRDefault="00401783" w:rsidP="00401783">
      <w:pPr>
        <w:jc w:val="center"/>
        <w:rPr>
          <w:rFonts w:ascii="Arial" w:eastAsia="Calibri" w:hAnsi="Arial" w:cs="Arial"/>
          <w:b/>
          <w:bCs/>
          <w:sz w:val="48"/>
          <w:szCs w:val="48"/>
        </w:rPr>
      </w:pPr>
    </w:p>
    <w:p w14:paraId="20DC8BFB" w14:textId="44C9DC63" w:rsidR="00401783" w:rsidRDefault="00401783" w:rsidP="00401783">
      <w:pPr>
        <w:jc w:val="both"/>
        <w:rPr>
          <w:rFonts w:ascii="Arial" w:eastAsia="Calibri" w:hAnsi="Arial" w:cs="Arial"/>
          <w:sz w:val="24"/>
          <w:szCs w:val="24"/>
        </w:rPr>
      </w:pPr>
      <w:r w:rsidRPr="00CC7B88">
        <w:rPr>
          <w:rFonts w:ascii="Arial" w:eastAsia="Calibri" w:hAnsi="Arial" w:cs="Arial"/>
          <w:sz w:val="24"/>
          <w:szCs w:val="24"/>
        </w:rPr>
        <w:t xml:space="preserve">Date: </w:t>
      </w:r>
      <w:r>
        <w:rPr>
          <w:rFonts w:ascii="Arial" w:eastAsia="Calibri" w:hAnsi="Arial" w:cs="Arial"/>
          <w:sz w:val="24"/>
          <w:szCs w:val="24"/>
        </w:rPr>
        <w:t>09/05/2022</w:t>
      </w:r>
      <w:r w:rsidRPr="00CC7B88">
        <w:rPr>
          <w:rFonts w:ascii="Arial" w:eastAsia="Calibri" w:hAnsi="Arial" w:cs="Arial"/>
          <w:sz w:val="24"/>
          <w:szCs w:val="24"/>
        </w:rPr>
        <w:t xml:space="preserve">                                                                                  word count:</w:t>
      </w:r>
      <w:r>
        <w:rPr>
          <w:rFonts w:ascii="Arial" w:eastAsia="Calibri" w:hAnsi="Arial" w:cs="Arial"/>
          <w:sz w:val="24"/>
          <w:szCs w:val="24"/>
        </w:rPr>
        <w:t>20</w:t>
      </w:r>
      <w:r w:rsidR="00966419">
        <w:rPr>
          <w:rFonts w:ascii="Arial" w:eastAsia="Calibri" w:hAnsi="Arial" w:cs="Arial"/>
          <w:sz w:val="24"/>
          <w:szCs w:val="24"/>
        </w:rPr>
        <w:t>2</w:t>
      </w:r>
      <w:r>
        <w:rPr>
          <w:rFonts w:ascii="Arial" w:eastAsia="Calibri" w:hAnsi="Arial" w:cs="Arial"/>
          <w:sz w:val="24"/>
          <w:szCs w:val="24"/>
        </w:rPr>
        <w:t>0</w:t>
      </w:r>
    </w:p>
    <w:p w14:paraId="581A4EDF" w14:textId="0450A738" w:rsidR="00401783" w:rsidRDefault="00401783" w:rsidP="00401783">
      <w:pPr>
        <w:jc w:val="both"/>
        <w:rPr>
          <w:rFonts w:ascii="Arial" w:eastAsia="Calibri" w:hAnsi="Arial" w:cs="Arial"/>
          <w:sz w:val="24"/>
          <w:szCs w:val="24"/>
        </w:rPr>
      </w:pPr>
    </w:p>
    <w:p w14:paraId="252BB988" w14:textId="77777777" w:rsidR="00401783" w:rsidRDefault="00401783" w:rsidP="00401783">
      <w:pPr>
        <w:jc w:val="both"/>
        <w:rPr>
          <w:rFonts w:ascii="Arial" w:eastAsia="Calibri" w:hAnsi="Arial" w:cs="Arial"/>
          <w:sz w:val="24"/>
          <w:szCs w:val="24"/>
        </w:rPr>
      </w:pPr>
    </w:p>
    <w:p w14:paraId="24C7D76E" w14:textId="08C80E5D" w:rsidR="00755320" w:rsidRDefault="00755320"/>
    <w:p w14:paraId="7DDBC8D8" w14:textId="73B4F61C" w:rsidR="00401783" w:rsidRDefault="00401783"/>
    <w:p w14:paraId="005282E4" w14:textId="78741BE6" w:rsidR="00401783" w:rsidRDefault="00401783"/>
    <w:p w14:paraId="74532140" w14:textId="77777777" w:rsidR="00401783" w:rsidRDefault="00401783" w:rsidP="00401783">
      <w:pPr>
        <w:jc w:val="center"/>
        <w:rPr>
          <w:rFonts w:ascii="Arial" w:eastAsia="Calibri" w:hAnsi="Arial" w:cs="Arial"/>
          <w:b/>
          <w:bCs/>
          <w:sz w:val="48"/>
          <w:szCs w:val="48"/>
        </w:rPr>
      </w:pPr>
      <w:r w:rsidRPr="000A2D76">
        <w:rPr>
          <w:rFonts w:ascii="Arial" w:eastAsia="Calibri" w:hAnsi="Arial" w:cs="Arial"/>
          <w:b/>
          <w:bCs/>
          <w:sz w:val="48"/>
          <w:szCs w:val="48"/>
        </w:rPr>
        <w:t>Contents:</w:t>
      </w:r>
    </w:p>
    <w:p w14:paraId="342F9607" w14:textId="77777777" w:rsidR="00401783" w:rsidRDefault="00401783" w:rsidP="00401783">
      <w:pPr>
        <w:jc w:val="center"/>
        <w:rPr>
          <w:rFonts w:ascii="Arial" w:eastAsia="Calibri" w:hAnsi="Arial" w:cs="Arial"/>
          <w:b/>
          <w:bCs/>
          <w:sz w:val="48"/>
          <w:szCs w:val="48"/>
        </w:rPr>
      </w:pPr>
    </w:p>
    <w:p w14:paraId="209B5519" w14:textId="77777777" w:rsidR="00401783" w:rsidRDefault="00401783" w:rsidP="00401783">
      <w:pPr>
        <w:spacing w:line="480" w:lineRule="auto"/>
        <w:rPr>
          <w:rFonts w:ascii="Arial" w:hAnsi="Arial" w:cs="Arial"/>
          <w:sz w:val="28"/>
          <w:szCs w:val="28"/>
        </w:rPr>
      </w:pPr>
      <w:r w:rsidRPr="002D621F">
        <w:rPr>
          <w:rFonts w:ascii="Arial" w:hAnsi="Arial" w:cs="Arial"/>
          <w:sz w:val="28"/>
          <w:szCs w:val="28"/>
        </w:rPr>
        <w:t>Introduction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3</w:t>
      </w:r>
    </w:p>
    <w:p w14:paraId="021C6FA9" w14:textId="0E5B2861" w:rsidR="00401783" w:rsidRPr="002D621F" w:rsidRDefault="00EE31DC" w:rsidP="00401783">
      <w:pPr>
        <w:spacing w:line="480" w:lineRule="auto"/>
        <w:rPr>
          <w:rFonts w:ascii="Arial" w:hAnsi="Arial" w:cs="Arial"/>
          <w:sz w:val="28"/>
          <w:szCs w:val="28"/>
        </w:rPr>
      </w:pPr>
      <w:r>
        <w:rPr>
          <w:rFonts w:ascii="Arial" w:hAnsi="Arial" w:cs="Arial"/>
          <w:sz w:val="28"/>
          <w:szCs w:val="28"/>
        </w:rPr>
        <w:t>D</w:t>
      </w:r>
      <w:r w:rsidR="006B2534" w:rsidRPr="006B2534">
        <w:rPr>
          <w:rFonts w:ascii="Arial" w:hAnsi="Arial" w:cs="Arial"/>
          <w:sz w:val="28"/>
          <w:szCs w:val="28"/>
        </w:rPr>
        <w:t xml:space="preserve">rivers of employee engagement </w:t>
      </w:r>
      <w:r>
        <w:rPr>
          <w:rFonts w:ascii="Arial" w:hAnsi="Arial" w:cs="Arial"/>
          <w:sz w:val="28"/>
          <w:szCs w:val="28"/>
        </w:rPr>
        <w:t xml:space="preserve">at </w:t>
      </w:r>
      <w:r w:rsidR="00401783">
        <w:rPr>
          <w:rFonts w:ascii="Arial" w:hAnsi="Arial" w:cs="Arial"/>
          <w:sz w:val="28"/>
          <w:szCs w:val="28"/>
        </w:rPr>
        <w:t>The Royal British Legion Report</w:t>
      </w:r>
      <w:r w:rsidR="00685EA3">
        <w:rPr>
          <w:rFonts w:ascii="Arial" w:hAnsi="Arial" w:cs="Arial"/>
          <w:sz w:val="28"/>
          <w:szCs w:val="28"/>
        </w:rPr>
        <w:t xml:space="preserve">  3</w:t>
      </w:r>
    </w:p>
    <w:p w14:paraId="17F45620" w14:textId="6F4EBE7E" w:rsidR="00401783" w:rsidRPr="002D621F" w:rsidRDefault="0068655D" w:rsidP="00401783">
      <w:pPr>
        <w:spacing w:line="480" w:lineRule="auto"/>
        <w:ind w:firstLine="720"/>
        <w:rPr>
          <w:rFonts w:ascii="Arial" w:hAnsi="Arial" w:cs="Arial"/>
          <w:sz w:val="28"/>
          <w:szCs w:val="28"/>
        </w:rPr>
      </w:pPr>
      <w:r>
        <w:rPr>
          <w:rFonts w:ascii="Arial" w:hAnsi="Arial" w:cs="Arial"/>
          <w:sz w:val="28"/>
          <w:szCs w:val="28"/>
        </w:rPr>
        <w:t>D</w:t>
      </w:r>
      <w:r w:rsidRPr="0068655D">
        <w:rPr>
          <w:rFonts w:ascii="Arial" w:hAnsi="Arial" w:cs="Arial"/>
          <w:sz w:val="28"/>
          <w:szCs w:val="28"/>
        </w:rPr>
        <w:t>iagnostic tools to measure engagement</w:t>
      </w:r>
      <w:r w:rsidR="00401783">
        <w:rPr>
          <w:rFonts w:ascii="Arial" w:hAnsi="Arial" w:cs="Arial"/>
          <w:sz w:val="28"/>
          <w:szCs w:val="28"/>
        </w:rPr>
        <w:tab/>
      </w:r>
      <w:r w:rsidR="00401783">
        <w:rPr>
          <w:rFonts w:ascii="Arial" w:hAnsi="Arial" w:cs="Arial"/>
          <w:sz w:val="28"/>
          <w:szCs w:val="28"/>
        </w:rPr>
        <w:tab/>
      </w:r>
      <w:r w:rsidR="00401783">
        <w:rPr>
          <w:rFonts w:ascii="Arial" w:hAnsi="Arial" w:cs="Arial"/>
          <w:sz w:val="28"/>
          <w:szCs w:val="28"/>
        </w:rPr>
        <w:tab/>
      </w:r>
      <w:r w:rsidR="00401783">
        <w:rPr>
          <w:rFonts w:ascii="Arial" w:hAnsi="Arial" w:cs="Arial"/>
          <w:sz w:val="28"/>
          <w:szCs w:val="28"/>
        </w:rPr>
        <w:tab/>
      </w:r>
      <w:r w:rsidR="00D104C2">
        <w:rPr>
          <w:rFonts w:ascii="Arial" w:hAnsi="Arial" w:cs="Arial"/>
          <w:sz w:val="28"/>
          <w:szCs w:val="28"/>
        </w:rPr>
        <w:t>4</w:t>
      </w:r>
    </w:p>
    <w:p w14:paraId="1398D828" w14:textId="52588AE1" w:rsidR="00401783" w:rsidRDefault="00654B3C" w:rsidP="00401783">
      <w:pPr>
        <w:spacing w:line="480" w:lineRule="auto"/>
        <w:ind w:firstLine="720"/>
        <w:rPr>
          <w:rFonts w:ascii="Arial" w:hAnsi="Arial" w:cs="Arial"/>
          <w:sz w:val="28"/>
          <w:szCs w:val="28"/>
        </w:rPr>
      </w:pPr>
      <w:r>
        <w:rPr>
          <w:rFonts w:ascii="Arial" w:hAnsi="Arial" w:cs="Arial"/>
          <w:sz w:val="28"/>
          <w:szCs w:val="28"/>
        </w:rPr>
        <w:t>E</w:t>
      </w:r>
      <w:r w:rsidRPr="00654B3C">
        <w:rPr>
          <w:rFonts w:ascii="Arial" w:hAnsi="Arial" w:cs="Arial"/>
          <w:sz w:val="28"/>
          <w:szCs w:val="28"/>
        </w:rPr>
        <w:t>mployee value proposition</w:t>
      </w:r>
      <w:r w:rsidR="0096735F">
        <w:rPr>
          <w:rFonts w:ascii="Arial" w:hAnsi="Arial" w:cs="Arial"/>
          <w:sz w:val="28"/>
          <w:szCs w:val="28"/>
        </w:rPr>
        <w:tab/>
      </w:r>
      <w:r w:rsidR="00401783">
        <w:rPr>
          <w:rFonts w:ascii="Arial" w:hAnsi="Arial" w:cs="Arial"/>
          <w:sz w:val="28"/>
          <w:szCs w:val="28"/>
        </w:rPr>
        <w:tab/>
      </w:r>
      <w:r w:rsidR="00401783">
        <w:rPr>
          <w:rFonts w:ascii="Arial" w:hAnsi="Arial" w:cs="Arial"/>
          <w:sz w:val="28"/>
          <w:szCs w:val="28"/>
        </w:rPr>
        <w:tab/>
      </w:r>
      <w:r w:rsidR="00401783">
        <w:rPr>
          <w:rFonts w:ascii="Arial" w:hAnsi="Arial" w:cs="Arial"/>
          <w:sz w:val="28"/>
          <w:szCs w:val="28"/>
        </w:rPr>
        <w:tab/>
      </w:r>
      <w:r w:rsidR="00401783">
        <w:rPr>
          <w:rFonts w:ascii="Arial" w:hAnsi="Arial" w:cs="Arial"/>
          <w:sz w:val="28"/>
          <w:szCs w:val="28"/>
        </w:rPr>
        <w:tab/>
      </w:r>
      <w:r w:rsidR="00401783">
        <w:rPr>
          <w:rFonts w:ascii="Arial" w:hAnsi="Arial" w:cs="Arial"/>
          <w:sz w:val="28"/>
          <w:szCs w:val="28"/>
        </w:rPr>
        <w:tab/>
      </w:r>
      <w:r w:rsidR="00401783">
        <w:rPr>
          <w:rFonts w:ascii="Arial" w:hAnsi="Arial" w:cs="Arial"/>
          <w:sz w:val="28"/>
          <w:szCs w:val="28"/>
        </w:rPr>
        <w:tab/>
        <w:t>6</w:t>
      </w:r>
    </w:p>
    <w:p w14:paraId="1981031E" w14:textId="77777777" w:rsidR="00401783" w:rsidRPr="002D621F" w:rsidRDefault="00401783" w:rsidP="00401783">
      <w:pPr>
        <w:spacing w:line="480" w:lineRule="auto"/>
        <w:rPr>
          <w:rFonts w:ascii="Arial" w:hAnsi="Arial" w:cs="Arial"/>
          <w:sz w:val="28"/>
          <w:szCs w:val="28"/>
        </w:rPr>
      </w:pPr>
      <w:r w:rsidRPr="002D621F">
        <w:rPr>
          <w:rFonts w:ascii="Arial" w:hAnsi="Arial" w:cs="Arial"/>
          <w:sz w:val="28"/>
          <w:szCs w:val="28"/>
        </w:rPr>
        <w:t>Conclusion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8</w:t>
      </w:r>
    </w:p>
    <w:p w14:paraId="056152BE" w14:textId="476C06C0" w:rsidR="00401783" w:rsidRPr="002D621F" w:rsidRDefault="00401783" w:rsidP="00401783">
      <w:pPr>
        <w:spacing w:line="480" w:lineRule="auto"/>
        <w:rPr>
          <w:rFonts w:ascii="Arial" w:hAnsi="Arial" w:cs="Arial"/>
          <w:sz w:val="28"/>
          <w:szCs w:val="28"/>
        </w:rPr>
      </w:pPr>
      <w:r w:rsidRPr="002D621F">
        <w:rPr>
          <w:rFonts w:ascii="Arial" w:hAnsi="Arial" w:cs="Arial"/>
          <w:sz w:val="28"/>
          <w:szCs w:val="28"/>
        </w:rPr>
        <w:t>Reference List</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8B0226">
        <w:rPr>
          <w:rFonts w:ascii="Arial" w:hAnsi="Arial" w:cs="Arial"/>
          <w:sz w:val="28"/>
          <w:szCs w:val="28"/>
        </w:rPr>
        <w:t>9</w:t>
      </w:r>
    </w:p>
    <w:p w14:paraId="01B00963" w14:textId="73773E68" w:rsidR="00401783" w:rsidRPr="002D621F" w:rsidRDefault="00401783" w:rsidP="00401783">
      <w:pPr>
        <w:spacing w:line="480" w:lineRule="auto"/>
        <w:rPr>
          <w:rFonts w:ascii="Arial" w:hAnsi="Arial" w:cs="Arial"/>
          <w:sz w:val="28"/>
          <w:szCs w:val="28"/>
        </w:rPr>
      </w:pPr>
      <w:r w:rsidRPr="002D621F">
        <w:rPr>
          <w:rFonts w:ascii="Arial" w:hAnsi="Arial" w:cs="Arial"/>
          <w:sz w:val="28"/>
          <w:szCs w:val="28"/>
        </w:rPr>
        <w:t>Appendices</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1</w:t>
      </w:r>
      <w:r w:rsidR="008B0226">
        <w:rPr>
          <w:rFonts w:ascii="Arial" w:hAnsi="Arial" w:cs="Arial"/>
          <w:sz w:val="28"/>
          <w:szCs w:val="28"/>
        </w:rPr>
        <w:t>0</w:t>
      </w:r>
    </w:p>
    <w:p w14:paraId="195F33CE" w14:textId="1731922D" w:rsidR="00401783" w:rsidRDefault="00401783"/>
    <w:p w14:paraId="63C1905A" w14:textId="13CBBBE4" w:rsidR="00E41B43" w:rsidRDefault="00E41B43"/>
    <w:p w14:paraId="09F3E296" w14:textId="6C485647" w:rsidR="00E41B43" w:rsidRDefault="00E41B43"/>
    <w:p w14:paraId="2E22CE11" w14:textId="084827CA" w:rsidR="00E41B43" w:rsidRDefault="00E41B43"/>
    <w:p w14:paraId="532B1A0B" w14:textId="3792F189" w:rsidR="00E41B43" w:rsidRDefault="00E41B43"/>
    <w:p w14:paraId="1B48F0EF" w14:textId="584FC455" w:rsidR="00E41B43" w:rsidRDefault="00E41B43"/>
    <w:p w14:paraId="072BE3F9" w14:textId="39D57AEF" w:rsidR="00E41B43" w:rsidRDefault="00E41B43"/>
    <w:p w14:paraId="4DD9F47F" w14:textId="3D858587" w:rsidR="00E41B43" w:rsidRDefault="00E41B43"/>
    <w:p w14:paraId="46605A45" w14:textId="7973D4D1" w:rsidR="00E41B43" w:rsidRDefault="00E41B43"/>
    <w:p w14:paraId="6BB84844" w14:textId="17B939BD" w:rsidR="00E41B43" w:rsidRDefault="00E41B43"/>
    <w:p w14:paraId="37E8C3D4" w14:textId="77AD7062" w:rsidR="00E41B43" w:rsidRDefault="00E41B43"/>
    <w:p w14:paraId="53BD4DAC" w14:textId="4AB9C938" w:rsidR="00E41B43" w:rsidRDefault="00E41B43"/>
    <w:p w14:paraId="5469395E" w14:textId="35950586" w:rsidR="001D663F" w:rsidRDefault="001D663F"/>
    <w:p w14:paraId="714D4F4E" w14:textId="77777777" w:rsidR="00AD51A0" w:rsidRPr="005C3A70" w:rsidRDefault="00AD51A0" w:rsidP="00AD51A0">
      <w:pPr>
        <w:jc w:val="center"/>
        <w:rPr>
          <w:rFonts w:ascii="Arial" w:hAnsi="Arial" w:cs="Arial"/>
          <w:sz w:val="32"/>
          <w:szCs w:val="32"/>
        </w:rPr>
      </w:pPr>
      <w:r w:rsidRPr="005C3A70">
        <w:rPr>
          <w:rFonts w:ascii="Arial" w:hAnsi="Arial" w:cs="Arial"/>
          <w:sz w:val="32"/>
          <w:szCs w:val="32"/>
        </w:rPr>
        <w:lastRenderedPageBreak/>
        <w:t>Introduction</w:t>
      </w:r>
    </w:p>
    <w:p w14:paraId="3DE849C3" w14:textId="77777777" w:rsidR="00AD51A0" w:rsidRPr="005C3A70" w:rsidRDefault="00AD51A0" w:rsidP="007B0824">
      <w:pPr>
        <w:spacing w:line="360" w:lineRule="auto"/>
        <w:jc w:val="both"/>
        <w:rPr>
          <w:rFonts w:ascii="Arial" w:hAnsi="Arial" w:cs="Arial"/>
        </w:rPr>
      </w:pPr>
    </w:p>
    <w:p w14:paraId="1362A35F" w14:textId="77777777" w:rsidR="00AD51A0" w:rsidRPr="00C45E3A" w:rsidRDefault="00AD51A0" w:rsidP="007B0824">
      <w:pPr>
        <w:spacing w:line="360" w:lineRule="auto"/>
        <w:jc w:val="both"/>
        <w:rPr>
          <w:rFonts w:ascii="Arial" w:hAnsi="Arial" w:cs="Arial"/>
        </w:rPr>
      </w:pPr>
      <w:r w:rsidRPr="00C45E3A">
        <w:rPr>
          <w:rFonts w:ascii="Arial" w:hAnsi="Arial" w:cs="Arial"/>
        </w:rPr>
        <w:t>The report will investigate the idea that workplace involvement may lead to greater performance and employee well-being. The chosen firm, RBL, has not sought to assess employee engagement in the past, but given the present epidemic and the new ways of working that have been implemented in the organisation, there is fear that a low level of employee engagement may have an influence on corporate sustainability. It examines the notion of employee engagement and the factors that influence it, as well as diagnostic techniques for measuring engagement. Creates an employee value proposition based on ideas and analyses, including methods for increasing levels of engagement.</w:t>
      </w:r>
    </w:p>
    <w:p w14:paraId="4A222BB5" w14:textId="77777777" w:rsidR="00AD51A0" w:rsidRDefault="00AD51A0" w:rsidP="00AD51A0">
      <w:pPr>
        <w:rPr>
          <w:rFonts w:ascii="Arial" w:hAnsi="Arial" w:cs="Arial"/>
        </w:rPr>
      </w:pPr>
    </w:p>
    <w:p w14:paraId="1BF3A170" w14:textId="77777777" w:rsidR="00AD51A0" w:rsidRPr="000B5165" w:rsidRDefault="00AD51A0" w:rsidP="00AD51A0">
      <w:pPr>
        <w:jc w:val="center"/>
        <w:rPr>
          <w:rFonts w:ascii="Arial" w:hAnsi="Arial" w:cs="Arial"/>
          <w:sz w:val="32"/>
          <w:szCs w:val="32"/>
        </w:rPr>
      </w:pPr>
      <w:r w:rsidRPr="000B5165">
        <w:rPr>
          <w:rFonts w:ascii="Arial" w:hAnsi="Arial" w:cs="Arial"/>
          <w:sz w:val="32"/>
          <w:szCs w:val="32"/>
        </w:rPr>
        <w:t>Drivers of employee engagement at The Royal British Legion Report</w:t>
      </w:r>
    </w:p>
    <w:p w14:paraId="6C8501A1" w14:textId="77777777" w:rsidR="00AD51A0" w:rsidRDefault="00AD51A0" w:rsidP="00AD51A0">
      <w:pPr>
        <w:jc w:val="both"/>
        <w:rPr>
          <w:rFonts w:ascii="Arial" w:hAnsi="Arial" w:cs="Arial"/>
          <w:sz w:val="32"/>
          <w:szCs w:val="32"/>
        </w:rPr>
      </w:pPr>
    </w:p>
    <w:p w14:paraId="459C6351" w14:textId="77777777" w:rsidR="00AD51A0" w:rsidRDefault="00AD51A0" w:rsidP="004F5AD5">
      <w:pPr>
        <w:spacing w:line="360" w:lineRule="auto"/>
        <w:jc w:val="both"/>
        <w:rPr>
          <w:rFonts w:ascii="Arial" w:hAnsi="Arial" w:cs="Arial"/>
        </w:rPr>
      </w:pPr>
      <w:r w:rsidRPr="000E311E">
        <w:rPr>
          <w:rFonts w:ascii="Arial" w:hAnsi="Arial" w:cs="Arial"/>
        </w:rPr>
        <w:t>The Royal British Legion has not sought to assess employee engagement in the past, but she is worried that a low level of employee engagement may have an influence on corporate survival in light of the present epidemic and the new ways of working that have been implemented in the organisation. The idea that workplace engagement may lead to greater performance and employee well-being is on the table. It examines the notion and drivers of employee engagement in the workplace.</w:t>
      </w:r>
      <w:r>
        <w:rPr>
          <w:rFonts w:ascii="Arial" w:hAnsi="Arial" w:cs="Arial"/>
        </w:rPr>
        <w:t xml:space="preserve"> </w:t>
      </w:r>
      <w:r w:rsidRPr="000E311E">
        <w:rPr>
          <w:rFonts w:ascii="Arial" w:hAnsi="Arial" w:cs="Arial"/>
        </w:rPr>
        <w:t>The organisational structure enables us to function in the most effective manner for achieving our strategic goals, managing risks, and guaranteeing compliance. RBL's hybrid working philosophy contains our perspectives, concepts, and principles on what it means to work from home or from RBL sites such as our offices, regional hubs, or the NMA. A Ways of Working Group meets on a regular basis to ensure that we are always updating and evolving with guidance and direction on hybrid working to meet the current and future needs of the business and our workers. (RBL website)</w:t>
      </w:r>
    </w:p>
    <w:p w14:paraId="1B9AEE93" w14:textId="77777777" w:rsidR="00AD51A0" w:rsidRDefault="00AD51A0" w:rsidP="004F5AD5">
      <w:pPr>
        <w:spacing w:after="0" w:line="360" w:lineRule="auto"/>
        <w:jc w:val="both"/>
        <w:rPr>
          <w:rFonts w:ascii="Arial" w:hAnsi="Arial" w:cs="Arial"/>
        </w:rPr>
      </w:pPr>
      <w:r w:rsidRPr="008454A4">
        <w:rPr>
          <w:rFonts w:ascii="Arial" w:hAnsi="Arial" w:cs="Arial"/>
        </w:rPr>
        <w:t>Engaged employees, according to Wylie, Pete (2021, RBL), equal a productive workforce. The Employee Engagement Task Force was established in 2011 and has remained at the forefront of fostering employee engagement and exchanging best practises. According to the research, there is no "one-size-fits-all" approach or one master model for successful employee engagement. It contains many of the critical components that contribute to successful employee engagement.</w:t>
      </w:r>
      <w:r>
        <w:rPr>
          <w:rFonts w:ascii="Arial" w:hAnsi="Arial" w:cs="Arial"/>
        </w:rPr>
        <w:t xml:space="preserve"> </w:t>
      </w:r>
      <w:r w:rsidRPr="008454A4">
        <w:rPr>
          <w:rFonts w:ascii="Arial" w:hAnsi="Arial" w:cs="Arial"/>
        </w:rPr>
        <w:t xml:space="preserve">We strive for visible, empowering leadership that provides a </w:t>
      </w:r>
      <w:r w:rsidRPr="008454A4">
        <w:rPr>
          <w:rFonts w:ascii="Arial" w:hAnsi="Arial" w:cs="Arial"/>
        </w:rPr>
        <w:lastRenderedPageBreak/>
        <w:t>compelling strategic story about the organisation, where it has come from, and where it is headed. Employees are recognised as important to the solution both internally and outside, and there is employee voice throughout the organisation for reinforcing and questioning perspectives. There is organisational integrity — the principles shown on the wall are mirrored in daily actions. Engaging managers who concentrate their employees and offer them breadth, respect their people as individuals, and coach and extend their talents is one that worries us.</w:t>
      </w:r>
    </w:p>
    <w:p w14:paraId="21BF3035" w14:textId="77777777" w:rsidR="00AD51A0" w:rsidRPr="006A0AE2" w:rsidRDefault="00AD51A0" w:rsidP="004F5AD5">
      <w:pPr>
        <w:spacing w:after="0" w:line="360" w:lineRule="auto"/>
        <w:jc w:val="both"/>
        <w:rPr>
          <w:rFonts w:ascii="Arial" w:hAnsi="Arial" w:cs="Arial"/>
        </w:rPr>
      </w:pPr>
      <w:r w:rsidRPr="004B211D">
        <w:rPr>
          <w:rFonts w:ascii="Arial" w:hAnsi="Arial" w:cs="Arial"/>
        </w:rPr>
        <w:t>Face-to-face contact and meetings, according to RBL, strengthen workplace relationships. Being in the same physical location over a lengthy period of time creates unforeseen opportunities for curiosity, creativity, and invention. Team cohesion needs both physical and virtual environments in order to develop and thrive. Relationships across teams help us achieve our cultural goal of growing better together, which requires both face-to-face and virtual engagement.</w:t>
      </w:r>
    </w:p>
    <w:p w14:paraId="3EA91A93" w14:textId="77777777" w:rsidR="00AD51A0" w:rsidRDefault="00AD51A0" w:rsidP="00AD51A0">
      <w:pPr>
        <w:spacing w:after="0" w:line="360" w:lineRule="auto"/>
        <w:jc w:val="both"/>
        <w:rPr>
          <w:rFonts w:ascii="Arial" w:hAnsi="Arial" w:cs="Arial"/>
        </w:rPr>
      </w:pPr>
    </w:p>
    <w:p w14:paraId="14DD262C" w14:textId="6A6E2ABA" w:rsidR="00AD51A0" w:rsidRDefault="009043B6" w:rsidP="00AD51A0">
      <w:pPr>
        <w:spacing w:after="0" w:line="360" w:lineRule="auto"/>
        <w:jc w:val="both"/>
        <w:rPr>
          <w:rFonts w:ascii="Arial" w:hAnsi="Arial" w:cs="Arial"/>
        </w:rPr>
      </w:pPr>
      <w:r w:rsidRPr="009043B6">
        <w:rPr>
          <w:rFonts w:ascii="Arial" w:hAnsi="Arial" w:cs="Arial"/>
        </w:rPr>
        <w:t>At RBL, the goals of reward and pay are to recruit, retain, and encourage employees. Total reward refers to all aspects of work that workers appreciate, including financial and non-financial incentives, in addition to the overall salary and benefits package. It includes all financial arrangements given to workers, such as cash salary and the broader benefits package (e.g., pensions, paid leave), non-monetary awards (Study Leave), and benefits (e.g., training opportunities and family friendly benefits).</w:t>
      </w:r>
    </w:p>
    <w:p w14:paraId="1F6A08FA" w14:textId="77777777" w:rsidR="009043B6" w:rsidRDefault="009043B6" w:rsidP="00AD51A0">
      <w:pPr>
        <w:spacing w:after="0" w:line="360" w:lineRule="auto"/>
        <w:jc w:val="both"/>
        <w:rPr>
          <w:rFonts w:ascii="Arial" w:hAnsi="Arial" w:cs="Arial"/>
        </w:rPr>
      </w:pPr>
    </w:p>
    <w:p w14:paraId="030E2B26" w14:textId="77777777" w:rsidR="00AD51A0" w:rsidRDefault="00AD51A0" w:rsidP="00AD51A0">
      <w:pPr>
        <w:spacing w:after="0" w:line="360" w:lineRule="auto"/>
        <w:jc w:val="both"/>
        <w:rPr>
          <w:rFonts w:ascii="Arial" w:hAnsi="Arial" w:cs="Arial"/>
        </w:rPr>
      </w:pPr>
      <w:r w:rsidRPr="00B02EE9">
        <w:rPr>
          <w:rFonts w:ascii="Arial" w:hAnsi="Arial" w:cs="Arial"/>
        </w:rPr>
        <w:t>The personal development review, or PDR, is an annual practise that occurs between October 1 and September 30 of each year. PDRs provide an opportunity for employees and managers to engage a "two-way" conversation on growth, performance, and career objectives. RBL recognises the importance of providing you with opportunities to broaden your knowledge and skill set. Our in-house and online courses, as well as external learning opportunities, allow you to reinforce your existing knowledge, learn something new for your career progression, and fill any knowledge gaps.</w:t>
      </w:r>
      <w:r>
        <w:rPr>
          <w:rFonts w:ascii="Arial" w:hAnsi="Arial" w:cs="Arial"/>
        </w:rPr>
        <w:t xml:space="preserve"> </w:t>
      </w:r>
      <w:r w:rsidRPr="00286261">
        <w:rPr>
          <w:rFonts w:ascii="Arial" w:hAnsi="Arial" w:cs="Arial"/>
        </w:rPr>
        <w:t>We use a mixed approach to learning, viewing it as something that happens as part of our day-to-day work, developing new skills and cooperating with others on organisational tasks, rather than as a formal course in a classroom or an e-learning package.</w:t>
      </w:r>
    </w:p>
    <w:p w14:paraId="5199F704" w14:textId="77777777" w:rsidR="00AD51A0" w:rsidRDefault="00AD51A0" w:rsidP="00AD51A0">
      <w:pPr>
        <w:spacing w:after="0" w:line="360" w:lineRule="auto"/>
        <w:jc w:val="both"/>
        <w:rPr>
          <w:rFonts w:ascii="Arial" w:hAnsi="Arial" w:cs="Arial"/>
        </w:rPr>
      </w:pPr>
    </w:p>
    <w:p w14:paraId="54362A76" w14:textId="77777777" w:rsidR="009C4985" w:rsidRDefault="009C4985" w:rsidP="009C4985">
      <w:pPr>
        <w:jc w:val="center"/>
        <w:rPr>
          <w:rFonts w:ascii="Arial" w:hAnsi="Arial" w:cs="Arial"/>
          <w:sz w:val="32"/>
          <w:szCs w:val="32"/>
        </w:rPr>
      </w:pPr>
      <w:r w:rsidRPr="00664237">
        <w:rPr>
          <w:rFonts w:ascii="Arial" w:hAnsi="Arial" w:cs="Arial"/>
          <w:sz w:val="32"/>
          <w:szCs w:val="32"/>
        </w:rPr>
        <w:t>Diagnostic tools to measure engagement</w:t>
      </w:r>
    </w:p>
    <w:p w14:paraId="3D07CBFB" w14:textId="77777777" w:rsidR="009C4985" w:rsidRDefault="009C4985" w:rsidP="009C4985">
      <w:pPr>
        <w:spacing w:line="360" w:lineRule="auto"/>
        <w:jc w:val="center"/>
        <w:rPr>
          <w:rFonts w:ascii="Arial" w:hAnsi="Arial" w:cs="Arial"/>
          <w:sz w:val="32"/>
          <w:szCs w:val="32"/>
        </w:rPr>
      </w:pPr>
    </w:p>
    <w:p w14:paraId="6F29313A" w14:textId="77777777" w:rsidR="009C4985" w:rsidRDefault="009C4985" w:rsidP="009C4985">
      <w:pPr>
        <w:spacing w:line="360" w:lineRule="auto"/>
        <w:jc w:val="both"/>
        <w:rPr>
          <w:rFonts w:ascii="Arial" w:hAnsi="Arial" w:cs="Arial"/>
        </w:rPr>
      </w:pPr>
      <w:r w:rsidRPr="002E4ED2">
        <w:rPr>
          <w:rFonts w:ascii="Arial" w:hAnsi="Arial" w:cs="Arial"/>
        </w:rPr>
        <w:t>RBL seeks to manage people in order to maximise your team's effect in reaching our goal, while also bringing our vision and values to life.</w:t>
      </w:r>
    </w:p>
    <w:p w14:paraId="1A525E22" w14:textId="06F956BE" w:rsidR="009C4985" w:rsidRDefault="00CD22FB" w:rsidP="009C4985">
      <w:pPr>
        <w:spacing w:line="360" w:lineRule="auto"/>
        <w:jc w:val="both"/>
        <w:rPr>
          <w:rFonts w:ascii="Arial" w:hAnsi="Arial" w:cs="Arial"/>
        </w:rPr>
      </w:pPr>
      <w:r w:rsidRPr="00CD22FB">
        <w:rPr>
          <w:rFonts w:ascii="Arial" w:hAnsi="Arial" w:cs="Arial"/>
        </w:rPr>
        <w:lastRenderedPageBreak/>
        <w:t>Organizational structures, according to Rees, Gary, and Smith, Paul E. (2021), have changed away from traditional forms and toward more 'virtual' and 'networked' forms, resulting in increasingly complicated configurational designs.</w:t>
      </w:r>
      <w:r>
        <w:rPr>
          <w:rFonts w:ascii="Arial" w:hAnsi="Arial" w:cs="Arial"/>
        </w:rPr>
        <w:t xml:space="preserve"> </w:t>
      </w:r>
      <w:r w:rsidR="009C4985" w:rsidRPr="002E4ED2">
        <w:rPr>
          <w:rFonts w:ascii="Arial" w:hAnsi="Arial" w:cs="Arial"/>
        </w:rPr>
        <w:t>It is critical to comprehend how the company interacts with its surroundings and how the surroundings affect the organisation. While an organisation may be considered as an entity or a unit, it must interact with something else, whether it be consumers, suppliers, shareholders, or other stakeholders, establishing what is known as a "open system."</w:t>
      </w:r>
      <w:r w:rsidR="009C4985">
        <w:rPr>
          <w:rFonts w:ascii="Arial" w:hAnsi="Arial" w:cs="Arial"/>
        </w:rPr>
        <w:t xml:space="preserve"> </w:t>
      </w:r>
      <w:r w:rsidR="009C4985" w:rsidRPr="002E4ED2">
        <w:rPr>
          <w:rFonts w:ascii="Arial" w:hAnsi="Arial" w:cs="Arial"/>
        </w:rPr>
        <w:t xml:space="preserve">Strategy Rolls-Royce describes itself as a global firm that provides integrated power and propulsion systems for aircraft, marine, energy, and off-highway applications. </w:t>
      </w:r>
      <w:r w:rsidR="00AA5978" w:rsidRPr="00AA5978">
        <w:rPr>
          <w:rFonts w:ascii="Arial" w:hAnsi="Arial" w:cs="Arial"/>
        </w:rPr>
        <w:t>The company's aim is to be the global leader in high-performance power systems, with outstanding client connections and long-term solutions provided by our engineering experience, global reach, and deep industry understanding.</w:t>
      </w:r>
    </w:p>
    <w:p w14:paraId="64F1ECBB" w14:textId="77777777" w:rsidR="009C4985" w:rsidRPr="0088509B" w:rsidRDefault="009C4985" w:rsidP="009C4985">
      <w:pPr>
        <w:spacing w:line="360" w:lineRule="auto"/>
        <w:jc w:val="both"/>
        <w:rPr>
          <w:rFonts w:ascii="Arial" w:hAnsi="Arial" w:cs="Arial"/>
        </w:rPr>
      </w:pPr>
      <w:r>
        <w:rPr>
          <w:noProof/>
        </w:rPr>
        <w:drawing>
          <wp:inline distT="0" distB="0" distL="0" distR="0" wp14:anchorId="75DEC0A1" wp14:editId="7D90DB71">
            <wp:extent cx="4714875" cy="3571875"/>
            <wp:effectExtent l="0" t="0" r="9525" b="9525"/>
            <wp:docPr id="102" name="Picture 10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Diagram&#10;&#10;Description automatically generated"/>
                    <pic:cNvPicPr/>
                  </pic:nvPicPr>
                  <pic:blipFill>
                    <a:blip r:embed="rId6"/>
                    <a:stretch>
                      <a:fillRect/>
                    </a:stretch>
                  </pic:blipFill>
                  <pic:spPr>
                    <a:xfrm>
                      <a:off x="0" y="0"/>
                      <a:ext cx="4714875" cy="3571875"/>
                    </a:xfrm>
                    <a:prstGeom prst="rect">
                      <a:avLst/>
                    </a:prstGeom>
                  </pic:spPr>
                </pic:pic>
              </a:graphicData>
            </a:graphic>
          </wp:inline>
        </w:drawing>
      </w:r>
    </w:p>
    <w:p w14:paraId="3013AC7C" w14:textId="77777777" w:rsidR="009C4985" w:rsidRPr="000A4786" w:rsidRDefault="009C4985" w:rsidP="009C4985">
      <w:pPr>
        <w:spacing w:line="360" w:lineRule="auto"/>
        <w:jc w:val="both"/>
        <w:rPr>
          <w:rFonts w:ascii="Arial" w:hAnsi="Arial" w:cs="Arial"/>
        </w:rPr>
      </w:pPr>
      <w:r w:rsidRPr="008546D8">
        <w:rPr>
          <w:rFonts w:ascii="Arial" w:hAnsi="Arial" w:cs="Arial"/>
        </w:rPr>
        <w:t xml:space="preserve">Strategic focus on distinctive, mission-critical power solutions with significant entry barriers in our target markets. Utilize world-class technical, operational, and customer service excellence to increase market share, capture long-term aftermarket value, and generate profitable growth. This is supported by a commitment to growing our people and culture in a secure and ethical setting. </w:t>
      </w:r>
      <w:r w:rsidRPr="000A4786">
        <w:rPr>
          <w:rFonts w:ascii="Arial" w:hAnsi="Arial" w:cs="Arial"/>
        </w:rPr>
        <w:t>(Rees, G., Smith, P.,2021)</w:t>
      </w:r>
    </w:p>
    <w:p w14:paraId="7DCCCFC2" w14:textId="5D0DB6CA" w:rsidR="009C4985" w:rsidRPr="000A4786" w:rsidRDefault="009C4985" w:rsidP="009C4985">
      <w:pPr>
        <w:spacing w:line="360" w:lineRule="auto"/>
        <w:jc w:val="both"/>
        <w:rPr>
          <w:rFonts w:ascii="Arial" w:eastAsia="Calibri" w:hAnsi="Arial" w:cs="Arial"/>
        </w:rPr>
      </w:pPr>
      <w:r w:rsidRPr="00026B08">
        <w:rPr>
          <w:rFonts w:ascii="Arial" w:eastAsia="Calibri" w:hAnsi="Arial" w:cs="Arial"/>
        </w:rPr>
        <w:t xml:space="preserve">In agreement with Armstrong, Michael (2020, p203) Professionalism in human resources, like in other disciplines, can be described broadly as the behaviour of persons who provide advice and services that require competence and who fulfil recognised or widely accepted norms of </w:t>
      </w:r>
      <w:r w:rsidRPr="00026B08">
        <w:rPr>
          <w:rFonts w:ascii="Arial" w:eastAsia="Calibri" w:hAnsi="Arial" w:cs="Arial"/>
        </w:rPr>
        <w:lastRenderedPageBreak/>
        <w:t>behaviour. Professional work is often differentiated by its connection to a framework of core principles that represent the deft application of specialised education, training, and experience. It is accompanied with a sense of accountability and acceptance of accepted norms.</w:t>
      </w:r>
      <w:r>
        <w:rPr>
          <w:rFonts w:ascii="Arial" w:eastAsia="Calibri" w:hAnsi="Arial" w:cs="Arial"/>
        </w:rPr>
        <w:t xml:space="preserve"> </w:t>
      </w:r>
      <w:r w:rsidRPr="0090320E">
        <w:rPr>
          <w:rFonts w:ascii="Arial" w:eastAsia="Calibri" w:hAnsi="Arial" w:cs="Arial"/>
        </w:rPr>
        <w:t xml:space="preserve">HR practitioners who are members of the Chartered Institute of Personnel and Development (the CIPD) must adhere to the criteria set by that organisation. People are said to be acting 'professionally' when they execute their jobs properly and with integrity. The CIPD recommends the following professional approach. </w:t>
      </w:r>
    </w:p>
    <w:p w14:paraId="354B46F4" w14:textId="10B4096A" w:rsidR="009C4985" w:rsidRPr="000A4786" w:rsidRDefault="009C4985" w:rsidP="009C4985">
      <w:pPr>
        <w:spacing w:after="0" w:line="360" w:lineRule="auto"/>
        <w:jc w:val="both"/>
        <w:rPr>
          <w:rFonts w:ascii="Arial" w:hAnsi="Arial" w:cs="Arial"/>
        </w:rPr>
      </w:pPr>
      <w:r w:rsidRPr="006E6C3E">
        <w:rPr>
          <w:rFonts w:ascii="Arial" w:hAnsi="Arial" w:cs="Arial"/>
        </w:rPr>
        <w:t xml:space="preserve">Managers should use interpersonal skills to motivate their teams, handle operational concerns affecting people, treat employees fairly and with regard, communicate information, provide performance evaluation, coach employees, respond to recommendations, and deal with problems involved. </w:t>
      </w:r>
      <w:r w:rsidR="006033AD" w:rsidRPr="006033AD">
        <w:rPr>
          <w:rFonts w:ascii="Arial" w:hAnsi="Arial" w:cs="Arial"/>
        </w:rPr>
        <w:t>Working at maximum capacity High-performance working, according to Combs et al. (2006), is the total of a company's systems, practises, and standards that enable people to perform to their greatest capacity. Employee involvement and flexible working arrangements were given as examples of such systems that have a direct influence on working approaches and so flow through to job design. High-performance work practises, according to Sung and Ashton (2005), are a collection of 35 complementing work behaviours that include three primary areas: Self-directed teams, quality circles, and sharing/access to corporate information are examples of high employee engagement work practises.</w:t>
      </w:r>
      <w:r w:rsidR="006033AD">
        <w:rPr>
          <w:rFonts w:ascii="Arial" w:hAnsi="Arial" w:cs="Arial"/>
        </w:rPr>
        <w:t xml:space="preserve"> </w:t>
      </w:r>
      <w:r w:rsidRPr="006E6C3E">
        <w:rPr>
          <w:rFonts w:ascii="Arial" w:hAnsi="Arial" w:cs="Arial"/>
        </w:rPr>
        <w:t>Human resource strategies include complex recruiting processes, performance evaluations, mentorship, and job redesign. Various cash benefits, family-friendly rules, work rotation, and flexible hours are examples of reward and commitment methods.</w:t>
      </w:r>
      <w:r>
        <w:rPr>
          <w:rFonts w:ascii="Arial" w:hAnsi="Arial" w:cs="Arial"/>
        </w:rPr>
        <w:t xml:space="preserve"> </w:t>
      </w:r>
      <w:r w:rsidRPr="006E6C3E">
        <w:rPr>
          <w:rFonts w:ascii="Arial" w:hAnsi="Arial" w:cs="Arial"/>
        </w:rPr>
        <w:t xml:space="preserve">High-performance work design necessitates management defining what it demands in terms of effective production processes and the outcomes expected from their implementation. It entails implementing a high-performance work system and multiskilling — job demarcation lines are erased as much as feasible, and individuals are encouraged and trained to learn new abilities. Self-managed teams are formed, with complete responsibility for work planning, management, and monitoring. </w:t>
      </w:r>
      <w:r>
        <w:rPr>
          <w:rFonts w:ascii="Arial" w:hAnsi="Arial" w:cs="Arial"/>
        </w:rPr>
        <w:t>(</w:t>
      </w:r>
      <w:r w:rsidRPr="000A4786">
        <w:rPr>
          <w:rFonts w:ascii="Arial" w:eastAsia="Calibri" w:hAnsi="Arial" w:cs="Arial"/>
        </w:rPr>
        <w:t>Armstrong, Michael (2020, p</w:t>
      </w:r>
      <w:r>
        <w:rPr>
          <w:rFonts w:ascii="Arial" w:eastAsia="Calibri" w:hAnsi="Arial" w:cs="Arial"/>
        </w:rPr>
        <w:t>362</w:t>
      </w:r>
      <w:r w:rsidRPr="000A4786">
        <w:rPr>
          <w:rFonts w:ascii="Arial" w:eastAsia="Calibri" w:hAnsi="Arial" w:cs="Arial"/>
        </w:rPr>
        <w:t>)</w:t>
      </w:r>
    </w:p>
    <w:p w14:paraId="240C5045" w14:textId="77777777" w:rsidR="00CB5ECD" w:rsidRDefault="00CB5ECD" w:rsidP="009C4985"/>
    <w:p w14:paraId="1BF4A336" w14:textId="77777777" w:rsidR="00653CF5" w:rsidRDefault="00653CF5" w:rsidP="00653CF5">
      <w:pPr>
        <w:jc w:val="center"/>
        <w:rPr>
          <w:rFonts w:ascii="Arial" w:hAnsi="Arial" w:cs="Arial"/>
          <w:sz w:val="28"/>
          <w:szCs w:val="28"/>
        </w:rPr>
      </w:pPr>
      <w:r>
        <w:rPr>
          <w:rFonts w:ascii="Arial" w:hAnsi="Arial" w:cs="Arial"/>
          <w:sz w:val="28"/>
          <w:szCs w:val="28"/>
        </w:rPr>
        <w:t>Employee value proposition</w:t>
      </w:r>
    </w:p>
    <w:p w14:paraId="13261B6C" w14:textId="77777777" w:rsidR="00653CF5" w:rsidRDefault="00653CF5" w:rsidP="00653CF5">
      <w:pPr>
        <w:jc w:val="center"/>
        <w:rPr>
          <w:rFonts w:ascii="Arial" w:hAnsi="Arial" w:cs="Arial"/>
          <w:sz w:val="32"/>
          <w:szCs w:val="32"/>
        </w:rPr>
      </w:pPr>
    </w:p>
    <w:p w14:paraId="37F6B8AE" w14:textId="77777777" w:rsidR="00653CF5" w:rsidRDefault="00653CF5" w:rsidP="00653CF5">
      <w:pPr>
        <w:spacing w:line="360" w:lineRule="auto"/>
        <w:jc w:val="both"/>
        <w:rPr>
          <w:rFonts w:ascii="Arial" w:hAnsi="Arial" w:cs="Arial"/>
        </w:rPr>
      </w:pPr>
      <w:r>
        <w:rPr>
          <w:rFonts w:ascii="Arial" w:hAnsi="Arial" w:cs="Arial"/>
        </w:rPr>
        <w:t xml:space="preserve">RBL develops an employee value proposition based on the ideas and analyses of staff surveys, which includes measures to increase levels of engagement. To engage personnel and retain professional performance, I want to develop a reward site and a new flexible style </w:t>
      </w:r>
      <w:r>
        <w:rPr>
          <w:rFonts w:ascii="Arial" w:hAnsi="Arial" w:cs="Arial"/>
        </w:rPr>
        <w:lastRenderedPageBreak/>
        <w:t>of working for the organisation. Employees would be encouraged to broaden their skill set through frequent personal development plans, secondment postings, and acting up cover.</w:t>
      </w:r>
    </w:p>
    <w:p w14:paraId="0F17B8C4" w14:textId="277D40F1" w:rsidR="00653CF5" w:rsidRDefault="00653CF5" w:rsidP="00653CF5">
      <w:pPr>
        <w:spacing w:line="360" w:lineRule="auto"/>
        <w:jc w:val="both"/>
        <w:rPr>
          <w:rFonts w:ascii="Arial" w:eastAsia="Calibri" w:hAnsi="Arial" w:cs="Arial"/>
        </w:rPr>
      </w:pPr>
      <w:r>
        <w:rPr>
          <w:rFonts w:ascii="Arial" w:hAnsi="Arial" w:cs="Arial"/>
        </w:rPr>
        <w:t>It is concerned with the elements that impact the establishment of "good jobs," resulting in job satisfaction, emotions of well-being, and increased levels of motivation, engagement, and performance. The phrase "job quality" has recently emerged as a method of expanding on older concepts such as "quality of working life" and "meaningful work." (</w:t>
      </w:r>
      <w:r>
        <w:rPr>
          <w:rFonts w:ascii="Arial" w:eastAsia="Calibri" w:hAnsi="Arial" w:cs="Arial"/>
        </w:rPr>
        <w:t>Armstrong, Michael (2020, p369)</w:t>
      </w:r>
    </w:p>
    <w:p w14:paraId="1C17EA9B" w14:textId="77777777" w:rsidR="00653CF5" w:rsidRDefault="00653CF5" w:rsidP="00653CF5">
      <w:pPr>
        <w:spacing w:line="360" w:lineRule="auto"/>
        <w:jc w:val="both"/>
        <w:rPr>
          <w:rFonts w:ascii="Arial" w:eastAsia="Calibri" w:hAnsi="Arial" w:cs="Arial"/>
        </w:rPr>
      </w:pPr>
      <w:r>
        <w:rPr>
          <w:rFonts w:ascii="Arial" w:eastAsia="Calibri" w:hAnsi="Arial" w:cs="Arial"/>
        </w:rPr>
        <w:t>According to the CIPD (2018: 18), "good-quality employment allow individuals to develop and use their talents and give some degree of challenge appropriate with the needs of the work and the individual's capabilities." Similarly, good-quality occupations provide options for task choice and control in terms of both tasks and work structure. Another important aspect of work quality is the amount to which employees' voices are heard and represented, as well as their ability to participate in pertinent decision making.' According to the CIPD (2018), there are six important characteristics of job quality.</w:t>
      </w:r>
    </w:p>
    <w:p w14:paraId="5C900703" w14:textId="6C60F146" w:rsidR="00653CF5" w:rsidRDefault="00653CF5" w:rsidP="00653CF5">
      <w:pPr>
        <w:spacing w:line="360" w:lineRule="auto"/>
        <w:jc w:val="both"/>
        <w:rPr>
          <w:rFonts w:ascii="Arial" w:hAnsi="Arial" w:cs="Arial"/>
        </w:rPr>
      </w:pPr>
      <w:r>
        <w:rPr>
          <w:noProof/>
        </w:rPr>
        <w:drawing>
          <wp:inline distT="0" distB="0" distL="0" distR="0" wp14:anchorId="52838E3D" wp14:editId="169BA6F6">
            <wp:extent cx="4069080" cy="3489960"/>
            <wp:effectExtent l="0" t="0" r="7620" b="0"/>
            <wp:docPr id="1" name="Picture 1" descr="Diagram,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iagram, timelin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69080" cy="3489960"/>
                    </a:xfrm>
                    <a:prstGeom prst="rect">
                      <a:avLst/>
                    </a:prstGeom>
                    <a:noFill/>
                    <a:ln>
                      <a:noFill/>
                    </a:ln>
                  </pic:spPr>
                </pic:pic>
              </a:graphicData>
            </a:graphic>
          </wp:inline>
        </w:drawing>
      </w:r>
    </w:p>
    <w:p w14:paraId="1C69DB9A" w14:textId="77777777" w:rsidR="00653CF5" w:rsidRDefault="00653CF5" w:rsidP="00653CF5">
      <w:pPr>
        <w:spacing w:line="360" w:lineRule="auto"/>
        <w:jc w:val="both"/>
        <w:rPr>
          <w:rFonts w:ascii="Arial" w:eastAsia="Calibri" w:hAnsi="Arial" w:cs="Arial"/>
        </w:rPr>
      </w:pPr>
      <w:r>
        <w:rPr>
          <w:rFonts w:ascii="Arial" w:hAnsi="Arial" w:cs="Arial"/>
        </w:rPr>
        <w:t>(</w:t>
      </w:r>
      <w:r>
        <w:rPr>
          <w:rFonts w:ascii="Arial" w:eastAsia="Calibri" w:hAnsi="Arial" w:cs="Arial"/>
        </w:rPr>
        <w:t>Armstrong, Michael (2020, p370)</w:t>
      </w:r>
    </w:p>
    <w:p w14:paraId="20C3C934" w14:textId="35893E0B" w:rsidR="005354B4" w:rsidRPr="00754EA1" w:rsidRDefault="00653CF5" w:rsidP="00754EA1">
      <w:pPr>
        <w:spacing w:line="360" w:lineRule="auto"/>
        <w:jc w:val="both"/>
        <w:rPr>
          <w:rFonts w:ascii="Arial" w:eastAsia="Calibri" w:hAnsi="Arial" w:cs="Arial"/>
        </w:rPr>
      </w:pPr>
      <w:r>
        <w:rPr>
          <w:rFonts w:ascii="Arial" w:eastAsia="Calibri" w:hAnsi="Arial" w:cs="Arial"/>
        </w:rPr>
        <w:t xml:space="preserve">Wage amount, kind of payment (for example, fixed salary, performance pay), and non-wage fringe benefits (such as employer-provided pension and health insurance) are all objective components of pay and other rewards (such as satisfaction with pay). Work intrinsic features </w:t>
      </w:r>
      <w:r>
        <w:rPr>
          <w:rFonts w:ascii="Arial" w:eastAsia="Calibri" w:hAnsi="Arial" w:cs="Arial"/>
        </w:rPr>
        <w:lastRenderedPageBreak/>
        <w:t>include objective factors (such as skills, autonomy, control, variety, and work effort) as well as subjective aspects (such as meaningfulness, fulfilment, social support and powerfulness). Employment terms include both objective (such as contractual stability and opportunity for training, growth, and advancement) and subjective characteristics (such as perception of job security). Physical and psychosocial dangers are included in health and safety. Job-life balance includes aspects such as working time duration, scheduling, and flexibility, as well as work intensity. Employee consultation, trade union representation, and employee engagement in decision making are all examples of representation and voice. (Armstrong, Michael (2020, p371)</w:t>
      </w:r>
    </w:p>
    <w:p w14:paraId="69149A27" w14:textId="6D1E096E" w:rsidR="007A62F3" w:rsidRDefault="00664237" w:rsidP="00664237">
      <w:pPr>
        <w:jc w:val="center"/>
        <w:rPr>
          <w:rFonts w:ascii="Arial" w:hAnsi="Arial" w:cs="Arial"/>
          <w:sz w:val="32"/>
          <w:szCs w:val="32"/>
        </w:rPr>
      </w:pPr>
      <w:r w:rsidRPr="00664237">
        <w:rPr>
          <w:rFonts w:ascii="Arial" w:hAnsi="Arial" w:cs="Arial"/>
          <w:sz w:val="32"/>
          <w:szCs w:val="32"/>
        </w:rPr>
        <w:t>Conclusion</w:t>
      </w:r>
    </w:p>
    <w:p w14:paraId="345CAE35" w14:textId="77777777" w:rsidR="005354B4" w:rsidRDefault="005354B4" w:rsidP="00664237">
      <w:pPr>
        <w:jc w:val="center"/>
        <w:rPr>
          <w:rFonts w:ascii="Arial" w:hAnsi="Arial" w:cs="Arial"/>
          <w:sz w:val="32"/>
          <w:szCs w:val="32"/>
        </w:rPr>
      </w:pPr>
    </w:p>
    <w:p w14:paraId="36A540A0" w14:textId="711E6632" w:rsidR="00754EA1" w:rsidRPr="00664237" w:rsidRDefault="00D61690" w:rsidP="00BA621F">
      <w:pPr>
        <w:spacing w:line="360" w:lineRule="auto"/>
        <w:jc w:val="both"/>
        <w:rPr>
          <w:rFonts w:ascii="Arial" w:hAnsi="Arial" w:cs="Arial"/>
          <w:sz w:val="32"/>
          <w:szCs w:val="32"/>
        </w:rPr>
      </w:pPr>
      <w:r>
        <w:rPr>
          <w:rFonts w:ascii="Arial" w:hAnsi="Arial" w:cs="Arial"/>
        </w:rPr>
        <w:t>To concl</w:t>
      </w:r>
      <w:r w:rsidR="00C0124C">
        <w:rPr>
          <w:rFonts w:ascii="Arial" w:hAnsi="Arial" w:cs="Arial"/>
        </w:rPr>
        <w:t xml:space="preserve">ude </w:t>
      </w:r>
      <w:r>
        <w:rPr>
          <w:rFonts w:ascii="Arial" w:hAnsi="Arial" w:cs="Arial"/>
        </w:rPr>
        <w:t>RBL develops an employee value proposition based on the ideas and analyses of staff surveys, which includes measures to increase levels of engagement.</w:t>
      </w:r>
      <w:r w:rsidR="001F122C" w:rsidRPr="001F122C">
        <w:t xml:space="preserve"> </w:t>
      </w:r>
      <w:r w:rsidR="004273A4" w:rsidRPr="002E5F7E">
        <w:rPr>
          <w:rFonts w:ascii="Arial" w:hAnsi="Arial" w:cs="Arial"/>
        </w:rPr>
        <w:t xml:space="preserve">Human resource professionals provide </w:t>
      </w:r>
      <w:proofErr w:type="spellStart"/>
      <w:r w:rsidR="004273A4" w:rsidRPr="002E5F7E">
        <w:rPr>
          <w:rFonts w:ascii="Arial" w:hAnsi="Arial" w:cs="Arial"/>
        </w:rPr>
        <w:t>advise</w:t>
      </w:r>
      <w:proofErr w:type="spellEnd"/>
      <w:r w:rsidR="004273A4" w:rsidRPr="002E5F7E">
        <w:rPr>
          <w:rFonts w:ascii="Arial" w:hAnsi="Arial" w:cs="Arial"/>
        </w:rPr>
        <w:t>, help, and services in all areas of human resource management. The role may be mostly transactional, dealing with basic HR issues like hiring and selection, or it could be predominantly transformational, working strategically to make significant changes in how the organisation operates or how its people are treated.</w:t>
      </w:r>
      <w:r w:rsidR="004273A4" w:rsidRPr="002E5F7E">
        <w:rPr>
          <w:rFonts w:ascii="Arial" w:hAnsi="Arial" w:cs="Arial"/>
        </w:rPr>
        <w:t xml:space="preserve"> </w:t>
      </w:r>
      <w:r w:rsidR="001E6C9A" w:rsidRPr="001E6C9A">
        <w:rPr>
          <w:rFonts w:ascii="Arial" w:hAnsi="Arial" w:cs="Arial"/>
        </w:rPr>
        <w:t>This will maximise their impact and potential in supporting the Legion and its people in achieving our purpose whilst bringing our values to life.</w:t>
      </w:r>
      <w:r w:rsidR="009428A2">
        <w:rPr>
          <w:rFonts w:ascii="Arial" w:hAnsi="Arial" w:cs="Arial"/>
        </w:rPr>
        <w:t xml:space="preserve"> </w:t>
      </w:r>
      <w:r w:rsidR="009428A2" w:rsidRPr="009428A2">
        <w:rPr>
          <w:rFonts w:ascii="Arial" w:hAnsi="Arial" w:cs="Arial"/>
        </w:rPr>
        <w:t>A significant part of our efforts towards being an excellent place to work is our ongoing commitment to the professional progression and personal development of our employees.</w:t>
      </w:r>
      <w:r w:rsidR="00104F0A">
        <w:rPr>
          <w:rFonts w:ascii="Arial" w:hAnsi="Arial" w:cs="Arial"/>
        </w:rPr>
        <w:t xml:space="preserve"> </w:t>
      </w:r>
    </w:p>
    <w:p w14:paraId="55FFDCEE" w14:textId="5D2F5922" w:rsidR="007A62F3" w:rsidRDefault="007A62F3" w:rsidP="00BA621F">
      <w:pPr>
        <w:spacing w:line="360" w:lineRule="auto"/>
        <w:jc w:val="both"/>
        <w:rPr>
          <w:rFonts w:ascii="Arial" w:hAnsi="Arial" w:cs="Arial"/>
          <w:sz w:val="32"/>
          <w:szCs w:val="32"/>
        </w:rPr>
      </w:pPr>
    </w:p>
    <w:p w14:paraId="7C7B47C9" w14:textId="2039611D" w:rsidR="00664237" w:rsidRDefault="00664237" w:rsidP="00664237">
      <w:pPr>
        <w:jc w:val="center"/>
        <w:rPr>
          <w:rFonts w:ascii="Arial" w:hAnsi="Arial" w:cs="Arial"/>
          <w:sz w:val="32"/>
          <w:szCs w:val="32"/>
        </w:rPr>
      </w:pPr>
    </w:p>
    <w:p w14:paraId="544F5706" w14:textId="02CA5195" w:rsidR="00654F86" w:rsidRDefault="00654F86" w:rsidP="00664237">
      <w:pPr>
        <w:jc w:val="center"/>
        <w:rPr>
          <w:rFonts w:ascii="Arial" w:hAnsi="Arial" w:cs="Arial"/>
          <w:sz w:val="32"/>
          <w:szCs w:val="32"/>
        </w:rPr>
      </w:pPr>
    </w:p>
    <w:p w14:paraId="26A870C9" w14:textId="26FB9695" w:rsidR="00654F86" w:rsidRDefault="00654F86" w:rsidP="00664237">
      <w:pPr>
        <w:jc w:val="center"/>
        <w:rPr>
          <w:rFonts w:ascii="Arial" w:hAnsi="Arial" w:cs="Arial"/>
          <w:sz w:val="32"/>
          <w:szCs w:val="32"/>
        </w:rPr>
      </w:pPr>
    </w:p>
    <w:p w14:paraId="1CCC8828" w14:textId="6D901895" w:rsidR="00654F86" w:rsidRDefault="00654F86" w:rsidP="00664237">
      <w:pPr>
        <w:jc w:val="center"/>
        <w:rPr>
          <w:rFonts w:ascii="Arial" w:hAnsi="Arial" w:cs="Arial"/>
          <w:sz w:val="32"/>
          <w:szCs w:val="32"/>
        </w:rPr>
      </w:pPr>
    </w:p>
    <w:p w14:paraId="4C0BF2DB" w14:textId="0170969A" w:rsidR="00654F86" w:rsidRDefault="00654F86" w:rsidP="00664237">
      <w:pPr>
        <w:jc w:val="center"/>
        <w:rPr>
          <w:rFonts w:ascii="Arial" w:hAnsi="Arial" w:cs="Arial"/>
          <w:sz w:val="32"/>
          <w:szCs w:val="32"/>
        </w:rPr>
      </w:pPr>
    </w:p>
    <w:p w14:paraId="574E39A8" w14:textId="6F06C636" w:rsidR="00654F86" w:rsidRDefault="00654F86" w:rsidP="00664237">
      <w:pPr>
        <w:jc w:val="center"/>
        <w:rPr>
          <w:rFonts w:ascii="Arial" w:hAnsi="Arial" w:cs="Arial"/>
          <w:sz w:val="32"/>
          <w:szCs w:val="32"/>
        </w:rPr>
      </w:pPr>
    </w:p>
    <w:p w14:paraId="1AF0EEA0" w14:textId="77777777" w:rsidR="00664237" w:rsidRPr="00664237" w:rsidRDefault="00664237" w:rsidP="007B0824">
      <w:pPr>
        <w:rPr>
          <w:rFonts w:ascii="Arial" w:hAnsi="Arial" w:cs="Arial"/>
          <w:sz w:val="32"/>
          <w:szCs w:val="32"/>
        </w:rPr>
      </w:pPr>
    </w:p>
    <w:p w14:paraId="3F86014C" w14:textId="41575BC8" w:rsidR="007A62F3" w:rsidRPr="00664237" w:rsidRDefault="00664237" w:rsidP="00664237">
      <w:pPr>
        <w:jc w:val="center"/>
        <w:rPr>
          <w:rFonts w:ascii="Arial" w:hAnsi="Arial" w:cs="Arial"/>
          <w:sz w:val="32"/>
          <w:szCs w:val="32"/>
        </w:rPr>
      </w:pPr>
      <w:r w:rsidRPr="00664237">
        <w:rPr>
          <w:rFonts w:ascii="Arial" w:hAnsi="Arial" w:cs="Arial"/>
          <w:sz w:val="32"/>
          <w:szCs w:val="32"/>
        </w:rPr>
        <w:lastRenderedPageBreak/>
        <w:t>Reference List</w:t>
      </w:r>
    </w:p>
    <w:p w14:paraId="1C32A554" w14:textId="1C15F6A6" w:rsidR="007A62F3" w:rsidRDefault="007A62F3" w:rsidP="00664237">
      <w:pPr>
        <w:jc w:val="center"/>
        <w:rPr>
          <w:rFonts w:ascii="Arial" w:hAnsi="Arial" w:cs="Arial"/>
          <w:sz w:val="32"/>
          <w:szCs w:val="32"/>
        </w:rPr>
      </w:pPr>
    </w:p>
    <w:p w14:paraId="45D62720" w14:textId="77777777" w:rsidR="00F43D35" w:rsidRDefault="00F43D35" w:rsidP="00F43D35">
      <w:pPr>
        <w:jc w:val="both"/>
        <w:rPr>
          <w:rFonts w:ascii="Arial" w:eastAsia="Calibri" w:hAnsi="Arial" w:cs="Arial"/>
        </w:rPr>
      </w:pPr>
      <w:r w:rsidRPr="00463C3B">
        <w:rPr>
          <w:rFonts w:ascii="Arial" w:eastAsia="Calibri" w:hAnsi="Arial" w:cs="Arial"/>
        </w:rPr>
        <w:t>Armstrong, Michael</w:t>
      </w:r>
      <w:r>
        <w:rPr>
          <w:rFonts w:ascii="Arial" w:eastAsia="Calibri" w:hAnsi="Arial" w:cs="Arial"/>
        </w:rPr>
        <w:t xml:space="preserve"> (2020)</w:t>
      </w:r>
      <w:r w:rsidRPr="005278D0">
        <w:rPr>
          <w:rFonts w:ascii="Arial" w:eastAsia="Calibri" w:hAnsi="Arial" w:cs="Arial"/>
        </w:rPr>
        <w:t xml:space="preserve"> </w:t>
      </w:r>
      <w:r w:rsidRPr="005278D0">
        <w:rPr>
          <w:rFonts w:ascii="Arial" w:eastAsia="Calibri" w:hAnsi="Arial" w:cs="Arial"/>
          <w:i/>
          <w:iCs/>
        </w:rPr>
        <w:t>Armstrong's handbook of human resource management practice</w:t>
      </w:r>
      <w:r>
        <w:rPr>
          <w:rFonts w:ascii="Arial" w:eastAsia="Calibri" w:hAnsi="Arial" w:cs="Arial"/>
          <w:i/>
          <w:iCs/>
        </w:rPr>
        <w:t xml:space="preserve">. </w:t>
      </w:r>
      <w:r>
        <w:rPr>
          <w:rFonts w:ascii="Arial" w:eastAsia="Calibri" w:hAnsi="Arial" w:cs="Arial"/>
        </w:rPr>
        <w:t>15th</w:t>
      </w:r>
      <w:r w:rsidRPr="00463C3B">
        <w:rPr>
          <w:rFonts w:ascii="Arial" w:eastAsia="Calibri" w:hAnsi="Arial" w:cs="Arial"/>
        </w:rPr>
        <w:t xml:space="preserve"> ed</w:t>
      </w:r>
      <w:r>
        <w:rPr>
          <w:rFonts w:ascii="Arial" w:eastAsia="Calibri" w:hAnsi="Arial" w:cs="Arial"/>
        </w:rPr>
        <w:t>., London: Kogan Page</w:t>
      </w:r>
    </w:p>
    <w:p w14:paraId="22F7F286" w14:textId="77777777" w:rsidR="00F43D35" w:rsidRDefault="00F43D35" w:rsidP="00F43D35">
      <w:pPr>
        <w:rPr>
          <w:rFonts w:ascii="Arial" w:hAnsi="Arial" w:cs="Arial"/>
        </w:rPr>
      </w:pPr>
      <w:r w:rsidRPr="00590A0C">
        <w:rPr>
          <w:rFonts w:ascii="Arial" w:hAnsi="Arial" w:cs="Arial"/>
        </w:rPr>
        <w:t xml:space="preserve">Clardy, Alan (2014) </w:t>
      </w:r>
      <w:r w:rsidRPr="00590A0C">
        <w:rPr>
          <w:rFonts w:ascii="Arial" w:hAnsi="Arial" w:cs="Arial"/>
          <w:i/>
          <w:iCs/>
        </w:rPr>
        <w:t>Managing Human Resources: Exercises, Experiments, and Applications Workbook.</w:t>
      </w:r>
      <w:r w:rsidRPr="00590A0C">
        <w:rPr>
          <w:rFonts w:ascii="Arial" w:hAnsi="Arial" w:cs="Arial"/>
        </w:rPr>
        <w:t>, New York and London: Psychology press Taylor and Francis group</w:t>
      </w:r>
      <w:r w:rsidRPr="00F43D35">
        <w:rPr>
          <w:rFonts w:ascii="Arial" w:hAnsi="Arial" w:cs="Arial"/>
        </w:rPr>
        <w:t xml:space="preserve"> </w:t>
      </w:r>
    </w:p>
    <w:p w14:paraId="43A7D542" w14:textId="0D13F5B3" w:rsidR="00F43D35" w:rsidRPr="00F43D35" w:rsidRDefault="00F43D35" w:rsidP="00F43D35">
      <w:pPr>
        <w:rPr>
          <w:rFonts w:ascii="Arial" w:hAnsi="Arial" w:cs="Arial"/>
          <w:i/>
          <w:iCs/>
        </w:rPr>
      </w:pPr>
      <w:r w:rsidRPr="0032376F">
        <w:rPr>
          <w:rFonts w:ascii="Arial" w:hAnsi="Arial" w:cs="Arial"/>
        </w:rPr>
        <w:t xml:space="preserve">Rees, Gary and Smith, Paul E. (2021) </w:t>
      </w:r>
      <w:r w:rsidRPr="0032376F">
        <w:rPr>
          <w:rFonts w:ascii="Arial" w:hAnsi="Arial" w:cs="Arial"/>
          <w:i/>
          <w:iCs/>
        </w:rPr>
        <w:t xml:space="preserve">Strategic Human Resource Management An International Perspective, </w:t>
      </w:r>
      <w:r w:rsidRPr="0032376F">
        <w:rPr>
          <w:rFonts w:ascii="Arial" w:hAnsi="Arial" w:cs="Arial"/>
        </w:rPr>
        <w:t>3rd Edition Los Angeles, London, New Delhi Singapore, Washington DC Melbourne: SAGE Publications</w:t>
      </w:r>
    </w:p>
    <w:p w14:paraId="18AD2EA1" w14:textId="77777777" w:rsidR="00F43D35" w:rsidRDefault="00F43D35" w:rsidP="00F43D35">
      <w:pPr>
        <w:jc w:val="both"/>
        <w:rPr>
          <w:rFonts w:ascii="Arial" w:hAnsi="Arial" w:cs="Arial"/>
        </w:rPr>
      </w:pPr>
      <w:proofErr w:type="spellStart"/>
      <w:r w:rsidRPr="009950EC">
        <w:rPr>
          <w:rFonts w:ascii="Arial" w:hAnsi="Arial" w:cs="Arial"/>
        </w:rPr>
        <w:t>Schneid</w:t>
      </w:r>
      <w:proofErr w:type="spellEnd"/>
      <w:r w:rsidRPr="009950EC">
        <w:rPr>
          <w:rFonts w:ascii="Arial" w:hAnsi="Arial" w:cs="Arial"/>
        </w:rPr>
        <w:t xml:space="preserve">, Thomas D. and </w:t>
      </w:r>
      <w:proofErr w:type="spellStart"/>
      <w:r w:rsidRPr="009950EC">
        <w:rPr>
          <w:rFonts w:ascii="Arial" w:hAnsi="Arial" w:cs="Arial"/>
        </w:rPr>
        <w:t>Schneid</w:t>
      </w:r>
      <w:proofErr w:type="spellEnd"/>
      <w:r w:rsidRPr="009950EC">
        <w:rPr>
          <w:rFonts w:ascii="Arial" w:hAnsi="Arial" w:cs="Arial"/>
        </w:rPr>
        <w:t xml:space="preserve">, Shelby L.,(2019) </w:t>
      </w:r>
      <w:r w:rsidRPr="009950EC">
        <w:rPr>
          <w:rFonts w:ascii="Arial" w:hAnsi="Arial" w:cs="Arial"/>
          <w:i/>
          <w:iCs/>
        </w:rPr>
        <w:t>Human Resources and Change Management for Safety Professionals</w:t>
      </w:r>
      <w:r>
        <w:rPr>
          <w:rFonts w:ascii="Arial" w:hAnsi="Arial" w:cs="Arial"/>
        </w:rPr>
        <w:t xml:space="preserve">, US: </w:t>
      </w:r>
      <w:r w:rsidRPr="006B276C">
        <w:rPr>
          <w:rFonts w:ascii="Arial" w:hAnsi="Arial" w:cs="Arial"/>
        </w:rPr>
        <w:t xml:space="preserve">CRC </w:t>
      </w:r>
      <w:proofErr w:type="spellStart"/>
      <w:r w:rsidRPr="006B276C">
        <w:rPr>
          <w:rFonts w:ascii="Arial" w:hAnsi="Arial" w:cs="Arial"/>
        </w:rPr>
        <w:t>PressTaylor</w:t>
      </w:r>
      <w:proofErr w:type="spellEnd"/>
      <w:r w:rsidRPr="006B276C">
        <w:rPr>
          <w:rFonts w:ascii="Arial" w:hAnsi="Arial" w:cs="Arial"/>
        </w:rPr>
        <w:t xml:space="preserve"> &amp; Francis Group</w:t>
      </w:r>
    </w:p>
    <w:p w14:paraId="46E28E4F" w14:textId="77777777" w:rsidR="00F43D35" w:rsidRPr="00C175C9" w:rsidRDefault="00F43D35" w:rsidP="00F43D35">
      <w:pPr>
        <w:rPr>
          <w:rFonts w:ascii="Arial" w:hAnsi="Arial" w:cs="Arial"/>
        </w:rPr>
      </w:pPr>
      <w:r w:rsidRPr="00C175C9">
        <w:rPr>
          <w:rFonts w:ascii="Arial" w:hAnsi="Arial" w:cs="Arial"/>
        </w:rPr>
        <w:t xml:space="preserve">Taylor, Stephen and Woodhams, Carol. (2016) </w:t>
      </w:r>
      <w:r w:rsidRPr="00C175C9">
        <w:rPr>
          <w:rFonts w:ascii="Arial" w:hAnsi="Arial" w:cs="Arial"/>
          <w:i/>
          <w:iCs/>
        </w:rPr>
        <w:t>Human Resource Management: People and Organisations</w:t>
      </w:r>
      <w:r w:rsidRPr="00C175C9">
        <w:rPr>
          <w:rFonts w:ascii="Arial" w:hAnsi="Arial" w:cs="Arial"/>
        </w:rPr>
        <w:t>, 2nd edition., London: Chartered Institute of Personnel and Development</w:t>
      </w:r>
    </w:p>
    <w:p w14:paraId="7C7A52E6" w14:textId="77777777" w:rsidR="00F43D35" w:rsidRDefault="00F43D35" w:rsidP="00F43D35">
      <w:pPr>
        <w:jc w:val="both"/>
      </w:pPr>
      <w:r>
        <w:rPr>
          <w:rFonts w:ascii="Arial" w:eastAsia="Calibri" w:hAnsi="Arial" w:cs="Arial"/>
        </w:rPr>
        <w:t xml:space="preserve">The Royal British Legion, What we do, </w:t>
      </w:r>
      <w:hyperlink r:id="rId8" w:history="1">
        <w:r w:rsidRPr="00564457">
          <w:rPr>
            <w:rStyle w:val="Hyperlink"/>
          </w:rPr>
          <w:t xml:space="preserve"> https://gustav.britishlegion.org.uk/Interact/Pages/Section/Default.aspx?Section=3292on.org.uk)</w:t>
        </w:r>
      </w:hyperlink>
      <w:r>
        <w:t xml:space="preserve"> accessed on 05/05/2022</w:t>
      </w:r>
    </w:p>
    <w:p w14:paraId="7BCB3876" w14:textId="77777777" w:rsidR="00F43D35" w:rsidRDefault="00F43D35" w:rsidP="00F43D35">
      <w:pPr>
        <w:jc w:val="both"/>
        <w:rPr>
          <w:rFonts w:ascii="Arial" w:eastAsia="Calibri" w:hAnsi="Arial" w:cs="Arial"/>
        </w:rPr>
      </w:pPr>
      <w:r>
        <w:rPr>
          <w:rFonts w:ascii="Arial" w:eastAsia="Calibri" w:hAnsi="Arial" w:cs="Arial"/>
        </w:rPr>
        <w:t xml:space="preserve">Heal, Mandy.,(2021) </w:t>
      </w:r>
      <w:r w:rsidRPr="006360DC">
        <w:rPr>
          <w:rFonts w:ascii="Arial" w:eastAsia="Calibri" w:hAnsi="Arial" w:cs="Arial"/>
          <w:i/>
          <w:iCs/>
        </w:rPr>
        <w:t>RBL hybrid working principles</w:t>
      </w:r>
      <w:r>
        <w:rPr>
          <w:rFonts w:ascii="Arial" w:eastAsia="Calibri" w:hAnsi="Arial" w:cs="Arial"/>
        </w:rPr>
        <w:t xml:space="preserve"> </w:t>
      </w:r>
      <w:hyperlink r:id="rId9" w:history="1">
        <w:r w:rsidRPr="00564457">
          <w:rPr>
            <w:rStyle w:val="Hyperlink"/>
            <w:rFonts w:ascii="Arial" w:eastAsia="Calibri" w:hAnsi="Arial" w:cs="Arial"/>
          </w:rPr>
          <w:t>https://gustav.britishlegion.org.uk/Interact/Pages/Content/Document.aspx?id=5086&amp;utm_source=interact&amp;utm_medium=side_menu_category</w:t>
        </w:r>
      </w:hyperlink>
      <w:r>
        <w:rPr>
          <w:rFonts w:ascii="Arial" w:eastAsia="Calibri" w:hAnsi="Arial" w:cs="Arial"/>
        </w:rPr>
        <w:t xml:space="preserve"> accessed on 05/05/2022</w:t>
      </w:r>
    </w:p>
    <w:p w14:paraId="3E421143" w14:textId="77777777" w:rsidR="00F43D35" w:rsidRDefault="00F43D35" w:rsidP="00F43D35">
      <w:pPr>
        <w:jc w:val="both"/>
        <w:rPr>
          <w:rFonts w:ascii="Arial" w:eastAsia="Calibri" w:hAnsi="Arial" w:cs="Arial"/>
        </w:rPr>
      </w:pPr>
    </w:p>
    <w:p w14:paraId="079CFDB4" w14:textId="77777777" w:rsidR="00F43D35" w:rsidRPr="009950EC" w:rsidRDefault="00F43D35" w:rsidP="00F43D35">
      <w:pPr>
        <w:jc w:val="both"/>
        <w:rPr>
          <w:rFonts w:ascii="Arial" w:eastAsia="Calibri" w:hAnsi="Arial" w:cs="Arial"/>
        </w:rPr>
      </w:pPr>
      <w:r w:rsidRPr="00D054A3">
        <w:rPr>
          <w:rFonts w:ascii="Arial" w:eastAsia="Calibri" w:hAnsi="Arial" w:cs="Arial"/>
        </w:rPr>
        <w:t>RBL hybrid working model</w:t>
      </w:r>
      <w:hyperlink r:id="rId10" w:history="1">
        <w:r w:rsidRPr="00564457">
          <w:rPr>
            <w:rStyle w:val="Hyperlink"/>
            <w:rFonts w:ascii="Arial" w:eastAsia="Calibri" w:hAnsi="Arial" w:cs="Arial"/>
          </w:rPr>
          <w:t>https://gustav.britishlegion.org.uk/Interact/Pages/Content/Document.aspx?id=5088&amp;utm_source=interact&amp;utm_medium=side_menu_category</w:t>
        </w:r>
      </w:hyperlink>
      <w:r>
        <w:rPr>
          <w:rFonts w:ascii="Arial" w:eastAsia="Calibri" w:hAnsi="Arial" w:cs="Arial"/>
        </w:rPr>
        <w:t xml:space="preserve"> </w:t>
      </w:r>
    </w:p>
    <w:p w14:paraId="2CBD8502" w14:textId="77777777" w:rsidR="00F43D35" w:rsidRPr="00FF7FB9" w:rsidRDefault="00F43D35" w:rsidP="00F43D35">
      <w:pPr>
        <w:jc w:val="both"/>
        <w:rPr>
          <w:rFonts w:ascii="Arial" w:eastAsia="Calibri" w:hAnsi="Arial" w:cs="Arial"/>
        </w:rPr>
      </w:pPr>
      <w:r>
        <w:rPr>
          <w:rFonts w:ascii="Arial" w:eastAsia="Calibri" w:hAnsi="Arial" w:cs="Arial"/>
        </w:rPr>
        <w:t xml:space="preserve">Heal, Mandy.,(2022) </w:t>
      </w:r>
      <w:r w:rsidRPr="00897E0E">
        <w:rPr>
          <w:rFonts w:ascii="Arial" w:eastAsia="Calibri" w:hAnsi="Arial" w:cs="Arial"/>
        </w:rPr>
        <w:t>An introduction to the New Ways of Working project group</w:t>
      </w:r>
      <w:r>
        <w:rPr>
          <w:rFonts w:ascii="Arial" w:eastAsia="Calibri" w:hAnsi="Arial" w:cs="Arial"/>
        </w:rPr>
        <w:t xml:space="preserve"> </w:t>
      </w:r>
      <w:hyperlink r:id="rId11" w:history="1">
        <w:r w:rsidRPr="00564457">
          <w:rPr>
            <w:rStyle w:val="Hyperlink"/>
            <w:rFonts w:ascii="Arial" w:eastAsia="Calibri" w:hAnsi="Arial" w:cs="Arial"/>
          </w:rPr>
          <w:t>https://gustav.britishlegion.org.uk/Interact/Pages/Content/Document.aspx?id=4796&amp;utm_source=interact&amp;utm_medium=side_menu_category</w:t>
        </w:r>
      </w:hyperlink>
      <w:r>
        <w:rPr>
          <w:rFonts w:ascii="Arial" w:eastAsia="Calibri" w:hAnsi="Arial" w:cs="Arial"/>
        </w:rPr>
        <w:t xml:space="preserve"> accessed on 05/05/2022</w:t>
      </w:r>
    </w:p>
    <w:p w14:paraId="7DA4746A" w14:textId="77777777" w:rsidR="00F43D35" w:rsidRPr="00340B32" w:rsidRDefault="00F43D35" w:rsidP="00F43D35">
      <w:pPr>
        <w:jc w:val="both"/>
        <w:rPr>
          <w:rFonts w:ascii="Arial" w:eastAsia="Calibri" w:hAnsi="Arial" w:cs="Arial"/>
        </w:rPr>
      </w:pPr>
      <w:r w:rsidRPr="00340B32">
        <w:rPr>
          <w:rFonts w:ascii="Arial" w:eastAsia="Calibri" w:hAnsi="Arial" w:cs="Arial"/>
        </w:rPr>
        <w:t xml:space="preserve">UK Government guidance, </w:t>
      </w:r>
      <w:r w:rsidRPr="00340B32">
        <w:rPr>
          <w:rFonts w:ascii="Arial" w:eastAsia="Calibri" w:hAnsi="Arial" w:cs="Arial"/>
          <w:i/>
          <w:iCs/>
        </w:rPr>
        <w:t>Flexible working</w:t>
      </w:r>
      <w:r w:rsidRPr="00340B32">
        <w:rPr>
          <w:rFonts w:ascii="Arial" w:eastAsia="Calibri" w:hAnsi="Arial" w:cs="Arial"/>
        </w:rPr>
        <w:t xml:space="preserve"> </w:t>
      </w:r>
      <w:hyperlink r:id="rId12" w:history="1">
        <w:r w:rsidRPr="00340B32">
          <w:rPr>
            <w:rStyle w:val="Hyperlink"/>
            <w:rFonts w:ascii="Arial" w:eastAsia="Calibri" w:hAnsi="Arial" w:cs="Arial"/>
          </w:rPr>
          <w:t>https://www.gov.uk/flexible-working</w:t>
        </w:r>
      </w:hyperlink>
      <w:r w:rsidRPr="00340B32">
        <w:rPr>
          <w:rFonts w:ascii="Arial" w:eastAsia="Calibri" w:hAnsi="Arial" w:cs="Arial"/>
        </w:rPr>
        <w:t xml:space="preserve"> accesses on 30/04/2022</w:t>
      </w:r>
    </w:p>
    <w:p w14:paraId="29130CC8" w14:textId="77777777" w:rsidR="00F43D35" w:rsidRPr="00340B32" w:rsidRDefault="00F43D35" w:rsidP="00F43D35">
      <w:pPr>
        <w:jc w:val="both"/>
        <w:rPr>
          <w:rFonts w:ascii="Arial" w:eastAsia="Calibri" w:hAnsi="Arial" w:cs="Arial"/>
        </w:rPr>
      </w:pPr>
      <w:r w:rsidRPr="00340B32">
        <w:rPr>
          <w:rFonts w:ascii="Arial" w:eastAsia="Calibri" w:hAnsi="Arial" w:cs="Arial"/>
          <w:i/>
          <w:iCs/>
        </w:rPr>
        <w:t>ACAS (</w:t>
      </w:r>
      <w:r w:rsidRPr="00340B32">
        <w:rPr>
          <w:rFonts w:ascii="Arial" w:hAnsi="Arial" w:cs="Arial"/>
          <w:color w:val="000000"/>
        </w:rPr>
        <w:t>15 July 2021)</w:t>
      </w:r>
      <w:r w:rsidRPr="00340B32">
        <w:rPr>
          <w:rFonts w:ascii="Open Sans" w:hAnsi="Open Sans" w:cs="Open Sans"/>
          <w:color w:val="000000"/>
        </w:rPr>
        <w:t xml:space="preserve"> </w:t>
      </w:r>
      <w:r w:rsidRPr="00340B32">
        <w:rPr>
          <w:rFonts w:ascii="Arial" w:eastAsia="Calibri" w:hAnsi="Arial" w:cs="Arial"/>
          <w:i/>
          <w:iCs/>
        </w:rPr>
        <w:t>New study reveals half of employers expect more flexible working requests from staff after the pandemic is over</w:t>
      </w:r>
      <w:r w:rsidRPr="00340B32">
        <w:rPr>
          <w:rFonts w:ascii="Arial" w:eastAsia="Calibri" w:hAnsi="Arial" w:cs="Arial"/>
        </w:rPr>
        <w:t xml:space="preserve">, </w:t>
      </w:r>
      <w:hyperlink r:id="rId13" w:history="1">
        <w:r w:rsidRPr="00340B32">
          <w:rPr>
            <w:rStyle w:val="Hyperlink"/>
            <w:rFonts w:ascii="Arial" w:eastAsia="Calibri" w:hAnsi="Arial" w:cs="Arial"/>
          </w:rPr>
          <w:t>https://www.acas.org.uk/new-study-reveals-half-of-employers-expect-more-flexible-working-after-pandemic</w:t>
        </w:r>
      </w:hyperlink>
      <w:r w:rsidRPr="00340B32">
        <w:rPr>
          <w:rFonts w:ascii="Arial" w:eastAsia="Calibri" w:hAnsi="Arial" w:cs="Arial"/>
        </w:rPr>
        <w:t xml:space="preserve"> accessed 20/04/2022</w:t>
      </w:r>
    </w:p>
    <w:p w14:paraId="5ADE1B50" w14:textId="77777777" w:rsidR="00F43D35" w:rsidRPr="00340B32" w:rsidRDefault="00F43D35" w:rsidP="00F43D35">
      <w:pPr>
        <w:jc w:val="both"/>
        <w:rPr>
          <w:rFonts w:ascii="Arial" w:eastAsia="Calibri" w:hAnsi="Arial" w:cs="Arial"/>
        </w:rPr>
      </w:pPr>
      <w:proofErr w:type="spellStart"/>
      <w:r w:rsidRPr="00340B32">
        <w:rPr>
          <w:rFonts w:ascii="Arial" w:eastAsia="Calibri" w:hAnsi="Arial" w:cs="Arial"/>
        </w:rPr>
        <w:t>Burnford,Joy</w:t>
      </w:r>
      <w:proofErr w:type="spellEnd"/>
      <w:r w:rsidRPr="00340B32">
        <w:rPr>
          <w:rFonts w:ascii="Arial" w:eastAsia="Calibri" w:hAnsi="Arial" w:cs="Arial"/>
          <w:i/>
          <w:iCs/>
        </w:rPr>
        <w:t xml:space="preserve"> Flexible Working: The Way Of The Future</w:t>
      </w:r>
      <w:r w:rsidRPr="00340B32">
        <w:rPr>
          <w:rFonts w:ascii="Arial" w:eastAsia="Calibri" w:hAnsi="Arial" w:cs="Arial"/>
        </w:rPr>
        <w:t xml:space="preserve">, (2019) </w:t>
      </w:r>
      <w:hyperlink r:id="rId14" w:history="1">
        <w:r w:rsidRPr="00340B32">
          <w:rPr>
            <w:rStyle w:val="Hyperlink"/>
            <w:rFonts w:ascii="Arial" w:eastAsia="Calibri" w:hAnsi="Arial" w:cs="Arial"/>
          </w:rPr>
          <w:t>https://www.forbes.com/sites/joyburnford/2019/05/28/flexible-working-the-way-of-the-future/?sh=778df1ea4874</w:t>
        </w:r>
      </w:hyperlink>
      <w:r w:rsidRPr="00340B32">
        <w:rPr>
          <w:rFonts w:ascii="Arial" w:eastAsia="Calibri" w:hAnsi="Arial" w:cs="Arial"/>
        </w:rPr>
        <w:t xml:space="preserve"> accessed on 28/04/2022</w:t>
      </w:r>
    </w:p>
    <w:p w14:paraId="71AE3091" w14:textId="0FFD882E" w:rsidR="007A62F3" w:rsidRPr="007B0824" w:rsidRDefault="005A7EE6" w:rsidP="007B0824">
      <w:pPr>
        <w:jc w:val="both"/>
        <w:rPr>
          <w:rFonts w:ascii="Arial" w:eastAsia="Calibri" w:hAnsi="Arial" w:cs="Arial"/>
        </w:rPr>
      </w:pPr>
      <w:r w:rsidRPr="005A7EE6">
        <w:rPr>
          <w:rFonts w:ascii="Arial" w:eastAsia="Calibri" w:hAnsi="Arial" w:cs="Arial"/>
        </w:rPr>
        <w:t>Wylie</w:t>
      </w:r>
      <w:r>
        <w:rPr>
          <w:rFonts w:ascii="Arial" w:eastAsia="Calibri" w:hAnsi="Arial" w:cs="Arial"/>
        </w:rPr>
        <w:t xml:space="preserve">, </w:t>
      </w:r>
      <w:r w:rsidRPr="005A7EE6">
        <w:rPr>
          <w:rFonts w:ascii="Arial" w:eastAsia="Calibri" w:hAnsi="Arial" w:cs="Arial"/>
        </w:rPr>
        <w:t xml:space="preserve"> Pete</w:t>
      </w:r>
      <w:r>
        <w:rPr>
          <w:rFonts w:ascii="Arial" w:eastAsia="Calibri" w:hAnsi="Arial" w:cs="Arial"/>
        </w:rPr>
        <w:t xml:space="preserve"> (2021) </w:t>
      </w:r>
      <w:r w:rsidRPr="005A7EE6">
        <w:rPr>
          <w:rFonts w:ascii="Arial" w:eastAsia="Calibri" w:hAnsi="Arial" w:cs="Arial"/>
          <w:i/>
          <w:iCs/>
        </w:rPr>
        <w:t>Managers communication resources</w:t>
      </w:r>
      <w:r w:rsidRPr="005A7EE6">
        <w:rPr>
          <w:rFonts w:ascii="Arial" w:eastAsia="Calibri" w:hAnsi="Arial" w:cs="Arial"/>
        </w:rPr>
        <w:t xml:space="preserve"> </w:t>
      </w:r>
      <w:hyperlink r:id="rId15" w:history="1">
        <w:r w:rsidRPr="005A7EE6">
          <w:rPr>
            <w:rStyle w:val="Hyperlink"/>
            <w:rFonts w:ascii="Arial" w:eastAsia="Calibri" w:hAnsi="Arial" w:cs="Arial"/>
          </w:rPr>
          <w:t>https://gustav.britishlegion.org.uk/Interact/Pages/Content/Document.aspx?id=4059&amp;SearchId=76145&amp;utm_source=interact&amp;utm_medium=general_search&amp;utm_term=drivers+of+employee+engagement</w:t>
        </w:r>
      </w:hyperlink>
      <w:r w:rsidRPr="005A7EE6">
        <w:rPr>
          <w:rFonts w:ascii="Arial" w:eastAsia="Calibri" w:hAnsi="Arial" w:cs="Arial"/>
        </w:rPr>
        <w:t xml:space="preserve"> accessed on 07/05/2022</w:t>
      </w:r>
    </w:p>
    <w:p w14:paraId="49E0C862" w14:textId="77777777" w:rsidR="007A62F3" w:rsidRPr="005C3A70" w:rsidRDefault="007A62F3">
      <w:pPr>
        <w:rPr>
          <w:rFonts w:ascii="Arial" w:hAnsi="Arial" w:cs="Arial"/>
        </w:rPr>
      </w:pPr>
    </w:p>
    <w:p w14:paraId="2764A1F3" w14:textId="347F2E73" w:rsidR="00E41B43" w:rsidRPr="007A62F3" w:rsidRDefault="00E41B43" w:rsidP="007A62F3">
      <w:pPr>
        <w:jc w:val="center"/>
        <w:rPr>
          <w:rFonts w:ascii="Arial" w:hAnsi="Arial" w:cs="Arial"/>
          <w:sz w:val="32"/>
          <w:szCs w:val="32"/>
        </w:rPr>
      </w:pPr>
      <w:r w:rsidRPr="007A62F3">
        <w:rPr>
          <w:rFonts w:ascii="Arial" w:hAnsi="Arial" w:cs="Arial"/>
          <w:sz w:val="32"/>
          <w:szCs w:val="32"/>
        </w:rPr>
        <w:t>Appendices</w:t>
      </w:r>
    </w:p>
    <w:p w14:paraId="27B261CF" w14:textId="13A3DE74" w:rsidR="00E41B43" w:rsidRDefault="00E41B43"/>
    <w:p w14:paraId="258D3197" w14:textId="47DBBF89" w:rsidR="00E41B43" w:rsidRDefault="00203614">
      <w:r w:rsidRPr="00DE44C5">
        <w:rPr>
          <w:noProof/>
        </w:rPr>
        <w:drawing>
          <wp:inline distT="0" distB="0" distL="0" distR="0" wp14:anchorId="00AAFEE5" wp14:editId="007FF4B7">
            <wp:extent cx="5731510" cy="2261870"/>
            <wp:effectExtent l="0" t="0" r="2540" b="5080"/>
            <wp:docPr id="103" name="Picture 10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Diagram&#10;&#10;Description automatically generated"/>
                    <pic:cNvPicPr/>
                  </pic:nvPicPr>
                  <pic:blipFill>
                    <a:blip r:embed="rId16"/>
                    <a:stretch>
                      <a:fillRect/>
                    </a:stretch>
                  </pic:blipFill>
                  <pic:spPr>
                    <a:xfrm>
                      <a:off x="0" y="0"/>
                      <a:ext cx="5731510" cy="2261870"/>
                    </a:xfrm>
                    <a:prstGeom prst="rect">
                      <a:avLst/>
                    </a:prstGeom>
                  </pic:spPr>
                </pic:pic>
              </a:graphicData>
            </a:graphic>
          </wp:inline>
        </w:drawing>
      </w:r>
    </w:p>
    <w:p w14:paraId="544FC74E" w14:textId="226301B6" w:rsidR="00203614" w:rsidRDefault="00BA7647">
      <w:r>
        <w:rPr>
          <w:noProof/>
        </w:rPr>
        <w:drawing>
          <wp:inline distT="0" distB="0" distL="0" distR="0" wp14:anchorId="224E4F45" wp14:editId="70A21E0F">
            <wp:extent cx="5731510" cy="2773680"/>
            <wp:effectExtent l="0" t="0" r="2540" b="7620"/>
            <wp:docPr id="104" name="Picture 10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Diagram&#10;&#10;Description automatically generated"/>
                    <pic:cNvPicPr/>
                  </pic:nvPicPr>
                  <pic:blipFill>
                    <a:blip r:embed="rId17"/>
                    <a:stretch>
                      <a:fillRect/>
                    </a:stretch>
                  </pic:blipFill>
                  <pic:spPr>
                    <a:xfrm>
                      <a:off x="0" y="0"/>
                      <a:ext cx="5731510" cy="2773680"/>
                    </a:xfrm>
                    <a:prstGeom prst="rect">
                      <a:avLst/>
                    </a:prstGeom>
                  </pic:spPr>
                </pic:pic>
              </a:graphicData>
            </a:graphic>
          </wp:inline>
        </w:drawing>
      </w:r>
      <w:r w:rsidR="001973E3">
        <w:rPr>
          <w:noProof/>
        </w:rPr>
        <w:drawing>
          <wp:inline distT="0" distB="0" distL="0" distR="0" wp14:anchorId="15914EBA" wp14:editId="238926CA">
            <wp:extent cx="5731510" cy="1633855"/>
            <wp:effectExtent l="0" t="0" r="2540" b="4445"/>
            <wp:docPr id="105" name="Picture 105"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Graphical user interface, diagram&#10;&#10;Description automatically generated"/>
                    <pic:cNvPicPr/>
                  </pic:nvPicPr>
                  <pic:blipFill>
                    <a:blip r:embed="rId18"/>
                    <a:stretch>
                      <a:fillRect/>
                    </a:stretch>
                  </pic:blipFill>
                  <pic:spPr>
                    <a:xfrm>
                      <a:off x="0" y="0"/>
                      <a:ext cx="5731510" cy="1633855"/>
                    </a:xfrm>
                    <a:prstGeom prst="rect">
                      <a:avLst/>
                    </a:prstGeom>
                  </pic:spPr>
                </pic:pic>
              </a:graphicData>
            </a:graphic>
          </wp:inline>
        </w:drawing>
      </w:r>
    </w:p>
    <w:p w14:paraId="4B4562CE" w14:textId="10281188" w:rsidR="00F73C50" w:rsidRDefault="00F73C50">
      <w:r>
        <w:rPr>
          <w:noProof/>
        </w:rPr>
        <w:lastRenderedPageBreak/>
        <w:drawing>
          <wp:inline distT="0" distB="0" distL="0" distR="0" wp14:anchorId="6A712E65" wp14:editId="57225644">
            <wp:extent cx="5731510" cy="2244090"/>
            <wp:effectExtent l="0" t="0" r="2540" b="3810"/>
            <wp:docPr id="106" name="Picture 10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Diagram&#10;&#10;Description automatically generated"/>
                    <pic:cNvPicPr/>
                  </pic:nvPicPr>
                  <pic:blipFill>
                    <a:blip r:embed="rId19"/>
                    <a:stretch>
                      <a:fillRect/>
                    </a:stretch>
                  </pic:blipFill>
                  <pic:spPr>
                    <a:xfrm>
                      <a:off x="0" y="0"/>
                      <a:ext cx="5731510" cy="2244090"/>
                    </a:xfrm>
                    <a:prstGeom prst="rect">
                      <a:avLst/>
                    </a:prstGeom>
                  </pic:spPr>
                </pic:pic>
              </a:graphicData>
            </a:graphic>
          </wp:inline>
        </w:drawing>
      </w:r>
    </w:p>
    <w:p w14:paraId="6C353BF6" w14:textId="77777777" w:rsidR="004732B9" w:rsidRDefault="004732B9"/>
    <w:p w14:paraId="1F7C20C9" w14:textId="780286B9" w:rsidR="00E41B43" w:rsidRDefault="00E41B43"/>
    <w:p w14:paraId="13F760E5" w14:textId="144CE412" w:rsidR="00E41B43" w:rsidRDefault="00E41B43"/>
    <w:p w14:paraId="64D646D3" w14:textId="0B680704" w:rsidR="00E41B43" w:rsidRDefault="00E41B43"/>
    <w:p w14:paraId="30E1C952" w14:textId="60F5105A" w:rsidR="00E41B43" w:rsidRDefault="00E41B43"/>
    <w:p w14:paraId="34812410" w14:textId="59514BB5" w:rsidR="00E41B43" w:rsidRDefault="00E41B43"/>
    <w:p w14:paraId="1ED24D0D" w14:textId="77777777" w:rsidR="00E41B43" w:rsidRDefault="00E41B43"/>
    <w:sectPr w:rsidR="00E41B43" w:rsidSect="00E77B50">
      <w:footerReference w:type="default" r:id="rId20"/>
      <w:pgSz w:w="11906" w:h="16838"/>
      <w:pgMar w:top="1440" w:right="1440" w:bottom="1440" w:left="1440" w:header="1417"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774E2" w14:textId="77777777" w:rsidR="00767CDF" w:rsidRDefault="00767CDF" w:rsidP="00E77B50">
      <w:pPr>
        <w:spacing w:after="0" w:line="240" w:lineRule="auto"/>
      </w:pPr>
      <w:r>
        <w:separator/>
      </w:r>
    </w:p>
  </w:endnote>
  <w:endnote w:type="continuationSeparator" w:id="0">
    <w:p w14:paraId="4F784B9A" w14:textId="77777777" w:rsidR="00767CDF" w:rsidRDefault="00767CDF" w:rsidP="00E77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790732"/>
      <w:docPartObj>
        <w:docPartGallery w:val="Page Numbers (Bottom of Page)"/>
        <w:docPartUnique/>
      </w:docPartObj>
    </w:sdtPr>
    <w:sdtEndPr>
      <w:rPr>
        <w:noProof/>
      </w:rPr>
    </w:sdtEndPr>
    <w:sdtContent>
      <w:p w14:paraId="27022824" w14:textId="358D2EFF" w:rsidR="00685EA3" w:rsidRDefault="00685E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ECA13D" w14:textId="77777777" w:rsidR="00685EA3" w:rsidRDefault="00685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06AFF" w14:textId="77777777" w:rsidR="00767CDF" w:rsidRDefault="00767CDF" w:rsidP="00E77B50">
      <w:pPr>
        <w:spacing w:after="0" w:line="240" w:lineRule="auto"/>
      </w:pPr>
      <w:r>
        <w:separator/>
      </w:r>
    </w:p>
  </w:footnote>
  <w:footnote w:type="continuationSeparator" w:id="0">
    <w:p w14:paraId="551CC495" w14:textId="77777777" w:rsidR="00767CDF" w:rsidRDefault="00767CDF" w:rsidP="00E77B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783"/>
    <w:rsid w:val="0002710E"/>
    <w:rsid w:val="000A4786"/>
    <w:rsid w:val="000B5165"/>
    <w:rsid w:val="00104F0A"/>
    <w:rsid w:val="00127F17"/>
    <w:rsid w:val="0016734D"/>
    <w:rsid w:val="001973E3"/>
    <w:rsid w:val="001A4A5E"/>
    <w:rsid w:val="001D663F"/>
    <w:rsid w:val="001E6C9A"/>
    <w:rsid w:val="001F122C"/>
    <w:rsid w:val="001F5BE3"/>
    <w:rsid w:val="001F6CD9"/>
    <w:rsid w:val="00203614"/>
    <w:rsid w:val="00206A80"/>
    <w:rsid w:val="0024078A"/>
    <w:rsid w:val="002B777A"/>
    <w:rsid w:val="002C612D"/>
    <w:rsid w:val="002E5F7E"/>
    <w:rsid w:val="00401783"/>
    <w:rsid w:val="004273A4"/>
    <w:rsid w:val="00450E5E"/>
    <w:rsid w:val="004732B9"/>
    <w:rsid w:val="00487440"/>
    <w:rsid w:val="004A5A36"/>
    <w:rsid w:val="004A6729"/>
    <w:rsid w:val="004C459C"/>
    <w:rsid w:val="004D0CC4"/>
    <w:rsid w:val="004F5AD5"/>
    <w:rsid w:val="0051155D"/>
    <w:rsid w:val="005354B4"/>
    <w:rsid w:val="005A5820"/>
    <w:rsid w:val="005A7EE6"/>
    <w:rsid w:val="005C3A70"/>
    <w:rsid w:val="006026D1"/>
    <w:rsid w:val="006033AD"/>
    <w:rsid w:val="006204E7"/>
    <w:rsid w:val="00625E82"/>
    <w:rsid w:val="00653CF5"/>
    <w:rsid w:val="00654B3C"/>
    <w:rsid w:val="00654F86"/>
    <w:rsid w:val="00664237"/>
    <w:rsid w:val="00685EA3"/>
    <w:rsid w:val="0068655D"/>
    <w:rsid w:val="006A0AE2"/>
    <w:rsid w:val="006B2534"/>
    <w:rsid w:val="006F7582"/>
    <w:rsid w:val="0071047E"/>
    <w:rsid w:val="00751427"/>
    <w:rsid w:val="00754EA1"/>
    <w:rsid w:val="00755320"/>
    <w:rsid w:val="00767CDF"/>
    <w:rsid w:val="007A62F3"/>
    <w:rsid w:val="007B0824"/>
    <w:rsid w:val="007D52AB"/>
    <w:rsid w:val="007E137B"/>
    <w:rsid w:val="0084267E"/>
    <w:rsid w:val="00862D74"/>
    <w:rsid w:val="00877AA1"/>
    <w:rsid w:val="00882478"/>
    <w:rsid w:val="0088509B"/>
    <w:rsid w:val="008B0226"/>
    <w:rsid w:val="009043B6"/>
    <w:rsid w:val="0091118C"/>
    <w:rsid w:val="00923A8F"/>
    <w:rsid w:val="009428A2"/>
    <w:rsid w:val="00960243"/>
    <w:rsid w:val="00966419"/>
    <w:rsid w:val="0096735F"/>
    <w:rsid w:val="00976281"/>
    <w:rsid w:val="009A7ED9"/>
    <w:rsid w:val="009C4985"/>
    <w:rsid w:val="009F637C"/>
    <w:rsid w:val="00A01906"/>
    <w:rsid w:val="00A43FD8"/>
    <w:rsid w:val="00AA5978"/>
    <w:rsid w:val="00AD51A0"/>
    <w:rsid w:val="00AE20E8"/>
    <w:rsid w:val="00B570DF"/>
    <w:rsid w:val="00BA621F"/>
    <w:rsid w:val="00BA7647"/>
    <w:rsid w:val="00C0124C"/>
    <w:rsid w:val="00C03AFC"/>
    <w:rsid w:val="00C114DB"/>
    <w:rsid w:val="00C63033"/>
    <w:rsid w:val="00CB5ECD"/>
    <w:rsid w:val="00CD0C98"/>
    <w:rsid w:val="00CD22FB"/>
    <w:rsid w:val="00CD5CFF"/>
    <w:rsid w:val="00CE3FC1"/>
    <w:rsid w:val="00CF108F"/>
    <w:rsid w:val="00D104C2"/>
    <w:rsid w:val="00D61690"/>
    <w:rsid w:val="00DE1537"/>
    <w:rsid w:val="00E23B3F"/>
    <w:rsid w:val="00E41B43"/>
    <w:rsid w:val="00E77B50"/>
    <w:rsid w:val="00EA7126"/>
    <w:rsid w:val="00EE31DC"/>
    <w:rsid w:val="00EF4443"/>
    <w:rsid w:val="00F43D35"/>
    <w:rsid w:val="00F73C50"/>
    <w:rsid w:val="00FA3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DC81D"/>
  <w15:chartTrackingRefBased/>
  <w15:docId w15:val="{20A3EF81-7088-4131-9214-10DEB4C84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7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3D35"/>
    <w:rPr>
      <w:color w:val="0000FF"/>
      <w:u w:val="single"/>
    </w:rPr>
  </w:style>
  <w:style w:type="paragraph" w:styleId="Header">
    <w:name w:val="header"/>
    <w:basedOn w:val="Normal"/>
    <w:link w:val="HeaderChar"/>
    <w:uiPriority w:val="99"/>
    <w:unhideWhenUsed/>
    <w:rsid w:val="00E77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B50"/>
  </w:style>
  <w:style w:type="paragraph" w:styleId="Footer">
    <w:name w:val="footer"/>
    <w:basedOn w:val="Normal"/>
    <w:link w:val="FooterChar"/>
    <w:uiPriority w:val="99"/>
    <w:unhideWhenUsed/>
    <w:rsid w:val="00E77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B50"/>
  </w:style>
  <w:style w:type="character" w:styleId="UnresolvedMention">
    <w:name w:val="Unresolved Mention"/>
    <w:basedOn w:val="DefaultParagraphFont"/>
    <w:uiPriority w:val="99"/>
    <w:semiHidden/>
    <w:unhideWhenUsed/>
    <w:rsid w:val="005A7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661338">
      <w:bodyDiv w:val="1"/>
      <w:marLeft w:val="0"/>
      <w:marRight w:val="0"/>
      <w:marTop w:val="0"/>
      <w:marBottom w:val="0"/>
      <w:divBdr>
        <w:top w:val="none" w:sz="0" w:space="0" w:color="auto"/>
        <w:left w:val="none" w:sz="0" w:space="0" w:color="auto"/>
        <w:bottom w:val="none" w:sz="0" w:space="0" w:color="auto"/>
        <w:right w:val="none" w:sz="0" w:space="0" w:color="auto"/>
      </w:divBdr>
    </w:div>
    <w:div w:id="859123106">
      <w:bodyDiv w:val="1"/>
      <w:marLeft w:val="0"/>
      <w:marRight w:val="0"/>
      <w:marTop w:val="0"/>
      <w:marBottom w:val="0"/>
      <w:divBdr>
        <w:top w:val="none" w:sz="0" w:space="0" w:color="auto"/>
        <w:left w:val="none" w:sz="0" w:space="0" w:color="auto"/>
        <w:bottom w:val="none" w:sz="0" w:space="0" w:color="auto"/>
        <w:right w:val="none" w:sz="0" w:space="0" w:color="auto"/>
      </w:divBdr>
    </w:div>
    <w:div w:id="1197430459">
      <w:bodyDiv w:val="1"/>
      <w:marLeft w:val="0"/>
      <w:marRight w:val="0"/>
      <w:marTop w:val="0"/>
      <w:marBottom w:val="0"/>
      <w:divBdr>
        <w:top w:val="none" w:sz="0" w:space="0" w:color="auto"/>
        <w:left w:val="none" w:sz="0" w:space="0" w:color="auto"/>
        <w:bottom w:val="none" w:sz="0" w:space="0" w:color="auto"/>
        <w:right w:val="none" w:sz="0" w:space="0" w:color="auto"/>
      </w:divBdr>
    </w:div>
    <w:div w:id="170564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20https://gustav.britishlegion.org.uk/Interact/Pages/Section/Default.aspx?Section=3292on.org.uk)" TargetMode="External"/><Relationship Id="rId13" Type="http://schemas.openxmlformats.org/officeDocument/2006/relationships/hyperlink" Target="https://www.acas.org.uk/new-study-reveals-half-of-employers-expect-more-flexible-working-after-pandemic" TargetMode="External"/><Relationship Id="rId18" Type="http://schemas.openxmlformats.org/officeDocument/2006/relationships/image" Target="media/image5.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gov.uk/flexible-working" TargetMode="External"/><Relationship Id="rId1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gustav.britishlegion.org.uk/Interact/Pages/Content/Document.aspx?id=4796&amp;utm_source=interact&amp;utm_medium=side_menu_category" TargetMode="External"/><Relationship Id="rId5" Type="http://schemas.openxmlformats.org/officeDocument/2006/relationships/endnotes" Target="endnotes.xml"/><Relationship Id="rId15" Type="http://schemas.openxmlformats.org/officeDocument/2006/relationships/hyperlink" Target="https://gustav.britishlegion.org.uk/Interact/Pages/Content/Document.aspx?id=4059&amp;SearchId=76145&amp;utm_source=interact&amp;utm_medium=general_search&amp;utm_term=drivers+of+employee+engagement" TargetMode="External"/><Relationship Id="rId10" Type="http://schemas.openxmlformats.org/officeDocument/2006/relationships/hyperlink" Target="https://gustav.britishlegion.org.uk/Interact/Pages/Content/Document.aspx?id=5088&amp;utm_source=interact&amp;utm_medium=side_menu_category" TargetMode="External"/><Relationship Id="rId19" Type="http://schemas.openxmlformats.org/officeDocument/2006/relationships/image" Target="media/image6.png"/><Relationship Id="rId4" Type="http://schemas.openxmlformats.org/officeDocument/2006/relationships/footnotes" Target="footnotes.xml"/><Relationship Id="rId9" Type="http://schemas.openxmlformats.org/officeDocument/2006/relationships/hyperlink" Target="https://gustav.britishlegion.org.uk/Interact/Pages/Content/Document.aspx?id=5086&amp;utm_source=interact&amp;utm_medium=side_menu_category" TargetMode="External"/><Relationship Id="rId14" Type="http://schemas.openxmlformats.org/officeDocument/2006/relationships/hyperlink" Target="https://www.forbes.com/sites/joyburnford/2019/05/28/flexible-working-the-way-of-the-future/?sh=778df1ea487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2421</Words>
  <Characters>13803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Boryana Petrova</dc:creator>
  <cp:keywords/>
  <dc:description/>
  <cp:lastModifiedBy>Galina Gancheva (2022711)</cp:lastModifiedBy>
  <cp:revision>12</cp:revision>
  <dcterms:created xsi:type="dcterms:W3CDTF">2022-05-09T21:57:00Z</dcterms:created>
  <dcterms:modified xsi:type="dcterms:W3CDTF">2022-05-09T22:23:00Z</dcterms:modified>
</cp:coreProperties>
</file>