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D0CBD5" w14:textId="342B59F0" w:rsidR="00BE77A6" w:rsidRDefault="00A60C93">
      <w:r>
        <w:rPr>
          <w:noProof/>
        </w:rPr>
        <w:drawing>
          <wp:inline distT="0" distB="0" distL="0" distR="0" wp14:anchorId="0D590C6A" wp14:editId="4D7D7D65">
            <wp:extent cx="4640580" cy="1351228"/>
            <wp:effectExtent l="0" t="0" r="0" b="0"/>
            <wp:docPr id="307131710" name="Picture 1" descr="Group 1,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oup 1, Grouped obj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52935" cy="1354826"/>
                    </a:xfrm>
                    <a:prstGeom prst="rect">
                      <a:avLst/>
                    </a:prstGeom>
                    <a:noFill/>
                    <a:ln>
                      <a:noFill/>
                    </a:ln>
                  </pic:spPr>
                </pic:pic>
              </a:graphicData>
            </a:graphic>
          </wp:inline>
        </w:drawing>
      </w:r>
    </w:p>
    <w:p w14:paraId="4F723BD2" w14:textId="7DC05045" w:rsidR="00A60C93" w:rsidRPr="00A60C93" w:rsidRDefault="00A60C93" w:rsidP="00A60C93">
      <w:pPr>
        <w:rPr>
          <w:rFonts w:ascii="Arial" w:hAnsi="Arial" w:cs="Arial"/>
          <w:sz w:val="32"/>
          <w:szCs w:val="32"/>
        </w:rPr>
      </w:pPr>
      <w:r w:rsidRPr="00A60C93">
        <w:rPr>
          <w:rFonts w:ascii="Arial" w:hAnsi="Arial" w:cs="Arial"/>
          <w:sz w:val="32"/>
          <w:szCs w:val="32"/>
        </w:rPr>
        <w:t xml:space="preserve">  Programme Name: Master of Business Administration </w:t>
      </w:r>
    </w:p>
    <w:p w14:paraId="6C6DCC97" w14:textId="77777777" w:rsidR="00A60C93" w:rsidRPr="00A60C93" w:rsidRDefault="00A60C93" w:rsidP="00A60C93">
      <w:pPr>
        <w:rPr>
          <w:rFonts w:ascii="Arial" w:hAnsi="Arial" w:cs="Arial"/>
          <w:sz w:val="32"/>
          <w:szCs w:val="32"/>
        </w:rPr>
      </w:pPr>
      <w:r w:rsidRPr="00A60C93">
        <w:rPr>
          <w:rFonts w:ascii="Arial" w:hAnsi="Arial" w:cs="Arial"/>
          <w:sz w:val="32"/>
          <w:szCs w:val="32"/>
        </w:rPr>
        <w:t>              </w:t>
      </w:r>
    </w:p>
    <w:p w14:paraId="5302C02E" w14:textId="6BF6DF87" w:rsidR="00A60C93" w:rsidRPr="00A60C93" w:rsidRDefault="00A60C93" w:rsidP="00A60C93">
      <w:pPr>
        <w:rPr>
          <w:rFonts w:ascii="Arial" w:hAnsi="Arial" w:cs="Arial"/>
          <w:b/>
          <w:bCs/>
          <w:sz w:val="32"/>
          <w:szCs w:val="32"/>
        </w:rPr>
      </w:pPr>
      <w:r w:rsidRPr="00A60C93">
        <w:rPr>
          <w:rFonts w:ascii="Arial" w:hAnsi="Arial" w:cs="Arial"/>
          <w:sz w:val="32"/>
          <w:szCs w:val="32"/>
        </w:rPr>
        <w:t>      Module Name:  International Business Concepts</w:t>
      </w:r>
    </w:p>
    <w:p w14:paraId="50231878" w14:textId="77777777" w:rsidR="00A60C93" w:rsidRDefault="00A60C93" w:rsidP="00A60C93">
      <w:pPr>
        <w:rPr>
          <w:rFonts w:ascii="Arial" w:hAnsi="Arial" w:cs="Arial"/>
          <w:sz w:val="32"/>
          <w:szCs w:val="32"/>
        </w:rPr>
      </w:pPr>
      <w:r>
        <w:rPr>
          <w:rFonts w:ascii="Arial" w:hAnsi="Arial" w:cs="Arial"/>
          <w:sz w:val="32"/>
          <w:szCs w:val="32"/>
        </w:rPr>
        <w:t xml:space="preserve">                </w:t>
      </w:r>
    </w:p>
    <w:p w14:paraId="3305E7CA" w14:textId="0CE4609C" w:rsidR="00A60C93" w:rsidRDefault="00A60C93" w:rsidP="00A60C93">
      <w:r w:rsidRPr="5A1E62CD">
        <w:rPr>
          <w:rFonts w:ascii="Arial" w:hAnsi="Arial" w:cs="Arial"/>
          <w:sz w:val="32"/>
          <w:szCs w:val="32"/>
        </w:rPr>
        <w:t xml:space="preserve">                  </w:t>
      </w:r>
      <w:r w:rsidR="00DC2675">
        <w:rPr>
          <w:rFonts w:ascii="Arial" w:hAnsi="Arial" w:cs="Arial"/>
          <w:sz w:val="32"/>
          <w:szCs w:val="32"/>
        </w:rPr>
        <w:t xml:space="preserve">        </w:t>
      </w:r>
      <w:r w:rsidRPr="5A1E62CD">
        <w:rPr>
          <w:rFonts w:ascii="Arial" w:hAnsi="Arial" w:cs="Arial"/>
          <w:sz w:val="32"/>
          <w:szCs w:val="32"/>
        </w:rPr>
        <w:t>Module Code: LCMB7034</w:t>
      </w:r>
    </w:p>
    <w:p w14:paraId="7E8BA076" w14:textId="562CFF16" w:rsidR="5A1E62CD" w:rsidRDefault="5A1E62CD" w:rsidP="5A1E62CD">
      <w:pPr>
        <w:rPr>
          <w:rFonts w:ascii="Arial" w:hAnsi="Arial" w:cs="Arial"/>
          <w:sz w:val="32"/>
          <w:szCs w:val="32"/>
        </w:rPr>
      </w:pPr>
    </w:p>
    <w:p w14:paraId="47E7D128" w14:textId="4E177A7B" w:rsidR="7C641B29" w:rsidRDefault="7C641B29" w:rsidP="5A1E62CD">
      <w:pPr>
        <w:rPr>
          <w:rFonts w:ascii="Arial" w:eastAsia="Arial" w:hAnsi="Arial" w:cs="Arial"/>
          <w:sz w:val="32"/>
          <w:szCs w:val="32"/>
        </w:rPr>
      </w:pPr>
      <w:r w:rsidRPr="5A1E62CD">
        <w:rPr>
          <w:rFonts w:ascii="Arial" w:hAnsi="Arial" w:cs="Arial"/>
          <w:sz w:val="32"/>
          <w:szCs w:val="32"/>
        </w:rPr>
        <w:t xml:space="preserve">    </w:t>
      </w:r>
      <w:r w:rsidR="7A4730DC" w:rsidRPr="5A1E62CD">
        <w:rPr>
          <w:rFonts w:ascii="Arial" w:hAnsi="Arial" w:cs="Arial"/>
          <w:sz w:val="32"/>
          <w:szCs w:val="32"/>
        </w:rPr>
        <w:t xml:space="preserve">Assignment Title: </w:t>
      </w:r>
      <w:r w:rsidR="30206E29" w:rsidRPr="5A1E62CD">
        <w:rPr>
          <w:rFonts w:ascii="Arial" w:eastAsia="Arial" w:hAnsi="Arial" w:cs="Arial"/>
          <w:sz w:val="32"/>
          <w:szCs w:val="32"/>
        </w:rPr>
        <w:t xml:space="preserve">International Business Analysis of IKEA’s </w:t>
      </w:r>
      <w:r w:rsidR="61D0A057" w:rsidRPr="5A1E62CD">
        <w:rPr>
          <w:rFonts w:ascii="Arial" w:eastAsia="Arial" w:hAnsi="Arial" w:cs="Arial"/>
          <w:sz w:val="32"/>
          <w:szCs w:val="32"/>
        </w:rPr>
        <w:t xml:space="preserve">        </w:t>
      </w:r>
      <w:r w:rsidR="30206E29" w:rsidRPr="5A1E62CD">
        <w:rPr>
          <w:rFonts w:ascii="Arial" w:eastAsia="Arial" w:hAnsi="Arial" w:cs="Arial"/>
          <w:sz w:val="32"/>
          <w:szCs w:val="32"/>
        </w:rPr>
        <w:t>Proposed Entry into New Zealand</w:t>
      </w:r>
    </w:p>
    <w:p w14:paraId="3DCE9F9C" w14:textId="77777777" w:rsidR="00DC2675" w:rsidRDefault="00DC2675" w:rsidP="5A1E62CD"/>
    <w:p w14:paraId="13114A84" w14:textId="77777777" w:rsidR="00A60C93" w:rsidRDefault="00A60C93" w:rsidP="00A60C93">
      <w:pPr>
        <w:rPr>
          <w:rFonts w:ascii="Arial" w:hAnsi="Arial" w:cs="Arial"/>
          <w:sz w:val="32"/>
          <w:szCs w:val="32"/>
        </w:rPr>
      </w:pPr>
    </w:p>
    <w:p w14:paraId="4417EFDD" w14:textId="7A209EE1" w:rsidR="00A60C93" w:rsidRPr="00A60C93" w:rsidRDefault="00A60C93" w:rsidP="00A60C93">
      <w:pPr>
        <w:rPr>
          <w:rFonts w:ascii="Arial" w:hAnsi="Arial" w:cs="Arial"/>
          <w:sz w:val="32"/>
          <w:szCs w:val="32"/>
        </w:rPr>
      </w:pPr>
      <w:r w:rsidRPr="5A1E62CD">
        <w:rPr>
          <w:rFonts w:ascii="Arial" w:hAnsi="Arial" w:cs="Arial"/>
          <w:sz w:val="32"/>
          <w:szCs w:val="32"/>
        </w:rPr>
        <w:t xml:space="preserve">               </w:t>
      </w:r>
      <w:r w:rsidR="0249114D" w:rsidRPr="5A1E62CD">
        <w:rPr>
          <w:rFonts w:ascii="Arial" w:hAnsi="Arial" w:cs="Arial"/>
          <w:sz w:val="32"/>
          <w:szCs w:val="32"/>
        </w:rPr>
        <w:t xml:space="preserve">     </w:t>
      </w:r>
      <w:r w:rsidRPr="5A1E62CD">
        <w:rPr>
          <w:rFonts w:ascii="Arial" w:hAnsi="Arial" w:cs="Arial"/>
          <w:sz w:val="32"/>
          <w:szCs w:val="32"/>
        </w:rPr>
        <w:t>Student Name: Carmen Prodan    </w:t>
      </w:r>
    </w:p>
    <w:p w14:paraId="6559D4A3" w14:textId="77777777" w:rsidR="00A60C93" w:rsidRPr="00A60C93" w:rsidRDefault="00A60C93" w:rsidP="00A60C93">
      <w:pPr>
        <w:rPr>
          <w:rFonts w:ascii="Arial" w:hAnsi="Arial" w:cs="Arial"/>
          <w:sz w:val="32"/>
          <w:szCs w:val="32"/>
        </w:rPr>
      </w:pPr>
      <w:r w:rsidRPr="00A60C93">
        <w:rPr>
          <w:rFonts w:ascii="Arial" w:hAnsi="Arial" w:cs="Arial"/>
          <w:sz w:val="32"/>
          <w:szCs w:val="32"/>
        </w:rPr>
        <w:t>   </w:t>
      </w:r>
    </w:p>
    <w:p w14:paraId="423F6BDF" w14:textId="1EE9597A" w:rsidR="00A60C93" w:rsidRDefault="00A60C93" w:rsidP="00A60C93">
      <w:pPr>
        <w:rPr>
          <w:rFonts w:ascii="Arial" w:hAnsi="Arial" w:cs="Arial"/>
          <w:sz w:val="32"/>
          <w:szCs w:val="32"/>
        </w:rPr>
      </w:pPr>
      <w:r w:rsidRPr="00A60C93">
        <w:rPr>
          <w:rFonts w:ascii="Arial" w:hAnsi="Arial" w:cs="Arial"/>
          <w:sz w:val="32"/>
          <w:szCs w:val="32"/>
        </w:rPr>
        <w:t>                            </w:t>
      </w:r>
      <w:r>
        <w:rPr>
          <w:rFonts w:ascii="Arial" w:hAnsi="Arial" w:cs="Arial"/>
          <w:sz w:val="32"/>
          <w:szCs w:val="32"/>
        </w:rPr>
        <w:t xml:space="preserve">    </w:t>
      </w:r>
      <w:r w:rsidR="00DC2675">
        <w:rPr>
          <w:rFonts w:ascii="Arial" w:hAnsi="Arial" w:cs="Arial"/>
          <w:sz w:val="32"/>
          <w:szCs w:val="32"/>
        </w:rPr>
        <w:t xml:space="preserve">     </w:t>
      </w:r>
      <w:r w:rsidRPr="00A60C93">
        <w:rPr>
          <w:rFonts w:ascii="Arial" w:hAnsi="Arial" w:cs="Arial"/>
          <w:sz w:val="32"/>
          <w:szCs w:val="32"/>
        </w:rPr>
        <w:t>Student ID: 2223977   </w:t>
      </w:r>
    </w:p>
    <w:p w14:paraId="6F3B4794" w14:textId="77777777" w:rsidR="00DC2675" w:rsidRDefault="00DC2675" w:rsidP="00A60C93">
      <w:pPr>
        <w:rPr>
          <w:rFonts w:ascii="Arial" w:hAnsi="Arial" w:cs="Arial"/>
          <w:sz w:val="32"/>
          <w:szCs w:val="32"/>
        </w:rPr>
      </w:pPr>
    </w:p>
    <w:p w14:paraId="57816E91" w14:textId="77777777" w:rsidR="00DC2675" w:rsidRDefault="00DC2675" w:rsidP="00A60C93">
      <w:pPr>
        <w:rPr>
          <w:rFonts w:ascii="Arial" w:hAnsi="Arial" w:cs="Arial"/>
          <w:sz w:val="32"/>
          <w:szCs w:val="32"/>
        </w:rPr>
      </w:pPr>
    </w:p>
    <w:p w14:paraId="101B8862" w14:textId="242934C1" w:rsidR="00A60C93" w:rsidRPr="00A60C93" w:rsidRDefault="00A60C93" w:rsidP="00A60C93">
      <w:pPr>
        <w:rPr>
          <w:rFonts w:ascii="Arial" w:hAnsi="Arial" w:cs="Arial"/>
          <w:sz w:val="32"/>
          <w:szCs w:val="32"/>
        </w:rPr>
      </w:pPr>
      <w:r w:rsidRPr="00A60C93">
        <w:rPr>
          <w:rFonts w:ascii="Arial" w:hAnsi="Arial" w:cs="Arial"/>
          <w:sz w:val="32"/>
          <w:szCs w:val="32"/>
        </w:rPr>
        <w:t>  </w:t>
      </w:r>
      <w:r>
        <w:rPr>
          <w:rFonts w:ascii="Arial" w:hAnsi="Arial" w:cs="Arial"/>
          <w:sz w:val="32"/>
          <w:szCs w:val="32"/>
        </w:rPr>
        <w:t xml:space="preserve">       </w:t>
      </w:r>
      <w:r w:rsidRPr="00A60C93">
        <w:rPr>
          <w:rFonts w:ascii="Arial" w:hAnsi="Arial" w:cs="Arial"/>
          <w:sz w:val="32"/>
          <w:szCs w:val="32"/>
        </w:rPr>
        <w:t>Lecturer name: Professor Mansoob Murshed</w:t>
      </w:r>
    </w:p>
    <w:p w14:paraId="0B4BD199" w14:textId="77777777" w:rsidR="00A60C93" w:rsidRPr="00A60C93" w:rsidRDefault="00A60C93" w:rsidP="00A60C93">
      <w:pPr>
        <w:rPr>
          <w:rFonts w:ascii="Arial" w:hAnsi="Arial" w:cs="Arial"/>
          <w:sz w:val="32"/>
          <w:szCs w:val="32"/>
        </w:rPr>
      </w:pPr>
      <w:r w:rsidRPr="00A60C93">
        <w:rPr>
          <w:rFonts w:ascii="Arial" w:hAnsi="Arial" w:cs="Arial"/>
          <w:sz w:val="32"/>
          <w:szCs w:val="32"/>
        </w:rPr>
        <w:t> </w:t>
      </w:r>
    </w:p>
    <w:p w14:paraId="76B4A4AF" w14:textId="153F15DB" w:rsidR="00A60C93" w:rsidRPr="00A60C93" w:rsidRDefault="00A60C93" w:rsidP="00A60C93">
      <w:pPr>
        <w:rPr>
          <w:rFonts w:ascii="Arial" w:hAnsi="Arial" w:cs="Arial"/>
          <w:sz w:val="32"/>
          <w:szCs w:val="32"/>
        </w:rPr>
      </w:pPr>
      <w:r w:rsidRPr="5A1E62CD">
        <w:rPr>
          <w:rFonts w:ascii="Arial" w:hAnsi="Arial" w:cs="Arial"/>
          <w:sz w:val="32"/>
          <w:szCs w:val="32"/>
        </w:rPr>
        <w:t>       Number of Words:  </w:t>
      </w:r>
      <w:r w:rsidR="74F4ACCD" w:rsidRPr="5A1E62CD">
        <w:rPr>
          <w:rFonts w:ascii="Arial" w:hAnsi="Arial" w:cs="Arial"/>
          <w:sz w:val="32"/>
          <w:szCs w:val="32"/>
        </w:rPr>
        <w:t>687</w:t>
      </w:r>
      <w:r w:rsidR="717985A8" w:rsidRPr="5A1E62CD">
        <w:rPr>
          <w:rFonts w:ascii="Arial" w:hAnsi="Arial" w:cs="Arial"/>
          <w:sz w:val="32"/>
          <w:szCs w:val="32"/>
        </w:rPr>
        <w:t>5</w:t>
      </w:r>
      <w:r w:rsidR="74F4ACCD" w:rsidRPr="5A1E62CD">
        <w:rPr>
          <w:rFonts w:ascii="Arial" w:hAnsi="Arial" w:cs="Arial"/>
          <w:sz w:val="32"/>
          <w:szCs w:val="32"/>
        </w:rPr>
        <w:t xml:space="preserve"> </w:t>
      </w:r>
      <w:r w:rsidRPr="5A1E62CD">
        <w:rPr>
          <w:rFonts w:ascii="Arial" w:hAnsi="Arial" w:cs="Arial"/>
          <w:sz w:val="32"/>
          <w:szCs w:val="32"/>
        </w:rPr>
        <w:t>(with Abstract</w:t>
      </w:r>
      <w:r w:rsidR="6CBA85D4" w:rsidRPr="5A1E62CD">
        <w:rPr>
          <w:rFonts w:ascii="Arial" w:hAnsi="Arial" w:cs="Arial"/>
          <w:sz w:val="32"/>
          <w:szCs w:val="32"/>
        </w:rPr>
        <w:t xml:space="preserve"> and</w:t>
      </w:r>
      <w:r w:rsidRPr="5A1E62CD">
        <w:rPr>
          <w:rFonts w:ascii="Arial" w:hAnsi="Arial" w:cs="Arial"/>
          <w:sz w:val="32"/>
          <w:szCs w:val="32"/>
        </w:rPr>
        <w:t xml:space="preserve"> References)  </w:t>
      </w:r>
    </w:p>
    <w:p w14:paraId="0B1EC011" w14:textId="77777777" w:rsidR="00A60C93" w:rsidRPr="00A60C93" w:rsidRDefault="00A60C93" w:rsidP="00A60C93">
      <w:pPr>
        <w:rPr>
          <w:rFonts w:ascii="Arial" w:hAnsi="Arial" w:cs="Arial"/>
          <w:sz w:val="32"/>
          <w:szCs w:val="32"/>
        </w:rPr>
      </w:pPr>
      <w:r w:rsidRPr="00A60C93">
        <w:rPr>
          <w:rFonts w:ascii="Arial" w:hAnsi="Arial" w:cs="Arial"/>
          <w:sz w:val="32"/>
          <w:szCs w:val="32"/>
        </w:rPr>
        <w:t> </w:t>
      </w:r>
    </w:p>
    <w:p w14:paraId="35BB14A2" w14:textId="27FDEA62" w:rsidR="00A60C93" w:rsidRPr="00A60C93" w:rsidRDefault="00A60C93" w:rsidP="00A60C93">
      <w:pPr>
        <w:rPr>
          <w:rFonts w:ascii="Arial" w:hAnsi="Arial" w:cs="Arial"/>
          <w:sz w:val="32"/>
          <w:szCs w:val="32"/>
        </w:rPr>
      </w:pPr>
      <w:r w:rsidRPr="00A60C93">
        <w:rPr>
          <w:rFonts w:ascii="Arial" w:hAnsi="Arial" w:cs="Arial"/>
          <w:sz w:val="32"/>
          <w:szCs w:val="32"/>
        </w:rPr>
        <w:t xml:space="preserve">                        Submission Date: </w:t>
      </w:r>
      <w:r>
        <w:rPr>
          <w:rFonts w:ascii="Arial" w:hAnsi="Arial" w:cs="Arial"/>
          <w:sz w:val="32"/>
          <w:szCs w:val="32"/>
        </w:rPr>
        <w:t>July</w:t>
      </w:r>
      <w:r w:rsidRPr="00A60C93">
        <w:rPr>
          <w:rFonts w:ascii="Arial" w:hAnsi="Arial" w:cs="Arial"/>
          <w:sz w:val="32"/>
          <w:szCs w:val="32"/>
        </w:rPr>
        <w:t xml:space="preserve"> 2026 </w:t>
      </w:r>
    </w:p>
    <w:p w14:paraId="16253A9B" w14:textId="77777777" w:rsidR="00A60C93" w:rsidRDefault="00A60C93" w:rsidP="00A60C93">
      <w:pPr>
        <w:rPr>
          <w:rFonts w:ascii="Arial" w:hAnsi="Arial" w:cs="Arial"/>
          <w:sz w:val="32"/>
          <w:szCs w:val="32"/>
        </w:rPr>
      </w:pPr>
    </w:p>
    <w:p w14:paraId="10738995" w14:textId="77777777" w:rsidR="00A60C93" w:rsidRPr="00A60C93" w:rsidRDefault="00A60C93" w:rsidP="00A60C93">
      <w:pPr>
        <w:rPr>
          <w:rFonts w:ascii="Arial" w:hAnsi="Arial" w:cs="Arial"/>
          <w:sz w:val="32"/>
          <w:szCs w:val="32"/>
        </w:rPr>
      </w:pPr>
    </w:p>
    <w:p w14:paraId="3A8674F4" w14:textId="77777777" w:rsidR="00A60C93" w:rsidRDefault="00A60C93" w:rsidP="00A60C93">
      <w:pPr>
        <w:rPr>
          <w:rFonts w:ascii="Arial" w:hAnsi="Arial" w:cs="Arial"/>
          <w:sz w:val="32"/>
          <w:szCs w:val="32"/>
        </w:rPr>
      </w:pPr>
    </w:p>
    <w:p w14:paraId="512178FA" w14:textId="77777777" w:rsidR="00A60C93" w:rsidRPr="00A60C93" w:rsidRDefault="00A60C93" w:rsidP="00A60C93">
      <w:pPr>
        <w:rPr>
          <w:rFonts w:ascii="Arial" w:hAnsi="Arial" w:cs="Arial"/>
          <w:b/>
          <w:bCs/>
          <w:sz w:val="32"/>
          <w:szCs w:val="32"/>
        </w:rPr>
      </w:pPr>
    </w:p>
    <w:p w14:paraId="7FAA62FC" w14:textId="0499F06A" w:rsidR="00A60C93" w:rsidRPr="00A60C93" w:rsidRDefault="00A60C93" w:rsidP="00A60C93">
      <w:pPr>
        <w:rPr>
          <w:rFonts w:ascii="Arial" w:hAnsi="Arial" w:cs="Arial"/>
          <w:sz w:val="32"/>
          <w:szCs w:val="32"/>
        </w:rPr>
      </w:pPr>
    </w:p>
    <w:p w14:paraId="147A3B2A" w14:textId="46A44972" w:rsidR="00A60C93" w:rsidRPr="00A60C93" w:rsidRDefault="00A60C93" w:rsidP="00A60C93">
      <w:pPr>
        <w:rPr>
          <w:rFonts w:ascii="Arial" w:hAnsi="Arial" w:cs="Arial"/>
          <w:sz w:val="28"/>
          <w:szCs w:val="28"/>
        </w:rPr>
      </w:pPr>
    </w:p>
    <w:p w14:paraId="19339802" w14:textId="7D968F52" w:rsidR="00A60C93" w:rsidRDefault="370793D7" w:rsidP="00312BD7">
      <w:pPr>
        <w:pStyle w:val="Heading1"/>
        <w:rPr>
          <w:rFonts w:ascii="Arial" w:hAnsi="Arial" w:cs="Arial"/>
          <w:sz w:val="32"/>
          <w:szCs w:val="32"/>
        </w:rPr>
      </w:pPr>
      <w:bookmarkStart w:id="0" w:name="_Toc1023439836"/>
      <w:r w:rsidRPr="5A1E62CD">
        <w:rPr>
          <w:rFonts w:ascii="Arial" w:hAnsi="Arial" w:cs="Arial"/>
          <w:sz w:val="32"/>
          <w:szCs w:val="32"/>
        </w:rPr>
        <w:t>Abstract</w:t>
      </w:r>
      <w:bookmarkEnd w:id="0"/>
    </w:p>
    <w:p w14:paraId="0CDE0A84" w14:textId="5E6DBFA8" w:rsidR="710B0E33" w:rsidRDefault="710B0E33" w:rsidP="5A1E62CD">
      <w:pPr>
        <w:spacing w:line="360" w:lineRule="auto"/>
        <w:jc w:val="both"/>
        <w:rPr>
          <w:rFonts w:ascii="Arial" w:eastAsia="Arial" w:hAnsi="Arial" w:cs="Arial"/>
          <w:sz w:val="24"/>
          <w:szCs w:val="24"/>
        </w:rPr>
      </w:pPr>
      <w:r w:rsidRPr="5A1E62CD">
        <w:rPr>
          <w:rFonts w:ascii="Arial" w:eastAsia="Arial" w:hAnsi="Arial" w:cs="Arial"/>
          <w:sz w:val="24"/>
          <w:szCs w:val="24"/>
        </w:rPr>
        <w:t>This report evaluates IKEA’s potential entry into the New Zealand market by applying key international business theories and strategic frameworks. It examines the external business environment through PESTLE analysis, Hofstede’s Cultural Dimensions and Porter’s Diamond Model, alongside Dunning’s Eclectic (OLI) Paradigm to assess the country</w:t>
      </w:r>
      <w:r w:rsidR="46E37050" w:rsidRPr="5A1E62CD">
        <w:rPr>
          <w:rFonts w:ascii="Arial" w:eastAsia="Arial" w:hAnsi="Arial" w:cs="Arial"/>
          <w:sz w:val="24"/>
          <w:szCs w:val="24"/>
        </w:rPr>
        <w:t>’</w:t>
      </w:r>
      <w:r w:rsidRPr="5A1E62CD">
        <w:rPr>
          <w:rFonts w:ascii="Arial" w:eastAsia="Arial" w:hAnsi="Arial" w:cs="Arial"/>
          <w:sz w:val="24"/>
          <w:szCs w:val="24"/>
        </w:rPr>
        <w:t>s attractiveness for foreign investment. The report also analyses IKEA</w:t>
      </w:r>
      <w:r w:rsidR="24327AB3" w:rsidRPr="5A1E62CD">
        <w:rPr>
          <w:rFonts w:ascii="Arial" w:eastAsia="Arial" w:hAnsi="Arial" w:cs="Arial"/>
          <w:sz w:val="24"/>
          <w:szCs w:val="24"/>
        </w:rPr>
        <w:t>’</w:t>
      </w:r>
      <w:r w:rsidRPr="5A1E62CD">
        <w:rPr>
          <w:rFonts w:ascii="Arial" w:eastAsia="Arial" w:hAnsi="Arial" w:cs="Arial"/>
          <w:sz w:val="24"/>
          <w:szCs w:val="24"/>
        </w:rPr>
        <w:t>s global strategy using Bartlett and Ghoshal</w:t>
      </w:r>
      <w:r w:rsidR="37EB6ACC" w:rsidRPr="5A1E62CD">
        <w:rPr>
          <w:rFonts w:ascii="Arial" w:eastAsia="Arial" w:hAnsi="Arial" w:cs="Arial"/>
          <w:sz w:val="24"/>
          <w:szCs w:val="24"/>
        </w:rPr>
        <w:t>’</w:t>
      </w:r>
      <w:r w:rsidRPr="5A1E62CD">
        <w:rPr>
          <w:rFonts w:ascii="Arial" w:eastAsia="Arial" w:hAnsi="Arial" w:cs="Arial"/>
          <w:sz w:val="24"/>
          <w:szCs w:val="24"/>
        </w:rPr>
        <w:t>s framework and evaluates alternative market entry modes before recommending franchising as the most suitable approach. The recommendation is based on balancing strategic control, financial risk, resource commitment and long-term market potential. The second section presents a critical reflection using Gibbs</w:t>
      </w:r>
      <w:r w:rsidR="19172BF4" w:rsidRPr="5A1E62CD">
        <w:rPr>
          <w:rFonts w:ascii="Arial" w:eastAsia="Arial" w:hAnsi="Arial" w:cs="Arial"/>
          <w:sz w:val="24"/>
          <w:szCs w:val="24"/>
        </w:rPr>
        <w:t>’</w:t>
      </w:r>
      <w:r w:rsidRPr="5A1E62CD">
        <w:rPr>
          <w:rFonts w:ascii="Arial" w:eastAsia="Arial" w:hAnsi="Arial" w:cs="Arial"/>
          <w:sz w:val="24"/>
          <w:szCs w:val="24"/>
        </w:rPr>
        <w:t xml:space="preserve"> Reflective Cycle, evaluating the research process, application of theory and key learning outcomes. Overall, the report demonstrates how international business frameworks support informed market entry decisions in a complex global environment.</w:t>
      </w:r>
    </w:p>
    <w:p w14:paraId="46AF984B" w14:textId="77777777" w:rsidR="00324E5D" w:rsidRDefault="00324E5D">
      <w:r>
        <w:br w:type="page"/>
      </w:r>
    </w:p>
    <w:sdt>
      <w:sdtPr>
        <w:rPr>
          <w:rFonts w:asciiTheme="minorHAnsi" w:eastAsiaTheme="minorHAnsi" w:hAnsiTheme="minorHAnsi" w:cstheme="minorBidi"/>
          <w:color w:val="auto"/>
          <w:kern w:val="2"/>
          <w:sz w:val="22"/>
          <w:szCs w:val="22"/>
          <w:lang w:eastAsia="en-US"/>
          <w14:ligatures w14:val="standardContextual"/>
        </w:rPr>
        <w:id w:val="-949774198"/>
        <w:docPartObj>
          <w:docPartGallery w:val="Table of Contents"/>
          <w:docPartUnique/>
        </w:docPartObj>
      </w:sdtPr>
      <w:sdtEndPr>
        <w:rPr>
          <w:rFonts w:eastAsiaTheme="minorEastAsia"/>
          <w:b/>
          <w:bCs/>
        </w:rPr>
      </w:sdtEndPr>
      <w:sdtContent>
        <w:p w14:paraId="0DB0938D" w14:textId="08634748" w:rsidR="00324E5D" w:rsidRDefault="00324E5D">
          <w:pPr>
            <w:pStyle w:val="TOCHeading"/>
          </w:pPr>
          <w:r>
            <w:t>Contents</w:t>
          </w:r>
        </w:p>
        <w:p w14:paraId="35E98AAD" w14:textId="538F4058" w:rsidR="00660119" w:rsidRDefault="00324E5D" w:rsidP="5A1E62CD">
          <w:pPr>
            <w:pStyle w:val="TOC1"/>
            <w:tabs>
              <w:tab w:val="right" w:leader="dot" w:pos="9015"/>
            </w:tabs>
          </w:pPr>
          <w:r>
            <w:fldChar w:fldCharType="begin"/>
          </w:r>
          <w:r>
            <w:instrText>TOC \o "1-3" \z \u \h</w:instrText>
          </w:r>
          <w:r>
            <w:fldChar w:fldCharType="separate"/>
          </w:r>
          <w:hyperlink w:anchor="_Toc1023439836">
            <w:r w:rsidR="5A1E62CD" w:rsidRPr="5A1E62CD">
              <w:rPr>
                <w:rStyle w:val="Hyperlink"/>
              </w:rPr>
              <w:t>Abstract</w:t>
            </w:r>
            <w:r>
              <w:tab/>
            </w:r>
            <w:r>
              <w:fldChar w:fldCharType="begin"/>
            </w:r>
            <w:r>
              <w:instrText>PAGEREF _Toc1023439836 \h</w:instrText>
            </w:r>
            <w:r>
              <w:fldChar w:fldCharType="separate"/>
            </w:r>
            <w:r w:rsidR="5A1E62CD" w:rsidRPr="5A1E62CD">
              <w:rPr>
                <w:rStyle w:val="Hyperlink"/>
              </w:rPr>
              <w:t>2</w:t>
            </w:r>
            <w:r>
              <w:fldChar w:fldCharType="end"/>
            </w:r>
          </w:hyperlink>
        </w:p>
        <w:p w14:paraId="5B79EF21" w14:textId="3C75CE48" w:rsidR="00660119" w:rsidRDefault="5A1E62CD" w:rsidP="5A1E62CD">
          <w:pPr>
            <w:pStyle w:val="TOC1"/>
            <w:tabs>
              <w:tab w:val="right" w:leader="dot" w:pos="9015"/>
            </w:tabs>
          </w:pPr>
          <w:hyperlink w:anchor="_Toc494334524">
            <w:r w:rsidRPr="5A1E62CD">
              <w:rPr>
                <w:rStyle w:val="Hyperlink"/>
              </w:rPr>
              <w:t>SECTION 1: International Business Analysis of IKEA’s Proposed Entry into New Zealand</w:t>
            </w:r>
            <w:r w:rsidR="00660119">
              <w:tab/>
            </w:r>
            <w:r w:rsidR="00660119">
              <w:fldChar w:fldCharType="begin"/>
            </w:r>
            <w:r w:rsidR="00660119">
              <w:instrText>PAGEREF _Toc494334524 \h</w:instrText>
            </w:r>
            <w:r w:rsidR="00660119">
              <w:fldChar w:fldCharType="separate"/>
            </w:r>
            <w:r w:rsidRPr="5A1E62CD">
              <w:rPr>
                <w:rStyle w:val="Hyperlink"/>
              </w:rPr>
              <w:t>3</w:t>
            </w:r>
            <w:r w:rsidR="00660119">
              <w:fldChar w:fldCharType="end"/>
            </w:r>
          </w:hyperlink>
        </w:p>
        <w:p w14:paraId="6FD7AE7C" w14:textId="663A4AB8" w:rsidR="00660119" w:rsidRDefault="5A1E62CD" w:rsidP="5A1E62CD">
          <w:pPr>
            <w:pStyle w:val="TOC1"/>
            <w:tabs>
              <w:tab w:val="right" w:leader="dot" w:pos="9015"/>
            </w:tabs>
          </w:pPr>
          <w:hyperlink w:anchor="_Toc344569368">
            <w:r w:rsidRPr="5A1E62CD">
              <w:rPr>
                <w:rStyle w:val="Hyperlink"/>
              </w:rPr>
              <w:t>Introduction</w:t>
            </w:r>
            <w:r w:rsidR="00660119">
              <w:tab/>
            </w:r>
            <w:r w:rsidR="00660119">
              <w:fldChar w:fldCharType="begin"/>
            </w:r>
            <w:r w:rsidR="00660119">
              <w:instrText>PAGEREF _Toc344569368 \h</w:instrText>
            </w:r>
            <w:r w:rsidR="00660119">
              <w:fldChar w:fldCharType="separate"/>
            </w:r>
            <w:r w:rsidRPr="5A1E62CD">
              <w:rPr>
                <w:rStyle w:val="Hyperlink"/>
              </w:rPr>
              <w:t>4</w:t>
            </w:r>
            <w:r w:rsidR="00660119">
              <w:fldChar w:fldCharType="end"/>
            </w:r>
          </w:hyperlink>
        </w:p>
        <w:p w14:paraId="404DC1A9" w14:textId="0FD6387D" w:rsidR="00660119" w:rsidRDefault="5A1E62CD" w:rsidP="5A1E62CD">
          <w:pPr>
            <w:pStyle w:val="TOC1"/>
            <w:tabs>
              <w:tab w:val="right" w:leader="dot" w:pos="9015"/>
            </w:tabs>
          </w:pPr>
          <w:hyperlink w:anchor="_Toc1021562224">
            <w:r w:rsidRPr="5A1E62CD">
              <w:rPr>
                <w:rStyle w:val="Hyperlink"/>
              </w:rPr>
              <w:t>1. Organisational Classification and Global Strategy</w:t>
            </w:r>
            <w:r w:rsidR="00660119">
              <w:tab/>
            </w:r>
            <w:r w:rsidR="00660119">
              <w:fldChar w:fldCharType="begin"/>
            </w:r>
            <w:r w:rsidR="00660119">
              <w:instrText>PAGEREF _Toc1021562224 \h</w:instrText>
            </w:r>
            <w:r w:rsidR="00660119">
              <w:fldChar w:fldCharType="separate"/>
            </w:r>
            <w:r w:rsidRPr="5A1E62CD">
              <w:rPr>
                <w:rStyle w:val="Hyperlink"/>
              </w:rPr>
              <w:t>5</w:t>
            </w:r>
            <w:r w:rsidR="00660119">
              <w:fldChar w:fldCharType="end"/>
            </w:r>
          </w:hyperlink>
        </w:p>
        <w:p w14:paraId="020B388E" w14:textId="14073DC4" w:rsidR="00660119" w:rsidRDefault="5A1E62CD" w:rsidP="5A1E62CD">
          <w:pPr>
            <w:pStyle w:val="TOC2"/>
            <w:tabs>
              <w:tab w:val="right" w:leader="dot" w:pos="9015"/>
            </w:tabs>
          </w:pPr>
          <w:hyperlink w:anchor="_Toc1695084693">
            <w:r w:rsidRPr="5A1E62CD">
              <w:rPr>
                <w:rStyle w:val="Hyperlink"/>
              </w:rPr>
              <w:t>1.1 Company Overview</w:t>
            </w:r>
            <w:r w:rsidR="00660119">
              <w:tab/>
            </w:r>
            <w:r w:rsidR="00660119">
              <w:fldChar w:fldCharType="begin"/>
            </w:r>
            <w:r w:rsidR="00660119">
              <w:instrText>PAGEREF _Toc1695084693 \h</w:instrText>
            </w:r>
            <w:r w:rsidR="00660119">
              <w:fldChar w:fldCharType="separate"/>
            </w:r>
            <w:r w:rsidRPr="5A1E62CD">
              <w:rPr>
                <w:rStyle w:val="Hyperlink"/>
              </w:rPr>
              <w:t>5</w:t>
            </w:r>
            <w:r w:rsidR="00660119">
              <w:fldChar w:fldCharType="end"/>
            </w:r>
          </w:hyperlink>
        </w:p>
        <w:p w14:paraId="03854FFE" w14:textId="0B17A7B9" w:rsidR="00660119" w:rsidRDefault="5A1E62CD" w:rsidP="5A1E62CD">
          <w:pPr>
            <w:pStyle w:val="TOC2"/>
            <w:tabs>
              <w:tab w:val="right" w:leader="dot" w:pos="9015"/>
            </w:tabs>
          </w:pPr>
          <w:hyperlink w:anchor="_Toc2061057100">
            <w:r w:rsidRPr="5A1E62CD">
              <w:rPr>
                <w:rStyle w:val="Hyperlink"/>
              </w:rPr>
              <w:t>1.2 Strategic Categorisation: Bartlett &amp; Ghoshal’s Framework</w:t>
            </w:r>
            <w:r w:rsidR="00660119">
              <w:tab/>
            </w:r>
            <w:r w:rsidR="00660119">
              <w:fldChar w:fldCharType="begin"/>
            </w:r>
            <w:r w:rsidR="00660119">
              <w:instrText>PAGEREF _Toc2061057100 \h</w:instrText>
            </w:r>
            <w:r w:rsidR="00660119">
              <w:fldChar w:fldCharType="separate"/>
            </w:r>
            <w:r w:rsidRPr="5A1E62CD">
              <w:rPr>
                <w:rStyle w:val="Hyperlink"/>
              </w:rPr>
              <w:t>5</w:t>
            </w:r>
            <w:r w:rsidR="00660119">
              <w:fldChar w:fldCharType="end"/>
            </w:r>
          </w:hyperlink>
        </w:p>
        <w:p w14:paraId="2C5A83CA" w14:textId="1AA990B5" w:rsidR="00660119" w:rsidRDefault="5A1E62CD" w:rsidP="5A1E62CD">
          <w:pPr>
            <w:pStyle w:val="TOC2"/>
            <w:tabs>
              <w:tab w:val="right" w:leader="dot" w:pos="9015"/>
            </w:tabs>
          </w:pPr>
          <w:hyperlink w:anchor="_Toc728775240">
            <w:r w:rsidRPr="5A1E62CD">
              <w:rPr>
                <w:rStyle w:val="Hyperlink"/>
              </w:rPr>
              <w:t>1.3 Global Configuration and Geographic Footprint</w:t>
            </w:r>
            <w:r w:rsidR="00660119">
              <w:tab/>
            </w:r>
            <w:r w:rsidR="00660119">
              <w:fldChar w:fldCharType="begin"/>
            </w:r>
            <w:r w:rsidR="00660119">
              <w:instrText>PAGEREF _Toc728775240 \h</w:instrText>
            </w:r>
            <w:r w:rsidR="00660119">
              <w:fldChar w:fldCharType="separate"/>
            </w:r>
            <w:r w:rsidRPr="5A1E62CD">
              <w:rPr>
                <w:rStyle w:val="Hyperlink"/>
              </w:rPr>
              <w:t>9</w:t>
            </w:r>
            <w:r w:rsidR="00660119">
              <w:fldChar w:fldCharType="end"/>
            </w:r>
          </w:hyperlink>
        </w:p>
        <w:p w14:paraId="277EB5EA" w14:textId="1DC35B2D" w:rsidR="00660119" w:rsidRDefault="5A1E62CD" w:rsidP="5A1E62CD">
          <w:pPr>
            <w:pStyle w:val="TOC1"/>
            <w:tabs>
              <w:tab w:val="right" w:leader="dot" w:pos="9015"/>
            </w:tabs>
          </w:pPr>
          <w:hyperlink w:anchor="_Toc1195234222">
            <w:r w:rsidRPr="5A1E62CD">
              <w:rPr>
                <w:rStyle w:val="Hyperlink"/>
              </w:rPr>
              <w:t>2. Macro-Environmental Appraisal and Market Attractiveness</w:t>
            </w:r>
            <w:r w:rsidR="00660119">
              <w:tab/>
            </w:r>
            <w:r w:rsidR="00660119">
              <w:fldChar w:fldCharType="begin"/>
            </w:r>
            <w:r w:rsidR="00660119">
              <w:instrText>PAGEREF _Toc1195234222 \h</w:instrText>
            </w:r>
            <w:r w:rsidR="00660119">
              <w:fldChar w:fldCharType="separate"/>
            </w:r>
            <w:r w:rsidRPr="5A1E62CD">
              <w:rPr>
                <w:rStyle w:val="Hyperlink"/>
              </w:rPr>
              <w:t>9</w:t>
            </w:r>
            <w:r w:rsidR="00660119">
              <w:fldChar w:fldCharType="end"/>
            </w:r>
          </w:hyperlink>
        </w:p>
        <w:p w14:paraId="43159EEC" w14:textId="6840422B" w:rsidR="00660119" w:rsidRDefault="5A1E62CD" w:rsidP="5A1E62CD">
          <w:pPr>
            <w:pStyle w:val="TOC2"/>
            <w:tabs>
              <w:tab w:val="right" w:leader="dot" w:pos="9015"/>
            </w:tabs>
          </w:pPr>
          <w:hyperlink w:anchor="_Toc1604122847">
            <w:r w:rsidRPr="5A1E62CD">
              <w:rPr>
                <w:rStyle w:val="Hyperlink"/>
              </w:rPr>
              <w:t>2.1 Political and Regulatory Environment</w:t>
            </w:r>
            <w:r w:rsidR="00660119">
              <w:tab/>
            </w:r>
            <w:r w:rsidR="00660119">
              <w:fldChar w:fldCharType="begin"/>
            </w:r>
            <w:r w:rsidR="00660119">
              <w:instrText>PAGEREF _Toc1604122847 \h</w:instrText>
            </w:r>
            <w:r w:rsidR="00660119">
              <w:fldChar w:fldCharType="separate"/>
            </w:r>
            <w:r w:rsidRPr="5A1E62CD">
              <w:rPr>
                <w:rStyle w:val="Hyperlink"/>
              </w:rPr>
              <w:t>9</w:t>
            </w:r>
            <w:r w:rsidR="00660119">
              <w:fldChar w:fldCharType="end"/>
            </w:r>
          </w:hyperlink>
        </w:p>
        <w:p w14:paraId="2F7E9BD0" w14:textId="40D6A5F3" w:rsidR="00660119" w:rsidRDefault="5A1E62CD" w:rsidP="5A1E62CD">
          <w:pPr>
            <w:pStyle w:val="TOC2"/>
            <w:tabs>
              <w:tab w:val="right" w:leader="dot" w:pos="9015"/>
            </w:tabs>
          </w:pPr>
          <w:hyperlink w:anchor="_Toc1781431056">
            <w:r w:rsidRPr="5A1E62CD">
              <w:rPr>
                <w:rStyle w:val="Hyperlink"/>
              </w:rPr>
              <w:t>2.2 Economic Environment</w:t>
            </w:r>
            <w:r w:rsidR="00660119">
              <w:tab/>
            </w:r>
            <w:r w:rsidR="00660119">
              <w:fldChar w:fldCharType="begin"/>
            </w:r>
            <w:r w:rsidR="00660119">
              <w:instrText>PAGEREF _Toc1781431056 \h</w:instrText>
            </w:r>
            <w:r w:rsidR="00660119">
              <w:fldChar w:fldCharType="separate"/>
            </w:r>
            <w:r w:rsidRPr="5A1E62CD">
              <w:rPr>
                <w:rStyle w:val="Hyperlink"/>
              </w:rPr>
              <w:t>10</w:t>
            </w:r>
            <w:r w:rsidR="00660119">
              <w:fldChar w:fldCharType="end"/>
            </w:r>
          </w:hyperlink>
        </w:p>
        <w:p w14:paraId="272C5514" w14:textId="7BA0A2CC" w:rsidR="00660119" w:rsidRDefault="5A1E62CD" w:rsidP="5A1E62CD">
          <w:pPr>
            <w:pStyle w:val="TOC2"/>
            <w:tabs>
              <w:tab w:val="right" w:leader="dot" w:pos="9015"/>
            </w:tabs>
          </w:pPr>
          <w:hyperlink w:anchor="_Toc1078371296">
            <w:r w:rsidRPr="5A1E62CD">
              <w:rPr>
                <w:rStyle w:val="Hyperlink"/>
              </w:rPr>
              <w:t>2.3 Legal Environment</w:t>
            </w:r>
            <w:r w:rsidR="00660119">
              <w:tab/>
            </w:r>
            <w:r w:rsidR="00660119">
              <w:fldChar w:fldCharType="begin"/>
            </w:r>
            <w:r w:rsidR="00660119">
              <w:instrText>PAGEREF _Toc1078371296 \h</w:instrText>
            </w:r>
            <w:r w:rsidR="00660119">
              <w:fldChar w:fldCharType="separate"/>
            </w:r>
            <w:r w:rsidRPr="5A1E62CD">
              <w:rPr>
                <w:rStyle w:val="Hyperlink"/>
              </w:rPr>
              <w:t>11</w:t>
            </w:r>
            <w:r w:rsidR="00660119">
              <w:fldChar w:fldCharType="end"/>
            </w:r>
          </w:hyperlink>
        </w:p>
        <w:p w14:paraId="6AC8A3EC" w14:textId="27AB8CC7" w:rsidR="00660119" w:rsidRDefault="5A1E62CD" w:rsidP="5A1E62CD">
          <w:pPr>
            <w:pStyle w:val="TOC2"/>
            <w:tabs>
              <w:tab w:val="right" w:leader="dot" w:pos="9015"/>
            </w:tabs>
          </w:pPr>
          <w:hyperlink w:anchor="_Toc688068555">
            <w:r w:rsidRPr="5A1E62CD">
              <w:rPr>
                <w:rStyle w:val="Hyperlink"/>
              </w:rPr>
              <w:t>2.4 Cultural Environment</w:t>
            </w:r>
            <w:r w:rsidR="00660119">
              <w:tab/>
            </w:r>
            <w:r w:rsidR="00660119">
              <w:fldChar w:fldCharType="begin"/>
            </w:r>
            <w:r w:rsidR="00660119">
              <w:instrText>PAGEREF _Toc688068555 \h</w:instrText>
            </w:r>
            <w:r w:rsidR="00660119">
              <w:fldChar w:fldCharType="separate"/>
            </w:r>
            <w:r w:rsidRPr="5A1E62CD">
              <w:rPr>
                <w:rStyle w:val="Hyperlink"/>
              </w:rPr>
              <w:t>11</w:t>
            </w:r>
            <w:r w:rsidR="00660119">
              <w:fldChar w:fldCharType="end"/>
            </w:r>
          </w:hyperlink>
        </w:p>
        <w:p w14:paraId="2E4595C3" w14:textId="6B1A5C46" w:rsidR="00660119" w:rsidRDefault="5A1E62CD" w:rsidP="5A1E62CD">
          <w:pPr>
            <w:pStyle w:val="TOC1"/>
            <w:tabs>
              <w:tab w:val="right" w:leader="dot" w:pos="9015"/>
            </w:tabs>
          </w:pPr>
          <w:hyperlink w:anchor="_Toc2025914569">
            <w:r w:rsidRPr="5A1E62CD">
              <w:rPr>
                <w:rStyle w:val="Hyperlink"/>
              </w:rPr>
              <w:t>3. Entry Mode Strategy and Strategic Synthesis</w:t>
            </w:r>
            <w:r w:rsidR="00660119">
              <w:tab/>
            </w:r>
            <w:r w:rsidR="00660119">
              <w:fldChar w:fldCharType="begin"/>
            </w:r>
            <w:r w:rsidR="00660119">
              <w:instrText>PAGEREF _Toc2025914569 \h</w:instrText>
            </w:r>
            <w:r w:rsidR="00660119">
              <w:fldChar w:fldCharType="separate"/>
            </w:r>
            <w:r w:rsidRPr="5A1E62CD">
              <w:rPr>
                <w:rStyle w:val="Hyperlink"/>
              </w:rPr>
              <w:t>14</w:t>
            </w:r>
            <w:r w:rsidR="00660119">
              <w:fldChar w:fldCharType="end"/>
            </w:r>
          </w:hyperlink>
        </w:p>
        <w:p w14:paraId="3E8F2B96" w14:textId="5D8D77A8" w:rsidR="00660119" w:rsidRDefault="5A1E62CD" w:rsidP="5A1E62CD">
          <w:pPr>
            <w:pStyle w:val="TOC2"/>
            <w:tabs>
              <w:tab w:val="right" w:leader="dot" w:pos="9015"/>
            </w:tabs>
          </w:pPr>
          <w:hyperlink w:anchor="_Toc357569835">
            <w:r w:rsidRPr="5A1E62CD">
              <w:rPr>
                <w:rStyle w:val="Hyperlink"/>
              </w:rPr>
              <w:t>3.1 Historical Pattern Recognition</w:t>
            </w:r>
            <w:r w:rsidR="00660119">
              <w:tab/>
            </w:r>
            <w:r w:rsidR="00660119">
              <w:fldChar w:fldCharType="begin"/>
            </w:r>
            <w:r w:rsidR="00660119">
              <w:instrText>PAGEREF _Toc357569835 \h</w:instrText>
            </w:r>
            <w:r w:rsidR="00660119">
              <w:fldChar w:fldCharType="separate"/>
            </w:r>
            <w:r w:rsidRPr="5A1E62CD">
              <w:rPr>
                <w:rStyle w:val="Hyperlink"/>
              </w:rPr>
              <w:t>14</w:t>
            </w:r>
            <w:r w:rsidR="00660119">
              <w:fldChar w:fldCharType="end"/>
            </w:r>
          </w:hyperlink>
        </w:p>
        <w:p w14:paraId="1587F9DA" w14:textId="46C8B8AB" w:rsidR="00660119" w:rsidRDefault="5A1E62CD" w:rsidP="5A1E62CD">
          <w:pPr>
            <w:pStyle w:val="TOC2"/>
            <w:tabs>
              <w:tab w:val="right" w:leader="dot" w:pos="9015"/>
            </w:tabs>
          </w:pPr>
          <w:hyperlink w:anchor="_Toc625567704">
            <w:r w:rsidRPr="5A1E62CD">
              <w:rPr>
                <w:rStyle w:val="Hyperlink"/>
              </w:rPr>
              <w:t>3.2 The Eclectic Paradigm/ OLI Framework</w:t>
            </w:r>
            <w:r w:rsidR="00660119">
              <w:tab/>
            </w:r>
            <w:r w:rsidR="00660119">
              <w:fldChar w:fldCharType="begin"/>
            </w:r>
            <w:r w:rsidR="00660119">
              <w:instrText>PAGEREF _Toc625567704 \h</w:instrText>
            </w:r>
            <w:r w:rsidR="00660119">
              <w:fldChar w:fldCharType="separate"/>
            </w:r>
            <w:r w:rsidRPr="5A1E62CD">
              <w:rPr>
                <w:rStyle w:val="Hyperlink"/>
              </w:rPr>
              <w:t>15</w:t>
            </w:r>
            <w:r w:rsidR="00660119">
              <w:fldChar w:fldCharType="end"/>
            </w:r>
          </w:hyperlink>
        </w:p>
        <w:p w14:paraId="1C88EA4D" w14:textId="64FDFB69" w:rsidR="00660119" w:rsidRDefault="5A1E62CD" w:rsidP="5A1E62CD">
          <w:pPr>
            <w:pStyle w:val="TOC3"/>
            <w:tabs>
              <w:tab w:val="right" w:leader="dot" w:pos="9015"/>
            </w:tabs>
          </w:pPr>
          <w:hyperlink w:anchor="_Toc997773269">
            <w:r w:rsidRPr="5A1E62CD">
              <w:rPr>
                <w:rStyle w:val="Hyperlink"/>
              </w:rPr>
              <w:t>3.2.1 Ownership Advantages (O)</w:t>
            </w:r>
            <w:r w:rsidR="00660119">
              <w:tab/>
            </w:r>
            <w:r w:rsidR="00660119">
              <w:fldChar w:fldCharType="begin"/>
            </w:r>
            <w:r w:rsidR="00660119">
              <w:instrText>PAGEREF _Toc997773269 \h</w:instrText>
            </w:r>
            <w:r w:rsidR="00660119">
              <w:fldChar w:fldCharType="separate"/>
            </w:r>
            <w:r w:rsidRPr="5A1E62CD">
              <w:rPr>
                <w:rStyle w:val="Hyperlink"/>
              </w:rPr>
              <w:t>15</w:t>
            </w:r>
            <w:r w:rsidR="00660119">
              <w:fldChar w:fldCharType="end"/>
            </w:r>
          </w:hyperlink>
        </w:p>
        <w:p w14:paraId="4B915819" w14:textId="36082DD0" w:rsidR="00660119" w:rsidRDefault="5A1E62CD" w:rsidP="5A1E62CD">
          <w:pPr>
            <w:pStyle w:val="TOC3"/>
            <w:tabs>
              <w:tab w:val="right" w:leader="dot" w:pos="9015"/>
            </w:tabs>
          </w:pPr>
          <w:hyperlink w:anchor="_Toc1412217750">
            <w:r w:rsidRPr="5A1E62CD">
              <w:rPr>
                <w:rStyle w:val="Hyperlink"/>
              </w:rPr>
              <w:t>3.2.2 Location Advantages (L)</w:t>
            </w:r>
            <w:r w:rsidR="00660119">
              <w:tab/>
            </w:r>
            <w:r w:rsidR="00660119">
              <w:fldChar w:fldCharType="begin"/>
            </w:r>
            <w:r w:rsidR="00660119">
              <w:instrText>PAGEREF _Toc1412217750 \h</w:instrText>
            </w:r>
            <w:r w:rsidR="00660119">
              <w:fldChar w:fldCharType="separate"/>
            </w:r>
            <w:r w:rsidRPr="5A1E62CD">
              <w:rPr>
                <w:rStyle w:val="Hyperlink"/>
              </w:rPr>
              <w:t>16</w:t>
            </w:r>
            <w:r w:rsidR="00660119">
              <w:fldChar w:fldCharType="end"/>
            </w:r>
          </w:hyperlink>
        </w:p>
        <w:p w14:paraId="21EDA5E7" w14:textId="0061D352" w:rsidR="00660119" w:rsidRDefault="5A1E62CD" w:rsidP="5A1E62CD">
          <w:pPr>
            <w:pStyle w:val="TOC3"/>
            <w:tabs>
              <w:tab w:val="right" w:leader="dot" w:pos="9015"/>
            </w:tabs>
          </w:pPr>
          <w:hyperlink w:anchor="_Toc1435297382">
            <w:r w:rsidRPr="5A1E62CD">
              <w:rPr>
                <w:rStyle w:val="Hyperlink"/>
              </w:rPr>
              <w:t>3.2.3 Internalisation Advantages (I)</w:t>
            </w:r>
            <w:r w:rsidR="00660119">
              <w:tab/>
            </w:r>
            <w:r w:rsidR="00660119">
              <w:fldChar w:fldCharType="begin"/>
            </w:r>
            <w:r w:rsidR="00660119">
              <w:instrText>PAGEREF _Toc1435297382 \h</w:instrText>
            </w:r>
            <w:r w:rsidR="00660119">
              <w:fldChar w:fldCharType="separate"/>
            </w:r>
            <w:r w:rsidRPr="5A1E62CD">
              <w:rPr>
                <w:rStyle w:val="Hyperlink"/>
              </w:rPr>
              <w:t>16</w:t>
            </w:r>
            <w:r w:rsidR="00660119">
              <w:fldChar w:fldCharType="end"/>
            </w:r>
          </w:hyperlink>
        </w:p>
        <w:p w14:paraId="35025B32" w14:textId="244C6489" w:rsidR="00660119" w:rsidRDefault="5A1E62CD" w:rsidP="5A1E62CD">
          <w:pPr>
            <w:pStyle w:val="TOC1"/>
            <w:tabs>
              <w:tab w:val="right" w:leader="dot" w:pos="9015"/>
            </w:tabs>
          </w:pPr>
          <w:hyperlink w:anchor="_Toc375477910">
            <w:r w:rsidRPr="5A1E62CD">
              <w:rPr>
                <w:rStyle w:val="Hyperlink"/>
              </w:rPr>
              <w:t>4. Entry Mode Strategy and Strategic Integration</w:t>
            </w:r>
            <w:r w:rsidR="00660119">
              <w:tab/>
            </w:r>
            <w:r w:rsidR="00660119">
              <w:fldChar w:fldCharType="begin"/>
            </w:r>
            <w:r w:rsidR="00660119">
              <w:instrText>PAGEREF _Toc375477910 \h</w:instrText>
            </w:r>
            <w:r w:rsidR="00660119">
              <w:fldChar w:fldCharType="separate"/>
            </w:r>
            <w:r w:rsidRPr="5A1E62CD">
              <w:rPr>
                <w:rStyle w:val="Hyperlink"/>
              </w:rPr>
              <w:t>17</w:t>
            </w:r>
            <w:r w:rsidR="00660119">
              <w:fldChar w:fldCharType="end"/>
            </w:r>
          </w:hyperlink>
        </w:p>
        <w:p w14:paraId="3671638F" w14:textId="4B0C0A90" w:rsidR="00660119" w:rsidRDefault="5A1E62CD" w:rsidP="5A1E62CD">
          <w:pPr>
            <w:pStyle w:val="TOC2"/>
            <w:tabs>
              <w:tab w:val="right" w:leader="dot" w:pos="9015"/>
            </w:tabs>
          </w:pPr>
          <w:hyperlink w:anchor="_Toc201675997">
            <w:r w:rsidRPr="5A1E62CD">
              <w:rPr>
                <w:rStyle w:val="Hyperlink"/>
              </w:rPr>
              <w:t>4.1 Historical Entry Mode Patterns</w:t>
            </w:r>
            <w:r w:rsidR="00660119">
              <w:tab/>
            </w:r>
            <w:r w:rsidR="00660119">
              <w:fldChar w:fldCharType="begin"/>
            </w:r>
            <w:r w:rsidR="00660119">
              <w:instrText>PAGEREF _Toc201675997 \h</w:instrText>
            </w:r>
            <w:r w:rsidR="00660119">
              <w:fldChar w:fldCharType="separate"/>
            </w:r>
            <w:r w:rsidRPr="5A1E62CD">
              <w:rPr>
                <w:rStyle w:val="Hyperlink"/>
              </w:rPr>
              <w:t>17</w:t>
            </w:r>
            <w:r w:rsidR="00660119">
              <w:fldChar w:fldCharType="end"/>
            </w:r>
          </w:hyperlink>
        </w:p>
        <w:p w14:paraId="370528FC" w14:textId="7905A18C" w:rsidR="00660119" w:rsidRDefault="5A1E62CD" w:rsidP="5A1E62CD">
          <w:pPr>
            <w:pStyle w:val="TOC2"/>
            <w:tabs>
              <w:tab w:val="right" w:leader="dot" w:pos="9015"/>
            </w:tabs>
          </w:pPr>
          <w:hyperlink w:anchor="_Toc243601552">
            <w:r w:rsidRPr="5A1E62CD">
              <w:rPr>
                <w:rStyle w:val="Hyperlink"/>
              </w:rPr>
              <w:t>4.2 Evaluation of Entry Mode Options for New Zealand</w:t>
            </w:r>
            <w:r w:rsidR="00660119">
              <w:tab/>
            </w:r>
            <w:r w:rsidR="00660119">
              <w:fldChar w:fldCharType="begin"/>
            </w:r>
            <w:r w:rsidR="00660119">
              <w:instrText>PAGEREF _Toc243601552 \h</w:instrText>
            </w:r>
            <w:r w:rsidR="00660119">
              <w:fldChar w:fldCharType="separate"/>
            </w:r>
            <w:r w:rsidRPr="5A1E62CD">
              <w:rPr>
                <w:rStyle w:val="Hyperlink"/>
              </w:rPr>
              <w:t>17</w:t>
            </w:r>
            <w:r w:rsidR="00660119">
              <w:fldChar w:fldCharType="end"/>
            </w:r>
          </w:hyperlink>
        </w:p>
        <w:p w14:paraId="5C0222B0" w14:textId="07910F57" w:rsidR="00660119" w:rsidRDefault="5A1E62CD" w:rsidP="5A1E62CD">
          <w:pPr>
            <w:pStyle w:val="TOC2"/>
            <w:tabs>
              <w:tab w:val="right" w:leader="dot" w:pos="9015"/>
            </w:tabs>
          </w:pPr>
          <w:hyperlink w:anchor="_Toc1195150696">
            <w:r w:rsidRPr="5A1E62CD">
              <w:rPr>
                <w:rStyle w:val="Hyperlink"/>
              </w:rPr>
              <w:t>4.3 Recommended Entry Mode</w:t>
            </w:r>
            <w:r w:rsidR="00660119">
              <w:tab/>
            </w:r>
            <w:r w:rsidR="00660119">
              <w:fldChar w:fldCharType="begin"/>
            </w:r>
            <w:r w:rsidR="00660119">
              <w:instrText>PAGEREF _Toc1195150696 \h</w:instrText>
            </w:r>
            <w:r w:rsidR="00660119">
              <w:fldChar w:fldCharType="separate"/>
            </w:r>
            <w:r w:rsidRPr="5A1E62CD">
              <w:rPr>
                <w:rStyle w:val="Hyperlink"/>
              </w:rPr>
              <w:t>18</w:t>
            </w:r>
            <w:r w:rsidR="00660119">
              <w:fldChar w:fldCharType="end"/>
            </w:r>
          </w:hyperlink>
        </w:p>
        <w:p w14:paraId="58F99D4B" w14:textId="11FB42CF" w:rsidR="00660119" w:rsidRDefault="5A1E62CD" w:rsidP="5A1E62CD">
          <w:pPr>
            <w:pStyle w:val="TOC1"/>
            <w:tabs>
              <w:tab w:val="right" w:leader="dot" w:pos="9015"/>
            </w:tabs>
          </w:pPr>
          <w:hyperlink w:anchor="_Toc57465086">
            <w:r w:rsidRPr="5A1E62CD">
              <w:rPr>
                <w:rStyle w:val="Hyperlink"/>
              </w:rPr>
              <w:t>5. Strategic Recommendations</w:t>
            </w:r>
            <w:r w:rsidR="00660119">
              <w:tab/>
            </w:r>
            <w:r w:rsidR="00660119">
              <w:fldChar w:fldCharType="begin"/>
            </w:r>
            <w:r w:rsidR="00660119">
              <w:instrText>PAGEREF _Toc57465086 \h</w:instrText>
            </w:r>
            <w:r w:rsidR="00660119">
              <w:fldChar w:fldCharType="separate"/>
            </w:r>
            <w:r w:rsidRPr="5A1E62CD">
              <w:rPr>
                <w:rStyle w:val="Hyperlink"/>
              </w:rPr>
              <w:t>19</w:t>
            </w:r>
            <w:r w:rsidR="00660119">
              <w:fldChar w:fldCharType="end"/>
            </w:r>
          </w:hyperlink>
        </w:p>
        <w:p w14:paraId="1A8E41CE" w14:textId="5F881C0F" w:rsidR="4C3DC9EF" w:rsidRDefault="5A1E62CD" w:rsidP="5A1E62CD">
          <w:pPr>
            <w:pStyle w:val="TOC1"/>
            <w:tabs>
              <w:tab w:val="right" w:leader="dot" w:pos="9015"/>
            </w:tabs>
          </w:pPr>
          <w:hyperlink w:anchor="_Toc1344709191">
            <w:r w:rsidRPr="5A1E62CD">
              <w:rPr>
                <w:rStyle w:val="Hyperlink"/>
              </w:rPr>
              <w:t>Conclusion</w:t>
            </w:r>
            <w:r w:rsidR="4C3DC9EF">
              <w:tab/>
            </w:r>
            <w:r w:rsidR="4C3DC9EF">
              <w:fldChar w:fldCharType="begin"/>
            </w:r>
            <w:r w:rsidR="4C3DC9EF">
              <w:instrText>PAGEREF _Toc1344709191 \h</w:instrText>
            </w:r>
            <w:r w:rsidR="4C3DC9EF">
              <w:fldChar w:fldCharType="separate"/>
            </w:r>
            <w:r w:rsidRPr="5A1E62CD">
              <w:rPr>
                <w:rStyle w:val="Hyperlink"/>
              </w:rPr>
              <w:t>20</w:t>
            </w:r>
            <w:r w:rsidR="4C3DC9EF">
              <w:fldChar w:fldCharType="end"/>
            </w:r>
          </w:hyperlink>
        </w:p>
        <w:p w14:paraId="16BDDA1D" w14:textId="24E915A9" w:rsidR="5A1E62CD" w:rsidRDefault="5A1E62CD" w:rsidP="5A1E62CD">
          <w:pPr>
            <w:pStyle w:val="TOC1"/>
            <w:tabs>
              <w:tab w:val="right" w:leader="dot" w:pos="9015"/>
            </w:tabs>
          </w:pPr>
          <w:hyperlink w:anchor="_Toc762463210">
            <w:r w:rsidRPr="5A1E62CD">
              <w:rPr>
                <w:rStyle w:val="Hyperlink"/>
              </w:rPr>
              <w:t>SECTION 2: Reflection</w:t>
            </w:r>
            <w:r>
              <w:tab/>
            </w:r>
            <w:r>
              <w:fldChar w:fldCharType="begin"/>
            </w:r>
            <w:r>
              <w:instrText>PAGEREF _Toc762463210 \h</w:instrText>
            </w:r>
            <w:r>
              <w:fldChar w:fldCharType="separate"/>
            </w:r>
            <w:r w:rsidRPr="5A1E62CD">
              <w:rPr>
                <w:rStyle w:val="Hyperlink"/>
              </w:rPr>
              <w:t>20</w:t>
            </w:r>
            <w:r>
              <w:fldChar w:fldCharType="end"/>
            </w:r>
          </w:hyperlink>
        </w:p>
        <w:p w14:paraId="10882DEC" w14:textId="08D848CC" w:rsidR="5A1E62CD" w:rsidRDefault="5A1E62CD" w:rsidP="5A1E62CD">
          <w:pPr>
            <w:pStyle w:val="TOC1"/>
            <w:tabs>
              <w:tab w:val="right" w:leader="dot" w:pos="9015"/>
            </w:tabs>
          </w:pPr>
          <w:hyperlink w:anchor="_Toc1700738067">
            <w:r w:rsidRPr="5A1E62CD">
              <w:rPr>
                <w:rStyle w:val="Hyperlink"/>
              </w:rPr>
              <w:t>1. Description</w:t>
            </w:r>
            <w:r>
              <w:tab/>
            </w:r>
            <w:r>
              <w:fldChar w:fldCharType="begin"/>
            </w:r>
            <w:r>
              <w:instrText>PAGEREF _Toc1700738067 \h</w:instrText>
            </w:r>
            <w:r>
              <w:fldChar w:fldCharType="separate"/>
            </w:r>
            <w:r w:rsidRPr="5A1E62CD">
              <w:rPr>
                <w:rStyle w:val="Hyperlink"/>
              </w:rPr>
              <w:t>21</w:t>
            </w:r>
            <w:r>
              <w:fldChar w:fldCharType="end"/>
            </w:r>
          </w:hyperlink>
        </w:p>
        <w:p w14:paraId="7359ED72" w14:textId="4C9765CE" w:rsidR="5A1E62CD" w:rsidRDefault="5A1E62CD" w:rsidP="5A1E62CD">
          <w:pPr>
            <w:pStyle w:val="TOC1"/>
            <w:tabs>
              <w:tab w:val="right" w:leader="dot" w:pos="9015"/>
            </w:tabs>
          </w:pPr>
          <w:hyperlink w:anchor="_Toc816993154">
            <w:r w:rsidRPr="5A1E62CD">
              <w:rPr>
                <w:rStyle w:val="Hyperlink"/>
              </w:rPr>
              <w:t>2. Feelings</w:t>
            </w:r>
            <w:r>
              <w:tab/>
            </w:r>
            <w:r>
              <w:fldChar w:fldCharType="begin"/>
            </w:r>
            <w:r>
              <w:instrText>PAGEREF _Toc816993154 \h</w:instrText>
            </w:r>
            <w:r>
              <w:fldChar w:fldCharType="separate"/>
            </w:r>
            <w:r w:rsidRPr="5A1E62CD">
              <w:rPr>
                <w:rStyle w:val="Hyperlink"/>
              </w:rPr>
              <w:t>22</w:t>
            </w:r>
            <w:r>
              <w:fldChar w:fldCharType="end"/>
            </w:r>
          </w:hyperlink>
        </w:p>
        <w:p w14:paraId="2B436DF5" w14:textId="3A513781" w:rsidR="5A1E62CD" w:rsidRDefault="5A1E62CD" w:rsidP="5A1E62CD">
          <w:pPr>
            <w:pStyle w:val="TOC1"/>
            <w:tabs>
              <w:tab w:val="right" w:leader="dot" w:pos="9015"/>
            </w:tabs>
          </w:pPr>
          <w:hyperlink w:anchor="_Toc1318222290">
            <w:r w:rsidRPr="5A1E62CD">
              <w:rPr>
                <w:rStyle w:val="Hyperlink"/>
              </w:rPr>
              <w:t>3. Evaluation</w:t>
            </w:r>
            <w:r>
              <w:tab/>
            </w:r>
            <w:r>
              <w:fldChar w:fldCharType="begin"/>
            </w:r>
            <w:r>
              <w:instrText>PAGEREF _Toc1318222290 \h</w:instrText>
            </w:r>
            <w:r>
              <w:fldChar w:fldCharType="separate"/>
            </w:r>
            <w:r w:rsidRPr="5A1E62CD">
              <w:rPr>
                <w:rStyle w:val="Hyperlink"/>
              </w:rPr>
              <w:t>22</w:t>
            </w:r>
            <w:r>
              <w:fldChar w:fldCharType="end"/>
            </w:r>
          </w:hyperlink>
        </w:p>
        <w:p w14:paraId="4FDD2C48" w14:textId="18E4274B" w:rsidR="5A1E62CD" w:rsidRDefault="5A1E62CD" w:rsidP="5A1E62CD">
          <w:pPr>
            <w:pStyle w:val="TOC1"/>
            <w:tabs>
              <w:tab w:val="right" w:leader="dot" w:pos="9015"/>
            </w:tabs>
          </w:pPr>
          <w:hyperlink w:anchor="_Toc466510048">
            <w:r w:rsidRPr="5A1E62CD">
              <w:rPr>
                <w:rStyle w:val="Hyperlink"/>
              </w:rPr>
              <w:t>4. Analysis</w:t>
            </w:r>
            <w:r>
              <w:tab/>
            </w:r>
            <w:r>
              <w:fldChar w:fldCharType="begin"/>
            </w:r>
            <w:r>
              <w:instrText>PAGEREF _Toc466510048 \h</w:instrText>
            </w:r>
            <w:r>
              <w:fldChar w:fldCharType="separate"/>
            </w:r>
            <w:r w:rsidRPr="5A1E62CD">
              <w:rPr>
                <w:rStyle w:val="Hyperlink"/>
              </w:rPr>
              <w:t>23</w:t>
            </w:r>
            <w:r>
              <w:fldChar w:fldCharType="end"/>
            </w:r>
          </w:hyperlink>
        </w:p>
        <w:p w14:paraId="4C0ADA77" w14:textId="1DB9281C" w:rsidR="5A1E62CD" w:rsidRDefault="5A1E62CD" w:rsidP="5A1E62CD">
          <w:pPr>
            <w:pStyle w:val="TOC1"/>
            <w:tabs>
              <w:tab w:val="right" w:leader="dot" w:pos="9015"/>
            </w:tabs>
          </w:pPr>
          <w:hyperlink w:anchor="_Toc1171967114">
            <w:r w:rsidRPr="5A1E62CD">
              <w:rPr>
                <w:rStyle w:val="Hyperlink"/>
              </w:rPr>
              <w:t>5. Conclusion</w:t>
            </w:r>
            <w:r>
              <w:tab/>
            </w:r>
            <w:r>
              <w:fldChar w:fldCharType="begin"/>
            </w:r>
            <w:r>
              <w:instrText>PAGEREF _Toc1171967114 \h</w:instrText>
            </w:r>
            <w:r>
              <w:fldChar w:fldCharType="separate"/>
            </w:r>
            <w:r w:rsidRPr="5A1E62CD">
              <w:rPr>
                <w:rStyle w:val="Hyperlink"/>
              </w:rPr>
              <w:t>25</w:t>
            </w:r>
            <w:r>
              <w:fldChar w:fldCharType="end"/>
            </w:r>
          </w:hyperlink>
        </w:p>
        <w:p w14:paraId="3C7B2708" w14:textId="34CC24FE" w:rsidR="5A1E62CD" w:rsidRDefault="5A1E62CD" w:rsidP="5A1E62CD">
          <w:pPr>
            <w:pStyle w:val="TOC1"/>
            <w:tabs>
              <w:tab w:val="right" w:leader="dot" w:pos="9015"/>
            </w:tabs>
          </w:pPr>
          <w:hyperlink w:anchor="_Toc465965918">
            <w:r w:rsidRPr="5A1E62CD">
              <w:rPr>
                <w:rStyle w:val="Hyperlink"/>
              </w:rPr>
              <w:t>6. Action Plan</w:t>
            </w:r>
            <w:r>
              <w:tab/>
            </w:r>
            <w:r>
              <w:fldChar w:fldCharType="begin"/>
            </w:r>
            <w:r>
              <w:instrText>PAGEREF _Toc465965918 \h</w:instrText>
            </w:r>
            <w:r>
              <w:fldChar w:fldCharType="separate"/>
            </w:r>
            <w:r w:rsidRPr="5A1E62CD">
              <w:rPr>
                <w:rStyle w:val="Hyperlink"/>
              </w:rPr>
              <w:t>25</w:t>
            </w:r>
            <w:r>
              <w:fldChar w:fldCharType="end"/>
            </w:r>
          </w:hyperlink>
        </w:p>
        <w:p w14:paraId="66DC64B1" w14:textId="36441BAF" w:rsidR="5A1E62CD" w:rsidRDefault="5A1E62CD" w:rsidP="5A1E62CD">
          <w:pPr>
            <w:pStyle w:val="TOC1"/>
            <w:tabs>
              <w:tab w:val="right" w:leader="dot" w:pos="9015"/>
            </w:tabs>
          </w:pPr>
          <w:hyperlink w:anchor="_Toc1264131837">
            <w:r w:rsidRPr="5A1E62CD">
              <w:rPr>
                <w:rStyle w:val="Hyperlink"/>
              </w:rPr>
              <w:t>References</w:t>
            </w:r>
            <w:r>
              <w:tab/>
            </w:r>
            <w:r>
              <w:fldChar w:fldCharType="begin"/>
            </w:r>
            <w:r>
              <w:instrText>PAGEREF _Toc1264131837 \h</w:instrText>
            </w:r>
            <w:r>
              <w:fldChar w:fldCharType="separate"/>
            </w:r>
            <w:r w:rsidRPr="5A1E62CD">
              <w:rPr>
                <w:rStyle w:val="Hyperlink"/>
              </w:rPr>
              <w:t>25</w:t>
            </w:r>
            <w:r>
              <w:fldChar w:fldCharType="end"/>
            </w:r>
          </w:hyperlink>
        </w:p>
        <w:p w14:paraId="4A1941C4" w14:textId="7B141A8A" w:rsidR="00324E5D" w:rsidRDefault="00324E5D">
          <w:r>
            <w:rPr>
              <w:b/>
              <w:bCs/>
            </w:rPr>
            <w:fldChar w:fldCharType="end"/>
          </w:r>
        </w:p>
      </w:sdtContent>
    </w:sdt>
    <w:p w14:paraId="0AE203CB" w14:textId="0E50A3FB" w:rsidR="00312BD7" w:rsidRDefault="00312BD7">
      <w:r>
        <w:br w:type="page"/>
      </w:r>
    </w:p>
    <w:p w14:paraId="13337D72" w14:textId="3567EFA8" w:rsidR="00312BD7" w:rsidRPr="00312BD7" w:rsidRDefault="370793D7" w:rsidP="5A1E62CD">
      <w:pPr>
        <w:pStyle w:val="Heading1"/>
        <w:keepNext w:val="0"/>
        <w:keepLines w:val="0"/>
        <w:rPr>
          <w:rFonts w:ascii="Arial" w:eastAsia="Arial" w:hAnsi="Arial" w:cs="Arial"/>
          <w:sz w:val="36"/>
          <w:szCs w:val="36"/>
        </w:rPr>
      </w:pPr>
      <w:bookmarkStart w:id="1" w:name="_Toc494334524"/>
      <w:r w:rsidRPr="5A1E62CD">
        <w:rPr>
          <w:rFonts w:ascii="Arial" w:eastAsia="Arial" w:hAnsi="Arial" w:cs="Arial"/>
          <w:sz w:val="36"/>
          <w:szCs w:val="36"/>
        </w:rPr>
        <w:lastRenderedPageBreak/>
        <w:t xml:space="preserve">SECTION 1: </w:t>
      </w:r>
      <w:r w:rsidR="1957CD7C" w:rsidRPr="5A1E62CD">
        <w:rPr>
          <w:rFonts w:ascii="Arial" w:eastAsia="Arial" w:hAnsi="Arial" w:cs="Arial"/>
          <w:sz w:val="36"/>
          <w:szCs w:val="36"/>
        </w:rPr>
        <w:t>International Business Analysis of IKEA’s Proposed Entry into New Zealand</w:t>
      </w:r>
      <w:bookmarkEnd w:id="1"/>
    </w:p>
    <w:p w14:paraId="0821368F" w14:textId="3EEFDE64" w:rsidR="00312BD7" w:rsidRDefault="370793D7" w:rsidP="5A1E62CD">
      <w:pPr>
        <w:pStyle w:val="Heading1"/>
        <w:keepNext w:val="0"/>
        <w:keepLines w:val="0"/>
        <w:spacing w:line="360" w:lineRule="auto"/>
        <w:rPr>
          <w:rFonts w:ascii="Arial" w:hAnsi="Arial" w:cs="Arial"/>
          <w:sz w:val="32"/>
          <w:szCs w:val="32"/>
        </w:rPr>
      </w:pPr>
      <w:bookmarkStart w:id="2" w:name="_Toc344569368"/>
      <w:r w:rsidRPr="5A1E62CD">
        <w:rPr>
          <w:rFonts w:ascii="Arial" w:hAnsi="Arial" w:cs="Arial"/>
          <w:sz w:val="32"/>
          <w:szCs w:val="32"/>
        </w:rPr>
        <w:t>Introduction</w:t>
      </w:r>
      <w:bookmarkEnd w:id="2"/>
    </w:p>
    <w:p w14:paraId="561195E0" w14:textId="74FEC248" w:rsidR="00312BD7" w:rsidRDefault="00312BD7" w:rsidP="5A1E62CD">
      <w:pPr>
        <w:spacing w:line="360" w:lineRule="auto"/>
        <w:jc w:val="both"/>
        <w:rPr>
          <w:rFonts w:ascii="Arial" w:hAnsi="Arial" w:cs="Arial"/>
          <w:sz w:val="24"/>
          <w:szCs w:val="24"/>
        </w:rPr>
      </w:pPr>
      <w:r w:rsidRPr="5A1E62CD">
        <w:rPr>
          <w:rFonts w:ascii="Arial" w:hAnsi="Arial" w:cs="Arial"/>
          <w:sz w:val="24"/>
          <w:szCs w:val="24"/>
        </w:rPr>
        <w:t>With an emphasis on the expansion of a multinational firm into a nation where it presently lacks a substantial operational presence, this re</w:t>
      </w:r>
      <w:r w:rsidR="000B50EC" w:rsidRPr="5A1E62CD">
        <w:rPr>
          <w:rFonts w:ascii="Arial" w:hAnsi="Arial" w:cs="Arial"/>
          <w:sz w:val="24"/>
          <w:szCs w:val="24"/>
        </w:rPr>
        <w:t>port</w:t>
      </w:r>
      <w:r w:rsidRPr="5A1E62CD">
        <w:rPr>
          <w:rFonts w:ascii="Arial" w:hAnsi="Arial" w:cs="Arial"/>
          <w:sz w:val="24"/>
          <w:szCs w:val="24"/>
        </w:rPr>
        <w:t xml:space="preserve"> examines the strategic issues involved in entering international markets. The research evaluates New Zealand</w:t>
      </w:r>
      <w:r w:rsidR="504FED49" w:rsidRPr="5A1E62CD">
        <w:rPr>
          <w:rFonts w:ascii="Arial" w:hAnsi="Arial" w:cs="Arial"/>
          <w:sz w:val="24"/>
          <w:szCs w:val="24"/>
        </w:rPr>
        <w:t>’</w:t>
      </w:r>
      <w:r w:rsidRPr="5A1E62CD">
        <w:rPr>
          <w:rFonts w:ascii="Arial" w:hAnsi="Arial" w:cs="Arial"/>
          <w:sz w:val="24"/>
          <w:szCs w:val="24"/>
        </w:rPr>
        <w:t>s suitability as a potential host market using prominent international business theories, including Bartlett and Ghoshal</w:t>
      </w:r>
      <w:r w:rsidR="7D41B6C2" w:rsidRPr="5A1E62CD">
        <w:rPr>
          <w:rFonts w:ascii="Arial" w:hAnsi="Arial" w:cs="Arial"/>
          <w:sz w:val="24"/>
          <w:szCs w:val="24"/>
        </w:rPr>
        <w:t>’</w:t>
      </w:r>
      <w:r w:rsidRPr="5A1E62CD">
        <w:rPr>
          <w:rFonts w:ascii="Arial" w:hAnsi="Arial" w:cs="Arial"/>
          <w:sz w:val="24"/>
          <w:szCs w:val="24"/>
        </w:rPr>
        <w:t>s global strategy framework, Dunning</w:t>
      </w:r>
      <w:r w:rsidR="68B8858E" w:rsidRPr="5A1E62CD">
        <w:rPr>
          <w:rFonts w:ascii="Arial" w:hAnsi="Arial" w:cs="Arial"/>
          <w:sz w:val="24"/>
          <w:szCs w:val="24"/>
        </w:rPr>
        <w:t>’</w:t>
      </w:r>
      <w:r w:rsidRPr="5A1E62CD">
        <w:rPr>
          <w:rFonts w:ascii="Arial" w:hAnsi="Arial" w:cs="Arial"/>
          <w:sz w:val="24"/>
          <w:szCs w:val="24"/>
        </w:rPr>
        <w:t>s OLI paradigm, foreign direct investment (FDI) theories, and macro-environmental analysis. To determine the optimal market entry approach, it also examines the political, economic, legal, and cultural factors that affect market attractiveness.</w:t>
      </w:r>
    </w:p>
    <w:p w14:paraId="0E66DCCF" w14:textId="11B77F1E" w:rsidR="000B50EC" w:rsidRDefault="000B50EC" w:rsidP="5A1E62CD">
      <w:pPr>
        <w:spacing w:line="360" w:lineRule="auto"/>
        <w:jc w:val="both"/>
      </w:pPr>
      <w:r w:rsidRPr="5A1E62CD">
        <w:rPr>
          <w:rFonts w:ascii="Arial" w:hAnsi="Arial" w:cs="Arial"/>
          <w:sz w:val="24"/>
          <w:szCs w:val="24"/>
        </w:rPr>
        <w:t>Because of its widespread recognition, unique business approach, and significance to international strategy research, IKEA has been chosen as the main organisation</w:t>
      </w:r>
      <w:r w:rsidR="19357DE1" w:rsidRPr="5A1E62CD">
        <w:rPr>
          <w:rFonts w:ascii="Arial" w:hAnsi="Arial" w:cs="Arial"/>
          <w:sz w:val="24"/>
          <w:szCs w:val="24"/>
        </w:rPr>
        <w:t xml:space="preserve"> (Figure</w:t>
      </w:r>
      <w:r w:rsidR="1DAEBAF1" w:rsidRPr="5A1E62CD">
        <w:rPr>
          <w:rFonts w:ascii="Arial" w:hAnsi="Arial" w:cs="Arial"/>
          <w:sz w:val="24"/>
          <w:szCs w:val="24"/>
        </w:rPr>
        <w:t xml:space="preserve"> 1</w:t>
      </w:r>
      <w:r w:rsidR="19357DE1" w:rsidRPr="5A1E62CD">
        <w:rPr>
          <w:rFonts w:ascii="Arial" w:hAnsi="Arial" w:cs="Arial"/>
          <w:sz w:val="24"/>
          <w:szCs w:val="24"/>
        </w:rPr>
        <w:t xml:space="preserve"> - IKEA’s logo)</w:t>
      </w:r>
      <w:r w:rsidRPr="5A1E62CD">
        <w:rPr>
          <w:rFonts w:ascii="Arial" w:hAnsi="Arial" w:cs="Arial"/>
          <w:sz w:val="24"/>
          <w:szCs w:val="24"/>
        </w:rPr>
        <w:t>.</w:t>
      </w:r>
    </w:p>
    <w:p w14:paraId="31D02E6D" w14:textId="2FD4E7BE" w:rsidR="000B50EC" w:rsidRDefault="6DA8DE22" w:rsidP="5A1E62CD">
      <w:pPr>
        <w:spacing w:line="360" w:lineRule="auto"/>
        <w:jc w:val="both"/>
      </w:pPr>
      <w:r>
        <w:rPr>
          <w:noProof/>
        </w:rPr>
        <w:drawing>
          <wp:inline distT="0" distB="0" distL="0" distR="0" wp14:anchorId="723AE897" wp14:editId="2A3789BE">
            <wp:extent cx="4496190" cy="2438611"/>
            <wp:effectExtent l="0" t="0" r="0" b="0"/>
            <wp:docPr id="9247425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742540" name="Picture 924742540"/>
                    <pic:cNvPicPr/>
                  </pic:nvPicPr>
                  <pic:blipFill>
                    <a:blip r:embed="rId11">
                      <a:extLst>
                        <a:ext uri="{28A0092B-C50C-407E-A947-70E740481C1C}">
                          <a14:useLocalDpi xmlns:a14="http://schemas.microsoft.com/office/drawing/2010/main"/>
                        </a:ext>
                      </a:extLst>
                    </a:blip>
                    <a:stretch>
                      <a:fillRect/>
                    </a:stretch>
                  </pic:blipFill>
                  <pic:spPr>
                    <a:xfrm>
                      <a:off x="0" y="0"/>
                      <a:ext cx="4496190" cy="2438611"/>
                    </a:xfrm>
                    <a:prstGeom prst="rect">
                      <a:avLst/>
                    </a:prstGeom>
                  </pic:spPr>
                </pic:pic>
              </a:graphicData>
            </a:graphic>
          </wp:inline>
        </w:drawing>
      </w:r>
    </w:p>
    <w:p w14:paraId="34D333B3" w14:textId="296C6186" w:rsidR="000B50EC" w:rsidRDefault="4A83CCEA" w:rsidP="5A1E62CD">
      <w:pPr>
        <w:spacing w:line="360" w:lineRule="auto"/>
        <w:jc w:val="both"/>
        <w:rPr>
          <w:rFonts w:ascii="Arial" w:eastAsia="Arial" w:hAnsi="Arial" w:cs="Arial"/>
          <w:sz w:val="24"/>
          <w:szCs w:val="24"/>
        </w:rPr>
      </w:pPr>
      <w:r w:rsidRPr="5A1E62CD">
        <w:rPr>
          <w:rFonts w:ascii="Arial" w:eastAsia="Arial" w:hAnsi="Arial" w:cs="Arial"/>
          <w:sz w:val="24"/>
          <w:szCs w:val="24"/>
        </w:rPr>
        <w:t>Figure 1: IKEA’s Logo</w:t>
      </w:r>
    </w:p>
    <w:p w14:paraId="451C55F4" w14:textId="6BE54024" w:rsidR="000B50EC" w:rsidRDefault="4A83CCEA" w:rsidP="5A1E62CD">
      <w:pPr>
        <w:spacing w:line="360" w:lineRule="auto"/>
        <w:jc w:val="both"/>
        <w:rPr>
          <w:rFonts w:ascii="Arial" w:eastAsia="Arial" w:hAnsi="Arial" w:cs="Arial"/>
          <w:sz w:val="24"/>
          <w:szCs w:val="24"/>
        </w:rPr>
      </w:pPr>
      <w:r w:rsidRPr="5A1E62CD">
        <w:rPr>
          <w:rFonts w:ascii="Arial" w:eastAsia="Arial" w:hAnsi="Arial" w:cs="Arial"/>
          <w:sz w:val="24"/>
          <w:szCs w:val="24"/>
        </w:rPr>
        <w:t>Source: Wallpapers.com</w:t>
      </w:r>
    </w:p>
    <w:p w14:paraId="37693B28" w14:textId="3ED09117" w:rsidR="000B50EC" w:rsidRDefault="000B50EC" w:rsidP="5A1E62CD">
      <w:pPr>
        <w:spacing w:line="360" w:lineRule="auto"/>
        <w:jc w:val="both"/>
        <w:rPr>
          <w:rFonts w:ascii="Arial" w:hAnsi="Arial" w:cs="Arial"/>
          <w:sz w:val="24"/>
          <w:szCs w:val="24"/>
        </w:rPr>
      </w:pPr>
      <w:r w:rsidRPr="5A1E62CD">
        <w:rPr>
          <w:rFonts w:ascii="Arial" w:hAnsi="Arial" w:cs="Arial"/>
          <w:sz w:val="24"/>
          <w:szCs w:val="24"/>
        </w:rPr>
        <w:t xml:space="preserve">IKEA provides a rich framework for implementing international business strategies because it is one of the biggest and most well-known home furnishings merchants in the world. It offers a perfect platform for analysing how multinational corporations strike a balance </w:t>
      </w:r>
      <w:r w:rsidR="004A56C4" w:rsidRPr="5A1E62CD">
        <w:rPr>
          <w:rFonts w:ascii="Arial" w:hAnsi="Arial" w:cs="Arial"/>
          <w:sz w:val="24"/>
          <w:szCs w:val="24"/>
        </w:rPr>
        <w:t xml:space="preserve">among efficiency, responsiveness, and strategic control, owing to its </w:t>
      </w:r>
      <w:r w:rsidR="004A56C4" w:rsidRPr="5A1E62CD">
        <w:rPr>
          <w:rFonts w:ascii="Arial" w:hAnsi="Arial" w:cs="Arial"/>
          <w:sz w:val="24"/>
          <w:szCs w:val="24"/>
        </w:rPr>
        <w:lastRenderedPageBreak/>
        <w:t>longstanding commitment</w:t>
      </w:r>
      <w:r w:rsidRPr="5A1E62CD">
        <w:rPr>
          <w:rFonts w:ascii="Arial" w:hAnsi="Arial" w:cs="Arial"/>
          <w:sz w:val="24"/>
          <w:szCs w:val="24"/>
        </w:rPr>
        <w:t xml:space="preserve"> to global standards and selective localisation in culturally remote regions. Furthermore, while </w:t>
      </w:r>
      <w:r w:rsidR="004A56C4" w:rsidRPr="5A1E62CD">
        <w:rPr>
          <w:rFonts w:ascii="Arial" w:hAnsi="Arial" w:cs="Arial"/>
          <w:sz w:val="24"/>
          <w:szCs w:val="24"/>
        </w:rPr>
        <w:t>IKEA has a significant regional footprint in Australia and Asia, its lack of presence in New Zealand presents an opportunity to examine the operational, cultural, and strategic factors influencing market entry decisions</w:t>
      </w:r>
      <w:r w:rsidRPr="5A1E62CD">
        <w:rPr>
          <w:rFonts w:ascii="Arial" w:hAnsi="Arial" w:cs="Arial"/>
          <w:sz w:val="24"/>
          <w:szCs w:val="24"/>
        </w:rPr>
        <w:t>.</w:t>
      </w:r>
    </w:p>
    <w:p w14:paraId="2D755B41" w14:textId="2B6CFD28" w:rsidR="004A56C4" w:rsidRPr="00312BD7" w:rsidRDefault="004A56C4" w:rsidP="5A1E62CD">
      <w:pPr>
        <w:spacing w:line="360" w:lineRule="auto"/>
        <w:jc w:val="both"/>
        <w:rPr>
          <w:rFonts w:ascii="Arial" w:hAnsi="Arial" w:cs="Arial"/>
          <w:sz w:val="24"/>
          <w:szCs w:val="24"/>
        </w:rPr>
      </w:pPr>
      <w:r w:rsidRPr="5A1E62CD">
        <w:rPr>
          <w:rFonts w:ascii="Arial" w:hAnsi="Arial" w:cs="Arial"/>
          <w:sz w:val="24"/>
          <w:szCs w:val="24"/>
        </w:rPr>
        <w:t>Beyond its scale and iconic standardised approach, recent empirical research of Bourny et al. (2023) shows that IKEA’s entry into foreign markets generates positive externalities for Swedish trade, with evidence that opening a new IKEA store increases imports of Sweden</w:t>
      </w:r>
      <w:r w:rsidRPr="5A1E62CD">
        <w:rPr>
          <w:rFonts w:ascii="Cambria Math" w:hAnsi="Cambria Math" w:cs="Cambria Math"/>
          <w:sz w:val="24"/>
          <w:szCs w:val="24"/>
        </w:rPr>
        <w:t>￼</w:t>
      </w:r>
      <w:r w:rsidRPr="5A1E62CD">
        <w:rPr>
          <w:rFonts w:ascii="Arial" w:hAnsi="Arial" w:cs="Arial"/>
          <w:sz w:val="24"/>
          <w:szCs w:val="24"/>
        </w:rPr>
        <w:t>related products by approximately 2%, particularly for goods with high cultural content. This implies that IKEA promotes Swedish design, lifestyle, and consumption habits overseas while simultaneously growing commercially and serving as a cultural ambassador. These results confirm the importance of IKEA as a case study for comprehending how multinational corporations influence international trade flows, cultural diffusion, and market growth.</w:t>
      </w:r>
    </w:p>
    <w:p w14:paraId="7B87EBBF" w14:textId="740BA782" w:rsidR="00A60C93" w:rsidRPr="005F5F81" w:rsidRDefault="0D7A8CEA" w:rsidP="5A1E62CD">
      <w:pPr>
        <w:pStyle w:val="Heading1"/>
        <w:keepNext w:val="0"/>
        <w:keepLines w:val="0"/>
        <w:spacing w:line="360" w:lineRule="auto"/>
        <w:rPr>
          <w:rFonts w:ascii="Arial" w:hAnsi="Arial" w:cs="Arial"/>
          <w:sz w:val="32"/>
          <w:szCs w:val="32"/>
        </w:rPr>
      </w:pPr>
      <w:bookmarkStart w:id="3" w:name="_Toc1021562224"/>
      <w:r w:rsidRPr="5A1E62CD">
        <w:rPr>
          <w:rFonts w:ascii="Arial" w:hAnsi="Arial" w:cs="Arial"/>
          <w:sz w:val="32"/>
          <w:szCs w:val="32"/>
        </w:rPr>
        <w:t>1. Organisational Classification and Global Strategy</w:t>
      </w:r>
      <w:bookmarkEnd w:id="3"/>
    </w:p>
    <w:p w14:paraId="7E2CC087" w14:textId="08886DF5" w:rsidR="00FF613D" w:rsidRDefault="28302DC3" w:rsidP="5A1E62CD">
      <w:pPr>
        <w:pStyle w:val="Heading2"/>
        <w:keepNext w:val="0"/>
        <w:keepLines w:val="0"/>
        <w:spacing w:line="360" w:lineRule="auto"/>
        <w:rPr>
          <w:rFonts w:ascii="Arial" w:hAnsi="Arial" w:cs="Arial"/>
          <w:sz w:val="28"/>
          <w:szCs w:val="28"/>
        </w:rPr>
      </w:pPr>
      <w:bookmarkStart w:id="4" w:name="_Toc1695084693"/>
      <w:r w:rsidRPr="5A1E62CD">
        <w:rPr>
          <w:rFonts w:ascii="Arial" w:hAnsi="Arial" w:cs="Arial"/>
          <w:sz w:val="28"/>
          <w:szCs w:val="28"/>
        </w:rPr>
        <w:t>1.1 Company</w:t>
      </w:r>
      <w:r w:rsidR="7A55FBB8" w:rsidRPr="5A1E62CD">
        <w:rPr>
          <w:rFonts w:ascii="Arial" w:hAnsi="Arial" w:cs="Arial"/>
          <w:sz w:val="28"/>
          <w:szCs w:val="28"/>
        </w:rPr>
        <w:t xml:space="preserve"> Overview</w:t>
      </w:r>
      <w:bookmarkEnd w:id="4"/>
    </w:p>
    <w:p w14:paraId="0FC17EBB" w14:textId="1A14A62C" w:rsidR="001F6D7B" w:rsidRPr="00294E2F" w:rsidRDefault="001F6D7B" w:rsidP="5A1E62CD">
      <w:pPr>
        <w:spacing w:line="360" w:lineRule="auto"/>
        <w:jc w:val="both"/>
        <w:rPr>
          <w:rFonts w:ascii="Arial" w:hAnsi="Arial" w:cs="Arial"/>
          <w:sz w:val="24"/>
          <w:szCs w:val="24"/>
        </w:rPr>
      </w:pPr>
      <w:r w:rsidRPr="5A1E62CD">
        <w:rPr>
          <w:rFonts w:ascii="Arial" w:hAnsi="Arial" w:cs="Arial"/>
          <w:sz w:val="24"/>
          <w:szCs w:val="24"/>
        </w:rPr>
        <w:t>IKEA is a multinational home</w:t>
      </w:r>
      <w:r w:rsidRPr="5A1E62CD">
        <w:rPr>
          <w:rFonts w:ascii="Cambria Math" w:hAnsi="Cambria Math" w:cs="Cambria Math"/>
          <w:sz w:val="24"/>
          <w:szCs w:val="24"/>
        </w:rPr>
        <w:t>￼</w:t>
      </w:r>
      <w:r w:rsidRPr="5A1E62CD">
        <w:rPr>
          <w:rFonts w:ascii="Arial" w:hAnsi="Arial" w:cs="Arial"/>
          <w:sz w:val="24"/>
          <w:szCs w:val="24"/>
        </w:rPr>
        <w:t>furnishings retailer founded in 1943 by Ingvar Kamprad in Älmhult, Sweden.</w:t>
      </w:r>
      <w:r w:rsidR="00FA4C81" w:rsidRPr="5A1E62CD">
        <w:rPr>
          <w:rFonts w:ascii="Arial" w:hAnsi="Arial" w:cs="Arial"/>
          <w:sz w:val="24"/>
          <w:szCs w:val="24"/>
        </w:rPr>
        <w:t xml:space="preserve"> Serving millions of consumers through a global network of stores, it has developed over the last eight decades into one of the most well-known and significant retail brands in the world. With a unique business strategy that combines cost leadership, large-scale sourcing, and customer-centred design, the company is best known for its reasonably priced, useful, and well-designed items. IKEA</w:t>
      </w:r>
      <w:r w:rsidR="3DE41BD1" w:rsidRPr="5A1E62CD">
        <w:rPr>
          <w:rFonts w:ascii="Arial" w:hAnsi="Arial" w:cs="Arial"/>
          <w:sz w:val="24"/>
          <w:szCs w:val="24"/>
        </w:rPr>
        <w:t>’</w:t>
      </w:r>
      <w:r w:rsidR="00FA4C81" w:rsidRPr="5A1E62CD">
        <w:rPr>
          <w:rFonts w:ascii="Arial" w:hAnsi="Arial" w:cs="Arial"/>
          <w:sz w:val="24"/>
          <w:szCs w:val="24"/>
        </w:rPr>
        <w:t xml:space="preserve">s flat-pack idea, which transformed the furniture business by enabling effective transportation, lower storage costs, and customer self-assembly, is a key component of its competitive identity. IKEA </w:t>
      </w:r>
      <w:r w:rsidR="180BF4BB" w:rsidRPr="5A1E62CD">
        <w:rPr>
          <w:rFonts w:ascii="Arial" w:hAnsi="Arial" w:cs="Arial"/>
          <w:sz w:val="24"/>
          <w:szCs w:val="24"/>
        </w:rPr>
        <w:t xml:space="preserve">could </w:t>
      </w:r>
      <w:r w:rsidR="00FA4C81" w:rsidRPr="5A1E62CD">
        <w:rPr>
          <w:rFonts w:ascii="Arial" w:hAnsi="Arial" w:cs="Arial"/>
          <w:sz w:val="24"/>
          <w:szCs w:val="24"/>
        </w:rPr>
        <w:t xml:space="preserve">maintain cheap pricing while </w:t>
      </w:r>
      <w:r w:rsidR="5122E109" w:rsidRPr="5A1E62CD">
        <w:rPr>
          <w:rFonts w:ascii="Arial" w:hAnsi="Arial" w:cs="Arial"/>
          <w:sz w:val="24"/>
          <w:szCs w:val="24"/>
        </w:rPr>
        <w:t xml:space="preserve">preserving </w:t>
      </w:r>
      <w:r w:rsidR="00FA4C81" w:rsidRPr="5A1E62CD">
        <w:rPr>
          <w:rFonts w:ascii="Arial" w:hAnsi="Arial" w:cs="Arial"/>
          <w:sz w:val="24"/>
          <w:szCs w:val="24"/>
        </w:rPr>
        <w:t xml:space="preserve">worldwide consistency because </w:t>
      </w:r>
      <w:r w:rsidR="04D80EF3" w:rsidRPr="5A1E62CD">
        <w:rPr>
          <w:rFonts w:ascii="Arial" w:hAnsi="Arial" w:cs="Arial"/>
          <w:sz w:val="24"/>
          <w:szCs w:val="24"/>
        </w:rPr>
        <w:t>of</w:t>
      </w:r>
      <w:r w:rsidR="00FA4C81" w:rsidRPr="5A1E62CD">
        <w:rPr>
          <w:rFonts w:ascii="Arial" w:hAnsi="Arial" w:cs="Arial"/>
          <w:sz w:val="24"/>
          <w:szCs w:val="24"/>
        </w:rPr>
        <w:t xml:space="preserve"> this innovation, standardised product designs, and well-coordinated supply systems (</w:t>
      </w:r>
      <w:r w:rsidR="00294E2F" w:rsidRPr="5A1E62CD">
        <w:rPr>
          <w:rFonts w:ascii="Arial" w:hAnsi="Arial" w:cs="Arial"/>
          <w:sz w:val="24"/>
          <w:szCs w:val="24"/>
        </w:rPr>
        <w:t>IKEA Museum, 2026)</w:t>
      </w:r>
      <w:r w:rsidR="00FA4C81" w:rsidRPr="5A1E62CD">
        <w:rPr>
          <w:rFonts w:ascii="Arial" w:hAnsi="Arial" w:cs="Arial"/>
          <w:sz w:val="24"/>
          <w:szCs w:val="24"/>
        </w:rPr>
        <w:t xml:space="preserve">. </w:t>
      </w:r>
    </w:p>
    <w:p w14:paraId="455CBA52" w14:textId="77777777" w:rsidR="00A60C93" w:rsidRDefault="00A60C93" w:rsidP="4C3DC9EF">
      <w:pPr>
        <w:spacing w:line="360" w:lineRule="auto"/>
        <w:jc w:val="both"/>
      </w:pPr>
    </w:p>
    <w:p w14:paraId="5D8D8AB2" w14:textId="53DDF508" w:rsidR="00A60C93" w:rsidRPr="000918A5" w:rsidRDefault="0D7A8CEA" w:rsidP="4C3DC9EF">
      <w:pPr>
        <w:pStyle w:val="Heading2"/>
        <w:keepNext w:val="0"/>
        <w:keepLines w:val="0"/>
        <w:spacing w:line="360" w:lineRule="auto"/>
        <w:jc w:val="both"/>
        <w:rPr>
          <w:rFonts w:ascii="Arial" w:hAnsi="Arial" w:cs="Arial"/>
          <w:sz w:val="28"/>
          <w:szCs w:val="28"/>
        </w:rPr>
      </w:pPr>
      <w:bookmarkStart w:id="5" w:name="_Toc2061057100"/>
      <w:r w:rsidRPr="5A1E62CD">
        <w:rPr>
          <w:rFonts w:ascii="Arial" w:hAnsi="Arial" w:cs="Arial"/>
          <w:sz w:val="28"/>
          <w:szCs w:val="28"/>
        </w:rPr>
        <w:t>1.</w:t>
      </w:r>
      <w:r w:rsidR="28302DC3" w:rsidRPr="5A1E62CD">
        <w:rPr>
          <w:rFonts w:ascii="Arial" w:hAnsi="Arial" w:cs="Arial"/>
          <w:sz w:val="28"/>
          <w:szCs w:val="28"/>
        </w:rPr>
        <w:t>2</w:t>
      </w:r>
      <w:r w:rsidRPr="5A1E62CD">
        <w:rPr>
          <w:rFonts w:ascii="Arial" w:hAnsi="Arial" w:cs="Arial"/>
          <w:sz w:val="28"/>
          <w:szCs w:val="28"/>
        </w:rPr>
        <w:t xml:space="preserve"> Strategic Categorisation</w:t>
      </w:r>
      <w:r w:rsidR="5AB6CD4E" w:rsidRPr="5A1E62CD">
        <w:rPr>
          <w:rFonts w:ascii="Arial" w:hAnsi="Arial" w:cs="Arial"/>
          <w:sz w:val="28"/>
          <w:szCs w:val="28"/>
        </w:rPr>
        <w:t xml:space="preserve">: </w:t>
      </w:r>
      <w:r w:rsidRPr="5A1E62CD">
        <w:rPr>
          <w:rFonts w:ascii="Arial" w:hAnsi="Arial" w:cs="Arial"/>
          <w:sz w:val="28"/>
          <w:szCs w:val="28"/>
        </w:rPr>
        <w:t>Bartlett &amp; Ghoshal’s Framework</w:t>
      </w:r>
      <w:bookmarkEnd w:id="5"/>
    </w:p>
    <w:p w14:paraId="6C8849C6" w14:textId="2B403891" w:rsidR="00B252C5" w:rsidRDefault="668ADCDF" w:rsidP="4C3DC9EF">
      <w:pPr>
        <w:spacing w:line="360" w:lineRule="auto"/>
        <w:jc w:val="both"/>
        <w:rPr>
          <w:rFonts w:ascii="Arial" w:hAnsi="Arial" w:cs="Arial"/>
          <w:sz w:val="24"/>
          <w:szCs w:val="24"/>
        </w:rPr>
      </w:pPr>
      <w:r w:rsidRPr="5A1E62CD">
        <w:rPr>
          <w:rFonts w:ascii="Arial" w:hAnsi="Arial" w:cs="Arial"/>
          <w:sz w:val="24"/>
          <w:szCs w:val="24"/>
        </w:rPr>
        <w:lastRenderedPageBreak/>
        <w:t>Many multinational corporations have expedited large-scale international expansion, exporting goods and services to every region of the world in an attempt to gain market share since they are no longer satisfied with their current situation. Nevertheless,</w:t>
      </w:r>
      <w:r w:rsidR="2B7E4555" w:rsidRPr="5A1E62CD">
        <w:rPr>
          <w:rFonts w:ascii="Arial" w:hAnsi="Arial" w:cs="Arial"/>
          <w:sz w:val="24"/>
          <w:szCs w:val="24"/>
        </w:rPr>
        <w:t xml:space="preserve"> </w:t>
      </w:r>
      <w:r w:rsidR="2FD2FA18" w:rsidRPr="5A1E62CD">
        <w:rPr>
          <w:rFonts w:ascii="Arial" w:hAnsi="Arial" w:cs="Arial"/>
          <w:sz w:val="24"/>
          <w:szCs w:val="24"/>
        </w:rPr>
        <w:t>multinational</w:t>
      </w:r>
      <w:r w:rsidRPr="5A1E62CD">
        <w:rPr>
          <w:rFonts w:ascii="Arial" w:hAnsi="Arial" w:cs="Arial"/>
          <w:sz w:val="24"/>
          <w:szCs w:val="24"/>
        </w:rPr>
        <w:t xml:space="preserve"> corporations encounter numerous new obstacles and hurdles when putting international marketing strategies into practice</w:t>
      </w:r>
      <w:r w:rsidR="3897A907" w:rsidRPr="5A1E62CD">
        <w:rPr>
          <w:rFonts w:ascii="Arial" w:hAnsi="Arial" w:cs="Arial"/>
          <w:sz w:val="24"/>
          <w:szCs w:val="24"/>
        </w:rPr>
        <w:t xml:space="preserve"> (</w:t>
      </w:r>
      <w:r w:rsidR="63298C53" w:rsidRPr="5A1E62CD">
        <w:rPr>
          <w:rFonts w:ascii="Arial" w:hAnsi="Arial" w:cs="Arial"/>
          <w:sz w:val="24"/>
          <w:szCs w:val="24"/>
        </w:rPr>
        <w:t>HANBING, 2024)</w:t>
      </w:r>
      <w:r w:rsidRPr="5A1E62CD">
        <w:rPr>
          <w:rFonts w:ascii="Arial" w:hAnsi="Arial" w:cs="Arial"/>
          <w:sz w:val="24"/>
          <w:szCs w:val="24"/>
        </w:rPr>
        <w:t>.</w:t>
      </w:r>
      <w:r w:rsidR="4A7ADB91" w:rsidRPr="5A1E62CD">
        <w:rPr>
          <w:rFonts w:ascii="Arial" w:hAnsi="Arial" w:cs="Arial"/>
          <w:sz w:val="24"/>
          <w:szCs w:val="24"/>
        </w:rPr>
        <w:t xml:space="preserve"> IKEA is best placed in the global strategy quadrant of Bartlett and Ghoshal</w:t>
      </w:r>
      <w:r w:rsidR="43A38D48" w:rsidRPr="5A1E62CD">
        <w:rPr>
          <w:rFonts w:ascii="Arial" w:hAnsi="Arial" w:cs="Arial"/>
          <w:sz w:val="24"/>
          <w:szCs w:val="24"/>
        </w:rPr>
        <w:t xml:space="preserve"> (Bartlett and Ghoshal, 1989),</w:t>
      </w:r>
      <w:r w:rsidR="4A7ADB91" w:rsidRPr="5A1E62CD">
        <w:rPr>
          <w:rFonts w:ascii="Arial" w:hAnsi="Arial" w:cs="Arial"/>
          <w:sz w:val="24"/>
          <w:szCs w:val="24"/>
        </w:rPr>
        <w:t xml:space="preserve"> which is distinguished by low local responsiveness and high global integration</w:t>
      </w:r>
      <w:r w:rsidR="0A6FEA90" w:rsidRPr="5A1E62CD">
        <w:rPr>
          <w:rFonts w:ascii="Arial" w:hAnsi="Arial" w:cs="Arial"/>
          <w:sz w:val="24"/>
          <w:szCs w:val="24"/>
        </w:rPr>
        <w:t xml:space="preserve"> (Figure 2).</w:t>
      </w:r>
    </w:p>
    <w:p w14:paraId="1A9C1B8D" w14:textId="6C53F9D9" w:rsidR="00B252C5" w:rsidRDefault="00785C6C" w:rsidP="5A1E62CD">
      <w:pPr>
        <w:spacing w:line="360" w:lineRule="auto"/>
        <w:jc w:val="both"/>
        <w:rPr>
          <w:rFonts w:ascii="Arial" w:hAnsi="Arial" w:cs="Arial"/>
          <w:sz w:val="24"/>
          <w:szCs w:val="24"/>
        </w:rPr>
      </w:pPr>
      <w:r>
        <w:rPr>
          <w:noProof/>
        </w:rPr>
        <w:drawing>
          <wp:inline distT="0" distB="0" distL="0" distR="0" wp14:anchorId="6CA4E25B" wp14:editId="2CE5E219">
            <wp:extent cx="5669280" cy="2247900"/>
            <wp:effectExtent l="0" t="0" r="7620" b="0"/>
            <wp:docPr id="745262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262033" name=""/>
                    <pic:cNvPicPr/>
                  </pic:nvPicPr>
                  <pic:blipFill>
                    <a:blip r:embed="rId12"/>
                    <a:stretch>
                      <a:fillRect/>
                    </a:stretch>
                  </pic:blipFill>
                  <pic:spPr>
                    <a:xfrm>
                      <a:off x="0" y="0"/>
                      <a:ext cx="5670085" cy="2248219"/>
                    </a:xfrm>
                    <a:prstGeom prst="rect">
                      <a:avLst/>
                    </a:prstGeom>
                  </pic:spPr>
                </pic:pic>
              </a:graphicData>
            </a:graphic>
          </wp:inline>
        </w:drawing>
      </w:r>
    </w:p>
    <w:p w14:paraId="6778BFAE" w14:textId="44D6C7ED" w:rsidR="008F15B1" w:rsidRDefault="008F15B1" w:rsidP="5A1E62CD">
      <w:pPr>
        <w:spacing w:line="360" w:lineRule="auto"/>
        <w:jc w:val="both"/>
        <w:rPr>
          <w:rFonts w:ascii="Arial" w:hAnsi="Arial" w:cs="Arial"/>
          <w:sz w:val="24"/>
          <w:szCs w:val="24"/>
        </w:rPr>
      </w:pPr>
      <w:r w:rsidRPr="5A1E62CD">
        <w:rPr>
          <w:rFonts w:ascii="Arial" w:hAnsi="Arial" w:cs="Arial"/>
          <w:sz w:val="24"/>
          <w:szCs w:val="24"/>
        </w:rPr>
        <w:t>Figure</w:t>
      </w:r>
      <w:r w:rsidR="2A9053BB" w:rsidRPr="5A1E62CD">
        <w:rPr>
          <w:rFonts w:ascii="Arial" w:hAnsi="Arial" w:cs="Arial"/>
          <w:sz w:val="24"/>
          <w:szCs w:val="24"/>
        </w:rPr>
        <w:t xml:space="preserve"> </w:t>
      </w:r>
      <w:r w:rsidR="5F859840" w:rsidRPr="5A1E62CD">
        <w:rPr>
          <w:rFonts w:ascii="Arial" w:hAnsi="Arial" w:cs="Arial"/>
          <w:sz w:val="24"/>
          <w:szCs w:val="24"/>
        </w:rPr>
        <w:t>2</w:t>
      </w:r>
      <w:r w:rsidRPr="5A1E62CD">
        <w:rPr>
          <w:rFonts w:ascii="Arial" w:hAnsi="Arial" w:cs="Arial"/>
          <w:sz w:val="24"/>
          <w:szCs w:val="24"/>
        </w:rPr>
        <w:t xml:space="preserve">: </w:t>
      </w:r>
      <w:r w:rsidR="00D860C2" w:rsidRPr="5A1E62CD">
        <w:rPr>
          <w:rFonts w:ascii="Arial" w:hAnsi="Arial" w:cs="Arial"/>
          <w:sz w:val="24"/>
          <w:szCs w:val="24"/>
        </w:rPr>
        <w:t>The Bartlett and Ghoshal Framework</w:t>
      </w:r>
    </w:p>
    <w:p w14:paraId="06C2426A" w14:textId="72B4D7D0" w:rsidR="008F15B1" w:rsidRDefault="008F15B1" w:rsidP="5A1E62CD">
      <w:pPr>
        <w:spacing w:line="360" w:lineRule="auto"/>
        <w:jc w:val="both"/>
        <w:rPr>
          <w:rFonts w:ascii="Arial" w:hAnsi="Arial" w:cs="Arial"/>
          <w:sz w:val="24"/>
          <w:szCs w:val="24"/>
        </w:rPr>
      </w:pPr>
      <w:r w:rsidRPr="5A1E62CD">
        <w:rPr>
          <w:rFonts w:ascii="Arial" w:hAnsi="Arial" w:cs="Arial"/>
          <w:sz w:val="24"/>
          <w:szCs w:val="24"/>
        </w:rPr>
        <w:t>Source:</w:t>
      </w:r>
      <w:r w:rsidR="00571469" w:rsidRPr="5A1E62CD">
        <w:rPr>
          <w:rFonts w:ascii="Arial" w:hAnsi="Arial" w:cs="Arial"/>
          <w:sz w:val="24"/>
          <w:szCs w:val="24"/>
        </w:rPr>
        <w:t xml:space="preserve"> tutor2u.net</w:t>
      </w:r>
    </w:p>
    <w:p w14:paraId="1EB9097C" w14:textId="3D2BC8FF" w:rsidR="00A60C93" w:rsidRDefault="4A7ADB91" w:rsidP="5A1E62CD">
      <w:pPr>
        <w:spacing w:line="360" w:lineRule="auto"/>
        <w:jc w:val="both"/>
      </w:pPr>
      <w:r w:rsidRPr="5A1E62CD">
        <w:rPr>
          <w:rFonts w:ascii="Arial" w:hAnsi="Arial" w:cs="Arial"/>
          <w:sz w:val="24"/>
          <w:szCs w:val="24"/>
        </w:rPr>
        <w:t>IKEA</w:t>
      </w:r>
      <w:r w:rsidR="66D1A001" w:rsidRPr="5A1E62CD">
        <w:rPr>
          <w:rFonts w:ascii="Arial" w:hAnsi="Arial" w:cs="Arial"/>
          <w:sz w:val="24"/>
          <w:szCs w:val="24"/>
        </w:rPr>
        <w:t>’</w:t>
      </w:r>
      <w:r w:rsidRPr="5A1E62CD">
        <w:rPr>
          <w:rFonts w:ascii="Arial" w:hAnsi="Arial" w:cs="Arial"/>
          <w:sz w:val="24"/>
          <w:szCs w:val="24"/>
        </w:rPr>
        <w:t>s long-standing dedication to standardisation</w:t>
      </w:r>
      <w:r w:rsidR="6542805C" w:rsidRPr="5A1E62CD">
        <w:rPr>
          <w:rFonts w:ascii="Arial" w:hAnsi="Arial" w:cs="Arial"/>
          <w:sz w:val="24"/>
          <w:szCs w:val="24"/>
        </w:rPr>
        <w:t xml:space="preserve">, </w:t>
      </w:r>
      <w:r w:rsidR="7E3C6B26" w:rsidRPr="5A1E62CD">
        <w:rPr>
          <w:rFonts w:ascii="Arial" w:hAnsi="Arial" w:cs="Arial"/>
          <w:sz w:val="24"/>
          <w:szCs w:val="24"/>
        </w:rPr>
        <w:t>particularly in ready-to-assemble furniture, demonstrates a significant level of component standardisation within specific product series</w:t>
      </w:r>
      <w:r w:rsidRPr="5A1E62CD">
        <w:rPr>
          <w:rFonts w:ascii="Arial" w:hAnsi="Arial" w:cs="Arial"/>
          <w:sz w:val="24"/>
          <w:szCs w:val="24"/>
        </w:rPr>
        <w:t>, scale economies, and a cohesive worldwide brand identity</w:t>
      </w:r>
      <w:r w:rsidR="590F2722" w:rsidRPr="5A1E62CD">
        <w:rPr>
          <w:rFonts w:ascii="Arial" w:hAnsi="Arial" w:cs="Arial"/>
          <w:sz w:val="24"/>
          <w:szCs w:val="24"/>
        </w:rPr>
        <w:t>, which</w:t>
      </w:r>
      <w:r w:rsidRPr="5A1E62CD">
        <w:rPr>
          <w:rFonts w:ascii="Arial" w:hAnsi="Arial" w:cs="Arial"/>
          <w:sz w:val="24"/>
          <w:szCs w:val="24"/>
        </w:rPr>
        <w:t xml:space="preserve"> is reflected in this classification</w:t>
      </w:r>
      <w:r w:rsidR="3A1D6A0D" w:rsidRPr="5A1E62CD">
        <w:rPr>
          <w:rFonts w:ascii="Arial" w:hAnsi="Arial" w:cs="Arial"/>
          <w:sz w:val="24"/>
          <w:szCs w:val="24"/>
        </w:rPr>
        <w:t xml:space="preserve"> (</w:t>
      </w:r>
      <w:r w:rsidR="2B0E9728" w:rsidRPr="5A1E62CD">
        <w:rPr>
          <w:rFonts w:ascii="Arial" w:hAnsi="Arial" w:cs="Arial"/>
          <w:sz w:val="24"/>
          <w:szCs w:val="24"/>
        </w:rPr>
        <w:t xml:space="preserve">Koszewska and </w:t>
      </w:r>
      <w:r w:rsidR="21B411F5" w:rsidRPr="5A1E62CD">
        <w:rPr>
          <w:rFonts w:ascii="Arial" w:hAnsi="Arial" w:cs="Arial"/>
          <w:sz w:val="24"/>
          <w:szCs w:val="24"/>
        </w:rPr>
        <w:t>Bielecki, 2020)</w:t>
      </w:r>
      <w:r w:rsidRPr="5A1E62CD">
        <w:rPr>
          <w:rFonts w:ascii="Arial" w:hAnsi="Arial" w:cs="Arial"/>
          <w:sz w:val="24"/>
          <w:szCs w:val="24"/>
        </w:rPr>
        <w:t xml:space="preserve">. </w:t>
      </w:r>
      <w:r w:rsidR="645462CB" w:rsidRPr="5A1E62CD">
        <w:rPr>
          <w:rFonts w:ascii="Arial" w:hAnsi="Arial" w:cs="Arial"/>
          <w:sz w:val="24"/>
          <w:szCs w:val="24"/>
        </w:rPr>
        <w:t xml:space="preserve">However, categorising IKEA solely as a globally standardised organisation risks overlooking the adaptive capabilities required in diverse consumer markets. Roy (2020), comparing IKEA’s strategies in China and Finland, demonstrates that changing consumer preferences, technological development, and evolving market conditions increasingly compel multinational corporations to balance standardisation with localisation. The study found that shifts in consumer behaviour influence not only marketing strategies but also management practices and operational integration across international markets. For IKEA, this suggests that while global integration remains central to its competitive advantage, long-term success depends on selectively adapting products, customer </w:t>
      </w:r>
      <w:r w:rsidR="645462CB" w:rsidRPr="5A1E62CD">
        <w:rPr>
          <w:rFonts w:ascii="Arial" w:hAnsi="Arial" w:cs="Arial"/>
          <w:sz w:val="24"/>
          <w:szCs w:val="24"/>
        </w:rPr>
        <w:lastRenderedPageBreak/>
        <w:t xml:space="preserve">experiences, and communication strategies to local market conditions. The company’s expansion into culturally distinct markets such as China illustrates that standardisation alone is insufficient; rather, competitive advantage is derived from combining global efficiencies with targeted local responsiveness. This indicates that IKEA operates closer to a hybrid global strategy than a purely standardised model, despite remaining predominantly positioned within Bartlett and Ghoshal’s global quadrant. </w:t>
      </w:r>
    </w:p>
    <w:p w14:paraId="427C8AD7" w14:textId="2E17E752" w:rsidR="00A60C93" w:rsidRDefault="4A7ADB91" w:rsidP="5A1E62CD">
      <w:pPr>
        <w:spacing w:line="360" w:lineRule="auto"/>
        <w:jc w:val="both"/>
        <w:rPr>
          <w:rFonts w:ascii="Arial" w:hAnsi="Arial" w:cs="Arial"/>
          <w:sz w:val="24"/>
          <w:szCs w:val="24"/>
        </w:rPr>
      </w:pPr>
      <w:r w:rsidRPr="5A1E62CD">
        <w:rPr>
          <w:rFonts w:ascii="Arial" w:hAnsi="Arial" w:cs="Arial"/>
          <w:sz w:val="24"/>
          <w:szCs w:val="24"/>
        </w:rPr>
        <w:t>Centralised product development, worldwide coordinated sourcing, and consistent shop formats are key components of the company</w:t>
      </w:r>
      <w:r w:rsidR="01BC8C0C" w:rsidRPr="5A1E62CD">
        <w:rPr>
          <w:rFonts w:ascii="Arial" w:hAnsi="Arial" w:cs="Arial"/>
          <w:sz w:val="24"/>
          <w:szCs w:val="24"/>
        </w:rPr>
        <w:t>’</w:t>
      </w:r>
      <w:r w:rsidRPr="5A1E62CD">
        <w:rPr>
          <w:rFonts w:ascii="Arial" w:hAnsi="Arial" w:cs="Arial"/>
          <w:sz w:val="24"/>
          <w:szCs w:val="24"/>
        </w:rPr>
        <w:t xml:space="preserve">s fundamental value proposition, which is reasonably priced, practical, Scandinavian-designed furniture. </w:t>
      </w:r>
      <w:r w:rsidR="46187EE4" w:rsidRPr="5A1E62CD">
        <w:rPr>
          <w:rFonts w:ascii="Arial" w:hAnsi="Arial" w:cs="Arial"/>
          <w:sz w:val="24"/>
          <w:szCs w:val="24"/>
        </w:rPr>
        <w:t xml:space="preserve">Value creation via a </w:t>
      </w:r>
      <w:r w:rsidR="5E413A06" w:rsidRPr="5A1E62CD">
        <w:rPr>
          <w:rFonts w:ascii="Arial" w:hAnsi="Arial" w:cs="Arial"/>
          <w:sz w:val="24"/>
          <w:szCs w:val="24"/>
        </w:rPr>
        <w:t>novelty-centred</w:t>
      </w:r>
      <w:r w:rsidR="46187EE4" w:rsidRPr="5A1E62CD">
        <w:rPr>
          <w:rFonts w:ascii="Arial" w:hAnsi="Arial" w:cs="Arial"/>
          <w:sz w:val="24"/>
          <w:szCs w:val="24"/>
        </w:rPr>
        <w:t xml:space="preserve"> business model that prioritises value co-creation with customers is at the core of IKEA</w:t>
      </w:r>
      <w:r w:rsidR="3BABC1B6" w:rsidRPr="5A1E62CD">
        <w:rPr>
          <w:rFonts w:ascii="Arial" w:hAnsi="Arial" w:cs="Arial"/>
          <w:sz w:val="24"/>
          <w:szCs w:val="24"/>
        </w:rPr>
        <w:t>’</w:t>
      </w:r>
      <w:r w:rsidR="46187EE4" w:rsidRPr="5A1E62CD">
        <w:rPr>
          <w:rFonts w:ascii="Arial" w:hAnsi="Arial" w:cs="Arial"/>
          <w:sz w:val="24"/>
          <w:szCs w:val="24"/>
        </w:rPr>
        <w:t>s value proposition. This strategy is to achieve a sustained competitive advantage and enhance business performance by meeting corporate and customer demands</w:t>
      </w:r>
      <w:r w:rsidR="6D676350" w:rsidRPr="5A1E62CD">
        <w:rPr>
          <w:rFonts w:ascii="Arial" w:hAnsi="Arial" w:cs="Arial"/>
          <w:sz w:val="24"/>
          <w:szCs w:val="24"/>
        </w:rPr>
        <w:t xml:space="preserve">, according to </w:t>
      </w:r>
      <w:r w:rsidR="31ACF1B4" w:rsidRPr="5A1E62CD">
        <w:rPr>
          <w:rFonts w:ascii="Arial" w:hAnsi="Arial" w:cs="Arial"/>
          <w:sz w:val="24"/>
          <w:szCs w:val="24"/>
        </w:rPr>
        <w:t xml:space="preserve">Yang and </w:t>
      </w:r>
      <w:bookmarkStart w:id="6" w:name="_Int_yrmswr97"/>
      <w:r w:rsidR="7E64142B" w:rsidRPr="5A1E62CD">
        <w:rPr>
          <w:rFonts w:ascii="Arial" w:hAnsi="Arial" w:cs="Arial"/>
          <w:sz w:val="24"/>
          <w:szCs w:val="24"/>
        </w:rPr>
        <w:t>Shiming</w:t>
      </w:r>
      <w:bookmarkEnd w:id="6"/>
      <w:r w:rsidR="7E64142B" w:rsidRPr="5A1E62CD">
        <w:rPr>
          <w:rFonts w:ascii="Arial" w:hAnsi="Arial" w:cs="Arial"/>
          <w:sz w:val="24"/>
          <w:szCs w:val="24"/>
        </w:rPr>
        <w:t xml:space="preserve"> (2009).</w:t>
      </w:r>
      <w:r w:rsidR="7B0FEAF8" w:rsidRPr="5A1E62CD">
        <w:rPr>
          <w:rFonts w:ascii="Arial" w:hAnsi="Arial" w:cs="Arial"/>
          <w:sz w:val="24"/>
          <w:szCs w:val="24"/>
        </w:rPr>
        <w:t xml:space="preserve"> </w:t>
      </w:r>
      <w:r w:rsidR="612428AD" w:rsidRPr="5A1E62CD">
        <w:rPr>
          <w:rFonts w:ascii="Arial" w:hAnsi="Arial" w:cs="Arial"/>
          <w:sz w:val="24"/>
          <w:szCs w:val="24"/>
        </w:rPr>
        <w:t>Additionally,</w:t>
      </w:r>
      <w:r w:rsidR="4128E0F8" w:rsidRPr="5A1E62CD">
        <w:rPr>
          <w:rFonts w:ascii="Arial" w:hAnsi="Arial" w:cs="Arial"/>
          <w:sz w:val="24"/>
          <w:szCs w:val="24"/>
        </w:rPr>
        <w:t xml:space="preserve"> </w:t>
      </w:r>
      <w:r w:rsidR="612428AD" w:rsidRPr="5A1E62CD">
        <w:rPr>
          <w:rFonts w:ascii="Arial" w:hAnsi="Arial" w:cs="Arial"/>
          <w:sz w:val="24"/>
          <w:szCs w:val="24"/>
        </w:rPr>
        <w:t xml:space="preserve">this </w:t>
      </w:r>
      <w:r w:rsidR="7B0FEAF8" w:rsidRPr="5A1E62CD">
        <w:rPr>
          <w:rFonts w:ascii="Arial" w:hAnsi="Arial" w:cs="Arial"/>
          <w:sz w:val="24"/>
          <w:szCs w:val="24"/>
        </w:rPr>
        <w:t xml:space="preserve">strategic orientation </w:t>
      </w:r>
      <w:r w:rsidR="0804B52E" w:rsidRPr="5A1E62CD">
        <w:rPr>
          <w:rFonts w:ascii="Arial" w:hAnsi="Arial" w:cs="Arial"/>
          <w:sz w:val="24"/>
          <w:szCs w:val="24"/>
        </w:rPr>
        <w:t>emphasises</w:t>
      </w:r>
      <w:r w:rsidR="7B0FEAF8" w:rsidRPr="5A1E62CD">
        <w:rPr>
          <w:rFonts w:ascii="Arial" w:hAnsi="Arial" w:cs="Arial"/>
          <w:sz w:val="24"/>
          <w:szCs w:val="24"/>
        </w:rPr>
        <w:t xml:space="preserve"> the growing interdependence of global markets and the need for firms to leverage cross-border efficiencies to remain competitive.</w:t>
      </w:r>
    </w:p>
    <w:p w14:paraId="4F751C29" w14:textId="71BA4EE3" w:rsidR="0077263C" w:rsidRDefault="5DA4578D" w:rsidP="5A1E62CD">
      <w:pPr>
        <w:spacing w:line="360" w:lineRule="auto"/>
        <w:jc w:val="both"/>
      </w:pPr>
      <w:r w:rsidRPr="5A1E62CD">
        <w:rPr>
          <w:rFonts w:ascii="Arial" w:hAnsi="Arial" w:cs="Arial"/>
          <w:sz w:val="24"/>
          <w:szCs w:val="24"/>
        </w:rPr>
        <w:t>The VUCA</w:t>
      </w:r>
      <w:r w:rsidR="63B7DC0C" w:rsidRPr="5A1E62CD">
        <w:rPr>
          <w:rFonts w:ascii="Arial" w:hAnsi="Arial" w:cs="Arial"/>
          <w:sz w:val="24"/>
          <w:szCs w:val="24"/>
        </w:rPr>
        <w:t xml:space="preserve"> (Volatility, Uncertainty, Complexity, Ambiguity) </w:t>
      </w:r>
      <w:r w:rsidRPr="5A1E62CD">
        <w:rPr>
          <w:rFonts w:ascii="Arial" w:hAnsi="Arial" w:cs="Arial"/>
          <w:sz w:val="24"/>
          <w:szCs w:val="24"/>
        </w:rPr>
        <w:t xml:space="preserve">environment's reality also </w:t>
      </w:r>
      <w:r w:rsidR="693F6AA0" w:rsidRPr="5A1E62CD">
        <w:rPr>
          <w:rFonts w:ascii="Arial" w:hAnsi="Arial" w:cs="Arial"/>
          <w:sz w:val="24"/>
          <w:szCs w:val="24"/>
        </w:rPr>
        <w:t>influences</w:t>
      </w:r>
      <w:r w:rsidRPr="5A1E62CD">
        <w:rPr>
          <w:rFonts w:ascii="Arial" w:hAnsi="Arial" w:cs="Arial"/>
          <w:sz w:val="24"/>
          <w:szCs w:val="24"/>
        </w:rPr>
        <w:t xml:space="preserve"> IKEA</w:t>
      </w:r>
      <w:r w:rsidR="21F4FBB3" w:rsidRPr="5A1E62CD">
        <w:rPr>
          <w:rFonts w:ascii="Arial" w:hAnsi="Arial" w:cs="Arial"/>
          <w:sz w:val="24"/>
          <w:szCs w:val="24"/>
        </w:rPr>
        <w:t>’</w:t>
      </w:r>
      <w:r w:rsidRPr="5A1E62CD">
        <w:rPr>
          <w:rFonts w:ascii="Arial" w:hAnsi="Arial" w:cs="Arial"/>
          <w:sz w:val="24"/>
          <w:szCs w:val="24"/>
        </w:rPr>
        <w:t>s global strategy</w:t>
      </w:r>
      <w:r w:rsidR="57786A85" w:rsidRPr="5A1E62CD">
        <w:rPr>
          <w:rFonts w:ascii="Arial" w:hAnsi="Arial" w:cs="Arial"/>
          <w:sz w:val="24"/>
          <w:szCs w:val="24"/>
        </w:rPr>
        <w:t xml:space="preserve"> (Figure </w:t>
      </w:r>
      <w:r w:rsidR="52BCB252" w:rsidRPr="5A1E62CD">
        <w:rPr>
          <w:rFonts w:ascii="Arial" w:hAnsi="Arial" w:cs="Arial"/>
          <w:sz w:val="24"/>
          <w:szCs w:val="24"/>
        </w:rPr>
        <w:t>3</w:t>
      </w:r>
      <w:r w:rsidR="57786A85" w:rsidRPr="5A1E62CD">
        <w:rPr>
          <w:rFonts w:ascii="Arial" w:hAnsi="Arial" w:cs="Arial"/>
          <w:sz w:val="24"/>
          <w:szCs w:val="24"/>
        </w:rPr>
        <w:t>)</w:t>
      </w:r>
      <w:r w:rsidRPr="5A1E62CD">
        <w:rPr>
          <w:rFonts w:ascii="Arial" w:hAnsi="Arial" w:cs="Arial"/>
          <w:sz w:val="24"/>
          <w:szCs w:val="24"/>
        </w:rPr>
        <w:t>.</w:t>
      </w:r>
      <w:r w:rsidR="384BCD04" w:rsidRPr="5A1E62CD">
        <w:rPr>
          <w:rFonts w:ascii="Arial" w:hAnsi="Arial" w:cs="Arial"/>
          <w:sz w:val="24"/>
          <w:szCs w:val="24"/>
        </w:rPr>
        <w:t xml:space="preserve"> Ha et al. (2025)</w:t>
      </w:r>
      <w:r w:rsidR="4BD58E0B" w:rsidRPr="5A1E62CD">
        <w:rPr>
          <w:rFonts w:ascii="Arial" w:hAnsi="Arial" w:cs="Arial"/>
          <w:sz w:val="24"/>
          <w:szCs w:val="24"/>
        </w:rPr>
        <w:t xml:space="preserve"> maintain that</w:t>
      </w:r>
      <w:r w:rsidRPr="5A1E62CD">
        <w:rPr>
          <w:rFonts w:ascii="Arial" w:hAnsi="Arial" w:cs="Arial"/>
          <w:sz w:val="24"/>
          <w:szCs w:val="24"/>
        </w:rPr>
        <w:t xml:space="preserve"> </w:t>
      </w:r>
      <w:r w:rsidR="1FAFF9C7" w:rsidRPr="5A1E62CD">
        <w:rPr>
          <w:rFonts w:ascii="Arial" w:hAnsi="Arial" w:cs="Arial"/>
          <w:sz w:val="24"/>
          <w:szCs w:val="24"/>
        </w:rPr>
        <w:t xml:space="preserve">IKEA’s organisational practices show strong elements of adaptability and dynamic interaction, enabling the company to respond effectively to the complexities of the global business environment. </w:t>
      </w:r>
    </w:p>
    <w:p w14:paraId="75F9F125" w14:textId="23730F51" w:rsidR="0077263C" w:rsidRDefault="4F795B5A" w:rsidP="5A1E62CD">
      <w:pPr>
        <w:spacing w:line="360" w:lineRule="auto"/>
        <w:jc w:val="both"/>
      </w:pPr>
      <w:r>
        <w:rPr>
          <w:noProof/>
        </w:rPr>
        <w:drawing>
          <wp:inline distT="0" distB="0" distL="0" distR="0" wp14:anchorId="6D9E1F1F" wp14:editId="329DD341">
            <wp:extent cx="5391150" cy="2911001"/>
            <wp:effectExtent l="0" t="0" r="0" b="0"/>
            <wp:docPr id="6874765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476504" name="Picture 687476504"/>
                    <pic:cNvPicPr/>
                  </pic:nvPicPr>
                  <pic:blipFill>
                    <a:blip r:embed="rId13">
                      <a:extLst>
                        <a:ext uri="{28A0092B-C50C-407E-A947-70E740481C1C}">
                          <a14:useLocalDpi xmlns:a14="http://schemas.microsoft.com/office/drawing/2010/main"/>
                        </a:ext>
                      </a:extLst>
                    </a:blip>
                    <a:stretch>
                      <a:fillRect/>
                    </a:stretch>
                  </pic:blipFill>
                  <pic:spPr>
                    <a:xfrm>
                      <a:off x="0" y="0"/>
                      <a:ext cx="5391150" cy="2911001"/>
                    </a:xfrm>
                    <a:prstGeom prst="rect">
                      <a:avLst/>
                    </a:prstGeom>
                  </pic:spPr>
                </pic:pic>
              </a:graphicData>
            </a:graphic>
          </wp:inline>
        </w:drawing>
      </w:r>
    </w:p>
    <w:p w14:paraId="13C1765C" w14:textId="64F8E297" w:rsidR="0077263C" w:rsidRDefault="139C7058" w:rsidP="5A1E62CD">
      <w:pPr>
        <w:spacing w:line="360" w:lineRule="auto"/>
        <w:jc w:val="both"/>
        <w:rPr>
          <w:rFonts w:ascii="Arial" w:eastAsia="Arial" w:hAnsi="Arial" w:cs="Arial"/>
          <w:sz w:val="24"/>
          <w:szCs w:val="24"/>
        </w:rPr>
      </w:pPr>
      <w:r w:rsidRPr="5A1E62CD">
        <w:rPr>
          <w:rFonts w:ascii="Arial" w:eastAsia="Arial" w:hAnsi="Arial" w:cs="Arial"/>
          <w:sz w:val="24"/>
          <w:szCs w:val="24"/>
        </w:rPr>
        <w:lastRenderedPageBreak/>
        <w:t xml:space="preserve">Figure </w:t>
      </w:r>
      <w:r w:rsidR="2D332231" w:rsidRPr="5A1E62CD">
        <w:rPr>
          <w:rFonts w:ascii="Arial" w:eastAsia="Arial" w:hAnsi="Arial" w:cs="Arial"/>
          <w:sz w:val="24"/>
          <w:szCs w:val="24"/>
        </w:rPr>
        <w:t>3</w:t>
      </w:r>
      <w:r w:rsidRPr="5A1E62CD">
        <w:rPr>
          <w:rFonts w:ascii="Arial" w:eastAsia="Arial" w:hAnsi="Arial" w:cs="Arial"/>
          <w:sz w:val="24"/>
          <w:szCs w:val="24"/>
        </w:rPr>
        <w:t>: The VUCA</w:t>
      </w:r>
    </w:p>
    <w:p w14:paraId="43CF2B5A" w14:textId="2AEF9629" w:rsidR="0077263C" w:rsidRDefault="1FAFF9C7" w:rsidP="5A1E62CD">
      <w:pPr>
        <w:spacing w:line="360" w:lineRule="auto"/>
        <w:jc w:val="both"/>
        <w:rPr>
          <w:rFonts w:ascii="Arial" w:hAnsi="Arial" w:cs="Arial"/>
          <w:sz w:val="24"/>
          <w:szCs w:val="24"/>
        </w:rPr>
      </w:pPr>
      <w:r w:rsidRPr="5A1E62CD">
        <w:rPr>
          <w:rFonts w:ascii="Arial" w:hAnsi="Arial" w:cs="Arial"/>
          <w:sz w:val="24"/>
          <w:szCs w:val="24"/>
        </w:rPr>
        <w:t>Operating within a market characterised by changing consumer expectations, supply chain disruptions, and fluctuating exchange rates, IKEA relies on adaptable leadership, long-term supplier partnerships, and a robust logistics network to minimise uncertainty and maintain operational efficiency. These practices support continuous adjustment to external changes while strengthening organisational resilience and competitiveness.</w:t>
      </w:r>
    </w:p>
    <w:p w14:paraId="4670A4F2" w14:textId="7A4683E0" w:rsidR="00A60C93" w:rsidRDefault="7DD663D5" w:rsidP="5A1E62CD">
      <w:pPr>
        <w:spacing w:line="360" w:lineRule="auto"/>
        <w:jc w:val="both"/>
      </w:pPr>
      <w:r w:rsidRPr="5A1E62CD">
        <w:rPr>
          <w:rFonts w:ascii="Arial" w:hAnsi="Arial" w:cs="Arial"/>
          <w:sz w:val="24"/>
          <w:szCs w:val="24"/>
        </w:rPr>
        <w:t>The Cynefin framework</w:t>
      </w:r>
      <w:r w:rsidR="353EFE80" w:rsidRPr="5A1E62CD">
        <w:rPr>
          <w:rFonts w:ascii="Arial" w:hAnsi="Arial" w:cs="Arial"/>
          <w:sz w:val="24"/>
          <w:szCs w:val="24"/>
        </w:rPr>
        <w:t xml:space="preserve"> (Figure </w:t>
      </w:r>
      <w:r w:rsidR="6FF24704" w:rsidRPr="5A1E62CD">
        <w:rPr>
          <w:rFonts w:ascii="Arial" w:hAnsi="Arial" w:cs="Arial"/>
          <w:sz w:val="24"/>
          <w:szCs w:val="24"/>
        </w:rPr>
        <w:t>4</w:t>
      </w:r>
      <w:r w:rsidR="353EFE80" w:rsidRPr="5A1E62CD">
        <w:rPr>
          <w:rFonts w:ascii="Arial" w:hAnsi="Arial" w:cs="Arial"/>
          <w:sz w:val="24"/>
          <w:szCs w:val="24"/>
        </w:rPr>
        <w:t>)</w:t>
      </w:r>
      <w:r w:rsidRPr="5A1E62CD">
        <w:rPr>
          <w:rFonts w:ascii="Arial" w:hAnsi="Arial" w:cs="Arial"/>
          <w:sz w:val="24"/>
          <w:szCs w:val="24"/>
        </w:rPr>
        <w:t xml:space="preserve"> further demonstrates that IKEA operates across both “complicated” and “complex” domains. </w:t>
      </w:r>
    </w:p>
    <w:p w14:paraId="2AB420CA" w14:textId="37F6D2BA" w:rsidR="00A60C93" w:rsidRDefault="7BDF84C3" w:rsidP="5A1E62CD">
      <w:pPr>
        <w:spacing w:line="360" w:lineRule="auto"/>
        <w:jc w:val="both"/>
      </w:pPr>
      <w:r>
        <w:rPr>
          <w:noProof/>
        </w:rPr>
        <w:drawing>
          <wp:inline distT="0" distB="0" distL="0" distR="0" wp14:anchorId="5202A2B9" wp14:editId="60F8E967">
            <wp:extent cx="4363059" cy="2927934"/>
            <wp:effectExtent l="0" t="0" r="0" b="0"/>
            <wp:docPr id="6446953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695319" name="Picture 644695319"/>
                    <pic:cNvPicPr/>
                  </pic:nvPicPr>
                  <pic:blipFill>
                    <a:blip r:embed="rId14">
                      <a:extLst>
                        <a:ext uri="{28A0092B-C50C-407E-A947-70E740481C1C}">
                          <a14:useLocalDpi xmlns:a14="http://schemas.microsoft.com/office/drawing/2010/main"/>
                        </a:ext>
                      </a:extLst>
                    </a:blip>
                    <a:stretch>
                      <a:fillRect/>
                    </a:stretch>
                  </pic:blipFill>
                  <pic:spPr>
                    <a:xfrm>
                      <a:off x="0" y="0"/>
                      <a:ext cx="4363059" cy="2927934"/>
                    </a:xfrm>
                    <a:prstGeom prst="rect">
                      <a:avLst/>
                    </a:prstGeom>
                  </pic:spPr>
                </pic:pic>
              </a:graphicData>
            </a:graphic>
          </wp:inline>
        </w:drawing>
      </w:r>
    </w:p>
    <w:p w14:paraId="034FACE6" w14:textId="21F505E6" w:rsidR="00A60C93" w:rsidRDefault="7BDF84C3" w:rsidP="5A1E62CD">
      <w:pPr>
        <w:spacing w:line="360" w:lineRule="auto"/>
        <w:jc w:val="both"/>
        <w:rPr>
          <w:rFonts w:ascii="Arial" w:hAnsi="Arial" w:cs="Arial"/>
          <w:sz w:val="24"/>
          <w:szCs w:val="24"/>
        </w:rPr>
      </w:pPr>
      <w:r w:rsidRPr="5A1E62CD">
        <w:rPr>
          <w:rFonts w:ascii="Arial" w:eastAsia="Arial" w:hAnsi="Arial" w:cs="Arial"/>
          <w:sz w:val="24"/>
          <w:szCs w:val="24"/>
        </w:rPr>
        <w:t xml:space="preserve">Figure </w:t>
      </w:r>
      <w:r w:rsidR="56907871" w:rsidRPr="5A1E62CD">
        <w:rPr>
          <w:rFonts w:ascii="Arial" w:eastAsia="Arial" w:hAnsi="Arial" w:cs="Arial"/>
          <w:sz w:val="24"/>
          <w:szCs w:val="24"/>
        </w:rPr>
        <w:t>4</w:t>
      </w:r>
      <w:r w:rsidRPr="5A1E62CD">
        <w:rPr>
          <w:rFonts w:ascii="Arial" w:eastAsia="Arial" w:hAnsi="Arial" w:cs="Arial"/>
          <w:sz w:val="24"/>
          <w:szCs w:val="24"/>
        </w:rPr>
        <w:t xml:space="preserve">: </w:t>
      </w:r>
      <w:r w:rsidR="509229CE" w:rsidRPr="5A1E62CD">
        <w:rPr>
          <w:rFonts w:ascii="Arial" w:hAnsi="Arial" w:cs="Arial"/>
          <w:sz w:val="24"/>
          <w:szCs w:val="24"/>
        </w:rPr>
        <w:t>The Cynefin framework</w:t>
      </w:r>
    </w:p>
    <w:p w14:paraId="6CED150A" w14:textId="4BCB5D3A" w:rsidR="00A60C93" w:rsidRDefault="7BDF84C3" w:rsidP="5A1E62CD">
      <w:pPr>
        <w:spacing w:line="360" w:lineRule="auto"/>
        <w:jc w:val="both"/>
      </w:pPr>
      <w:r w:rsidRPr="5A1E62CD">
        <w:rPr>
          <w:rFonts w:ascii="Arial" w:eastAsia="Arial" w:hAnsi="Arial" w:cs="Arial"/>
          <w:sz w:val="24"/>
          <w:szCs w:val="24"/>
        </w:rPr>
        <w:t xml:space="preserve">Source: </w:t>
      </w:r>
      <w:r w:rsidR="44D1E556" w:rsidRPr="5A1E62CD">
        <w:rPr>
          <w:rFonts w:ascii="Arial" w:eastAsia="Arial" w:hAnsi="Arial" w:cs="Arial"/>
          <w:sz w:val="24"/>
          <w:szCs w:val="24"/>
        </w:rPr>
        <w:t>whatfix.com</w:t>
      </w:r>
    </w:p>
    <w:p w14:paraId="48B4C615" w14:textId="20EC20C3" w:rsidR="00A60C93" w:rsidRDefault="7DD663D5" w:rsidP="5A1E62CD">
      <w:pPr>
        <w:spacing w:line="360" w:lineRule="auto"/>
        <w:jc w:val="both"/>
        <w:rPr>
          <w:rFonts w:ascii="Arial" w:hAnsi="Arial" w:cs="Arial"/>
          <w:sz w:val="24"/>
          <w:szCs w:val="24"/>
        </w:rPr>
      </w:pPr>
      <w:r w:rsidRPr="5A1E62CD">
        <w:rPr>
          <w:rFonts w:ascii="Arial" w:hAnsi="Arial" w:cs="Arial"/>
          <w:sz w:val="24"/>
          <w:szCs w:val="24"/>
        </w:rPr>
        <w:t xml:space="preserve">As illustrated by </w:t>
      </w:r>
      <w:r w:rsidR="755CF07D" w:rsidRPr="5A1E62CD">
        <w:rPr>
          <w:rFonts w:ascii="Arial" w:hAnsi="Arial" w:cs="Arial"/>
          <w:sz w:val="24"/>
          <w:szCs w:val="24"/>
        </w:rPr>
        <w:t xml:space="preserve">Arulsenthilkumar and </w:t>
      </w:r>
      <w:r w:rsidR="3D8BCBAE" w:rsidRPr="5A1E62CD">
        <w:rPr>
          <w:rFonts w:ascii="Arial" w:hAnsi="Arial" w:cs="Arial"/>
          <w:sz w:val="24"/>
          <w:szCs w:val="24"/>
        </w:rPr>
        <w:t>Punitha (2023)</w:t>
      </w:r>
      <w:r w:rsidR="7E66F638" w:rsidRPr="5A1E62CD">
        <w:rPr>
          <w:rFonts w:ascii="Arial" w:hAnsi="Arial" w:cs="Arial"/>
          <w:sz w:val="24"/>
          <w:szCs w:val="24"/>
        </w:rPr>
        <w:t>,</w:t>
      </w:r>
      <w:r w:rsidR="3D8BCBAE" w:rsidRPr="5A1E62CD">
        <w:rPr>
          <w:rFonts w:ascii="Arial" w:hAnsi="Arial" w:cs="Arial"/>
          <w:sz w:val="24"/>
          <w:szCs w:val="24"/>
        </w:rPr>
        <w:t xml:space="preserve"> </w:t>
      </w:r>
      <w:r w:rsidR="7E66F638" w:rsidRPr="5A1E62CD">
        <w:rPr>
          <w:rFonts w:ascii="Arial" w:hAnsi="Arial" w:cs="Arial"/>
          <w:sz w:val="24"/>
          <w:szCs w:val="24"/>
        </w:rPr>
        <w:t>in its</w:t>
      </w:r>
      <w:r w:rsidRPr="5A1E62CD">
        <w:rPr>
          <w:rFonts w:ascii="Arial" w:hAnsi="Arial" w:cs="Arial"/>
          <w:sz w:val="24"/>
          <w:szCs w:val="24"/>
        </w:rPr>
        <w:t xml:space="preserve"> expansion into India, the company had to adapt to diverse consumer preferences, regulatory challenges, high land costs, and intense market competition while maintaining its commitment to equality, diversity, and inclusion. These factors required experimentation, cultural learning, and flexible decision-making, particularly during market entry and rapid expansion. At the same </w:t>
      </w:r>
      <w:r w:rsidR="55E76417" w:rsidRPr="5A1E62CD">
        <w:rPr>
          <w:rFonts w:ascii="Arial" w:hAnsi="Arial" w:cs="Arial"/>
          <w:sz w:val="24"/>
          <w:szCs w:val="24"/>
        </w:rPr>
        <w:t>time, in line with the Cynefin framework's "complicated" domain, where efficiency and knowledge are crucial, IKEA</w:t>
      </w:r>
      <w:r w:rsidR="4283EC95" w:rsidRPr="5A1E62CD">
        <w:rPr>
          <w:rFonts w:ascii="Arial" w:hAnsi="Arial" w:cs="Arial"/>
          <w:sz w:val="24"/>
          <w:szCs w:val="24"/>
        </w:rPr>
        <w:t>’</w:t>
      </w:r>
      <w:r w:rsidR="55E76417" w:rsidRPr="5A1E62CD">
        <w:rPr>
          <w:rFonts w:ascii="Arial" w:hAnsi="Arial" w:cs="Arial"/>
          <w:sz w:val="24"/>
          <w:szCs w:val="24"/>
        </w:rPr>
        <w:t xml:space="preserve">s supply chain management and logistics operations remained mostly technical and structured. Strong coordination in product design, development, sourcing, and distribution is necessary for the </w:t>
      </w:r>
      <w:r w:rsidR="55E76417" w:rsidRPr="5A1E62CD">
        <w:rPr>
          <w:rFonts w:ascii="Arial" w:hAnsi="Arial" w:cs="Arial"/>
          <w:sz w:val="24"/>
          <w:szCs w:val="24"/>
        </w:rPr>
        <w:lastRenderedPageBreak/>
        <w:t xml:space="preserve">company's supply chain, which is purposefully built to meet its mission of offering well-designed and practical home furnishings products at cheap rates. </w:t>
      </w:r>
      <w:r w:rsidR="1083077B" w:rsidRPr="5A1E62CD">
        <w:rPr>
          <w:rFonts w:ascii="Arial" w:hAnsi="Arial" w:cs="Arial"/>
          <w:sz w:val="24"/>
          <w:szCs w:val="24"/>
        </w:rPr>
        <w:t>To</w:t>
      </w:r>
      <w:r w:rsidR="55E76417" w:rsidRPr="5A1E62CD">
        <w:rPr>
          <w:rFonts w:ascii="Arial" w:hAnsi="Arial" w:cs="Arial"/>
          <w:sz w:val="24"/>
          <w:szCs w:val="24"/>
        </w:rPr>
        <w:t xml:space="preserve"> ensure cost</w:t>
      </w:r>
      <w:r w:rsidR="20F21882" w:rsidRPr="5A1E62CD">
        <w:rPr>
          <w:rFonts w:ascii="Arial" w:hAnsi="Arial" w:cs="Arial"/>
          <w:sz w:val="24"/>
          <w:szCs w:val="24"/>
        </w:rPr>
        <w:t>-</w:t>
      </w:r>
      <w:r w:rsidR="55E76417" w:rsidRPr="5A1E62CD">
        <w:rPr>
          <w:rFonts w:ascii="Arial" w:hAnsi="Arial" w:cs="Arial"/>
          <w:sz w:val="24"/>
          <w:szCs w:val="24"/>
        </w:rPr>
        <w:t xml:space="preserve">effectiveness and operational dependability, managing operations across more than 290 stores in 26 countries and supporting over 1.1 million consumers </w:t>
      </w:r>
      <w:r w:rsidR="738AD9E2" w:rsidRPr="5A1E62CD">
        <w:rPr>
          <w:rFonts w:ascii="Arial" w:hAnsi="Arial" w:cs="Arial"/>
          <w:sz w:val="24"/>
          <w:szCs w:val="24"/>
        </w:rPr>
        <w:t>require</w:t>
      </w:r>
      <w:r w:rsidR="6CE90A38" w:rsidRPr="5A1E62CD">
        <w:rPr>
          <w:rFonts w:ascii="Arial" w:hAnsi="Arial" w:cs="Arial"/>
          <w:sz w:val="24"/>
          <w:szCs w:val="24"/>
        </w:rPr>
        <w:t>s</w:t>
      </w:r>
      <w:r w:rsidR="339BCADE" w:rsidRPr="5A1E62CD">
        <w:rPr>
          <w:rFonts w:ascii="Arial" w:hAnsi="Arial" w:cs="Arial"/>
          <w:sz w:val="24"/>
          <w:szCs w:val="24"/>
        </w:rPr>
        <w:t>,</w:t>
      </w:r>
      <w:r w:rsidR="03885517" w:rsidRPr="5A1E62CD">
        <w:rPr>
          <w:rFonts w:ascii="Arial" w:hAnsi="Arial" w:cs="Arial"/>
          <w:sz w:val="24"/>
          <w:szCs w:val="24"/>
        </w:rPr>
        <w:t xml:space="preserve"> as Tunyaplin and Chanpuypetch (2019)</w:t>
      </w:r>
      <w:r w:rsidR="7FE27D4E" w:rsidRPr="5A1E62CD">
        <w:rPr>
          <w:rFonts w:ascii="Arial" w:hAnsi="Arial" w:cs="Arial"/>
          <w:sz w:val="24"/>
          <w:szCs w:val="24"/>
        </w:rPr>
        <w:t xml:space="preserve"> suggest,</w:t>
      </w:r>
      <w:r w:rsidR="55E76417" w:rsidRPr="5A1E62CD">
        <w:rPr>
          <w:rFonts w:ascii="Arial" w:hAnsi="Arial" w:cs="Arial"/>
          <w:sz w:val="24"/>
          <w:szCs w:val="24"/>
        </w:rPr>
        <w:t xml:space="preserve"> highly organised systems, specific knowledge, and ongoing optimisation</w:t>
      </w:r>
      <w:r w:rsidR="46348693" w:rsidRPr="5A1E62CD">
        <w:rPr>
          <w:rFonts w:ascii="Arial" w:hAnsi="Arial" w:cs="Arial"/>
          <w:sz w:val="24"/>
          <w:szCs w:val="24"/>
        </w:rPr>
        <w:t>.</w:t>
      </w:r>
    </w:p>
    <w:p w14:paraId="4D37A9DC" w14:textId="02DC7C87" w:rsidR="00EB2E45" w:rsidRDefault="67F9B7EE" w:rsidP="5A1E62CD">
      <w:pPr>
        <w:spacing w:line="360" w:lineRule="auto"/>
        <w:jc w:val="both"/>
        <w:rPr>
          <w:rFonts w:ascii="Arial" w:hAnsi="Arial" w:cs="Arial"/>
          <w:sz w:val="24"/>
          <w:szCs w:val="24"/>
        </w:rPr>
      </w:pPr>
      <w:r w:rsidRPr="5A1E62CD">
        <w:rPr>
          <w:rFonts w:ascii="Arial" w:hAnsi="Arial" w:cs="Arial"/>
          <w:sz w:val="24"/>
          <w:szCs w:val="24"/>
        </w:rPr>
        <w:t>From a trade theory perspective</w:t>
      </w:r>
      <w:r w:rsidR="6AE904DE" w:rsidRPr="5A1E62CD">
        <w:rPr>
          <w:rFonts w:ascii="Arial" w:hAnsi="Arial" w:cs="Arial"/>
          <w:sz w:val="24"/>
          <w:szCs w:val="24"/>
        </w:rPr>
        <w:t xml:space="preserve">, Johansson and </w:t>
      </w:r>
      <w:r w:rsidR="01A22B84" w:rsidRPr="5A1E62CD">
        <w:rPr>
          <w:rFonts w:ascii="Arial" w:hAnsi="Arial" w:cs="Arial"/>
          <w:sz w:val="24"/>
          <w:szCs w:val="24"/>
        </w:rPr>
        <w:t>Thelander (2009) highlight that</w:t>
      </w:r>
      <w:r w:rsidRPr="5A1E62CD">
        <w:rPr>
          <w:rFonts w:ascii="Arial" w:hAnsi="Arial" w:cs="Arial"/>
          <w:sz w:val="24"/>
          <w:szCs w:val="24"/>
        </w:rPr>
        <w:t xml:space="preserve"> IKEA’s global strategy reflects principles of comparative advantage and economies of scale, enabling the firm to centralise production in cost-efficient regions while distributing globally. This reinforces its position as a global-standardisation MNC, where efficiency and consistency outweigh extensive local adaptation.</w:t>
      </w:r>
    </w:p>
    <w:p w14:paraId="7FBA9E74" w14:textId="6B2C61CC" w:rsidR="00AC75F1" w:rsidRDefault="4EFBBE0E" w:rsidP="5A1E62CD">
      <w:pPr>
        <w:pStyle w:val="Heading2"/>
        <w:keepNext w:val="0"/>
        <w:keepLines w:val="0"/>
        <w:spacing w:line="360" w:lineRule="auto"/>
        <w:rPr>
          <w:rFonts w:ascii="Arial" w:hAnsi="Arial" w:cs="Arial"/>
          <w:sz w:val="28"/>
          <w:szCs w:val="28"/>
        </w:rPr>
      </w:pPr>
      <w:bookmarkStart w:id="7" w:name="_Toc728775240"/>
      <w:r w:rsidRPr="5A1E62CD">
        <w:rPr>
          <w:rFonts w:ascii="Arial" w:hAnsi="Arial" w:cs="Arial"/>
          <w:sz w:val="28"/>
          <w:szCs w:val="28"/>
        </w:rPr>
        <w:t>1.</w:t>
      </w:r>
      <w:r w:rsidR="0B746FD6" w:rsidRPr="5A1E62CD">
        <w:rPr>
          <w:rFonts w:ascii="Arial" w:hAnsi="Arial" w:cs="Arial"/>
          <w:sz w:val="28"/>
          <w:szCs w:val="28"/>
        </w:rPr>
        <w:t>3</w:t>
      </w:r>
      <w:r w:rsidRPr="5A1E62CD">
        <w:rPr>
          <w:rFonts w:ascii="Arial" w:hAnsi="Arial" w:cs="Arial"/>
          <w:sz w:val="28"/>
          <w:szCs w:val="28"/>
        </w:rPr>
        <w:t xml:space="preserve"> Global Configuration and Geographic Footprint</w:t>
      </w:r>
      <w:bookmarkEnd w:id="7"/>
    </w:p>
    <w:p w14:paraId="19A43365" w14:textId="0B6F24D4" w:rsidR="00AC75F1" w:rsidRDefault="00A52CD3" w:rsidP="5A1E62CD">
      <w:pPr>
        <w:spacing w:line="360" w:lineRule="auto"/>
        <w:jc w:val="both"/>
        <w:rPr>
          <w:rFonts w:ascii="Arial" w:hAnsi="Arial" w:cs="Arial"/>
          <w:sz w:val="24"/>
          <w:szCs w:val="24"/>
        </w:rPr>
      </w:pPr>
      <w:r w:rsidRPr="5A1E62CD">
        <w:rPr>
          <w:rFonts w:ascii="Arial" w:hAnsi="Arial" w:cs="Arial"/>
          <w:sz w:val="24"/>
          <w:szCs w:val="24"/>
        </w:rPr>
        <w:t xml:space="preserve">IKEA’s international footprint spans across many countries, supported by a sophisticated global supply chain and a network of more than 1,000 suppliers. </w:t>
      </w:r>
      <w:r w:rsidR="1C11381E" w:rsidRPr="5A1E62CD">
        <w:rPr>
          <w:rFonts w:ascii="Arial" w:hAnsi="Arial" w:cs="Arial"/>
          <w:sz w:val="24"/>
          <w:szCs w:val="24"/>
        </w:rPr>
        <w:t>IKEA has no active stores in New Zealand despite its wide global reach, which is a significant weakness in its Asia-Pacific strategy. Given New Zealand’s stable political climate, high purchasing power, and cultural fit with IKEA</w:t>
      </w:r>
      <w:r w:rsidR="2BE4038D" w:rsidRPr="5A1E62CD">
        <w:rPr>
          <w:rFonts w:ascii="Arial" w:hAnsi="Arial" w:cs="Arial"/>
          <w:sz w:val="24"/>
          <w:szCs w:val="24"/>
        </w:rPr>
        <w:t>’</w:t>
      </w:r>
      <w:r w:rsidR="1C11381E" w:rsidRPr="5A1E62CD">
        <w:rPr>
          <w:rFonts w:ascii="Arial" w:hAnsi="Arial" w:cs="Arial"/>
          <w:sz w:val="24"/>
          <w:szCs w:val="24"/>
        </w:rPr>
        <w:t xml:space="preserve">s design philosophy, this absence is strategically significant.  </w:t>
      </w:r>
      <w:r w:rsidRPr="5A1E62CD">
        <w:rPr>
          <w:rFonts w:ascii="Arial" w:hAnsi="Arial" w:cs="Arial"/>
          <w:sz w:val="24"/>
          <w:szCs w:val="24"/>
        </w:rPr>
        <w:t xml:space="preserve">Its operations are configured to maximise economies of scale, cost efficiency, and global sourcing advantages while maintaining consistent product quality and sustainability standards. </w:t>
      </w:r>
      <w:r w:rsidR="007A6DEC" w:rsidRPr="5A1E62CD">
        <w:rPr>
          <w:rFonts w:ascii="Arial" w:hAnsi="Arial" w:cs="Arial"/>
          <w:sz w:val="24"/>
          <w:szCs w:val="24"/>
        </w:rPr>
        <w:t>Jiang</w:t>
      </w:r>
      <w:r w:rsidR="00DA5DFC" w:rsidRPr="5A1E62CD">
        <w:rPr>
          <w:rFonts w:ascii="Arial" w:hAnsi="Arial" w:cs="Arial"/>
          <w:sz w:val="24"/>
          <w:szCs w:val="24"/>
        </w:rPr>
        <w:t xml:space="preserve"> et al. (2018) </w:t>
      </w:r>
      <w:r w:rsidR="007A6DEC" w:rsidRPr="5A1E62CD">
        <w:rPr>
          <w:rFonts w:ascii="Arial" w:hAnsi="Arial" w:cs="Arial"/>
          <w:sz w:val="24"/>
          <w:szCs w:val="24"/>
        </w:rPr>
        <w:t>f</w:t>
      </w:r>
      <w:r w:rsidR="009046E6" w:rsidRPr="5A1E62CD">
        <w:rPr>
          <w:rFonts w:ascii="Arial" w:hAnsi="Arial" w:cs="Arial"/>
          <w:sz w:val="24"/>
          <w:szCs w:val="24"/>
        </w:rPr>
        <w:t xml:space="preserve">ound </w:t>
      </w:r>
      <w:r w:rsidR="00E154CA" w:rsidRPr="5A1E62CD">
        <w:rPr>
          <w:rFonts w:ascii="Arial" w:hAnsi="Arial" w:cs="Arial"/>
          <w:sz w:val="24"/>
          <w:szCs w:val="24"/>
        </w:rPr>
        <w:t xml:space="preserve">in their research </w:t>
      </w:r>
      <w:r w:rsidR="009046E6" w:rsidRPr="5A1E62CD">
        <w:rPr>
          <w:rFonts w:ascii="Arial" w:hAnsi="Arial" w:cs="Arial"/>
          <w:sz w:val="24"/>
          <w:szCs w:val="24"/>
        </w:rPr>
        <w:t>that</w:t>
      </w:r>
      <w:r w:rsidR="00E154CA" w:rsidRPr="5A1E62CD">
        <w:rPr>
          <w:rFonts w:ascii="Arial" w:hAnsi="Arial" w:cs="Arial"/>
          <w:sz w:val="24"/>
          <w:szCs w:val="24"/>
        </w:rPr>
        <w:t xml:space="preserve"> </w:t>
      </w:r>
      <w:r w:rsidRPr="5A1E62CD">
        <w:rPr>
          <w:rFonts w:ascii="Arial" w:hAnsi="Arial" w:cs="Arial"/>
          <w:sz w:val="24"/>
          <w:szCs w:val="24"/>
        </w:rPr>
        <w:t>IKEA builds long-term partnerships with suppliers to ensure reliable material availability, lower sourcing costs, and alignment with the company’s sustainability objectives. This collaborative sourcing approach strengthens operational stability while reinforcing IKEA’s global brand reputation and commitment to responsible business practices.</w:t>
      </w:r>
      <w:r w:rsidR="00906598" w:rsidRPr="5A1E62CD">
        <w:rPr>
          <w:rFonts w:ascii="Arial" w:hAnsi="Arial" w:cs="Arial"/>
          <w:sz w:val="24"/>
          <w:szCs w:val="24"/>
        </w:rPr>
        <w:t xml:space="preserve"> The company’s manufacturing and distribution hubs are strategically located to optimise transport costs, labour productivity, and access to raw materials</w:t>
      </w:r>
      <w:r w:rsidR="002F51EF" w:rsidRPr="5A1E62CD">
        <w:rPr>
          <w:rFonts w:ascii="Arial" w:hAnsi="Arial" w:cs="Arial"/>
          <w:sz w:val="24"/>
          <w:szCs w:val="24"/>
        </w:rPr>
        <w:t>.</w:t>
      </w:r>
    </w:p>
    <w:p w14:paraId="63E56C69" w14:textId="56C2547A" w:rsidR="005F5F81" w:rsidRDefault="0DC9F506" w:rsidP="5A1E62CD">
      <w:pPr>
        <w:pStyle w:val="Heading1"/>
        <w:keepNext w:val="0"/>
        <w:keepLines w:val="0"/>
        <w:spacing w:line="360" w:lineRule="auto"/>
        <w:rPr>
          <w:rFonts w:ascii="Arial" w:hAnsi="Arial" w:cs="Arial"/>
          <w:sz w:val="32"/>
          <w:szCs w:val="32"/>
        </w:rPr>
      </w:pPr>
      <w:bookmarkStart w:id="8" w:name="_Toc1195234222"/>
      <w:r w:rsidRPr="5A1E62CD">
        <w:rPr>
          <w:rFonts w:ascii="Arial" w:hAnsi="Arial" w:cs="Arial"/>
          <w:sz w:val="32"/>
          <w:szCs w:val="32"/>
        </w:rPr>
        <w:t>2. Macro-Environmental Appraisal and Market Attractiveness</w:t>
      </w:r>
      <w:bookmarkEnd w:id="8"/>
    </w:p>
    <w:p w14:paraId="6E2833C5" w14:textId="0A798ADD" w:rsidR="00BC5897" w:rsidRDefault="109BFAEE" w:rsidP="5A1E62CD">
      <w:pPr>
        <w:pStyle w:val="Heading2"/>
        <w:keepNext w:val="0"/>
        <w:keepLines w:val="0"/>
        <w:spacing w:line="360" w:lineRule="auto"/>
        <w:rPr>
          <w:rFonts w:ascii="Arial" w:hAnsi="Arial" w:cs="Arial"/>
          <w:sz w:val="28"/>
          <w:szCs w:val="28"/>
        </w:rPr>
      </w:pPr>
      <w:bookmarkStart w:id="9" w:name="_Toc1604122847"/>
      <w:r w:rsidRPr="5A1E62CD">
        <w:rPr>
          <w:rFonts w:ascii="Arial" w:hAnsi="Arial" w:cs="Arial"/>
          <w:sz w:val="28"/>
          <w:szCs w:val="28"/>
        </w:rPr>
        <w:t>2.1 Political and Regulatory Environment</w:t>
      </w:r>
      <w:bookmarkEnd w:id="9"/>
    </w:p>
    <w:p w14:paraId="3311FB3D" w14:textId="058C4471" w:rsidR="00734440" w:rsidRPr="00CE42AA" w:rsidRDefault="6425F021" w:rsidP="5A1E62CD">
      <w:pPr>
        <w:spacing w:line="360" w:lineRule="auto"/>
        <w:jc w:val="both"/>
      </w:pPr>
      <w:r w:rsidRPr="5A1E62CD">
        <w:rPr>
          <w:rFonts w:ascii="Arial" w:hAnsi="Arial" w:cs="Arial"/>
          <w:sz w:val="24"/>
          <w:szCs w:val="24"/>
        </w:rPr>
        <w:lastRenderedPageBreak/>
        <w:t>New Zealand presents a highly favourable political environment for international business expansion, supported by its stable governance, strong institutional framework and commitment to international cooperation. Its foreign policy emphasises building partnerships and collaboration through bilateral, regional and multilateral relationships, enabling businesses to operate within a secure and globally connected market. This approach is increasingly important as businesses navigate a more uncertain international environment where traditional assumptions about globalisation and regional stability are being challenged (Mahuta, 2023).</w:t>
      </w:r>
    </w:p>
    <w:p w14:paraId="12A040ED" w14:textId="27AC4D6F" w:rsidR="00734440" w:rsidRPr="00CE42AA" w:rsidRDefault="089A5BAD" w:rsidP="5A1E62CD">
      <w:pPr>
        <w:spacing w:line="360" w:lineRule="auto"/>
        <w:jc w:val="both"/>
        <w:rPr>
          <w:rFonts w:ascii="Arial" w:hAnsi="Arial" w:cs="Arial"/>
          <w:sz w:val="24"/>
          <w:szCs w:val="24"/>
        </w:rPr>
      </w:pPr>
      <w:r w:rsidRPr="5A1E62CD">
        <w:rPr>
          <w:rFonts w:ascii="Arial" w:hAnsi="Arial" w:cs="Arial"/>
          <w:sz w:val="24"/>
          <w:szCs w:val="24"/>
        </w:rPr>
        <w:t xml:space="preserve">As a stable parliamentary democracy with transparent institutions, low corruption, and predictable governance, it offers a </w:t>
      </w:r>
      <w:r w:rsidR="6B9FD3B6" w:rsidRPr="5A1E62CD">
        <w:rPr>
          <w:rFonts w:ascii="Arial" w:hAnsi="Arial" w:cs="Arial"/>
          <w:sz w:val="24"/>
          <w:szCs w:val="24"/>
        </w:rPr>
        <w:t>low risk</w:t>
      </w:r>
      <w:r w:rsidRPr="5A1E62CD">
        <w:rPr>
          <w:rFonts w:ascii="Arial" w:hAnsi="Arial" w:cs="Arial"/>
          <w:sz w:val="24"/>
          <w:szCs w:val="24"/>
        </w:rPr>
        <w:t xml:space="preserve"> setting for long</w:t>
      </w:r>
      <w:r w:rsidR="3769C5E8" w:rsidRPr="5A1E62CD">
        <w:rPr>
          <w:rFonts w:ascii="Arial" w:hAnsi="Arial" w:cs="Arial"/>
          <w:sz w:val="24"/>
          <w:szCs w:val="24"/>
        </w:rPr>
        <w:t xml:space="preserve"> </w:t>
      </w:r>
      <w:r w:rsidRPr="5A1E62CD">
        <w:rPr>
          <w:rFonts w:ascii="Arial" w:hAnsi="Arial" w:cs="Arial"/>
          <w:sz w:val="24"/>
          <w:szCs w:val="24"/>
        </w:rPr>
        <w:t xml:space="preserve">term investment. </w:t>
      </w:r>
    </w:p>
    <w:p w14:paraId="117F9539" w14:textId="79E54602" w:rsidR="00B70615" w:rsidRPr="001D6C2E" w:rsidRDefault="70D46C2C" w:rsidP="5A1E62CD">
      <w:pPr>
        <w:spacing w:line="360" w:lineRule="auto"/>
        <w:jc w:val="both"/>
        <w:rPr>
          <w:rFonts w:ascii="Arial" w:hAnsi="Arial" w:cs="Arial"/>
          <w:sz w:val="24"/>
          <w:szCs w:val="24"/>
        </w:rPr>
      </w:pPr>
      <w:r w:rsidRPr="5A1E62CD">
        <w:rPr>
          <w:rFonts w:ascii="Arial" w:hAnsi="Arial" w:cs="Arial"/>
          <w:sz w:val="24"/>
          <w:szCs w:val="24"/>
        </w:rPr>
        <w:t xml:space="preserve">Although political stability in New Zealand lowers uncertainty, it also raises the bar for new competitors. Strict regulatory enforcement, especially </w:t>
      </w:r>
      <w:r w:rsidR="4242BA67" w:rsidRPr="5A1E62CD">
        <w:rPr>
          <w:rFonts w:ascii="Arial" w:hAnsi="Arial" w:cs="Arial"/>
          <w:sz w:val="24"/>
          <w:szCs w:val="24"/>
        </w:rPr>
        <w:t>regarding</w:t>
      </w:r>
      <w:r w:rsidRPr="5A1E62CD">
        <w:rPr>
          <w:rFonts w:ascii="Arial" w:hAnsi="Arial" w:cs="Arial"/>
          <w:sz w:val="24"/>
          <w:szCs w:val="24"/>
        </w:rPr>
        <w:t xml:space="preserve"> labour standards, building permissions, and environmental compliance, can raise entry costs and impede execution, even though open governance reduces systemic risk. These legal requirements may limit speed-to-market for a retailer that relies on large-format locations and intricate logistics. IKEA must determine whether the regulatory cost is commensurate with the market's long-term value because the political climate is encouraging but not without conflict.</w:t>
      </w:r>
    </w:p>
    <w:p w14:paraId="179AD29C" w14:textId="77777777" w:rsidR="00A60C93" w:rsidRDefault="00A60C93" w:rsidP="5A1E62CD">
      <w:pPr>
        <w:spacing w:line="360" w:lineRule="auto"/>
      </w:pPr>
    </w:p>
    <w:p w14:paraId="598A3DC3" w14:textId="38C5E5A5" w:rsidR="00A60C93" w:rsidRDefault="239BCF4F" w:rsidP="5A1E62CD">
      <w:pPr>
        <w:pStyle w:val="Heading2"/>
        <w:keepNext w:val="0"/>
        <w:keepLines w:val="0"/>
        <w:spacing w:line="360" w:lineRule="auto"/>
        <w:rPr>
          <w:rFonts w:ascii="Arial" w:hAnsi="Arial" w:cs="Arial"/>
          <w:sz w:val="28"/>
          <w:szCs w:val="28"/>
        </w:rPr>
      </w:pPr>
      <w:bookmarkStart w:id="10" w:name="_Toc1781431056"/>
      <w:r w:rsidRPr="5A1E62CD">
        <w:rPr>
          <w:rFonts w:ascii="Arial" w:hAnsi="Arial" w:cs="Arial"/>
          <w:sz w:val="28"/>
          <w:szCs w:val="28"/>
        </w:rPr>
        <w:t>2.2 Economic Environment</w:t>
      </w:r>
      <w:bookmarkEnd w:id="10"/>
    </w:p>
    <w:p w14:paraId="7254178B" w14:textId="24569F1B" w:rsidR="00AF4E52" w:rsidRPr="00DE1554" w:rsidRDefault="11557523" w:rsidP="5A1E62CD">
      <w:pPr>
        <w:spacing w:line="360" w:lineRule="auto"/>
        <w:jc w:val="both"/>
        <w:rPr>
          <w:rFonts w:ascii="Arial" w:hAnsi="Arial" w:cs="Arial"/>
          <w:sz w:val="24"/>
          <w:szCs w:val="24"/>
        </w:rPr>
      </w:pPr>
      <w:r w:rsidRPr="5A1E62CD">
        <w:rPr>
          <w:rFonts w:ascii="Arial" w:hAnsi="Arial" w:cs="Arial"/>
          <w:sz w:val="24"/>
          <w:szCs w:val="24"/>
        </w:rPr>
        <w:t>The economic climate in New Zealand offers IKEA a variety of challenges. The country's small population restricts the scale efficiencies that support IKEA</w:t>
      </w:r>
      <w:r w:rsidR="452DB808" w:rsidRPr="5A1E62CD">
        <w:rPr>
          <w:rFonts w:ascii="Arial" w:hAnsi="Arial" w:cs="Arial"/>
          <w:sz w:val="24"/>
          <w:szCs w:val="24"/>
        </w:rPr>
        <w:t>’</w:t>
      </w:r>
      <w:r w:rsidRPr="5A1E62CD">
        <w:rPr>
          <w:rFonts w:ascii="Arial" w:hAnsi="Arial" w:cs="Arial"/>
          <w:sz w:val="24"/>
          <w:szCs w:val="24"/>
        </w:rPr>
        <w:t xml:space="preserve">s cost-leadership approach, but strong purchasing power and a thriving property market drive demand for home furnishings. Low-price positioning is more difficult to maintain without regional supply chain redesign due to geographic isolation, which also increases logistical costs. </w:t>
      </w:r>
      <w:r w:rsidR="6840C14E" w:rsidRPr="5A1E62CD">
        <w:rPr>
          <w:rFonts w:ascii="Arial" w:hAnsi="Arial" w:cs="Arial"/>
          <w:sz w:val="24"/>
          <w:szCs w:val="24"/>
        </w:rPr>
        <w:t>Ameer</w:t>
      </w:r>
      <w:r w:rsidR="646C4314" w:rsidRPr="5A1E62CD">
        <w:rPr>
          <w:rFonts w:ascii="Arial" w:hAnsi="Arial" w:cs="Arial"/>
          <w:sz w:val="24"/>
          <w:szCs w:val="24"/>
        </w:rPr>
        <w:t xml:space="preserve"> (2026) </w:t>
      </w:r>
      <w:r w:rsidR="55485EBE" w:rsidRPr="5A1E62CD">
        <w:rPr>
          <w:rFonts w:ascii="Arial" w:hAnsi="Arial" w:cs="Arial"/>
          <w:sz w:val="24"/>
          <w:szCs w:val="24"/>
        </w:rPr>
        <w:t xml:space="preserve">findings reveal that </w:t>
      </w:r>
      <w:r w:rsidRPr="5A1E62CD">
        <w:rPr>
          <w:rFonts w:ascii="Arial" w:hAnsi="Arial" w:cs="Arial"/>
          <w:sz w:val="24"/>
          <w:szCs w:val="24"/>
        </w:rPr>
        <w:t>New Zealand</w:t>
      </w:r>
      <w:r w:rsidR="72742EB4" w:rsidRPr="5A1E62CD">
        <w:rPr>
          <w:rFonts w:ascii="Arial" w:hAnsi="Arial" w:cs="Arial"/>
          <w:sz w:val="24"/>
          <w:szCs w:val="24"/>
        </w:rPr>
        <w:t>’</w:t>
      </w:r>
      <w:r w:rsidRPr="5A1E62CD">
        <w:rPr>
          <w:rFonts w:ascii="Arial" w:hAnsi="Arial" w:cs="Arial"/>
          <w:sz w:val="24"/>
          <w:szCs w:val="24"/>
        </w:rPr>
        <w:t xml:space="preserve">s economy is unevenly resilient, as evidenced by recent data from the COVID-19 period: primary industries like forestry and logging saw a dramatic decline, partly due to government choices on vital services, while service sectors like information, media, and telecom grew. This asymmetry draws attention to structural flaws that exacerbate the difficulties of doing business in a remote, tiny market. Therefore, economic appeal is contingent; </w:t>
      </w:r>
      <w:r w:rsidRPr="5A1E62CD">
        <w:rPr>
          <w:rFonts w:ascii="Arial" w:hAnsi="Arial" w:cs="Arial"/>
          <w:sz w:val="24"/>
          <w:szCs w:val="24"/>
        </w:rPr>
        <w:lastRenderedPageBreak/>
        <w:t>demand is high, but IKEA needs to overcome cost and scale.</w:t>
      </w:r>
      <w:r w:rsidR="375139AC" w:rsidRPr="5A1E62CD">
        <w:rPr>
          <w:rFonts w:ascii="Arial" w:hAnsi="Arial" w:cs="Arial"/>
          <w:sz w:val="24"/>
          <w:szCs w:val="24"/>
        </w:rPr>
        <w:t xml:space="preserve"> Therefore, economic attractiveness is contingent; demand is high, but IKEA needs to overcome cost and scale limitations without compromising its value proposition.</w:t>
      </w:r>
    </w:p>
    <w:p w14:paraId="52DDD27E" w14:textId="26C86EEC" w:rsidR="0043707E" w:rsidRDefault="6615C247" w:rsidP="5A1E62CD">
      <w:pPr>
        <w:pStyle w:val="Heading2"/>
        <w:keepNext w:val="0"/>
        <w:keepLines w:val="0"/>
        <w:spacing w:line="360" w:lineRule="auto"/>
        <w:rPr>
          <w:rFonts w:ascii="Arial" w:hAnsi="Arial" w:cs="Arial"/>
          <w:sz w:val="28"/>
          <w:szCs w:val="28"/>
        </w:rPr>
      </w:pPr>
      <w:bookmarkStart w:id="11" w:name="_Toc1078371296"/>
      <w:r w:rsidRPr="5A1E62CD">
        <w:rPr>
          <w:rFonts w:ascii="Arial" w:hAnsi="Arial" w:cs="Arial"/>
          <w:sz w:val="28"/>
          <w:szCs w:val="28"/>
        </w:rPr>
        <w:t>2.3 Legal Environment</w:t>
      </w:r>
      <w:bookmarkEnd w:id="11"/>
    </w:p>
    <w:p w14:paraId="41942FD9" w14:textId="51C49D54" w:rsidR="004C7F45" w:rsidRPr="004C7F45" w:rsidRDefault="711A5A78" w:rsidP="5A1E62CD">
      <w:pPr>
        <w:spacing w:line="360" w:lineRule="auto"/>
        <w:jc w:val="both"/>
        <w:rPr>
          <w:rFonts w:ascii="Arial" w:hAnsi="Arial" w:cs="Arial"/>
          <w:sz w:val="24"/>
          <w:szCs w:val="24"/>
        </w:rPr>
      </w:pPr>
      <w:r w:rsidRPr="5A1E62CD">
        <w:rPr>
          <w:rFonts w:ascii="Arial" w:hAnsi="Arial" w:cs="Arial"/>
          <w:sz w:val="24"/>
          <w:szCs w:val="24"/>
        </w:rPr>
        <w:t>Although New Zealand</w:t>
      </w:r>
      <w:r w:rsidR="2A39455E" w:rsidRPr="5A1E62CD">
        <w:rPr>
          <w:rFonts w:ascii="Arial" w:hAnsi="Arial" w:cs="Arial"/>
          <w:sz w:val="24"/>
          <w:szCs w:val="24"/>
        </w:rPr>
        <w:t>’</w:t>
      </w:r>
      <w:r w:rsidRPr="5A1E62CD">
        <w:rPr>
          <w:rFonts w:ascii="Arial" w:hAnsi="Arial" w:cs="Arial"/>
          <w:sz w:val="24"/>
          <w:szCs w:val="24"/>
        </w:rPr>
        <w:t>s legal system lowers contractual and operational risk, foreign merchants must adhere to stringent regulations. The cost of doing business in the market is increased by consumer protection laws, employment laws, and strict environmental regulations. The regulatory strategy used for significant hazard facilities, where WorkSafe enforces strict oversight and employs a transparent, full cost-recovery mechanism, exemplifies the larger legal culture of predictability, responsibility, and active enforcement</w:t>
      </w:r>
      <w:r w:rsidR="73067A65" w:rsidRPr="5A1E62CD">
        <w:rPr>
          <w:rFonts w:ascii="Arial" w:hAnsi="Arial" w:cs="Arial"/>
          <w:sz w:val="24"/>
          <w:szCs w:val="24"/>
        </w:rPr>
        <w:t xml:space="preserve"> (</w:t>
      </w:r>
      <w:r w:rsidR="71FEDCEB" w:rsidRPr="5A1E62CD">
        <w:rPr>
          <w:rFonts w:ascii="Arial" w:hAnsi="Arial" w:cs="Arial"/>
          <w:sz w:val="24"/>
          <w:szCs w:val="24"/>
        </w:rPr>
        <w:t>Ministry of Business, Innovation and Employment, 2023)</w:t>
      </w:r>
      <w:r w:rsidRPr="5A1E62CD">
        <w:rPr>
          <w:rFonts w:ascii="Arial" w:hAnsi="Arial" w:cs="Arial"/>
          <w:sz w:val="24"/>
          <w:szCs w:val="24"/>
        </w:rPr>
        <w:t>. Despite many of these expectations are met by IKEA</w:t>
      </w:r>
      <w:r w:rsidR="2D90B817" w:rsidRPr="5A1E62CD">
        <w:rPr>
          <w:rFonts w:ascii="Arial" w:hAnsi="Arial" w:cs="Arial"/>
          <w:sz w:val="24"/>
          <w:szCs w:val="24"/>
        </w:rPr>
        <w:t>’</w:t>
      </w:r>
      <w:r w:rsidRPr="5A1E62CD">
        <w:rPr>
          <w:rFonts w:ascii="Arial" w:hAnsi="Arial" w:cs="Arial"/>
          <w:sz w:val="24"/>
          <w:szCs w:val="24"/>
        </w:rPr>
        <w:t xml:space="preserve">s global standards, there is minimal opportunity for operational misalignment due to the strict regulatory framework. Because of this, the legal environment is tough but steady, necessitating focused execution and </w:t>
      </w:r>
      <w:bookmarkStart w:id="12" w:name="_Int_3o9k7jQV"/>
      <w:r w:rsidRPr="5A1E62CD">
        <w:rPr>
          <w:rFonts w:ascii="Arial" w:hAnsi="Arial" w:cs="Arial"/>
          <w:sz w:val="24"/>
          <w:szCs w:val="24"/>
        </w:rPr>
        <w:t>possibly greater</w:t>
      </w:r>
      <w:bookmarkEnd w:id="12"/>
      <w:r w:rsidRPr="5A1E62CD">
        <w:rPr>
          <w:rFonts w:ascii="Arial" w:hAnsi="Arial" w:cs="Arial"/>
          <w:sz w:val="24"/>
          <w:szCs w:val="24"/>
        </w:rPr>
        <w:t xml:space="preserve"> operating expenses than in similar markets.</w:t>
      </w:r>
    </w:p>
    <w:p w14:paraId="5F01FE1C" w14:textId="57C527C9" w:rsidR="00016174" w:rsidRDefault="2A8041F7" w:rsidP="5A1E62CD">
      <w:pPr>
        <w:pStyle w:val="Heading2"/>
        <w:keepNext w:val="0"/>
        <w:keepLines w:val="0"/>
        <w:spacing w:line="360" w:lineRule="auto"/>
        <w:rPr>
          <w:rFonts w:ascii="Arial" w:hAnsi="Arial" w:cs="Arial"/>
          <w:sz w:val="28"/>
          <w:szCs w:val="28"/>
        </w:rPr>
      </w:pPr>
      <w:bookmarkStart w:id="13" w:name="_Toc688068555"/>
      <w:r w:rsidRPr="5A1E62CD">
        <w:rPr>
          <w:rFonts w:ascii="Arial" w:hAnsi="Arial" w:cs="Arial"/>
          <w:sz w:val="28"/>
          <w:szCs w:val="28"/>
        </w:rPr>
        <w:t>2.4 Cultural Environment</w:t>
      </w:r>
      <w:bookmarkEnd w:id="13"/>
    </w:p>
    <w:p w14:paraId="24AF4C18" w14:textId="41050BB9" w:rsidR="007A388D" w:rsidRPr="001A7F8A" w:rsidRDefault="2531E12E" w:rsidP="5A1E62CD">
      <w:pPr>
        <w:spacing w:line="360" w:lineRule="auto"/>
        <w:jc w:val="both"/>
      </w:pPr>
      <w:r w:rsidRPr="5A1E62CD">
        <w:rPr>
          <w:rFonts w:ascii="Arial" w:hAnsi="Arial" w:cs="Arial"/>
          <w:sz w:val="24"/>
          <w:szCs w:val="24"/>
        </w:rPr>
        <w:t xml:space="preserve">Cultural alignment between IKEA and New Zealand is generally strong, but not without nuance. </w:t>
      </w:r>
      <w:r w:rsidR="3D72E3ED" w:rsidRPr="5A1E62CD">
        <w:rPr>
          <w:rFonts w:ascii="Arial" w:hAnsi="Arial" w:cs="Arial"/>
          <w:sz w:val="24"/>
          <w:szCs w:val="24"/>
        </w:rPr>
        <w:t xml:space="preserve">New Zealand’s cultural environment is more complex than broad national indicators suggest. </w:t>
      </w:r>
      <w:r w:rsidR="67A37E4C" w:rsidRPr="5A1E62CD">
        <w:rPr>
          <w:rFonts w:ascii="Arial" w:hAnsi="Arial" w:cs="Arial"/>
          <w:sz w:val="24"/>
          <w:szCs w:val="24"/>
        </w:rPr>
        <w:t>To further evaluate the cultural compatibility between IKEA</w:t>
      </w:r>
      <w:r w:rsidR="69DEFC9F" w:rsidRPr="5A1E62CD">
        <w:rPr>
          <w:rFonts w:ascii="Arial" w:hAnsi="Arial" w:cs="Arial"/>
          <w:sz w:val="24"/>
          <w:szCs w:val="24"/>
        </w:rPr>
        <w:t>’</w:t>
      </w:r>
      <w:r w:rsidR="67A37E4C" w:rsidRPr="5A1E62CD">
        <w:rPr>
          <w:rFonts w:ascii="Arial" w:hAnsi="Arial" w:cs="Arial"/>
          <w:sz w:val="24"/>
          <w:szCs w:val="24"/>
        </w:rPr>
        <w:t>s home country and the proposed host market, Hofstede</w:t>
      </w:r>
      <w:r w:rsidR="732656CD" w:rsidRPr="5A1E62CD">
        <w:rPr>
          <w:rFonts w:ascii="Arial" w:hAnsi="Arial" w:cs="Arial"/>
          <w:sz w:val="24"/>
          <w:szCs w:val="24"/>
        </w:rPr>
        <w:t>’</w:t>
      </w:r>
      <w:r w:rsidR="67A37E4C" w:rsidRPr="5A1E62CD">
        <w:rPr>
          <w:rFonts w:ascii="Arial" w:hAnsi="Arial" w:cs="Arial"/>
          <w:sz w:val="24"/>
          <w:szCs w:val="24"/>
        </w:rPr>
        <w:t>s Cultural Dimensions Model (Hofstede, 20</w:t>
      </w:r>
      <w:r w:rsidR="78ED1520" w:rsidRPr="5A1E62CD">
        <w:rPr>
          <w:rFonts w:ascii="Arial" w:hAnsi="Arial" w:cs="Arial"/>
          <w:sz w:val="24"/>
          <w:szCs w:val="24"/>
        </w:rPr>
        <w:t>1</w:t>
      </w:r>
      <w:r w:rsidR="67A37E4C" w:rsidRPr="5A1E62CD">
        <w:rPr>
          <w:rFonts w:ascii="Arial" w:hAnsi="Arial" w:cs="Arial"/>
          <w:sz w:val="24"/>
          <w:szCs w:val="24"/>
        </w:rPr>
        <w:t xml:space="preserve">1) provides a useful framework for comparing national cultures across </w:t>
      </w:r>
      <w:r w:rsidR="54772FD9" w:rsidRPr="5A1E62CD">
        <w:rPr>
          <w:rFonts w:ascii="Arial" w:hAnsi="Arial" w:cs="Arial"/>
          <w:sz w:val="24"/>
          <w:szCs w:val="24"/>
        </w:rPr>
        <w:t xml:space="preserve">the </w:t>
      </w:r>
      <w:r w:rsidR="67A37E4C" w:rsidRPr="5A1E62CD">
        <w:rPr>
          <w:rFonts w:ascii="Arial" w:hAnsi="Arial" w:cs="Arial"/>
          <w:sz w:val="24"/>
          <w:szCs w:val="24"/>
        </w:rPr>
        <w:t>six dimensions</w:t>
      </w:r>
      <w:r w:rsidR="4E2587C7" w:rsidRPr="5A1E62CD">
        <w:rPr>
          <w:rFonts w:ascii="Arial" w:hAnsi="Arial" w:cs="Arial"/>
          <w:sz w:val="24"/>
          <w:szCs w:val="24"/>
        </w:rPr>
        <w:t xml:space="preserve">. </w:t>
      </w:r>
      <w:r w:rsidR="5680CF71" w:rsidRPr="5A1E62CD">
        <w:rPr>
          <w:rFonts w:ascii="Arial" w:hAnsi="Arial" w:cs="Arial"/>
          <w:sz w:val="24"/>
          <w:szCs w:val="24"/>
        </w:rPr>
        <w:t>Understanding cultural differences is essential for multinational corporations (MNCs) when entering foreign markets, as it helps them evaluate the need to adapt management practices, consumer behaviour approaches and marketing strategies to local expectations. Such cultural awareness enables firms to develop more effective international strategies and improve their ability to respond to diverse market conditions (Xi et al., 2020).</w:t>
      </w:r>
      <w:r w:rsidR="67A37E4C" w:rsidRPr="5A1E62CD">
        <w:rPr>
          <w:rFonts w:ascii="Arial" w:hAnsi="Arial" w:cs="Arial"/>
          <w:sz w:val="24"/>
          <w:szCs w:val="24"/>
        </w:rPr>
        <w:t xml:space="preserve"> Figure </w:t>
      </w:r>
      <w:r w:rsidR="61800AD4" w:rsidRPr="5A1E62CD">
        <w:rPr>
          <w:rFonts w:ascii="Arial" w:hAnsi="Arial" w:cs="Arial"/>
          <w:sz w:val="24"/>
          <w:szCs w:val="24"/>
        </w:rPr>
        <w:t>5</w:t>
      </w:r>
      <w:r w:rsidR="67A37E4C" w:rsidRPr="5A1E62CD">
        <w:rPr>
          <w:rFonts w:ascii="Arial" w:hAnsi="Arial" w:cs="Arial"/>
          <w:sz w:val="24"/>
          <w:szCs w:val="24"/>
        </w:rPr>
        <w:t xml:space="preserve"> compares the Hofstede cultural profiles of Sweden and New Zealand, illustrating that while both countries share relatively low power distance and high individualism, notable differences exist in masculinity, uncertainty avoidance and long-term orientation, suggesting that IKEA </w:t>
      </w:r>
      <w:r w:rsidR="67A37E4C" w:rsidRPr="5A1E62CD">
        <w:rPr>
          <w:rFonts w:ascii="Arial" w:hAnsi="Arial" w:cs="Arial"/>
          <w:sz w:val="24"/>
          <w:szCs w:val="24"/>
        </w:rPr>
        <w:lastRenderedPageBreak/>
        <w:t>may benefit from selectively adapting elements of its customer experience and communication strategy while maintaining its globally standardised business model.</w:t>
      </w:r>
    </w:p>
    <w:p w14:paraId="19516EFE" w14:textId="748F211E" w:rsidR="007A388D" w:rsidRPr="001A7F8A" w:rsidRDefault="67A37E4C" w:rsidP="5A1E62CD">
      <w:pPr>
        <w:spacing w:line="360" w:lineRule="auto"/>
        <w:jc w:val="both"/>
      </w:pPr>
      <w:r>
        <w:rPr>
          <w:noProof/>
        </w:rPr>
        <w:drawing>
          <wp:inline distT="0" distB="0" distL="0" distR="0" wp14:anchorId="182C2995" wp14:editId="4C957B95">
            <wp:extent cx="5724525" cy="3267075"/>
            <wp:effectExtent l="0" t="0" r="0" b="0"/>
            <wp:docPr id="11329242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924279" name="Picture 1132924279"/>
                    <pic:cNvPicPr/>
                  </pic:nvPicPr>
                  <pic:blipFill>
                    <a:blip r:embed="rId15">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r w:rsidRPr="5A1E62CD">
        <w:rPr>
          <w:rFonts w:ascii="Arial" w:hAnsi="Arial" w:cs="Arial"/>
          <w:sz w:val="24"/>
          <w:szCs w:val="24"/>
        </w:rPr>
        <w:t>Figure</w:t>
      </w:r>
      <w:r w:rsidR="15CA6D42" w:rsidRPr="5A1E62CD">
        <w:rPr>
          <w:rFonts w:ascii="Arial" w:hAnsi="Arial" w:cs="Arial"/>
          <w:sz w:val="24"/>
          <w:szCs w:val="24"/>
        </w:rPr>
        <w:t xml:space="preserve"> </w:t>
      </w:r>
      <w:r w:rsidR="5BCC16D9" w:rsidRPr="5A1E62CD">
        <w:rPr>
          <w:rFonts w:ascii="Arial" w:hAnsi="Arial" w:cs="Arial"/>
          <w:sz w:val="24"/>
          <w:szCs w:val="24"/>
        </w:rPr>
        <w:t>5</w:t>
      </w:r>
      <w:r w:rsidRPr="5A1E62CD">
        <w:rPr>
          <w:rFonts w:ascii="Arial" w:hAnsi="Arial" w:cs="Arial"/>
          <w:sz w:val="24"/>
          <w:szCs w:val="24"/>
        </w:rPr>
        <w:t>: Hofstede cultural profiles of Sweden and New Zealand</w:t>
      </w:r>
    </w:p>
    <w:p w14:paraId="038A0B76" w14:textId="5475DC27" w:rsidR="007A388D" w:rsidRPr="001A7F8A" w:rsidRDefault="3D72E3ED" w:rsidP="5A1E62CD">
      <w:pPr>
        <w:spacing w:line="360" w:lineRule="auto"/>
        <w:jc w:val="both"/>
      </w:pPr>
      <w:r w:rsidRPr="5A1E62CD">
        <w:rPr>
          <w:rFonts w:ascii="Arial" w:hAnsi="Arial" w:cs="Arial"/>
          <w:sz w:val="24"/>
          <w:szCs w:val="24"/>
        </w:rPr>
        <w:t xml:space="preserve">Historical design practices in Aotearoa reveal uneven cultural exchange between Māori and Pākehā, as illustrated by J.H. Menzies’ colonial hybrid designs, which reflect both creative engagement and cultural misunderstanding. This complexity is also evident in contemporary urban design research, which emphasises the centrality of whenua (land) to Māori identity and the need for </w:t>
      </w:r>
      <w:r w:rsidR="04AA2858" w:rsidRPr="5A1E62CD">
        <w:rPr>
          <w:rFonts w:ascii="Arial" w:hAnsi="Arial" w:cs="Arial"/>
          <w:sz w:val="24"/>
          <w:szCs w:val="24"/>
        </w:rPr>
        <w:t>co-design</w:t>
      </w:r>
      <w:r w:rsidRPr="5A1E62CD">
        <w:rPr>
          <w:rFonts w:ascii="Arial" w:hAnsi="Arial" w:cs="Arial"/>
          <w:sz w:val="24"/>
          <w:szCs w:val="24"/>
        </w:rPr>
        <w:t xml:space="preserve"> approaches that embed Māori values in housing and community planning</w:t>
      </w:r>
      <w:r w:rsidR="3FFD0430" w:rsidRPr="5A1E62CD">
        <w:rPr>
          <w:rFonts w:ascii="Arial" w:hAnsi="Arial" w:cs="Arial"/>
          <w:sz w:val="24"/>
          <w:szCs w:val="24"/>
        </w:rPr>
        <w:t xml:space="preserve"> (Smith,</w:t>
      </w:r>
      <w:r w:rsidR="00AA1829" w:rsidRPr="5A1E62CD">
        <w:rPr>
          <w:rFonts w:ascii="Arial" w:hAnsi="Arial" w:cs="Arial"/>
          <w:sz w:val="24"/>
          <w:szCs w:val="24"/>
        </w:rPr>
        <w:t xml:space="preserve"> </w:t>
      </w:r>
      <w:r w:rsidR="7888E424" w:rsidRPr="5A1E62CD">
        <w:rPr>
          <w:rFonts w:ascii="Arial" w:hAnsi="Arial" w:cs="Arial"/>
          <w:sz w:val="24"/>
          <w:szCs w:val="24"/>
        </w:rPr>
        <w:t>2024</w:t>
      </w:r>
      <w:r w:rsidR="6A08D09A" w:rsidRPr="5A1E62CD">
        <w:rPr>
          <w:rFonts w:ascii="Arial" w:hAnsi="Arial" w:cs="Arial"/>
          <w:sz w:val="24"/>
          <w:szCs w:val="24"/>
        </w:rPr>
        <w:t>; Menzies,</w:t>
      </w:r>
      <w:r w:rsidR="00AA1829" w:rsidRPr="5A1E62CD">
        <w:rPr>
          <w:rFonts w:ascii="Arial" w:hAnsi="Arial" w:cs="Arial"/>
          <w:sz w:val="24"/>
          <w:szCs w:val="24"/>
        </w:rPr>
        <w:t xml:space="preserve"> </w:t>
      </w:r>
      <w:r w:rsidR="6A08D09A" w:rsidRPr="5A1E62CD">
        <w:rPr>
          <w:rFonts w:ascii="Arial" w:hAnsi="Arial" w:cs="Arial"/>
          <w:sz w:val="24"/>
          <w:szCs w:val="24"/>
        </w:rPr>
        <w:t>2022</w:t>
      </w:r>
      <w:r w:rsidR="7888E424" w:rsidRPr="5A1E62CD">
        <w:rPr>
          <w:rFonts w:ascii="Arial" w:hAnsi="Arial" w:cs="Arial"/>
          <w:sz w:val="24"/>
          <w:szCs w:val="24"/>
        </w:rPr>
        <w:t>)</w:t>
      </w:r>
      <w:r w:rsidRPr="5A1E62CD">
        <w:rPr>
          <w:rFonts w:ascii="Arial" w:hAnsi="Arial" w:cs="Arial"/>
          <w:sz w:val="24"/>
          <w:szCs w:val="24"/>
        </w:rPr>
        <w:t>. These insights highlight that design preferences in New Zealand are shaped by layered cultural identities rather than a single dominant aesthetic. For IKEA, this means that while Scandinavian minimalism may appeal to many consumers, the company must avoid assuming universal acceptance and instead recognise the need for cultural sensitivity, selective adaptation, and engagement with local cultural frameworks.</w:t>
      </w:r>
    </w:p>
    <w:p w14:paraId="5423FB1A" w14:textId="66A49A85" w:rsidR="73FB431B" w:rsidRDefault="73FB431B" w:rsidP="5A1E62CD">
      <w:pPr>
        <w:spacing w:line="360" w:lineRule="auto"/>
        <w:jc w:val="both"/>
      </w:pPr>
      <w:r w:rsidRPr="5A1E62CD">
        <w:rPr>
          <w:rFonts w:ascii="Arial" w:hAnsi="Arial" w:cs="Arial"/>
          <w:sz w:val="24"/>
          <w:szCs w:val="24"/>
        </w:rPr>
        <w:t xml:space="preserve">Overall, the PESTLE analysis highlights that New Zealand presents a generally attractive but strategically complex environment for IKEA’s expansion. </w:t>
      </w:r>
      <w:r w:rsidR="57B21CA7" w:rsidRPr="5A1E62CD">
        <w:rPr>
          <w:rFonts w:ascii="Arial" w:hAnsi="Arial" w:cs="Arial"/>
          <w:sz w:val="24"/>
          <w:szCs w:val="24"/>
        </w:rPr>
        <w:t xml:space="preserve">Prior studies </w:t>
      </w:r>
      <w:r w:rsidR="49A2A9C2" w:rsidRPr="5A1E62CD">
        <w:rPr>
          <w:rFonts w:ascii="Arial" w:hAnsi="Arial" w:cs="Arial"/>
          <w:sz w:val="24"/>
          <w:szCs w:val="24"/>
        </w:rPr>
        <w:t>by</w:t>
      </w:r>
      <w:r w:rsidR="57B21CA7" w:rsidRPr="5A1E62CD">
        <w:rPr>
          <w:rFonts w:ascii="Arial" w:hAnsi="Arial" w:cs="Arial"/>
          <w:sz w:val="24"/>
          <w:szCs w:val="24"/>
        </w:rPr>
        <w:t xml:space="preserve"> </w:t>
      </w:r>
      <w:r w:rsidR="2E630736" w:rsidRPr="5A1E62CD">
        <w:rPr>
          <w:rFonts w:ascii="Arial" w:hAnsi="Arial" w:cs="Arial"/>
          <w:sz w:val="24"/>
          <w:szCs w:val="24"/>
        </w:rPr>
        <w:t xml:space="preserve">Hong et al. (2025) </w:t>
      </w:r>
      <w:r w:rsidR="57B21CA7" w:rsidRPr="5A1E62CD">
        <w:rPr>
          <w:rFonts w:ascii="Arial" w:hAnsi="Arial" w:cs="Arial"/>
          <w:sz w:val="24"/>
          <w:szCs w:val="24"/>
        </w:rPr>
        <w:t>have noted that political</w:t>
      </w:r>
      <w:r w:rsidRPr="5A1E62CD">
        <w:rPr>
          <w:rFonts w:ascii="Arial" w:hAnsi="Arial" w:cs="Arial"/>
          <w:sz w:val="24"/>
          <w:szCs w:val="24"/>
        </w:rPr>
        <w:t xml:space="preserve"> stability, transparent institutions, advanced digital infrastructure, and strong consumer purchasing power create favourable conditions for market entry. At the same time, the country’s small population, </w:t>
      </w:r>
      <w:r w:rsidRPr="5A1E62CD">
        <w:rPr>
          <w:rFonts w:ascii="Arial" w:hAnsi="Arial" w:cs="Arial"/>
          <w:sz w:val="24"/>
          <w:szCs w:val="24"/>
        </w:rPr>
        <w:lastRenderedPageBreak/>
        <w:t xml:space="preserve">geographic isolation, stringent legal requirements, strong environmental expectations, and culturally nuanced consumer landscape impose constraints that could limit the effectiveness of IKEA’s traditional scale-driven business model. As summarised in Figure </w:t>
      </w:r>
      <w:r w:rsidR="73D2AEEF" w:rsidRPr="5A1E62CD">
        <w:rPr>
          <w:rFonts w:ascii="Arial" w:hAnsi="Arial" w:cs="Arial"/>
          <w:sz w:val="24"/>
          <w:szCs w:val="24"/>
        </w:rPr>
        <w:t>6</w:t>
      </w:r>
      <w:r w:rsidRPr="5A1E62CD">
        <w:rPr>
          <w:rFonts w:ascii="Arial" w:hAnsi="Arial" w:cs="Arial"/>
          <w:sz w:val="24"/>
          <w:szCs w:val="24"/>
        </w:rPr>
        <w:t>, the attractiveness of the New Zealand market is therefore conditional rather than absolute. Success will depend on IKEA’s ability to balance its globally standardised operating model with selective local adaptation, particularly in relation to sustainability, cultural sensitivity, and cost-efficient market delivery.</w:t>
      </w:r>
    </w:p>
    <w:p w14:paraId="53419509" w14:textId="03939BC1" w:rsidR="248343D7" w:rsidRDefault="248343D7" w:rsidP="5A1E62CD">
      <w:pPr>
        <w:spacing w:line="360" w:lineRule="auto"/>
        <w:jc w:val="both"/>
      </w:pPr>
      <w:r>
        <w:rPr>
          <w:noProof/>
        </w:rPr>
        <w:drawing>
          <wp:inline distT="0" distB="0" distL="0" distR="0" wp14:anchorId="665B9DB5" wp14:editId="46E2D6AA">
            <wp:extent cx="6105525" cy="3731560"/>
            <wp:effectExtent l="0" t="0" r="0" b="0"/>
            <wp:docPr id="2853843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384394" name="Picture 285384394"/>
                    <pic:cNvPicPr/>
                  </pic:nvPicPr>
                  <pic:blipFill>
                    <a:blip r:embed="rId16">
                      <a:extLst>
                        <a:ext uri="{28A0092B-C50C-407E-A947-70E740481C1C}">
                          <a14:useLocalDpi xmlns:a14="http://schemas.microsoft.com/office/drawing/2010/main"/>
                        </a:ext>
                      </a:extLst>
                    </a:blip>
                    <a:stretch>
                      <a:fillRect/>
                    </a:stretch>
                  </pic:blipFill>
                  <pic:spPr>
                    <a:xfrm>
                      <a:off x="0" y="0"/>
                      <a:ext cx="6105525" cy="3731560"/>
                    </a:xfrm>
                    <a:prstGeom prst="rect">
                      <a:avLst/>
                    </a:prstGeom>
                  </pic:spPr>
                </pic:pic>
              </a:graphicData>
            </a:graphic>
          </wp:inline>
        </w:drawing>
      </w:r>
    </w:p>
    <w:p w14:paraId="02F5FE36" w14:textId="10783D8C" w:rsidR="085F14E7" w:rsidRDefault="085F14E7" w:rsidP="5A1E62CD">
      <w:pPr>
        <w:spacing w:line="360" w:lineRule="auto"/>
      </w:pPr>
      <w:r w:rsidRPr="5A1E62CD">
        <w:rPr>
          <w:rFonts w:ascii="Arial" w:eastAsia="Arial" w:hAnsi="Arial" w:cs="Arial"/>
          <w:sz w:val="24"/>
          <w:szCs w:val="24"/>
        </w:rPr>
        <w:t xml:space="preserve">Figure </w:t>
      </w:r>
      <w:r w:rsidR="3684FE53" w:rsidRPr="5A1E62CD">
        <w:rPr>
          <w:rFonts w:ascii="Arial" w:eastAsia="Arial" w:hAnsi="Arial" w:cs="Arial"/>
          <w:sz w:val="24"/>
          <w:szCs w:val="24"/>
        </w:rPr>
        <w:t>6</w:t>
      </w:r>
      <w:r w:rsidRPr="5A1E62CD">
        <w:rPr>
          <w:rFonts w:ascii="Arial" w:eastAsia="Arial" w:hAnsi="Arial" w:cs="Arial"/>
          <w:sz w:val="24"/>
          <w:szCs w:val="24"/>
        </w:rPr>
        <w:t>: PESTLE Analysis of New Zealand as a Potential Host Market for IKEA</w:t>
      </w:r>
    </w:p>
    <w:p w14:paraId="5AA9CA99" w14:textId="072F4A9A" w:rsidR="4FF284E2" w:rsidRDefault="4FF284E2" w:rsidP="5A1E62CD">
      <w:pPr>
        <w:spacing w:line="360" w:lineRule="auto"/>
        <w:jc w:val="both"/>
        <w:rPr>
          <w:rFonts w:ascii="Arial" w:eastAsia="Arial" w:hAnsi="Arial" w:cs="Arial"/>
          <w:sz w:val="24"/>
          <w:szCs w:val="24"/>
        </w:rPr>
      </w:pPr>
      <w:r w:rsidRPr="5A1E62CD">
        <w:rPr>
          <w:rFonts w:ascii="Arial" w:eastAsia="Arial" w:hAnsi="Arial" w:cs="Arial"/>
          <w:sz w:val="24"/>
          <w:szCs w:val="24"/>
        </w:rPr>
        <w:t>In addition to the PESTLE analysis, Porter</w:t>
      </w:r>
      <w:r w:rsidR="1A4A8D81" w:rsidRPr="5A1E62CD">
        <w:rPr>
          <w:rFonts w:ascii="Arial" w:eastAsia="Arial" w:hAnsi="Arial" w:cs="Arial"/>
          <w:sz w:val="24"/>
          <w:szCs w:val="24"/>
        </w:rPr>
        <w:t>’</w:t>
      </w:r>
      <w:r w:rsidRPr="5A1E62CD">
        <w:rPr>
          <w:rFonts w:ascii="Arial" w:eastAsia="Arial" w:hAnsi="Arial" w:cs="Arial"/>
          <w:sz w:val="24"/>
          <w:szCs w:val="24"/>
        </w:rPr>
        <w:t>s Diamond Model (Porter, 1990) is used to assess New Zealand</w:t>
      </w:r>
      <w:r w:rsidR="7F045D2F" w:rsidRPr="5A1E62CD">
        <w:rPr>
          <w:rFonts w:ascii="Arial" w:eastAsia="Arial" w:hAnsi="Arial" w:cs="Arial"/>
          <w:sz w:val="24"/>
          <w:szCs w:val="24"/>
        </w:rPr>
        <w:t>’</w:t>
      </w:r>
      <w:r w:rsidRPr="5A1E62CD">
        <w:rPr>
          <w:rFonts w:ascii="Arial" w:eastAsia="Arial" w:hAnsi="Arial" w:cs="Arial"/>
          <w:sz w:val="24"/>
          <w:szCs w:val="24"/>
        </w:rPr>
        <w:t>s competitive environment and its suitability for IKEA</w:t>
      </w:r>
      <w:r w:rsidR="05E4BE9D" w:rsidRPr="5A1E62CD">
        <w:rPr>
          <w:rFonts w:ascii="Arial" w:eastAsia="Arial" w:hAnsi="Arial" w:cs="Arial"/>
          <w:sz w:val="24"/>
          <w:szCs w:val="24"/>
        </w:rPr>
        <w:t>’</w:t>
      </w:r>
      <w:r w:rsidRPr="5A1E62CD">
        <w:rPr>
          <w:rFonts w:ascii="Arial" w:eastAsia="Arial" w:hAnsi="Arial" w:cs="Arial"/>
          <w:sz w:val="24"/>
          <w:szCs w:val="24"/>
        </w:rPr>
        <w:t>s market entry. The model evaluates four determinants that influence national competitive advantage and the attractiveness of a host country for international expansion.</w:t>
      </w:r>
    </w:p>
    <w:p w14:paraId="57A61BD9" w14:textId="0FEF3FA7" w:rsidR="013E1D92" w:rsidRDefault="013E1D92" w:rsidP="5A1E62CD">
      <w:pPr>
        <w:spacing w:line="360" w:lineRule="auto"/>
        <w:jc w:val="both"/>
        <w:rPr>
          <w:rFonts w:ascii="Arial" w:eastAsia="Arial" w:hAnsi="Arial" w:cs="Arial"/>
          <w:sz w:val="24"/>
          <w:szCs w:val="24"/>
        </w:rPr>
      </w:pPr>
      <w:r>
        <w:rPr>
          <w:noProof/>
        </w:rPr>
        <w:lastRenderedPageBreak/>
        <w:drawing>
          <wp:inline distT="0" distB="0" distL="0" distR="0" wp14:anchorId="292D0EB1" wp14:editId="52696FF0">
            <wp:extent cx="4585807" cy="3032011"/>
            <wp:effectExtent l="0" t="0" r="0" b="0"/>
            <wp:docPr id="10708248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824855" name="Picture 1070824855"/>
                    <pic:cNvPicPr/>
                  </pic:nvPicPr>
                  <pic:blipFill>
                    <a:blip r:embed="rId17">
                      <a:extLst>
                        <a:ext uri="{28A0092B-C50C-407E-A947-70E740481C1C}">
                          <a14:useLocalDpi xmlns:a14="http://schemas.microsoft.com/office/drawing/2010/main"/>
                        </a:ext>
                      </a:extLst>
                    </a:blip>
                    <a:stretch>
                      <a:fillRect/>
                    </a:stretch>
                  </pic:blipFill>
                  <pic:spPr>
                    <a:xfrm>
                      <a:off x="0" y="0"/>
                      <a:ext cx="4585807" cy="3032011"/>
                    </a:xfrm>
                    <a:prstGeom prst="rect">
                      <a:avLst/>
                    </a:prstGeom>
                  </pic:spPr>
                </pic:pic>
              </a:graphicData>
            </a:graphic>
          </wp:inline>
        </w:drawing>
      </w:r>
    </w:p>
    <w:p w14:paraId="38F60D7B" w14:textId="7A504F31" w:rsidR="013E1D92" w:rsidRDefault="013E1D92" w:rsidP="5A1E62CD">
      <w:pPr>
        <w:spacing w:line="360" w:lineRule="auto"/>
        <w:jc w:val="both"/>
      </w:pPr>
      <w:r w:rsidRPr="5A1E62CD">
        <w:rPr>
          <w:rFonts w:ascii="Arial" w:eastAsia="Arial" w:hAnsi="Arial" w:cs="Arial"/>
          <w:sz w:val="24"/>
          <w:szCs w:val="24"/>
        </w:rPr>
        <w:t>Figure</w:t>
      </w:r>
      <w:r w:rsidR="41E9FA4B" w:rsidRPr="5A1E62CD">
        <w:rPr>
          <w:rFonts w:ascii="Arial" w:eastAsia="Arial" w:hAnsi="Arial" w:cs="Arial"/>
          <w:sz w:val="24"/>
          <w:szCs w:val="24"/>
        </w:rPr>
        <w:t xml:space="preserve"> </w:t>
      </w:r>
      <w:r w:rsidR="442D6C74" w:rsidRPr="5A1E62CD">
        <w:rPr>
          <w:rFonts w:ascii="Arial" w:eastAsia="Arial" w:hAnsi="Arial" w:cs="Arial"/>
          <w:sz w:val="24"/>
          <w:szCs w:val="24"/>
        </w:rPr>
        <w:t>7</w:t>
      </w:r>
      <w:r w:rsidRPr="5A1E62CD">
        <w:rPr>
          <w:rFonts w:ascii="Arial" w:eastAsia="Arial" w:hAnsi="Arial" w:cs="Arial"/>
          <w:sz w:val="24"/>
          <w:szCs w:val="24"/>
        </w:rPr>
        <w:t>: Porter’s Diamond Analysis - New Zealand</w:t>
      </w:r>
    </w:p>
    <w:p w14:paraId="6B8F64AE" w14:textId="388B524E" w:rsidR="35318768" w:rsidRDefault="35318768" w:rsidP="5A1E62CD">
      <w:pPr>
        <w:spacing w:line="360" w:lineRule="auto"/>
        <w:jc w:val="both"/>
        <w:rPr>
          <w:rFonts w:ascii="Arial" w:eastAsia="Arial" w:hAnsi="Arial" w:cs="Arial"/>
          <w:sz w:val="24"/>
          <w:szCs w:val="24"/>
        </w:rPr>
      </w:pPr>
      <w:r w:rsidRPr="5A1E62CD">
        <w:rPr>
          <w:rFonts w:ascii="Arial" w:eastAsia="Arial" w:hAnsi="Arial" w:cs="Arial"/>
          <w:sz w:val="24"/>
          <w:szCs w:val="24"/>
        </w:rPr>
        <w:t xml:space="preserve">Porter’s Diamond may be used to assess the competitive landscape for IKEA in New Zealand, as shown in Figure </w:t>
      </w:r>
      <w:r w:rsidR="663200AC" w:rsidRPr="5A1E62CD">
        <w:rPr>
          <w:rFonts w:ascii="Arial" w:eastAsia="Arial" w:hAnsi="Arial" w:cs="Arial"/>
          <w:sz w:val="24"/>
          <w:szCs w:val="24"/>
        </w:rPr>
        <w:t>7</w:t>
      </w:r>
      <w:r w:rsidRPr="5A1E62CD">
        <w:rPr>
          <w:rFonts w:ascii="Arial" w:eastAsia="Arial" w:hAnsi="Arial" w:cs="Arial"/>
          <w:sz w:val="24"/>
          <w:szCs w:val="24"/>
        </w:rPr>
        <w:t xml:space="preserve">. </w:t>
      </w:r>
      <w:r w:rsidR="1FDE21A6" w:rsidRPr="5A1E62CD">
        <w:rPr>
          <w:rFonts w:ascii="Arial" w:eastAsia="Arial" w:hAnsi="Arial" w:cs="Arial"/>
          <w:sz w:val="24"/>
          <w:szCs w:val="24"/>
        </w:rPr>
        <w:t>The analysis suggests that although New Zealand benefits from stable institutions, skilled labour and strong consumer purchasing power, its relatively small domestic market and geographic isolation constrain economies of scale. Nevertheless, well-developed logistics infrastructure, sustainable business practices and a competitive retail sector provide supportive conditions for IKEA</w:t>
      </w:r>
      <w:r w:rsidR="6C061EAC" w:rsidRPr="5A1E62CD">
        <w:rPr>
          <w:rFonts w:ascii="Arial" w:eastAsia="Arial" w:hAnsi="Arial" w:cs="Arial"/>
          <w:sz w:val="24"/>
          <w:szCs w:val="24"/>
        </w:rPr>
        <w:t>’</w:t>
      </w:r>
      <w:r w:rsidR="1FDE21A6" w:rsidRPr="5A1E62CD">
        <w:rPr>
          <w:rFonts w:ascii="Arial" w:eastAsia="Arial" w:hAnsi="Arial" w:cs="Arial"/>
          <w:sz w:val="24"/>
          <w:szCs w:val="24"/>
        </w:rPr>
        <w:t>s market entry.</w:t>
      </w:r>
    </w:p>
    <w:p w14:paraId="4D64A354" w14:textId="1E26A4E8" w:rsidR="00093022" w:rsidRPr="00AD3E1E" w:rsidRDefault="0A127963" w:rsidP="5A1E62CD">
      <w:pPr>
        <w:pStyle w:val="Heading1"/>
        <w:keepNext w:val="0"/>
        <w:keepLines w:val="0"/>
        <w:spacing w:line="360" w:lineRule="auto"/>
        <w:rPr>
          <w:rFonts w:ascii="Arial" w:hAnsi="Arial" w:cs="Arial"/>
          <w:sz w:val="32"/>
          <w:szCs w:val="32"/>
        </w:rPr>
      </w:pPr>
      <w:bookmarkStart w:id="14" w:name="_Toc2025914569"/>
      <w:r w:rsidRPr="5A1E62CD">
        <w:rPr>
          <w:rFonts w:ascii="Arial" w:hAnsi="Arial" w:cs="Arial"/>
          <w:sz w:val="32"/>
          <w:szCs w:val="32"/>
        </w:rPr>
        <w:t xml:space="preserve">3. </w:t>
      </w:r>
      <w:r w:rsidR="41D3E379" w:rsidRPr="5A1E62CD">
        <w:rPr>
          <w:rFonts w:ascii="Arial" w:hAnsi="Arial" w:cs="Arial"/>
          <w:sz w:val="32"/>
          <w:szCs w:val="32"/>
        </w:rPr>
        <w:t>Entry Mode Strategy and Strategic Synthesis</w:t>
      </w:r>
      <w:bookmarkEnd w:id="14"/>
    </w:p>
    <w:p w14:paraId="75904950" w14:textId="4C81D54B" w:rsidR="64767EFF" w:rsidRDefault="64767EFF" w:rsidP="5A1E62CD">
      <w:pPr>
        <w:pStyle w:val="Heading2"/>
        <w:keepNext w:val="0"/>
        <w:keepLines w:val="0"/>
        <w:spacing w:line="360" w:lineRule="auto"/>
        <w:rPr>
          <w:rFonts w:ascii="Arial" w:eastAsia="Arial" w:hAnsi="Arial" w:cs="Arial"/>
          <w:sz w:val="28"/>
          <w:szCs w:val="28"/>
        </w:rPr>
      </w:pPr>
      <w:bookmarkStart w:id="15" w:name="_Toc357569835"/>
      <w:r w:rsidRPr="5A1E62CD">
        <w:rPr>
          <w:rFonts w:ascii="Arial" w:eastAsia="Arial" w:hAnsi="Arial" w:cs="Arial"/>
          <w:sz w:val="28"/>
          <w:szCs w:val="28"/>
        </w:rPr>
        <w:t>3.1 Historical Pattern Recognition</w:t>
      </w:r>
      <w:bookmarkEnd w:id="15"/>
    </w:p>
    <w:p w14:paraId="08D8330B" w14:textId="23F237A4" w:rsidR="3C87C306" w:rsidRDefault="3C87C306" w:rsidP="5A1E62CD">
      <w:pPr>
        <w:spacing w:line="360" w:lineRule="auto"/>
        <w:jc w:val="both"/>
      </w:pPr>
      <w:r w:rsidRPr="5A1E62CD">
        <w:rPr>
          <w:rFonts w:ascii="Arial" w:eastAsia="Arial" w:hAnsi="Arial" w:cs="Arial"/>
          <w:sz w:val="24"/>
          <w:szCs w:val="24"/>
        </w:rPr>
        <w:t>IKEA’s global expansion strategy demonstrates a deliberate balance between franchising and wholly owned subsidiaries, with entry mode selection shaped by factors such as market attractiveness, institutional complexity, cultural distance, and the degree of strategic control required.</w:t>
      </w:r>
      <w:r w:rsidR="5591FEB1" w:rsidRPr="5A1E62CD">
        <w:rPr>
          <w:rFonts w:ascii="Arial" w:eastAsia="Arial" w:hAnsi="Arial" w:cs="Arial"/>
          <w:sz w:val="24"/>
          <w:szCs w:val="24"/>
        </w:rPr>
        <w:t xml:space="preserve"> In culturally distant and operationally challenging markets, including Japan, China and India, IKEA has predominantly adopted wholly owned subsidiaries to safeguard brand integrity, maintain supply chain efficiency and ensure consistent implementation of its standardised retail concept. This approach is reflected in IKEA’s sustainability initiatives in China, where the company actively manages and adapts its cotton-textile supply chain practices to local </w:t>
      </w:r>
      <w:r w:rsidR="5591FEB1" w:rsidRPr="5A1E62CD">
        <w:rPr>
          <w:rFonts w:ascii="Arial" w:eastAsia="Arial" w:hAnsi="Arial" w:cs="Arial"/>
          <w:sz w:val="24"/>
          <w:szCs w:val="24"/>
        </w:rPr>
        <w:lastRenderedPageBreak/>
        <w:t xml:space="preserve">conditions while maintaining its global sustainability objectives (Gong et al., 2019). </w:t>
      </w:r>
      <w:r w:rsidR="478E8D0D" w:rsidRPr="5A1E62CD">
        <w:rPr>
          <w:rFonts w:ascii="Arial" w:eastAsia="Arial" w:hAnsi="Arial" w:cs="Arial"/>
          <w:sz w:val="24"/>
          <w:szCs w:val="24"/>
        </w:rPr>
        <w:t>IKEA adopts franchising in smaller or less strategic markets to achieve faster expansion, lower investment risk and access local expertise. However, this approach may reduce managerial control and affect consistency. Therefore, IKEA balances franchising with direct ownership, using internalisation where brand protection and long-term strategic value justify higher commitment.</w:t>
      </w:r>
    </w:p>
    <w:p w14:paraId="24FC4D33" w14:textId="6906C011" w:rsidR="176FE545" w:rsidRDefault="176FE545" w:rsidP="5A1E62CD">
      <w:pPr>
        <w:pStyle w:val="Heading2"/>
        <w:keepNext w:val="0"/>
        <w:keepLines w:val="0"/>
        <w:spacing w:line="360" w:lineRule="auto"/>
        <w:rPr>
          <w:rFonts w:ascii="Arial" w:eastAsia="Arial" w:hAnsi="Arial" w:cs="Arial"/>
          <w:sz w:val="28"/>
          <w:szCs w:val="28"/>
        </w:rPr>
      </w:pPr>
      <w:bookmarkStart w:id="16" w:name="_Toc625567704"/>
      <w:r w:rsidRPr="5A1E62CD">
        <w:rPr>
          <w:rFonts w:ascii="Arial" w:eastAsia="Arial" w:hAnsi="Arial" w:cs="Arial"/>
          <w:sz w:val="28"/>
          <w:szCs w:val="28"/>
        </w:rPr>
        <w:t>3.</w:t>
      </w:r>
      <w:r w:rsidR="6688863C" w:rsidRPr="5A1E62CD">
        <w:rPr>
          <w:rFonts w:ascii="Arial" w:eastAsia="Arial" w:hAnsi="Arial" w:cs="Arial"/>
          <w:sz w:val="28"/>
          <w:szCs w:val="28"/>
        </w:rPr>
        <w:t>2</w:t>
      </w:r>
      <w:r w:rsidRPr="5A1E62CD">
        <w:rPr>
          <w:rFonts w:ascii="Arial" w:eastAsia="Arial" w:hAnsi="Arial" w:cs="Arial"/>
          <w:sz w:val="28"/>
          <w:szCs w:val="28"/>
        </w:rPr>
        <w:t xml:space="preserve"> The Eclectic Paradigm/</w:t>
      </w:r>
      <w:r w:rsidR="67D537FD" w:rsidRPr="5A1E62CD">
        <w:rPr>
          <w:rFonts w:ascii="Arial" w:eastAsia="Arial" w:hAnsi="Arial" w:cs="Arial"/>
          <w:sz w:val="28"/>
          <w:szCs w:val="28"/>
        </w:rPr>
        <w:t xml:space="preserve"> </w:t>
      </w:r>
      <w:r w:rsidRPr="5A1E62CD">
        <w:rPr>
          <w:rFonts w:ascii="Arial" w:eastAsia="Arial" w:hAnsi="Arial" w:cs="Arial"/>
          <w:sz w:val="28"/>
          <w:szCs w:val="28"/>
        </w:rPr>
        <w:t>OLI Framework</w:t>
      </w:r>
      <w:bookmarkEnd w:id="16"/>
    </w:p>
    <w:p w14:paraId="46C14C65" w14:textId="59DA2B43" w:rsidR="57966B37" w:rsidRDefault="57966B37" w:rsidP="5A1E62CD">
      <w:pPr>
        <w:spacing w:line="360" w:lineRule="auto"/>
        <w:jc w:val="both"/>
      </w:pPr>
      <w:r w:rsidRPr="5A1E62CD">
        <w:rPr>
          <w:rFonts w:ascii="Arial" w:eastAsia="Arial" w:hAnsi="Arial" w:cs="Arial"/>
          <w:sz w:val="24"/>
          <w:szCs w:val="24"/>
        </w:rPr>
        <w:t>The Eclectic Paradigm, commonly known as the OLI framework</w:t>
      </w:r>
      <w:r w:rsidR="51695B9A" w:rsidRPr="5A1E62CD">
        <w:rPr>
          <w:rFonts w:ascii="Arial" w:eastAsia="Arial" w:hAnsi="Arial" w:cs="Arial"/>
          <w:sz w:val="24"/>
          <w:szCs w:val="24"/>
        </w:rPr>
        <w:t xml:space="preserve"> (Dunning</w:t>
      </w:r>
      <w:r w:rsidRPr="5A1E62CD">
        <w:rPr>
          <w:rFonts w:ascii="Arial" w:eastAsia="Arial" w:hAnsi="Arial" w:cs="Arial"/>
          <w:sz w:val="24"/>
          <w:szCs w:val="24"/>
        </w:rPr>
        <w:t>,</w:t>
      </w:r>
      <w:r w:rsidR="38B81CC7" w:rsidRPr="5A1E62CD">
        <w:rPr>
          <w:rFonts w:ascii="Arial" w:eastAsia="Arial" w:hAnsi="Arial" w:cs="Arial"/>
          <w:sz w:val="24"/>
          <w:szCs w:val="24"/>
        </w:rPr>
        <w:t xml:space="preserve"> 1988</w:t>
      </w:r>
      <w:r w:rsidR="26D5D368" w:rsidRPr="5A1E62CD">
        <w:rPr>
          <w:rFonts w:ascii="Arial" w:eastAsia="Arial" w:hAnsi="Arial" w:cs="Arial"/>
          <w:sz w:val="24"/>
          <w:szCs w:val="24"/>
        </w:rPr>
        <w:t>)</w:t>
      </w:r>
      <w:r w:rsidR="656EACC6" w:rsidRPr="5A1E62CD">
        <w:rPr>
          <w:rFonts w:ascii="Arial" w:eastAsia="Arial" w:hAnsi="Arial" w:cs="Arial"/>
          <w:sz w:val="24"/>
          <w:szCs w:val="24"/>
        </w:rPr>
        <w:t>,</w:t>
      </w:r>
      <w:r w:rsidRPr="5A1E62CD">
        <w:rPr>
          <w:rFonts w:ascii="Arial" w:eastAsia="Arial" w:hAnsi="Arial" w:cs="Arial"/>
          <w:sz w:val="24"/>
          <w:szCs w:val="24"/>
        </w:rPr>
        <w:t xml:space="preserve"> is a foundational model in international business theory that explains why firms engage in foreign direct investment by evaluating their ownership, location, and internalisation advantages (Bedida et al., 2026). This framework provides a structured lens for analysing multinational expansion decisions and is particularly relevant to IKEA, whose global growth has consistently been shaped by the interaction of strong ownership advantages (brand, design capability, </w:t>
      </w:r>
      <w:r w:rsidR="6BD9DC1D" w:rsidRPr="5A1E62CD">
        <w:rPr>
          <w:rFonts w:ascii="Arial" w:eastAsia="Arial" w:hAnsi="Arial" w:cs="Arial"/>
          <w:sz w:val="24"/>
          <w:szCs w:val="24"/>
        </w:rPr>
        <w:t>supply chain</w:t>
      </w:r>
      <w:r w:rsidRPr="5A1E62CD">
        <w:rPr>
          <w:rFonts w:ascii="Arial" w:eastAsia="Arial" w:hAnsi="Arial" w:cs="Arial"/>
          <w:sz w:val="24"/>
          <w:szCs w:val="24"/>
        </w:rPr>
        <w:t xml:space="preserve"> efficiency), selective location advantages (market potential, institutional stability), and carefully managed internalisation advantages (control over quality, customer experience, and intellectual property). Applying the OLI paradigm to IKEA’s potential entry into New Zealand enables a systematic evaluation of how its established global capabilities align with the characteristics and constraints of the host market.</w:t>
      </w:r>
    </w:p>
    <w:p w14:paraId="1B96A6E1" w14:textId="4FC7C256" w:rsidR="00A60C93" w:rsidRDefault="559A1740" w:rsidP="5A1E62CD">
      <w:pPr>
        <w:pStyle w:val="Heading3"/>
        <w:keepNext w:val="0"/>
        <w:keepLines w:val="0"/>
        <w:spacing w:line="360" w:lineRule="auto"/>
        <w:rPr>
          <w:rFonts w:ascii="Arial" w:eastAsia="Arial" w:hAnsi="Arial" w:cs="Arial"/>
          <w:sz w:val="24"/>
          <w:szCs w:val="24"/>
        </w:rPr>
      </w:pPr>
      <w:bookmarkStart w:id="17" w:name="_Toc997773269"/>
      <w:r w:rsidRPr="5A1E62CD">
        <w:rPr>
          <w:rFonts w:ascii="Arial" w:eastAsia="Arial" w:hAnsi="Arial" w:cs="Arial"/>
          <w:sz w:val="24"/>
          <w:szCs w:val="24"/>
        </w:rPr>
        <w:t>3.</w:t>
      </w:r>
      <w:r w:rsidR="59CB0568" w:rsidRPr="5A1E62CD">
        <w:rPr>
          <w:rFonts w:ascii="Arial" w:eastAsia="Arial" w:hAnsi="Arial" w:cs="Arial"/>
          <w:sz w:val="24"/>
          <w:szCs w:val="24"/>
        </w:rPr>
        <w:t>2</w:t>
      </w:r>
      <w:r w:rsidR="69BD41B6" w:rsidRPr="5A1E62CD">
        <w:rPr>
          <w:rFonts w:ascii="Arial" w:eastAsia="Arial" w:hAnsi="Arial" w:cs="Arial"/>
          <w:sz w:val="24"/>
          <w:szCs w:val="24"/>
        </w:rPr>
        <w:t>.1</w:t>
      </w:r>
      <w:r w:rsidRPr="5A1E62CD">
        <w:rPr>
          <w:rFonts w:ascii="Arial" w:eastAsia="Arial" w:hAnsi="Arial" w:cs="Arial"/>
          <w:sz w:val="24"/>
          <w:szCs w:val="24"/>
        </w:rPr>
        <w:t xml:space="preserve"> Ownership Advantages (O)</w:t>
      </w:r>
      <w:bookmarkEnd w:id="17"/>
    </w:p>
    <w:p w14:paraId="50E7254C" w14:textId="14E8D97D" w:rsidR="00C93043" w:rsidRPr="00C93043" w:rsidRDefault="07C7947E" w:rsidP="5A1E62CD">
      <w:pPr>
        <w:spacing w:line="360" w:lineRule="auto"/>
        <w:jc w:val="both"/>
        <w:rPr>
          <w:rFonts w:ascii="Arial" w:eastAsia="Arial" w:hAnsi="Arial" w:cs="Arial"/>
          <w:sz w:val="24"/>
          <w:szCs w:val="24"/>
        </w:rPr>
      </w:pPr>
      <w:r w:rsidRPr="5A1E62CD">
        <w:rPr>
          <w:rFonts w:ascii="Arial" w:eastAsia="Arial" w:hAnsi="Arial" w:cs="Arial"/>
          <w:sz w:val="24"/>
          <w:szCs w:val="24"/>
        </w:rPr>
        <w:t xml:space="preserve">Since IKEA has significant ownership advantages, its success in New Zealand is uncertain. Although the brand has a distinct competitive advantage due to its global recognition, creative prowess, and efficient supply chain, these advantages are highly dependent on size. IKEA’s ownership strengths are further reinforced by its </w:t>
      </w:r>
      <w:r w:rsidR="2BB75D9B" w:rsidRPr="5A1E62CD">
        <w:rPr>
          <w:rFonts w:ascii="Arial" w:eastAsia="Arial" w:hAnsi="Arial" w:cs="Arial"/>
          <w:sz w:val="24"/>
          <w:szCs w:val="24"/>
        </w:rPr>
        <w:t xml:space="preserve">flatpack </w:t>
      </w:r>
      <w:r w:rsidRPr="5A1E62CD">
        <w:rPr>
          <w:rFonts w:ascii="Arial" w:eastAsia="Arial" w:hAnsi="Arial" w:cs="Arial"/>
          <w:sz w:val="24"/>
          <w:szCs w:val="24"/>
        </w:rPr>
        <w:t xml:space="preserve">concept, </w:t>
      </w:r>
      <w:r w:rsidR="61C78B0B" w:rsidRPr="5A1E62CD">
        <w:rPr>
          <w:rFonts w:ascii="Arial" w:eastAsia="Arial" w:hAnsi="Arial" w:cs="Arial"/>
          <w:sz w:val="24"/>
          <w:szCs w:val="24"/>
        </w:rPr>
        <w:t>large-scale</w:t>
      </w:r>
      <w:r w:rsidRPr="5A1E62CD">
        <w:rPr>
          <w:rFonts w:ascii="Arial" w:eastAsia="Arial" w:hAnsi="Arial" w:cs="Arial"/>
          <w:sz w:val="24"/>
          <w:szCs w:val="24"/>
        </w:rPr>
        <w:t xml:space="preserve"> sourcing, and standardised product designs, which collectively support its global </w:t>
      </w:r>
      <w:r w:rsidR="7892B00C" w:rsidRPr="5A1E62CD">
        <w:rPr>
          <w:rFonts w:ascii="Arial" w:eastAsia="Arial" w:hAnsi="Arial" w:cs="Arial"/>
          <w:sz w:val="24"/>
          <w:szCs w:val="24"/>
        </w:rPr>
        <w:t>cost leadership</w:t>
      </w:r>
      <w:r w:rsidRPr="5A1E62CD">
        <w:rPr>
          <w:rFonts w:ascii="Arial" w:eastAsia="Arial" w:hAnsi="Arial" w:cs="Arial"/>
          <w:sz w:val="24"/>
          <w:szCs w:val="24"/>
        </w:rPr>
        <w:t xml:space="preserve"> model. </w:t>
      </w:r>
      <w:r w:rsidR="29F0DD26" w:rsidRPr="5A1E62CD">
        <w:rPr>
          <w:rFonts w:ascii="Arial" w:eastAsia="Arial" w:hAnsi="Arial" w:cs="Arial"/>
          <w:sz w:val="24"/>
          <w:szCs w:val="24"/>
        </w:rPr>
        <w:t xml:space="preserve">Although IKEA did not invent </w:t>
      </w:r>
      <w:r w:rsidR="71B82D6B" w:rsidRPr="5A1E62CD">
        <w:rPr>
          <w:rFonts w:ascii="Arial" w:eastAsia="Arial" w:hAnsi="Arial" w:cs="Arial"/>
          <w:sz w:val="24"/>
          <w:szCs w:val="24"/>
        </w:rPr>
        <w:t>flatpack</w:t>
      </w:r>
      <w:r w:rsidR="29F0DD26" w:rsidRPr="5A1E62CD">
        <w:rPr>
          <w:rFonts w:ascii="Arial" w:eastAsia="Arial" w:hAnsi="Arial" w:cs="Arial"/>
          <w:sz w:val="24"/>
          <w:szCs w:val="24"/>
        </w:rPr>
        <w:t xml:space="preserve"> furniture, it transformed the concept into a core ownership advantage by integrating customer assembly, efficient distribution, and </w:t>
      </w:r>
      <w:r w:rsidR="5F116F2B" w:rsidRPr="5A1E62CD">
        <w:rPr>
          <w:rFonts w:ascii="Arial" w:eastAsia="Arial" w:hAnsi="Arial" w:cs="Arial"/>
          <w:sz w:val="24"/>
          <w:szCs w:val="24"/>
        </w:rPr>
        <w:t>large-scale</w:t>
      </w:r>
      <w:r w:rsidR="29F0DD26" w:rsidRPr="5A1E62CD">
        <w:rPr>
          <w:rFonts w:ascii="Arial" w:eastAsia="Arial" w:hAnsi="Arial" w:cs="Arial"/>
          <w:sz w:val="24"/>
          <w:szCs w:val="24"/>
        </w:rPr>
        <w:t xml:space="preserve"> sourcing into a single business model. This innovation</w:t>
      </w:r>
      <w:r w:rsidR="61A75272" w:rsidRPr="5A1E62CD">
        <w:rPr>
          <w:rFonts w:ascii="Arial" w:eastAsia="Arial" w:hAnsi="Arial" w:cs="Arial"/>
          <w:sz w:val="24"/>
          <w:szCs w:val="24"/>
        </w:rPr>
        <w:t xml:space="preserve"> on flat-pack furniture</w:t>
      </w:r>
      <w:r w:rsidR="29F0DD26" w:rsidRPr="5A1E62CD">
        <w:rPr>
          <w:rFonts w:ascii="Arial" w:eastAsia="Arial" w:hAnsi="Arial" w:cs="Arial"/>
          <w:sz w:val="24"/>
          <w:szCs w:val="24"/>
        </w:rPr>
        <w:t>, rooted in Ingvar Kamprad’s</w:t>
      </w:r>
      <w:r w:rsidR="347EF809" w:rsidRPr="5A1E62CD">
        <w:rPr>
          <w:rFonts w:ascii="Arial" w:eastAsia="Arial" w:hAnsi="Arial" w:cs="Arial"/>
          <w:sz w:val="24"/>
          <w:szCs w:val="24"/>
        </w:rPr>
        <w:t xml:space="preserve"> (IKEA</w:t>
      </w:r>
      <w:r w:rsidR="2E98BE94" w:rsidRPr="5A1E62CD">
        <w:rPr>
          <w:rFonts w:ascii="Arial" w:eastAsia="Arial" w:hAnsi="Arial" w:cs="Arial"/>
          <w:sz w:val="24"/>
          <w:szCs w:val="24"/>
        </w:rPr>
        <w:t>’</w:t>
      </w:r>
      <w:r w:rsidR="347EF809" w:rsidRPr="5A1E62CD">
        <w:rPr>
          <w:rFonts w:ascii="Arial" w:eastAsia="Arial" w:hAnsi="Arial" w:cs="Arial"/>
          <w:sz w:val="24"/>
          <w:szCs w:val="24"/>
        </w:rPr>
        <w:t>s founder)</w:t>
      </w:r>
      <w:r w:rsidR="29F0DD26" w:rsidRPr="5A1E62CD">
        <w:rPr>
          <w:rFonts w:ascii="Arial" w:eastAsia="Arial" w:hAnsi="Arial" w:cs="Arial"/>
          <w:sz w:val="24"/>
          <w:szCs w:val="24"/>
        </w:rPr>
        <w:t xml:space="preserve"> early efforts to reduce transport costs and damage, became a defining capability that supports IKEA’s global </w:t>
      </w:r>
      <w:r w:rsidR="2A297289" w:rsidRPr="5A1E62CD">
        <w:rPr>
          <w:rFonts w:ascii="Arial" w:eastAsia="Arial" w:hAnsi="Arial" w:cs="Arial"/>
          <w:sz w:val="24"/>
          <w:szCs w:val="24"/>
        </w:rPr>
        <w:t>cost leadership</w:t>
      </w:r>
      <w:r w:rsidR="29F0DD26" w:rsidRPr="5A1E62CD">
        <w:rPr>
          <w:rFonts w:ascii="Arial" w:eastAsia="Arial" w:hAnsi="Arial" w:cs="Arial"/>
          <w:sz w:val="24"/>
          <w:szCs w:val="24"/>
        </w:rPr>
        <w:t xml:space="preserve"> strategy</w:t>
      </w:r>
      <w:r w:rsidR="220144EB" w:rsidRPr="5A1E62CD">
        <w:rPr>
          <w:rFonts w:ascii="Arial" w:eastAsia="Arial" w:hAnsi="Arial" w:cs="Arial"/>
          <w:sz w:val="24"/>
          <w:szCs w:val="24"/>
        </w:rPr>
        <w:t xml:space="preserve"> (IKEA Museum, 2026)</w:t>
      </w:r>
      <w:r w:rsidR="29F0DD26" w:rsidRPr="5A1E62CD">
        <w:rPr>
          <w:rFonts w:ascii="Arial" w:eastAsia="Arial" w:hAnsi="Arial" w:cs="Arial"/>
          <w:sz w:val="24"/>
          <w:szCs w:val="24"/>
        </w:rPr>
        <w:t xml:space="preserve">. However, because the </w:t>
      </w:r>
      <w:r w:rsidR="4D6CEB54" w:rsidRPr="5A1E62CD">
        <w:rPr>
          <w:rFonts w:ascii="Arial" w:eastAsia="Arial" w:hAnsi="Arial" w:cs="Arial"/>
          <w:sz w:val="24"/>
          <w:szCs w:val="24"/>
        </w:rPr>
        <w:t>flatpack</w:t>
      </w:r>
      <w:r w:rsidR="29F0DD26" w:rsidRPr="5A1E62CD">
        <w:rPr>
          <w:rFonts w:ascii="Arial" w:eastAsia="Arial" w:hAnsi="Arial" w:cs="Arial"/>
          <w:sz w:val="24"/>
          <w:szCs w:val="24"/>
        </w:rPr>
        <w:t xml:space="preserve"> model relies heavily on high volumes and </w:t>
      </w:r>
      <w:r w:rsidR="29F0DD26" w:rsidRPr="5A1E62CD">
        <w:rPr>
          <w:rFonts w:ascii="Arial" w:eastAsia="Arial" w:hAnsi="Arial" w:cs="Arial"/>
          <w:sz w:val="24"/>
          <w:szCs w:val="24"/>
        </w:rPr>
        <w:lastRenderedPageBreak/>
        <w:t>rationalised logistics, its full benefits are harder to realise in smaller markets such as New Zealand.</w:t>
      </w:r>
      <w:r w:rsidR="7BF3FB2C" w:rsidRPr="5A1E62CD">
        <w:rPr>
          <w:rFonts w:ascii="Arial" w:eastAsia="Arial" w:hAnsi="Arial" w:cs="Arial"/>
          <w:sz w:val="24"/>
          <w:szCs w:val="24"/>
        </w:rPr>
        <w:t xml:space="preserve"> </w:t>
      </w:r>
      <w:r w:rsidR="5B5B99EF" w:rsidRPr="5A1E62CD">
        <w:rPr>
          <w:rFonts w:ascii="Arial" w:eastAsia="Arial" w:hAnsi="Arial" w:cs="Arial"/>
          <w:sz w:val="24"/>
          <w:szCs w:val="24"/>
        </w:rPr>
        <w:t>Additionally</w:t>
      </w:r>
      <w:r w:rsidRPr="5A1E62CD">
        <w:rPr>
          <w:rFonts w:ascii="Arial" w:eastAsia="Arial" w:hAnsi="Arial" w:cs="Arial"/>
          <w:sz w:val="24"/>
          <w:szCs w:val="24"/>
        </w:rPr>
        <w:t xml:space="preserve">, </w:t>
      </w:r>
      <w:r w:rsidR="7057A6FE" w:rsidRPr="5A1E62CD">
        <w:rPr>
          <w:rFonts w:ascii="Arial" w:eastAsia="Arial" w:hAnsi="Arial" w:cs="Arial"/>
          <w:sz w:val="24"/>
          <w:szCs w:val="24"/>
        </w:rPr>
        <w:t>IKEA</w:t>
      </w:r>
      <w:r w:rsidR="147F6747" w:rsidRPr="5A1E62CD">
        <w:rPr>
          <w:rFonts w:ascii="Arial" w:eastAsia="Arial" w:hAnsi="Arial" w:cs="Arial"/>
          <w:sz w:val="24"/>
          <w:szCs w:val="24"/>
        </w:rPr>
        <w:t>’</w:t>
      </w:r>
      <w:r w:rsidR="7057A6FE" w:rsidRPr="5A1E62CD">
        <w:rPr>
          <w:rFonts w:ascii="Arial" w:eastAsia="Arial" w:hAnsi="Arial" w:cs="Arial"/>
          <w:sz w:val="24"/>
          <w:szCs w:val="24"/>
        </w:rPr>
        <w:t>s</w:t>
      </w:r>
      <w:r w:rsidR="6B3D4E59" w:rsidRPr="5A1E62CD">
        <w:rPr>
          <w:rFonts w:ascii="Arial" w:eastAsia="Arial" w:hAnsi="Arial" w:cs="Arial"/>
          <w:sz w:val="24"/>
          <w:szCs w:val="24"/>
        </w:rPr>
        <w:t xml:space="preserve"> </w:t>
      </w:r>
      <w:r w:rsidRPr="5A1E62CD">
        <w:rPr>
          <w:rFonts w:ascii="Arial" w:eastAsia="Arial" w:hAnsi="Arial" w:cs="Arial"/>
          <w:sz w:val="24"/>
          <w:szCs w:val="24"/>
        </w:rPr>
        <w:t>capabilities</w:t>
      </w:r>
      <w:r w:rsidR="3921CF92" w:rsidRPr="5A1E62CD">
        <w:rPr>
          <w:rFonts w:ascii="Arial" w:eastAsia="Arial" w:hAnsi="Arial" w:cs="Arial"/>
          <w:sz w:val="24"/>
          <w:szCs w:val="24"/>
        </w:rPr>
        <w:t xml:space="preserve"> </w:t>
      </w:r>
      <w:r w:rsidRPr="5A1E62CD">
        <w:rPr>
          <w:rFonts w:ascii="Arial" w:eastAsia="Arial" w:hAnsi="Arial" w:cs="Arial"/>
          <w:sz w:val="24"/>
          <w:szCs w:val="24"/>
        </w:rPr>
        <w:t xml:space="preserve">also </w:t>
      </w:r>
      <w:r w:rsidR="2242AAD7" w:rsidRPr="5A1E62CD">
        <w:rPr>
          <w:rFonts w:ascii="Arial" w:eastAsia="Arial" w:hAnsi="Arial" w:cs="Arial"/>
          <w:sz w:val="24"/>
          <w:szCs w:val="24"/>
        </w:rPr>
        <w:t xml:space="preserve">rely </w:t>
      </w:r>
      <w:r w:rsidRPr="5A1E62CD">
        <w:rPr>
          <w:rFonts w:ascii="Arial" w:eastAsia="Arial" w:hAnsi="Arial" w:cs="Arial"/>
          <w:sz w:val="24"/>
          <w:szCs w:val="24"/>
        </w:rPr>
        <w:t xml:space="preserve">heavily on scale and global standardisation, creating challenges when transferring them into smaller markets that require greater local adaptation. The limited market in New Zealand makes it difficult for IKEA to take full advantage of its economies of scale, which could weaken the cost benefits that support its global strategy. As a result, IKEA’s </w:t>
      </w:r>
      <w:r w:rsidR="3211432F" w:rsidRPr="5A1E62CD">
        <w:rPr>
          <w:rFonts w:ascii="Arial" w:eastAsia="Arial" w:hAnsi="Arial" w:cs="Arial"/>
          <w:sz w:val="24"/>
          <w:szCs w:val="24"/>
        </w:rPr>
        <w:t>factory</w:t>
      </w:r>
      <w:r w:rsidR="39AA601D" w:rsidRPr="5A1E62CD">
        <w:rPr>
          <w:rFonts w:ascii="Arial" w:eastAsia="Arial" w:hAnsi="Arial" w:cs="Arial"/>
          <w:sz w:val="24"/>
          <w:szCs w:val="24"/>
        </w:rPr>
        <w:t>-</w:t>
      </w:r>
      <w:r w:rsidR="3211432F" w:rsidRPr="5A1E62CD">
        <w:rPr>
          <w:rFonts w:ascii="Arial" w:eastAsia="Arial" w:hAnsi="Arial" w:cs="Arial"/>
          <w:sz w:val="24"/>
          <w:szCs w:val="24"/>
        </w:rPr>
        <w:t xml:space="preserve">specific advantages (FSA) </w:t>
      </w:r>
      <w:r w:rsidRPr="5A1E62CD">
        <w:rPr>
          <w:rFonts w:ascii="Arial" w:eastAsia="Arial" w:hAnsi="Arial" w:cs="Arial"/>
          <w:sz w:val="24"/>
          <w:szCs w:val="24"/>
        </w:rPr>
        <w:t>remain valuable, although the size of the market and logistical constraints limit their transferability.</w:t>
      </w:r>
    </w:p>
    <w:p w14:paraId="61644454" w14:textId="5A768CBD" w:rsidR="005A4528" w:rsidRDefault="5244F55F" w:rsidP="5A1E62CD">
      <w:pPr>
        <w:pStyle w:val="Heading3"/>
        <w:keepNext w:val="0"/>
        <w:keepLines w:val="0"/>
        <w:spacing w:line="360" w:lineRule="auto"/>
        <w:rPr>
          <w:rFonts w:ascii="Arial" w:eastAsia="Arial" w:hAnsi="Arial" w:cs="Arial"/>
          <w:sz w:val="24"/>
          <w:szCs w:val="24"/>
        </w:rPr>
      </w:pPr>
      <w:bookmarkStart w:id="18" w:name="_Toc1412217750"/>
      <w:r w:rsidRPr="5A1E62CD">
        <w:rPr>
          <w:rFonts w:ascii="Arial" w:eastAsia="Arial" w:hAnsi="Arial" w:cs="Arial"/>
          <w:sz w:val="24"/>
          <w:szCs w:val="24"/>
        </w:rPr>
        <w:t>3.</w:t>
      </w:r>
      <w:r w:rsidR="4285F034" w:rsidRPr="5A1E62CD">
        <w:rPr>
          <w:rFonts w:ascii="Arial" w:eastAsia="Arial" w:hAnsi="Arial" w:cs="Arial"/>
          <w:sz w:val="24"/>
          <w:szCs w:val="24"/>
        </w:rPr>
        <w:t>2</w:t>
      </w:r>
      <w:r w:rsidR="0EB46CF9" w:rsidRPr="5A1E62CD">
        <w:rPr>
          <w:rFonts w:ascii="Arial" w:eastAsia="Arial" w:hAnsi="Arial" w:cs="Arial"/>
          <w:sz w:val="24"/>
          <w:szCs w:val="24"/>
        </w:rPr>
        <w:t>.2</w:t>
      </w:r>
      <w:r w:rsidRPr="5A1E62CD">
        <w:rPr>
          <w:rFonts w:ascii="Arial" w:eastAsia="Arial" w:hAnsi="Arial" w:cs="Arial"/>
          <w:sz w:val="24"/>
          <w:szCs w:val="24"/>
        </w:rPr>
        <w:t xml:space="preserve"> Location Advantages (L)</w:t>
      </w:r>
      <w:bookmarkEnd w:id="18"/>
    </w:p>
    <w:p w14:paraId="6BAEF1B3" w14:textId="18846AAF" w:rsidR="32CB58F3" w:rsidRDefault="32CB58F3" w:rsidP="5A1E62CD">
      <w:pPr>
        <w:spacing w:line="360" w:lineRule="auto"/>
        <w:jc w:val="both"/>
      </w:pPr>
      <w:r w:rsidRPr="5A1E62CD">
        <w:rPr>
          <w:rFonts w:ascii="Arial" w:hAnsi="Arial" w:cs="Arial"/>
          <w:sz w:val="24"/>
          <w:szCs w:val="24"/>
        </w:rPr>
        <w:t>New Zealand has favourable institutional and demand conditions, but these benefits are offset by environmental and structural limitations. While market penetration is facilitated by political stability, high purchasing power, and cultural openness, the nation's stringent environmental standards have a big impact on how businesses that use wood-based products are seen</w:t>
      </w:r>
      <w:r w:rsidR="27133F1D" w:rsidRPr="5A1E62CD">
        <w:rPr>
          <w:rFonts w:ascii="Arial" w:hAnsi="Arial" w:cs="Arial"/>
          <w:sz w:val="24"/>
          <w:szCs w:val="24"/>
        </w:rPr>
        <w:t xml:space="preserve">. </w:t>
      </w:r>
      <w:r w:rsidR="111664D7" w:rsidRPr="5A1E62CD">
        <w:rPr>
          <w:rFonts w:ascii="Arial" w:hAnsi="Arial" w:cs="Arial"/>
          <w:sz w:val="24"/>
          <w:szCs w:val="24"/>
        </w:rPr>
        <w:t>Villamor et al. (2023) highlight that New Zealand’s climate strategy relies on strict forest regulation, balancing sustainable commercial use with environmental and cultural preservation. This aligns with IKEA’s sustainability goals, but the company must demonstrate compliance with local sourcing and carbon standards. Therefore, New Zealand’s advantages are conditional on IKEA’s ability to adapt to its sustainability requirements while managing higher logistics costs.</w:t>
      </w:r>
    </w:p>
    <w:p w14:paraId="0FF1B7AB" w14:textId="569CF2B1" w:rsidR="00B15576" w:rsidRDefault="2EDEB5D8" w:rsidP="5A1E62CD">
      <w:pPr>
        <w:pStyle w:val="Heading3"/>
        <w:keepNext w:val="0"/>
        <w:keepLines w:val="0"/>
        <w:spacing w:line="360" w:lineRule="auto"/>
        <w:rPr>
          <w:rFonts w:ascii="Arial" w:eastAsia="Arial" w:hAnsi="Arial" w:cs="Arial"/>
          <w:sz w:val="24"/>
          <w:szCs w:val="24"/>
        </w:rPr>
      </w:pPr>
      <w:bookmarkStart w:id="19" w:name="_Toc1435297382"/>
      <w:r w:rsidRPr="5A1E62CD">
        <w:rPr>
          <w:rFonts w:ascii="Arial" w:eastAsia="Arial" w:hAnsi="Arial" w:cs="Arial"/>
          <w:sz w:val="24"/>
          <w:szCs w:val="24"/>
        </w:rPr>
        <w:t>3.</w:t>
      </w:r>
      <w:r w:rsidR="458FEF3F" w:rsidRPr="5A1E62CD">
        <w:rPr>
          <w:rFonts w:ascii="Arial" w:eastAsia="Arial" w:hAnsi="Arial" w:cs="Arial"/>
          <w:sz w:val="24"/>
          <w:szCs w:val="24"/>
        </w:rPr>
        <w:t>2.3</w:t>
      </w:r>
      <w:r w:rsidRPr="5A1E62CD">
        <w:rPr>
          <w:rFonts w:ascii="Arial" w:eastAsia="Arial" w:hAnsi="Arial" w:cs="Arial"/>
          <w:sz w:val="24"/>
          <w:szCs w:val="24"/>
        </w:rPr>
        <w:t xml:space="preserve"> Internalisation Advantages (I)</w:t>
      </w:r>
      <w:bookmarkEnd w:id="19"/>
    </w:p>
    <w:p w14:paraId="608AB4FD" w14:textId="06152457" w:rsidR="00972876" w:rsidRDefault="380F8BCE" w:rsidP="5A1E62CD">
      <w:pPr>
        <w:spacing w:line="360" w:lineRule="auto"/>
        <w:jc w:val="both"/>
        <w:rPr>
          <w:rFonts w:ascii="Arial" w:hAnsi="Arial" w:cs="Arial"/>
          <w:sz w:val="24"/>
          <w:szCs w:val="24"/>
        </w:rPr>
      </w:pPr>
      <w:r w:rsidRPr="5A1E62CD">
        <w:rPr>
          <w:rFonts w:ascii="Arial" w:hAnsi="Arial" w:cs="Arial"/>
          <w:sz w:val="24"/>
          <w:szCs w:val="24"/>
        </w:rPr>
        <w:t>Whilst internalisation is essential to IKEA</w:t>
      </w:r>
      <w:r w:rsidR="405AB542" w:rsidRPr="5A1E62CD">
        <w:rPr>
          <w:rFonts w:ascii="Arial" w:hAnsi="Arial" w:cs="Arial"/>
          <w:sz w:val="24"/>
          <w:szCs w:val="24"/>
        </w:rPr>
        <w:t>’</w:t>
      </w:r>
      <w:r w:rsidRPr="5A1E62CD">
        <w:rPr>
          <w:rFonts w:ascii="Arial" w:hAnsi="Arial" w:cs="Arial"/>
          <w:sz w:val="24"/>
          <w:szCs w:val="24"/>
        </w:rPr>
        <w:t xml:space="preserve">s business model, complete control might not be the most effective strategy in New Zealand. The strategic advantage of complete internal control is diminished by the high expense of establishing </w:t>
      </w:r>
      <w:r w:rsidR="305AD65C" w:rsidRPr="5A1E62CD">
        <w:rPr>
          <w:rFonts w:ascii="Arial" w:hAnsi="Arial" w:cs="Arial"/>
          <w:sz w:val="24"/>
          <w:szCs w:val="24"/>
        </w:rPr>
        <w:t>wholly owned</w:t>
      </w:r>
      <w:r w:rsidRPr="5A1E62CD">
        <w:rPr>
          <w:rFonts w:ascii="Arial" w:hAnsi="Arial" w:cs="Arial"/>
          <w:sz w:val="24"/>
          <w:szCs w:val="24"/>
        </w:rPr>
        <w:t xml:space="preserve"> businesses in a </w:t>
      </w:r>
      <w:r w:rsidR="5E4017D6" w:rsidRPr="5A1E62CD">
        <w:rPr>
          <w:rFonts w:ascii="Arial" w:hAnsi="Arial" w:cs="Arial"/>
          <w:sz w:val="24"/>
          <w:szCs w:val="24"/>
        </w:rPr>
        <w:t>small</w:t>
      </w:r>
      <w:r w:rsidRPr="5A1E62CD">
        <w:rPr>
          <w:rFonts w:ascii="Arial" w:hAnsi="Arial" w:cs="Arial"/>
          <w:sz w:val="24"/>
          <w:szCs w:val="24"/>
        </w:rPr>
        <w:t>, remote market, even though internalisation safeguards IKEA</w:t>
      </w:r>
      <w:r w:rsidR="484FFE1D" w:rsidRPr="5A1E62CD">
        <w:rPr>
          <w:rFonts w:ascii="Arial" w:hAnsi="Arial" w:cs="Arial"/>
          <w:sz w:val="24"/>
          <w:szCs w:val="24"/>
        </w:rPr>
        <w:t>’</w:t>
      </w:r>
      <w:r w:rsidRPr="5A1E62CD">
        <w:rPr>
          <w:rFonts w:ascii="Arial" w:hAnsi="Arial" w:cs="Arial"/>
          <w:sz w:val="24"/>
          <w:szCs w:val="24"/>
        </w:rPr>
        <w:t>s design expertise and guarantees brand consistency.</w:t>
      </w:r>
      <w:r w:rsidR="7BDD308B" w:rsidRPr="5A1E62CD">
        <w:rPr>
          <w:rFonts w:ascii="Arial" w:hAnsi="Arial" w:cs="Arial"/>
          <w:sz w:val="24"/>
          <w:szCs w:val="24"/>
        </w:rPr>
        <w:t xml:space="preserve"> Internalisation benefits remain important but do not justify a high-commitment entry strategy. A hybrid approach is more suitable, combining shared operational responsibility with brand control. IKEA also integrates ERP-based forecasting with managerial judgement to improve inventory efficiency, reduce waste and support sustainability goals.</w:t>
      </w:r>
      <w:r w:rsidR="5F5D9D0B" w:rsidRPr="5A1E62CD">
        <w:rPr>
          <w:rFonts w:ascii="Arial" w:hAnsi="Arial" w:cs="Arial"/>
          <w:sz w:val="24"/>
          <w:szCs w:val="24"/>
        </w:rPr>
        <w:t xml:space="preserve"> IKEA</w:t>
      </w:r>
      <w:r w:rsidR="42A3A14D" w:rsidRPr="5A1E62CD">
        <w:rPr>
          <w:rFonts w:ascii="Arial" w:hAnsi="Arial" w:cs="Arial"/>
          <w:sz w:val="24"/>
          <w:szCs w:val="24"/>
        </w:rPr>
        <w:t>’</w:t>
      </w:r>
      <w:r w:rsidR="5F5D9D0B" w:rsidRPr="5A1E62CD">
        <w:rPr>
          <w:rFonts w:ascii="Arial" w:hAnsi="Arial" w:cs="Arial"/>
          <w:sz w:val="24"/>
          <w:szCs w:val="24"/>
        </w:rPr>
        <w:t>s capacity to maintain operational resilience is highlighted by the interaction between digital optimisation and human control</w:t>
      </w:r>
      <w:r w:rsidR="6F68CADB" w:rsidRPr="5A1E62CD">
        <w:rPr>
          <w:rFonts w:ascii="Arial" w:hAnsi="Arial" w:cs="Arial"/>
          <w:sz w:val="24"/>
          <w:szCs w:val="24"/>
        </w:rPr>
        <w:t xml:space="preserve"> (</w:t>
      </w:r>
      <w:r w:rsidR="4B0F5F57" w:rsidRPr="5A1E62CD">
        <w:rPr>
          <w:rFonts w:ascii="Arial" w:hAnsi="Arial" w:cs="Arial"/>
          <w:sz w:val="24"/>
          <w:szCs w:val="24"/>
        </w:rPr>
        <w:t>Bogati, 2026</w:t>
      </w:r>
      <w:r w:rsidR="6F68CADB" w:rsidRPr="5A1E62CD">
        <w:rPr>
          <w:rFonts w:ascii="Arial" w:hAnsi="Arial" w:cs="Arial"/>
          <w:sz w:val="24"/>
          <w:szCs w:val="24"/>
        </w:rPr>
        <w:t>)</w:t>
      </w:r>
      <w:r w:rsidR="5F5D9D0B" w:rsidRPr="5A1E62CD">
        <w:rPr>
          <w:rFonts w:ascii="Arial" w:hAnsi="Arial" w:cs="Arial"/>
          <w:sz w:val="24"/>
          <w:szCs w:val="24"/>
        </w:rPr>
        <w:t xml:space="preserve">. This </w:t>
      </w:r>
      <w:r w:rsidR="6F68CADB" w:rsidRPr="5A1E62CD">
        <w:rPr>
          <w:rFonts w:ascii="Arial" w:hAnsi="Arial" w:cs="Arial"/>
          <w:sz w:val="24"/>
          <w:szCs w:val="24"/>
        </w:rPr>
        <w:t xml:space="preserve">factor </w:t>
      </w:r>
      <w:r w:rsidR="5F5D9D0B" w:rsidRPr="5A1E62CD">
        <w:rPr>
          <w:rFonts w:ascii="Arial" w:hAnsi="Arial" w:cs="Arial"/>
          <w:sz w:val="24"/>
          <w:szCs w:val="24"/>
        </w:rPr>
        <w:t xml:space="preserve">is </w:t>
      </w:r>
      <w:r w:rsidR="3D8822A7" w:rsidRPr="5A1E62CD">
        <w:rPr>
          <w:rFonts w:ascii="Arial" w:hAnsi="Arial" w:cs="Arial"/>
          <w:sz w:val="24"/>
          <w:szCs w:val="24"/>
        </w:rPr>
        <w:t>significant</w:t>
      </w:r>
      <w:r w:rsidR="5F5D9D0B" w:rsidRPr="5A1E62CD">
        <w:rPr>
          <w:rFonts w:ascii="Arial" w:hAnsi="Arial" w:cs="Arial"/>
          <w:sz w:val="24"/>
          <w:szCs w:val="24"/>
        </w:rPr>
        <w:t xml:space="preserve"> when entering a small, unstable market like New Zealand, where demand patterns can </w:t>
      </w:r>
      <w:r w:rsidR="5F5D9D0B" w:rsidRPr="5A1E62CD">
        <w:rPr>
          <w:rFonts w:ascii="Arial" w:hAnsi="Arial" w:cs="Arial"/>
          <w:sz w:val="24"/>
          <w:szCs w:val="24"/>
        </w:rPr>
        <w:lastRenderedPageBreak/>
        <w:t xml:space="preserve">change fast and scale savings are limited. Thus, efficient inventory optimisation </w:t>
      </w:r>
      <w:r w:rsidR="22107CE6" w:rsidRPr="5A1E62CD">
        <w:rPr>
          <w:rFonts w:ascii="Arial" w:hAnsi="Arial" w:cs="Arial"/>
          <w:sz w:val="24"/>
          <w:szCs w:val="24"/>
        </w:rPr>
        <w:t xml:space="preserve">could </w:t>
      </w:r>
      <w:r w:rsidR="5F5D9D0B" w:rsidRPr="5A1E62CD">
        <w:rPr>
          <w:rFonts w:ascii="Arial" w:hAnsi="Arial" w:cs="Arial"/>
          <w:sz w:val="24"/>
          <w:szCs w:val="24"/>
        </w:rPr>
        <w:t>boost sustainability performance and cost control, strengthening IKEA</w:t>
      </w:r>
      <w:r w:rsidR="05CB5D6D" w:rsidRPr="5A1E62CD">
        <w:rPr>
          <w:rFonts w:ascii="Arial" w:hAnsi="Arial" w:cs="Arial"/>
          <w:sz w:val="24"/>
          <w:szCs w:val="24"/>
        </w:rPr>
        <w:t>’</w:t>
      </w:r>
      <w:r w:rsidR="5F5D9D0B" w:rsidRPr="5A1E62CD">
        <w:rPr>
          <w:rFonts w:ascii="Arial" w:hAnsi="Arial" w:cs="Arial"/>
          <w:sz w:val="24"/>
          <w:szCs w:val="24"/>
        </w:rPr>
        <w:t>s competitive edge in new markets.</w:t>
      </w:r>
    </w:p>
    <w:p w14:paraId="79439286" w14:textId="33759DB5" w:rsidR="0919EB4C" w:rsidRDefault="0919EB4C" w:rsidP="5A1E62CD">
      <w:pPr>
        <w:spacing w:line="360" w:lineRule="auto"/>
        <w:jc w:val="both"/>
      </w:pPr>
      <w:r w:rsidRPr="5A1E62CD">
        <w:rPr>
          <w:rFonts w:ascii="Arial" w:hAnsi="Arial" w:cs="Arial"/>
          <w:sz w:val="24"/>
          <w:szCs w:val="24"/>
        </w:rPr>
        <w:t>Although the OLI paradigm provides a robust framework for explaining foreign direct investment decisions, it assumes relatively stable competitive conditions and pays limited attention to rapidly evolving institutional environments and dynamic capabilities. As a result, management discretion is still required when using the model to make decisions about modern international expansion.</w:t>
      </w:r>
    </w:p>
    <w:p w14:paraId="37AFC0F6" w14:textId="36A44C47" w:rsidR="00C34013" w:rsidRPr="00F97BD4" w:rsidRDefault="6C53F655" w:rsidP="5A1E62CD">
      <w:pPr>
        <w:pStyle w:val="Heading1"/>
        <w:keepNext w:val="0"/>
        <w:keepLines w:val="0"/>
        <w:spacing w:line="360" w:lineRule="auto"/>
        <w:rPr>
          <w:rFonts w:ascii="Arial" w:hAnsi="Arial" w:cs="Arial"/>
          <w:sz w:val="32"/>
          <w:szCs w:val="32"/>
        </w:rPr>
      </w:pPr>
      <w:bookmarkStart w:id="20" w:name="_Toc375477910"/>
      <w:r w:rsidRPr="5A1E62CD">
        <w:rPr>
          <w:rFonts w:ascii="Arial" w:hAnsi="Arial" w:cs="Arial"/>
          <w:sz w:val="32"/>
          <w:szCs w:val="32"/>
        </w:rPr>
        <w:t>4. Entry Mode Strategy and Strategic Integration</w:t>
      </w:r>
      <w:bookmarkEnd w:id="20"/>
    </w:p>
    <w:p w14:paraId="5CFEEAC4" w14:textId="1D3C195A" w:rsidR="00C34013" w:rsidRPr="00F97BD4" w:rsidRDefault="6FEAB86D" w:rsidP="5A1E62CD">
      <w:pPr>
        <w:pStyle w:val="Heading2"/>
        <w:keepNext w:val="0"/>
        <w:keepLines w:val="0"/>
        <w:spacing w:line="360" w:lineRule="auto"/>
        <w:rPr>
          <w:rFonts w:ascii="Arial" w:hAnsi="Arial" w:cs="Arial"/>
          <w:sz w:val="28"/>
          <w:szCs w:val="28"/>
        </w:rPr>
      </w:pPr>
      <w:bookmarkStart w:id="21" w:name="_Toc201675997"/>
      <w:r w:rsidRPr="5A1E62CD">
        <w:rPr>
          <w:rFonts w:ascii="Arial" w:hAnsi="Arial" w:cs="Arial"/>
          <w:sz w:val="28"/>
          <w:szCs w:val="28"/>
        </w:rPr>
        <w:t>4.1 Historical Entry Mode Patterns</w:t>
      </w:r>
      <w:bookmarkEnd w:id="21"/>
    </w:p>
    <w:p w14:paraId="103538B1" w14:textId="7CA7149C" w:rsidR="00656A0F" w:rsidRDefault="4ADA3FE1" w:rsidP="4C3DC9EF">
      <w:pPr>
        <w:spacing w:line="360" w:lineRule="auto"/>
        <w:jc w:val="both"/>
        <w:rPr>
          <w:rFonts w:ascii="Arial" w:hAnsi="Arial" w:cs="Arial"/>
          <w:sz w:val="24"/>
          <w:szCs w:val="24"/>
        </w:rPr>
      </w:pPr>
      <w:r w:rsidRPr="5A1E62CD">
        <w:rPr>
          <w:rFonts w:ascii="Arial" w:hAnsi="Arial" w:cs="Arial"/>
          <w:sz w:val="24"/>
          <w:szCs w:val="24"/>
        </w:rPr>
        <w:t>As demonstrated by its early entry into Japan, IKEA</w:t>
      </w:r>
      <w:r w:rsidR="4E83D342" w:rsidRPr="5A1E62CD">
        <w:rPr>
          <w:rFonts w:ascii="Arial" w:hAnsi="Arial" w:cs="Arial"/>
          <w:sz w:val="24"/>
          <w:szCs w:val="24"/>
        </w:rPr>
        <w:t>’</w:t>
      </w:r>
      <w:r w:rsidRPr="5A1E62CD">
        <w:rPr>
          <w:rFonts w:ascii="Arial" w:hAnsi="Arial" w:cs="Arial"/>
          <w:sz w:val="24"/>
          <w:szCs w:val="24"/>
        </w:rPr>
        <w:t>s previous expansion demonstrates how a mismatch between entry mode and market conditions results in failure</w:t>
      </w:r>
      <w:r w:rsidR="56127AF1" w:rsidRPr="5A1E62CD">
        <w:rPr>
          <w:rFonts w:ascii="Arial" w:hAnsi="Arial" w:cs="Arial"/>
          <w:sz w:val="24"/>
          <w:szCs w:val="24"/>
        </w:rPr>
        <w:t xml:space="preserve"> (Subrahmanyam et al., 2026)</w:t>
      </w:r>
      <w:r w:rsidRPr="5A1E62CD">
        <w:rPr>
          <w:rFonts w:ascii="Arial" w:hAnsi="Arial" w:cs="Arial"/>
          <w:sz w:val="24"/>
          <w:szCs w:val="24"/>
        </w:rPr>
        <w:t>. In smaller or more complex markets, the corporation does best when it maintains strategic control while avoiding excessive capital exposure. This pattern indicates that IKEA benefits from flexible entr</w:t>
      </w:r>
      <w:r w:rsidR="4121E7C6" w:rsidRPr="5A1E62CD">
        <w:rPr>
          <w:rFonts w:ascii="Arial" w:hAnsi="Arial" w:cs="Arial"/>
          <w:sz w:val="24"/>
          <w:szCs w:val="24"/>
        </w:rPr>
        <w:t>y</w:t>
      </w:r>
      <w:r w:rsidRPr="5A1E62CD">
        <w:rPr>
          <w:rFonts w:ascii="Arial" w:hAnsi="Arial" w:cs="Arial"/>
          <w:sz w:val="24"/>
          <w:szCs w:val="24"/>
        </w:rPr>
        <w:t xml:space="preserve"> methods that strike a balance between control and local expertise, rather than strict adherence to </w:t>
      </w:r>
      <w:r w:rsidR="28045E36" w:rsidRPr="5A1E62CD">
        <w:rPr>
          <w:rFonts w:ascii="Arial" w:hAnsi="Arial" w:cs="Arial"/>
          <w:sz w:val="24"/>
          <w:szCs w:val="24"/>
        </w:rPr>
        <w:t>wholly owned</w:t>
      </w:r>
      <w:r w:rsidRPr="5A1E62CD">
        <w:rPr>
          <w:rFonts w:ascii="Arial" w:hAnsi="Arial" w:cs="Arial"/>
          <w:sz w:val="24"/>
          <w:szCs w:val="24"/>
        </w:rPr>
        <w:t xml:space="preserve"> subsidiaries</w:t>
      </w:r>
      <w:r w:rsidR="3132098F" w:rsidRPr="5A1E62CD">
        <w:rPr>
          <w:rFonts w:ascii="Arial" w:hAnsi="Arial" w:cs="Arial"/>
          <w:sz w:val="24"/>
          <w:szCs w:val="24"/>
        </w:rPr>
        <w:t xml:space="preserve"> (Lindblom et al., 2026)</w:t>
      </w:r>
      <w:r w:rsidRPr="5A1E62CD">
        <w:rPr>
          <w:rFonts w:ascii="Arial" w:hAnsi="Arial" w:cs="Arial"/>
          <w:sz w:val="24"/>
          <w:szCs w:val="24"/>
        </w:rPr>
        <w:t>.</w:t>
      </w:r>
    </w:p>
    <w:p w14:paraId="4C95E4B3" w14:textId="283A4D2C" w:rsidR="00F97BD4" w:rsidRDefault="7CC3C7E0" w:rsidP="4C3DC9EF">
      <w:pPr>
        <w:pStyle w:val="Heading2"/>
        <w:keepNext w:val="0"/>
        <w:keepLines w:val="0"/>
        <w:spacing w:line="360" w:lineRule="auto"/>
        <w:rPr>
          <w:rFonts w:ascii="Arial" w:hAnsi="Arial" w:cs="Arial"/>
          <w:sz w:val="28"/>
          <w:szCs w:val="28"/>
        </w:rPr>
      </w:pPr>
      <w:bookmarkStart w:id="22" w:name="_Toc243601552"/>
      <w:r w:rsidRPr="5A1E62CD">
        <w:rPr>
          <w:rFonts w:ascii="Arial" w:hAnsi="Arial" w:cs="Arial"/>
          <w:sz w:val="28"/>
          <w:szCs w:val="28"/>
        </w:rPr>
        <w:t>4.2 Evaluation of Entry Mode Options for New Zealand</w:t>
      </w:r>
      <w:bookmarkEnd w:id="22"/>
    </w:p>
    <w:p w14:paraId="5F05C232" w14:textId="4AF83767" w:rsidR="5E7AF843" w:rsidRDefault="5E7AF843" w:rsidP="4C3DC9EF">
      <w:pPr>
        <w:spacing w:line="360" w:lineRule="auto"/>
        <w:jc w:val="both"/>
      </w:pPr>
      <w:r w:rsidRPr="5A1E62CD">
        <w:rPr>
          <w:rFonts w:ascii="Arial" w:hAnsi="Arial" w:cs="Arial"/>
          <w:sz w:val="24"/>
          <w:szCs w:val="24"/>
        </w:rPr>
        <w:t>Research suggests that while wholly owned subsidiaries provide multinational corporations with the highest level of managerial control, this advantage is most valuable when firms need to closely align subsidiary operations with corporate objectives and manage external uncertainties. Mao (2020) found that parent management control is crucial for enhancing subsidiary performance because it keeps subsidiary objectives in line with the parent company's strategic ambitions, especially in high-risk circumstances. In a similar vein, Giacobbe (2016) contends that fully owned subsidiaries allow headquarters to put in place specialised management control mechanisms that lower uncertainty and protect company-specific assets. This degree of control can improve operational consistency, but it also necessitates a significant administrative and financial investment.</w:t>
      </w:r>
      <w:r w:rsidR="798DA443" w:rsidRPr="5A1E62CD">
        <w:rPr>
          <w:rFonts w:ascii="Arial" w:hAnsi="Arial" w:cs="Arial"/>
          <w:sz w:val="24"/>
          <w:szCs w:val="24"/>
        </w:rPr>
        <w:t xml:space="preserve"> The advantages of maximum control may not exceed the higher investment and operational risk connected with </w:t>
      </w:r>
      <w:r w:rsidR="798DA443" w:rsidRPr="5A1E62CD">
        <w:rPr>
          <w:rFonts w:ascii="Arial" w:hAnsi="Arial" w:cs="Arial"/>
          <w:sz w:val="24"/>
          <w:szCs w:val="24"/>
        </w:rPr>
        <w:lastRenderedPageBreak/>
        <w:t>complete ownership for IKEA in New Zealand, an arguably small and remote market. As a result, franchising is a more suitable entrance strategy that enables IKEA to take advantage of local market knowledge and minimise resource commitment while retaining adequate oversight through established brand standards and contractual agreements.</w:t>
      </w:r>
      <w:r w:rsidR="1AD28DD6" w:rsidRPr="5A1E62CD">
        <w:rPr>
          <w:rFonts w:ascii="Arial" w:hAnsi="Arial" w:cs="Arial"/>
          <w:sz w:val="24"/>
          <w:szCs w:val="24"/>
        </w:rPr>
        <w:t xml:space="preserve"> To further evaluate the strategic suitability of the two most relevant entry modes, </w:t>
      </w:r>
      <w:r w:rsidR="33822228" w:rsidRPr="5A1E62CD">
        <w:rPr>
          <w:rFonts w:ascii="Arial" w:hAnsi="Arial" w:cs="Arial"/>
          <w:sz w:val="24"/>
          <w:szCs w:val="24"/>
        </w:rPr>
        <w:t>Figure</w:t>
      </w:r>
      <w:r w:rsidR="1A84A19B" w:rsidRPr="5A1E62CD">
        <w:rPr>
          <w:rFonts w:ascii="Arial" w:hAnsi="Arial" w:cs="Arial"/>
          <w:sz w:val="24"/>
          <w:szCs w:val="24"/>
        </w:rPr>
        <w:t xml:space="preserve"> </w:t>
      </w:r>
      <w:r w:rsidR="1F3EAEA9" w:rsidRPr="5A1E62CD">
        <w:rPr>
          <w:rFonts w:ascii="Arial" w:hAnsi="Arial" w:cs="Arial"/>
          <w:sz w:val="24"/>
          <w:szCs w:val="24"/>
        </w:rPr>
        <w:t>8</w:t>
      </w:r>
      <w:r w:rsidR="1A84A19B" w:rsidRPr="5A1E62CD">
        <w:rPr>
          <w:rFonts w:ascii="Arial" w:hAnsi="Arial" w:cs="Arial"/>
          <w:sz w:val="24"/>
          <w:szCs w:val="24"/>
        </w:rPr>
        <w:t xml:space="preserve"> </w:t>
      </w:r>
      <w:r w:rsidR="1AD28DD6" w:rsidRPr="5A1E62CD">
        <w:rPr>
          <w:rFonts w:ascii="Arial" w:hAnsi="Arial" w:cs="Arial"/>
          <w:sz w:val="24"/>
          <w:szCs w:val="24"/>
        </w:rPr>
        <w:t>compares them against the key decision criteria identified in the international business literature.</w:t>
      </w:r>
    </w:p>
    <w:p w14:paraId="424E6AAB" w14:textId="6609FDB2" w:rsidR="22BECDDD" w:rsidRDefault="22BECDDD" w:rsidP="5A1E62CD">
      <w:pPr>
        <w:spacing w:line="360" w:lineRule="auto"/>
        <w:jc w:val="both"/>
      </w:pPr>
      <w:r>
        <w:rPr>
          <w:noProof/>
        </w:rPr>
        <w:drawing>
          <wp:inline distT="0" distB="0" distL="0" distR="0" wp14:anchorId="5E521816" wp14:editId="1C2B21BE">
            <wp:extent cx="5724525" cy="2809875"/>
            <wp:effectExtent l="0" t="0" r="0" b="0"/>
            <wp:docPr id="1544562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56235" name="Picture 154456235"/>
                    <pic:cNvPicPr/>
                  </pic:nvPicPr>
                  <pic:blipFill>
                    <a:blip r:embed="rId18">
                      <a:extLst>
                        <a:ext uri="{28A0092B-C50C-407E-A947-70E740481C1C}">
                          <a14:useLocalDpi xmlns:a14="http://schemas.microsoft.com/office/drawing/2010/main"/>
                        </a:ext>
                      </a:extLst>
                    </a:blip>
                    <a:stretch>
                      <a:fillRect/>
                    </a:stretch>
                  </pic:blipFill>
                  <pic:spPr>
                    <a:xfrm>
                      <a:off x="0" y="0"/>
                      <a:ext cx="5724525" cy="2809875"/>
                    </a:xfrm>
                    <a:prstGeom prst="rect">
                      <a:avLst/>
                    </a:prstGeom>
                  </pic:spPr>
                </pic:pic>
              </a:graphicData>
            </a:graphic>
          </wp:inline>
        </w:drawing>
      </w:r>
      <w:r w:rsidR="00A1CA57" w:rsidRPr="5A1E62CD">
        <w:rPr>
          <w:rFonts w:ascii="Arial" w:eastAsia="Arial" w:hAnsi="Arial" w:cs="Arial"/>
          <w:sz w:val="24"/>
          <w:szCs w:val="24"/>
        </w:rPr>
        <w:t>Figure</w:t>
      </w:r>
      <w:r w:rsidR="326021B8" w:rsidRPr="5A1E62CD">
        <w:rPr>
          <w:rFonts w:ascii="Arial" w:eastAsia="Arial" w:hAnsi="Arial" w:cs="Arial"/>
          <w:sz w:val="24"/>
          <w:szCs w:val="24"/>
        </w:rPr>
        <w:t xml:space="preserve"> </w:t>
      </w:r>
      <w:r w:rsidR="5B016872" w:rsidRPr="5A1E62CD">
        <w:rPr>
          <w:rFonts w:ascii="Arial" w:eastAsia="Arial" w:hAnsi="Arial" w:cs="Arial"/>
          <w:sz w:val="24"/>
          <w:szCs w:val="24"/>
        </w:rPr>
        <w:t>8</w:t>
      </w:r>
      <w:r w:rsidR="00A1CA57" w:rsidRPr="5A1E62CD">
        <w:rPr>
          <w:rFonts w:ascii="Arial" w:eastAsia="Arial" w:hAnsi="Arial" w:cs="Arial"/>
          <w:sz w:val="24"/>
          <w:szCs w:val="24"/>
        </w:rPr>
        <w:t xml:space="preserve">: </w:t>
      </w:r>
      <w:r w:rsidR="7DAE117F" w:rsidRPr="5A1E62CD">
        <w:rPr>
          <w:rFonts w:ascii="Arial" w:eastAsia="Arial" w:hAnsi="Arial" w:cs="Arial"/>
          <w:sz w:val="24"/>
          <w:szCs w:val="24"/>
        </w:rPr>
        <w:t xml:space="preserve">Entry Mode Comparison </w:t>
      </w:r>
    </w:p>
    <w:p w14:paraId="304200AC" w14:textId="344F1E91" w:rsidR="00836EED" w:rsidRPr="00836EED" w:rsidRDefault="5ACE6B89" w:rsidP="4C3DC9EF">
      <w:pPr>
        <w:pStyle w:val="Heading2"/>
        <w:keepNext w:val="0"/>
        <w:keepLines w:val="0"/>
        <w:spacing w:line="360" w:lineRule="auto"/>
        <w:rPr>
          <w:rFonts w:ascii="Arial" w:hAnsi="Arial" w:cs="Arial"/>
          <w:sz w:val="28"/>
          <w:szCs w:val="28"/>
        </w:rPr>
      </w:pPr>
      <w:bookmarkStart w:id="23" w:name="_Toc1195150696"/>
      <w:r w:rsidRPr="5A1E62CD">
        <w:rPr>
          <w:rFonts w:ascii="Arial" w:hAnsi="Arial" w:cs="Arial"/>
          <w:sz w:val="28"/>
          <w:szCs w:val="28"/>
        </w:rPr>
        <w:t>4.3 Recommended Entry Mode</w:t>
      </w:r>
      <w:bookmarkEnd w:id="23"/>
    </w:p>
    <w:p w14:paraId="6933C127" w14:textId="2A3B70A4" w:rsidR="768B49D4" w:rsidRDefault="768B49D4" w:rsidP="5A1E62CD">
      <w:pPr>
        <w:spacing w:line="360" w:lineRule="auto"/>
        <w:jc w:val="both"/>
      </w:pPr>
      <w:r w:rsidRPr="5A1E62CD">
        <w:rPr>
          <w:rFonts w:ascii="Arial" w:hAnsi="Arial" w:cs="Arial"/>
          <w:sz w:val="24"/>
          <w:szCs w:val="24"/>
        </w:rPr>
        <w:t>The best option from a strategic standpoint is a franchise model</w:t>
      </w:r>
      <w:r w:rsidR="224FEB00" w:rsidRPr="5A1E62CD">
        <w:rPr>
          <w:rFonts w:ascii="Arial" w:hAnsi="Arial" w:cs="Arial"/>
          <w:sz w:val="24"/>
          <w:szCs w:val="24"/>
        </w:rPr>
        <w:t xml:space="preserve"> as it</w:t>
      </w:r>
      <w:r w:rsidRPr="5A1E62CD">
        <w:rPr>
          <w:rFonts w:ascii="Arial" w:hAnsi="Arial" w:cs="Arial"/>
          <w:sz w:val="24"/>
          <w:szCs w:val="24"/>
        </w:rPr>
        <w:t xml:space="preserve"> reduces financial risk, makes use of local market expertise, and complements IKEA</w:t>
      </w:r>
      <w:r w:rsidR="7F11AFB5" w:rsidRPr="5A1E62CD">
        <w:rPr>
          <w:rFonts w:ascii="Arial" w:hAnsi="Arial" w:cs="Arial"/>
          <w:sz w:val="24"/>
          <w:szCs w:val="24"/>
        </w:rPr>
        <w:t>’</w:t>
      </w:r>
      <w:r w:rsidRPr="5A1E62CD">
        <w:rPr>
          <w:rFonts w:ascii="Arial" w:hAnsi="Arial" w:cs="Arial"/>
          <w:sz w:val="24"/>
          <w:szCs w:val="24"/>
        </w:rPr>
        <w:t>s prosperous growth in other mid-sized markets. Importantly, franchising enables IKEA to delegate operational responsibilities to a capable local partner while retaining control over brand-critical components like supply chain, design, and catalogue. This strategy provides the finest possible balance between market realism and strategic control.</w:t>
      </w:r>
      <w:r w:rsidR="465C1E7D" w:rsidRPr="5A1E62CD">
        <w:rPr>
          <w:rFonts w:ascii="Arial" w:hAnsi="Arial" w:cs="Arial"/>
          <w:sz w:val="24"/>
          <w:szCs w:val="24"/>
        </w:rPr>
        <w:t xml:space="preserve"> </w:t>
      </w:r>
      <w:r w:rsidR="7AE8E315" w:rsidRPr="5A1E62CD">
        <w:rPr>
          <w:rFonts w:ascii="Arial" w:hAnsi="Arial" w:cs="Arial"/>
          <w:sz w:val="24"/>
          <w:szCs w:val="24"/>
        </w:rPr>
        <w:t>Šarić (2025) maintains that f</w:t>
      </w:r>
      <w:r w:rsidR="434DC7F0" w:rsidRPr="5A1E62CD">
        <w:rPr>
          <w:rFonts w:ascii="Arial" w:hAnsi="Arial" w:cs="Arial"/>
          <w:sz w:val="24"/>
          <w:szCs w:val="24"/>
        </w:rPr>
        <w:t xml:space="preserve">ranchising is a strong and adaptable growth strategy that enables companies to grow quickly with little initial investment. </w:t>
      </w:r>
      <w:r w:rsidR="465C1E7D" w:rsidRPr="5A1E62CD">
        <w:rPr>
          <w:rFonts w:ascii="Arial" w:hAnsi="Arial" w:cs="Arial"/>
          <w:sz w:val="24"/>
          <w:szCs w:val="24"/>
        </w:rPr>
        <w:t xml:space="preserve">However, </w:t>
      </w:r>
      <w:r w:rsidR="656F5E62" w:rsidRPr="5A1E62CD">
        <w:rPr>
          <w:rFonts w:ascii="Arial" w:hAnsi="Arial" w:cs="Arial"/>
          <w:sz w:val="24"/>
          <w:szCs w:val="24"/>
        </w:rPr>
        <w:t xml:space="preserve">this entry mode </w:t>
      </w:r>
      <w:r w:rsidR="465C1E7D" w:rsidRPr="5A1E62CD">
        <w:rPr>
          <w:rFonts w:ascii="Arial" w:hAnsi="Arial" w:cs="Arial"/>
          <w:sz w:val="24"/>
          <w:szCs w:val="24"/>
        </w:rPr>
        <w:t>also reduces IKEA</w:t>
      </w:r>
      <w:r w:rsidR="3A1977CA" w:rsidRPr="5A1E62CD">
        <w:rPr>
          <w:rFonts w:ascii="Arial" w:hAnsi="Arial" w:cs="Arial"/>
          <w:sz w:val="24"/>
          <w:szCs w:val="24"/>
        </w:rPr>
        <w:t>’</w:t>
      </w:r>
      <w:r w:rsidR="465C1E7D" w:rsidRPr="5A1E62CD">
        <w:rPr>
          <w:rFonts w:ascii="Arial" w:hAnsi="Arial" w:cs="Arial"/>
          <w:sz w:val="24"/>
          <w:szCs w:val="24"/>
        </w:rPr>
        <w:t xml:space="preserve">s direct control over daily operations, creating a risk of inconsistencies in service quality, store management, and customer experience that could affect the brand's reputation if not effectively monitored. </w:t>
      </w:r>
      <w:r w:rsidR="7654925B" w:rsidRPr="5A1E62CD">
        <w:rPr>
          <w:rFonts w:ascii="Arial" w:eastAsia="Arial" w:hAnsi="Arial" w:cs="Arial"/>
          <w:sz w:val="24"/>
          <w:szCs w:val="24"/>
        </w:rPr>
        <w:t xml:space="preserve">Although a wholly owned subsidiary would maximise strategic control, the substantial capital investment </w:t>
      </w:r>
      <w:r w:rsidR="7654925B" w:rsidRPr="5A1E62CD">
        <w:rPr>
          <w:rFonts w:ascii="Arial" w:eastAsia="Arial" w:hAnsi="Arial" w:cs="Arial"/>
          <w:sz w:val="24"/>
          <w:szCs w:val="24"/>
        </w:rPr>
        <w:lastRenderedPageBreak/>
        <w:t>required, combined with New Zealand</w:t>
      </w:r>
      <w:r w:rsidR="1388E8FC" w:rsidRPr="5A1E62CD">
        <w:rPr>
          <w:rFonts w:ascii="Arial" w:eastAsia="Arial" w:hAnsi="Arial" w:cs="Arial"/>
          <w:sz w:val="24"/>
          <w:szCs w:val="24"/>
        </w:rPr>
        <w:t>’</w:t>
      </w:r>
      <w:r w:rsidR="7654925B" w:rsidRPr="5A1E62CD">
        <w:rPr>
          <w:rFonts w:ascii="Arial" w:eastAsia="Arial" w:hAnsi="Arial" w:cs="Arial"/>
          <w:sz w:val="24"/>
          <w:szCs w:val="24"/>
        </w:rPr>
        <w:t>s relatively small consumer base and geographic remoteness, makes this option financially disproportionate.</w:t>
      </w:r>
    </w:p>
    <w:p w14:paraId="2859CEBB" w14:textId="229BCA57" w:rsidR="00970B36" w:rsidRPr="00F953A0" w:rsidRDefault="6F1E9546" w:rsidP="5A1E62CD">
      <w:pPr>
        <w:pStyle w:val="Heading1"/>
        <w:keepNext w:val="0"/>
        <w:keepLines w:val="0"/>
        <w:spacing w:line="360" w:lineRule="auto"/>
        <w:rPr>
          <w:rFonts w:ascii="Arial" w:hAnsi="Arial" w:cs="Arial"/>
          <w:sz w:val="32"/>
          <w:szCs w:val="32"/>
        </w:rPr>
      </w:pPr>
      <w:bookmarkStart w:id="24" w:name="_Toc57465086"/>
      <w:r w:rsidRPr="5A1E62CD">
        <w:rPr>
          <w:rFonts w:ascii="Arial" w:hAnsi="Arial" w:cs="Arial"/>
          <w:sz w:val="32"/>
          <w:szCs w:val="32"/>
        </w:rPr>
        <w:t>5. Strategic Recommendations</w:t>
      </w:r>
      <w:bookmarkEnd w:id="24"/>
    </w:p>
    <w:p w14:paraId="1D7B51D1" w14:textId="737C486F" w:rsidR="4B6AAE77" w:rsidRDefault="4B6AAE77" w:rsidP="5A1E62CD">
      <w:pPr>
        <w:spacing w:line="360" w:lineRule="auto"/>
        <w:jc w:val="both"/>
        <w:rPr>
          <w:rFonts w:ascii="Arial" w:eastAsia="Arial" w:hAnsi="Arial" w:cs="Arial"/>
          <w:sz w:val="24"/>
          <w:szCs w:val="24"/>
        </w:rPr>
      </w:pPr>
      <w:r w:rsidRPr="5A1E62CD">
        <w:rPr>
          <w:rFonts w:ascii="Arial" w:eastAsia="Arial" w:hAnsi="Arial" w:cs="Arial"/>
          <w:sz w:val="24"/>
          <w:szCs w:val="24"/>
        </w:rPr>
        <w:t>PESTLE analysis, Dunning</w:t>
      </w:r>
      <w:r w:rsidR="26628672" w:rsidRPr="5A1E62CD">
        <w:rPr>
          <w:rFonts w:ascii="Arial" w:eastAsia="Arial" w:hAnsi="Arial" w:cs="Arial"/>
          <w:sz w:val="24"/>
          <w:szCs w:val="24"/>
        </w:rPr>
        <w:t>’</w:t>
      </w:r>
      <w:r w:rsidRPr="5A1E62CD">
        <w:rPr>
          <w:rFonts w:ascii="Arial" w:eastAsia="Arial" w:hAnsi="Arial" w:cs="Arial"/>
          <w:sz w:val="24"/>
          <w:szCs w:val="24"/>
        </w:rPr>
        <w:t>s OLI paradigm, and the Bartlett and Ghoshal framework all point to the same strategic conclusion. New Zealand has good institutional and cultural circumstances but low economies of scale because of its tiny market and remote location, whereas IKEA has significant ownership-specific benefits and a globally connected business model. The strongest connection between IKEA</w:t>
      </w:r>
      <w:r w:rsidR="53D03668" w:rsidRPr="5A1E62CD">
        <w:rPr>
          <w:rFonts w:ascii="Arial" w:eastAsia="Arial" w:hAnsi="Arial" w:cs="Arial"/>
          <w:sz w:val="24"/>
          <w:szCs w:val="24"/>
        </w:rPr>
        <w:t>’</w:t>
      </w:r>
      <w:r w:rsidRPr="5A1E62CD">
        <w:rPr>
          <w:rFonts w:ascii="Arial" w:eastAsia="Arial" w:hAnsi="Arial" w:cs="Arial"/>
          <w:sz w:val="24"/>
          <w:szCs w:val="24"/>
        </w:rPr>
        <w:t xml:space="preserve">s global strategy and the features of the host market </w:t>
      </w:r>
      <w:r w:rsidR="57184B9F" w:rsidRPr="5A1E62CD">
        <w:rPr>
          <w:rFonts w:ascii="Arial" w:eastAsia="Arial" w:hAnsi="Arial" w:cs="Arial"/>
          <w:sz w:val="24"/>
          <w:szCs w:val="24"/>
        </w:rPr>
        <w:t>are</w:t>
      </w:r>
      <w:r w:rsidRPr="5A1E62CD">
        <w:rPr>
          <w:rFonts w:ascii="Arial" w:eastAsia="Arial" w:hAnsi="Arial" w:cs="Arial"/>
          <w:sz w:val="24"/>
          <w:szCs w:val="24"/>
        </w:rPr>
        <w:t xml:space="preserve"> thus achieved through a lower-commitment entry method that maintains strategic control while using local market experience.</w:t>
      </w:r>
    </w:p>
    <w:p w14:paraId="4EDB2A0B" w14:textId="25A9E69E" w:rsidR="0079438B" w:rsidRDefault="1142BA6C" w:rsidP="5A1E62CD">
      <w:pPr>
        <w:spacing w:line="360" w:lineRule="auto"/>
        <w:jc w:val="both"/>
      </w:pPr>
      <w:r w:rsidRPr="5A1E62CD">
        <w:rPr>
          <w:rFonts w:ascii="Arial" w:hAnsi="Arial" w:cs="Arial"/>
          <w:sz w:val="24"/>
          <w:szCs w:val="24"/>
        </w:rPr>
        <w:t xml:space="preserve">IKEA’s most suitable entry strategy for New Zealand is franchising, as it balances brand control with reduced financial and operational risk in a small, remote market. A local franchise partner can provide valuable knowledge of regulations and consumer preferences, while enabling IKEA to adapt products and store operations. Sustainability and ethical sourcing should also remain central to strengthening IKEA’s market legitimacy. </w:t>
      </w:r>
      <w:r w:rsidR="05405AFB" w:rsidRPr="5A1E62CD">
        <w:rPr>
          <w:rFonts w:ascii="Arial" w:hAnsi="Arial" w:cs="Arial"/>
          <w:sz w:val="24"/>
          <w:szCs w:val="24"/>
        </w:rPr>
        <w:t xml:space="preserve">Timber consumption, carbon </w:t>
      </w:r>
      <w:r w:rsidR="10439D73" w:rsidRPr="5A1E62CD">
        <w:rPr>
          <w:rFonts w:ascii="Arial" w:hAnsi="Arial" w:cs="Arial"/>
          <w:sz w:val="24"/>
          <w:szCs w:val="24"/>
        </w:rPr>
        <w:t>impact</w:t>
      </w:r>
      <w:r w:rsidR="05405AFB" w:rsidRPr="5A1E62CD">
        <w:rPr>
          <w:rFonts w:ascii="Arial" w:hAnsi="Arial" w:cs="Arial"/>
          <w:sz w:val="24"/>
          <w:szCs w:val="24"/>
        </w:rPr>
        <w:t>, and supply chain transparency will be extensively examined due to the nation's forestry context and cultural relationship with land. IKEA</w:t>
      </w:r>
      <w:r w:rsidR="722370E9" w:rsidRPr="5A1E62CD">
        <w:rPr>
          <w:rFonts w:ascii="Arial" w:hAnsi="Arial" w:cs="Arial"/>
          <w:sz w:val="24"/>
          <w:szCs w:val="24"/>
        </w:rPr>
        <w:t>’</w:t>
      </w:r>
      <w:r w:rsidR="05405AFB" w:rsidRPr="5A1E62CD">
        <w:rPr>
          <w:rFonts w:ascii="Arial" w:hAnsi="Arial" w:cs="Arial"/>
          <w:sz w:val="24"/>
          <w:szCs w:val="24"/>
        </w:rPr>
        <w:t>s worldwide environmental pledges a</w:t>
      </w:r>
      <w:r w:rsidR="02233A45" w:rsidRPr="5A1E62CD">
        <w:rPr>
          <w:rFonts w:ascii="Arial" w:hAnsi="Arial" w:cs="Arial"/>
          <w:sz w:val="24"/>
          <w:szCs w:val="24"/>
        </w:rPr>
        <w:t xml:space="preserve">lign </w:t>
      </w:r>
      <w:r w:rsidR="05405AFB" w:rsidRPr="5A1E62CD">
        <w:rPr>
          <w:rFonts w:ascii="Arial" w:hAnsi="Arial" w:cs="Arial"/>
          <w:sz w:val="24"/>
          <w:szCs w:val="24"/>
        </w:rPr>
        <w:t xml:space="preserve">with these expectations, but the company needs to show that it complies locally, either by forming alliances with Māori organisations or integrating its supply chain with Australia. </w:t>
      </w:r>
      <w:r w:rsidR="2B709476" w:rsidRPr="5A1E62CD">
        <w:rPr>
          <w:rFonts w:ascii="Arial" w:hAnsi="Arial" w:cs="Arial"/>
          <w:sz w:val="24"/>
          <w:szCs w:val="24"/>
        </w:rPr>
        <w:t xml:space="preserve">Even though Scandinavian design is quite popular, New Zealand’s diverse culture makes thorough localisation and community interaction necessary to avoid cultural mistakes and enhance place-based relevance. </w:t>
      </w:r>
      <w:r w:rsidR="3E09C87A" w:rsidRPr="5A1E62CD">
        <w:rPr>
          <w:rFonts w:ascii="Arial" w:hAnsi="Arial" w:cs="Arial"/>
          <w:sz w:val="24"/>
          <w:szCs w:val="24"/>
        </w:rPr>
        <w:t>Before considering expanding further, IKEA would be able to evaluate demand, improve logistics, and establish brand awareness through a staged development, starting with a flagship Auckland shop backed by online fulfilment.</w:t>
      </w:r>
    </w:p>
    <w:p w14:paraId="799DB0E0" w14:textId="07DB5C3D" w:rsidR="145EF9EC" w:rsidRDefault="145EF9EC" w:rsidP="5A1E62CD">
      <w:pPr>
        <w:spacing w:line="360" w:lineRule="auto"/>
        <w:jc w:val="both"/>
      </w:pPr>
      <w:r w:rsidRPr="5A1E62CD">
        <w:rPr>
          <w:rFonts w:ascii="Arial" w:hAnsi="Arial" w:cs="Arial"/>
          <w:sz w:val="24"/>
          <w:szCs w:val="24"/>
        </w:rPr>
        <w:t xml:space="preserve">Evidence from Sweden further suggests that IKEA’s entry can generate positive local spillovers. Nilsson (2020) finds that new IKEA stores increase the turnover of nearby complementary retailers and even boost regional accommodation demand, indicating that IKEA enhances the attractiveness of the surrounding area rather than displacing </w:t>
      </w:r>
      <w:r w:rsidRPr="5A1E62CD">
        <w:rPr>
          <w:rFonts w:ascii="Arial" w:hAnsi="Arial" w:cs="Arial"/>
          <w:sz w:val="24"/>
          <w:szCs w:val="24"/>
        </w:rPr>
        <w:lastRenderedPageBreak/>
        <w:t xml:space="preserve">existing firms. Importantly, the study reports no negative effects on </w:t>
      </w:r>
      <w:r w:rsidR="485FD6BD" w:rsidRPr="5A1E62CD">
        <w:rPr>
          <w:rFonts w:ascii="Arial" w:hAnsi="Arial" w:cs="Arial"/>
          <w:sz w:val="24"/>
          <w:szCs w:val="24"/>
        </w:rPr>
        <w:t>city centre</w:t>
      </w:r>
      <w:r w:rsidRPr="5A1E62CD">
        <w:rPr>
          <w:rFonts w:ascii="Arial" w:hAnsi="Arial" w:cs="Arial"/>
          <w:sz w:val="24"/>
          <w:szCs w:val="24"/>
        </w:rPr>
        <w:t xml:space="preserve"> retailers, suggesting that established retail cores may be resilient to competition from out</w:t>
      </w:r>
      <w:r>
        <w:noBreakHyphen/>
      </w:r>
      <w:r w:rsidRPr="5A1E62CD">
        <w:rPr>
          <w:rFonts w:ascii="Arial" w:hAnsi="Arial" w:cs="Arial"/>
          <w:sz w:val="24"/>
          <w:szCs w:val="24"/>
        </w:rPr>
        <w:t>of</w:t>
      </w:r>
      <w:r>
        <w:noBreakHyphen/>
      </w:r>
      <w:r w:rsidRPr="5A1E62CD">
        <w:rPr>
          <w:rFonts w:ascii="Arial" w:hAnsi="Arial" w:cs="Arial"/>
          <w:sz w:val="24"/>
          <w:szCs w:val="24"/>
        </w:rPr>
        <w:t>town clusters. These findings imply that IKEA’s entry into New Zealand could stimulate local economic activity and support wider regional development.</w:t>
      </w:r>
    </w:p>
    <w:p w14:paraId="0E362FD6" w14:textId="095E2350" w:rsidR="003B2903" w:rsidRDefault="04937F7D" w:rsidP="5A1E62CD">
      <w:pPr>
        <w:pStyle w:val="Heading1"/>
        <w:keepNext w:val="0"/>
        <w:keepLines w:val="0"/>
        <w:spacing w:line="360" w:lineRule="auto"/>
        <w:rPr>
          <w:rFonts w:ascii="Arial" w:hAnsi="Arial" w:cs="Arial"/>
          <w:sz w:val="32"/>
          <w:szCs w:val="32"/>
        </w:rPr>
      </w:pPr>
      <w:bookmarkStart w:id="25" w:name="_Toc1344709191"/>
      <w:r w:rsidRPr="5A1E62CD">
        <w:rPr>
          <w:rFonts w:ascii="Arial" w:hAnsi="Arial" w:cs="Arial"/>
          <w:sz w:val="32"/>
          <w:szCs w:val="32"/>
        </w:rPr>
        <w:t>Conclusion</w:t>
      </w:r>
      <w:bookmarkEnd w:id="25"/>
    </w:p>
    <w:p w14:paraId="52FA0BEC" w14:textId="1B3F7644" w:rsidR="606A7BDB" w:rsidRDefault="606A7BDB" w:rsidP="5A1E62CD">
      <w:pPr>
        <w:spacing w:line="360" w:lineRule="auto"/>
        <w:jc w:val="both"/>
      </w:pPr>
      <w:r w:rsidRPr="5A1E62CD">
        <w:rPr>
          <w:rFonts w:ascii="Arial" w:hAnsi="Arial" w:cs="Arial"/>
          <w:sz w:val="24"/>
          <w:szCs w:val="24"/>
        </w:rPr>
        <w:t>IKEA has a strong but limited possibility in New Zealand. Despite the market</w:t>
      </w:r>
      <w:r w:rsidR="522041DD" w:rsidRPr="5A1E62CD">
        <w:rPr>
          <w:rFonts w:ascii="Arial" w:hAnsi="Arial" w:cs="Arial"/>
          <w:sz w:val="24"/>
          <w:szCs w:val="24"/>
        </w:rPr>
        <w:t>’</w:t>
      </w:r>
      <w:r w:rsidRPr="5A1E62CD">
        <w:rPr>
          <w:rFonts w:ascii="Arial" w:hAnsi="Arial" w:cs="Arial"/>
          <w:sz w:val="24"/>
          <w:szCs w:val="24"/>
        </w:rPr>
        <w:t>s small size, high logistics costs, and strict environmental regulations necessitat</w:t>
      </w:r>
      <w:r w:rsidR="46D39E5A" w:rsidRPr="5A1E62CD">
        <w:rPr>
          <w:rFonts w:ascii="Arial" w:hAnsi="Arial" w:cs="Arial"/>
          <w:sz w:val="24"/>
          <w:szCs w:val="24"/>
        </w:rPr>
        <w:t>ing</w:t>
      </w:r>
      <w:r w:rsidRPr="5A1E62CD">
        <w:rPr>
          <w:rFonts w:ascii="Arial" w:hAnsi="Arial" w:cs="Arial"/>
          <w:sz w:val="24"/>
          <w:szCs w:val="24"/>
        </w:rPr>
        <w:t xml:space="preserve"> a carefully calibrated strategy, its political stability, purchasing power, and cultural openness provide a positive basis. While IKEA</w:t>
      </w:r>
      <w:r w:rsidR="19D15721" w:rsidRPr="5A1E62CD">
        <w:rPr>
          <w:rFonts w:ascii="Arial" w:hAnsi="Arial" w:cs="Arial"/>
          <w:sz w:val="24"/>
          <w:szCs w:val="24"/>
        </w:rPr>
        <w:t>’</w:t>
      </w:r>
      <w:r w:rsidRPr="5A1E62CD">
        <w:rPr>
          <w:rFonts w:ascii="Arial" w:hAnsi="Arial" w:cs="Arial"/>
          <w:sz w:val="24"/>
          <w:szCs w:val="24"/>
        </w:rPr>
        <w:t xml:space="preserve">s ownership advantages are transferable, the location and internalisation factors do not support a high-commitment entry mode, according to the OLI research. Therefore, a franchise agreement offers the most balanced route, allowing IKEA to take </w:t>
      </w:r>
      <w:r w:rsidR="35923621" w:rsidRPr="5A1E62CD">
        <w:rPr>
          <w:rFonts w:ascii="Arial" w:hAnsi="Arial" w:cs="Arial"/>
          <w:sz w:val="24"/>
          <w:szCs w:val="24"/>
        </w:rPr>
        <w:t>advantag</w:t>
      </w:r>
      <w:r w:rsidRPr="5A1E62CD">
        <w:rPr>
          <w:rFonts w:ascii="Arial" w:hAnsi="Arial" w:cs="Arial"/>
          <w:sz w:val="24"/>
          <w:szCs w:val="24"/>
        </w:rPr>
        <w:t>e of local knowledge, uphold brand integrity, and conform to the cultural and environmental context of New Zealand. IKEA</w:t>
      </w:r>
      <w:r w:rsidR="47E26155" w:rsidRPr="5A1E62CD">
        <w:rPr>
          <w:rFonts w:ascii="Arial" w:hAnsi="Arial" w:cs="Arial"/>
          <w:sz w:val="24"/>
          <w:szCs w:val="24"/>
        </w:rPr>
        <w:t>’</w:t>
      </w:r>
      <w:r w:rsidRPr="5A1E62CD">
        <w:rPr>
          <w:rFonts w:ascii="Arial" w:hAnsi="Arial" w:cs="Arial"/>
          <w:sz w:val="24"/>
          <w:szCs w:val="24"/>
        </w:rPr>
        <w:t xml:space="preserve">s capacity to show environmental leadership, adjust to local cultural dynamics with tact, and grow through a controlled, evidence-based expansion plan that </w:t>
      </w:r>
      <w:r w:rsidR="63C4DF55" w:rsidRPr="5A1E62CD">
        <w:rPr>
          <w:rFonts w:ascii="Arial" w:hAnsi="Arial" w:cs="Arial"/>
          <w:sz w:val="24"/>
          <w:szCs w:val="24"/>
        </w:rPr>
        <w:t>considers</w:t>
      </w:r>
      <w:r w:rsidRPr="5A1E62CD">
        <w:rPr>
          <w:rFonts w:ascii="Arial" w:hAnsi="Arial" w:cs="Arial"/>
          <w:sz w:val="24"/>
          <w:szCs w:val="24"/>
        </w:rPr>
        <w:t xml:space="preserve"> the reality of the New Zealand market will be critical to its success.</w:t>
      </w:r>
      <w:r w:rsidR="19032D3B" w:rsidRPr="5A1E62CD">
        <w:rPr>
          <w:rFonts w:ascii="Arial" w:hAnsi="Arial" w:cs="Arial"/>
          <w:sz w:val="24"/>
          <w:szCs w:val="24"/>
        </w:rPr>
        <w:t xml:space="preserve"> </w:t>
      </w:r>
      <w:r w:rsidR="23FD1FC8" w:rsidRPr="5A1E62CD">
        <w:rPr>
          <w:rFonts w:ascii="Arial" w:hAnsi="Arial" w:cs="Arial"/>
          <w:sz w:val="24"/>
          <w:szCs w:val="24"/>
        </w:rPr>
        <w:t>In the end, IKEA’s ability to achieve a sustainable competitive advantage in a comparatively small but institutionally appealing market will be more important to its long-term success in New Zealand than its ability to replicate its global model exactly.</w:t>
      </w:r>
    </w:p>
    <w:p w14:paraId="7FE6AC01" w14:textId="52F3C631" w:rsidR="4C3DC9EF" w:rsidRDefault="4C3DC9EF" w:rsidP="5A1E62CD">
      <w:pPr>
        <w:spacing w:line="360" w:lineRule="auto"/>
        <w:jc w:val="both"/>
        <w:rPr>
          <w:rFonts w:ascii="Arial" w:hAnsi="Arial" w:cs="Arial"/>
          <w:sz w:val="24"/>
          <w:szCs w:val="24"/>
        </w:rPr>
      </w:pPr>
    </w:p>
    <w:p w14:paraId="054D0EDC" w14:textId="52C270B5" w:rsidR="4C3DC9EF" w:rsidRDefault="4C3DC9EF" w:rsidP="5A1E62CD">
      <w:pPr>
        <w:spacing w:line="360" w:lineRule="auto"/>
      </w:pPr>
      <w:r>
        <w:br w:type="page"/>
      </w:r>
    </w:p>
    <w:p w14:paraId="1FA00193" w14:textId="78F37D34" w:rsidR="3E1CDC2F" w:rsidRDefault="3E1CDC2F" w:rsidP="5A1E62CD">
      <w:pPr>
        <w:pStyle w:val="Heading1"/>
        <w:keepNext w:val="0"/>
        <w:keepLines w:val="0"/>
        <w:spacing w:line="360" w:lineRule="auto"/>
      </w:pPr>
      <w:bookmarkStart w:id="26" w:name="_Toc762463210"/>
      <w:r w:rsidRPr="5A1E62CD">
        <w:rPr>
          <w:rFonts w:ascii="Arial" w:eastAsia="Arial" w:hAnsi="Arial" w:cs="Arial"/>
          <w:sz w:val="36"/>
          <w:szCs w:val="36"/>
        </w:rPr>
        <w:lastRenderedPageBreak/>
        <w:t>SECTION 2: Reflection</w:t>
      </w:r>
      <w:bookmarkEnd w:id="26"/>
      <w:r w:rsidRPr="5A1E62CD">
        <w:rPr>
          <w:rFonts w:ascii="Arial" w:eastAsia="Arial" w:hAnsi="Arial" w:cs="Arial"/>
          <w:sz w:val="36"/>
          <w:szCs w:val="36"/>
        </w:rPr>
        <w:t xml:space="preserve"> </w:t>
      </w:r>
    </w:p>
    <w:p w14:paraId="2B8FB998" w14:textId="3BBFD842" w:rsidR="00B15576" w:rsidRPr="00B15576" w:rsidRDefault="46E187C0" w:rsidP="5A1E62CD">
      <w:pPr>
        <w:spacing w:line="360" w:lineRule="auto"/>
        <w:jc w:val="both"/>
      </w:pPr>
      <w:r w:rsidRPr="5A1E62CD">
        <w:rPr>
          <w:rFonts w:ascii="Arial" w:eastAsia="Arial" w:hAnsi="Arial" w:cs="Arial"/>
          <w:sz w:val="24"/>
          <w:szCs w:val="24"/>
        </w:rPr>
        <w:t>This reflection applies Gibbs</w:t>
      </w:r>
      <w:r w:rsidR="0111B100" w:rsidRPr="5A1E62CD">
        <w:rPr>
          <w:rFonts w:ascii="Arial" w:eastAsia="Arial" w:hAnsi="Arial" w:cs="Arial"/>
          <w:sz w:val="24"/>
          <w:szCs w:val="24"/>
        </w:rPr>
        <w:t xml:space="preserve">’ </w:t>
      </w:r>
      <w:r w:rsidRPr="5A1E62CD">
        <w:rPr>
          <w:rFonts w:ascii="Arial" w:eastAsia="Arial" w:hAnsi="Arial" w:cs="Arial"/>
          <w:sz w:val="24"/>
          <w:szCs w:val="24"/>
        </w:rPr>
        <w:t>Reflective Cycle (1988) because its structured six-stage framework supports systematic critical reflection by encouraging consideration of experiences, emotions, evaluation, analysis, conclusions, and future actions, making it well suited to evaluating both the learning process and professional development</w:t>
      </w:r>
      <w:r w:rsidR="1DB919EE" w:rsidRPr="5A1E62CD">
        <w:rPr>
          <w:rFonts w:ascii="Arial" w:eastAsia="Arial" w:hAnsi="Arial" w:cs="Arial"/>
          <w:sz w:val="24"/>
          <w:szCs w:val="24"/>
        </w:rPr>
        <w:t xml:space="preserve"> (Figure 9)</w:t>
      </w:r>
      <w:r w:rsidRPr="5A1E62CD">
        <w:rPr>
          <w:rFonts w:ascii="Arial" w:eastAsia="Arial" w:hAnsi="Arial" w:cs="Arial"/>
          <w:sz w:val="24"/>
          <w:szCs w:val="24"/>
        </w:rPr>
        <w:t>.</w:t>
      </w:r>
    </w:p>
    <w:p w14:paraId="58217FD1" w14:textId="379FFD5F" w:rsidR="00B15576" w:rsidRPr="00B15576" w:rsidRDefault="0A2E0425" w:rsidP="5A1E62CD">
      <w:pPr>
        <w:spacing w:line="360" w:lineRule="auto"/>
        <w:jc w:val="both"/>
      </w:pPr>
      <w:r>
        <w:rPr>
          <w:noProof/>
        </w:rPr>
        <w:drawing>
          <wp:inline distT="0" distB="0" distL="0" distR="0" wp14:anchorId="30695847" wp14:editId="0D27D056">
            <wp:extent cx="4392903" cy="4001456"/>
            <wp:effectExtent l="0" t="0" r="0" b="0"/>
            <wp:docPr id="11682964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296415" name="Picture 1168296415"/>
                    <pic:cNvPicPr/>
                  </pic:nvPicPr>
                  <pic:blipFill>
                    <a:blip r:embed="rId19">
                      <a:extLst>
                        <a:ext uri="{28A0092B-C50C-407E-A947-70E740481C1C}">
                          <a14:useLocalDpi xmlns:a14="http://schemas.microsoft.com/office/drawing/2010/main"/>
                        </a:ext>
                      </a:extLst>
                    </a:blip>
                    <a:stretch>
                      <a:fillRect/>
                    </a:stretch>
                  </pic:blipFill>
                  <pic:spPr>
                    <a:xfrm>
                      <a:off x="0" y="0"/>
                      <a:ext cx="4392903" cy="4001456"/>
                    </a:xfrm>
                    <a:prstGeom prst="rect">
                      <a:avLst/>
                    </a:prstGeom>
                  </pic:spPr>
                </pic:pic>
              </a:graphicData>
            </a:graphic>
          </wp:inline>
        </w:drawing>
      </w:r>
    </w:p>
    <w:p w14:paraId="3E8D34BB" w14:textId="7ECE2063" w:rsidR="00B15576" w:rsidRPr="00B15576" w:rsidRDefault="74ED2259" w:rsidP="5A1E62CD">
      <w:pPr>
        <w:spacing w:line="360" w:lineRule="auto"/>
        <w:rPr>
          <w:rFonts w:ascii="Arial" w:eastAsia="Arial" w:hAnsi="Arial" w:cs="Arial"/>
          <w:sz w:val="24"/>
          <w:szCs w:val="24"/>
        </w:rPr>
      </w:pPr>
      <w:r w:rsidRPr="5A1E62CD">
        <w:rPr>
          <w:rFonts w:ascii="Arial" w:eastAsia="Arial" w:hAnsi="Arial" w:cs="Arial"/>
          <w:sz w:val="24"/>
          <w:szCs w:val="24"/>
        </w:rPr>
        <w:t xml:space="preserve">Figure 9: </w:t>
      </w:r>
      <w:r w:rsidR="5F852C27" w:rsidRPr="5A1E62CD">
        <w:rPr>
          <w:rFonts w:ascii="Arial" w:eastAsia="Arial" w:hAnsi="Arial" w:cs="Arial"/>
          <w:sz w:val="24"/>
          <w:szCs w:val="24"/>
        </w:rPr>
        <w:t>Gibbs Reflective Cycle adapted</w:t>
      </w:r>
    </w:p>
    <w:p w14:paraId="105B229C" w14:textId="2256B795" w:rsidR="00B15576" w:rsidRPr="00B15576" w:rsidRDefault="0F0FD15C" w:rsidP="5A1E62CD">
      <w:pPr>
        <w:pStyle w:val="Heading1"/>
        <w:keepNext w:val="0"/>
        <w:keepLines w:val="0"/>
        <w:spacing w:line="360" w:lineRule="auto"/>
        <w:rPr>
          <w:rFonts w:ascii="Arial" w:eastAsia="Arial" w:hAnsi="Arial" w:cs="Arial"/>
          <w:sz w:val="32"/>
          <w:szCs w:val="32"/>
        </w:rPr>
      </w:pPr>
      <w:bookmarkStart w:id="27" w:name="_Toc1700738067"/>
      <w:r w:rsidRPr="5A1E62CD">
        <w:rPr>
          <w:rFonts w:ascii="Arial" w:eastAsia="Arial" w:hAnsi="Arial" w:cs="Arial"/>
          <w:sz w:val="32"/>
          <w:szCs w:val="32"/>
        </w:rPr>
        <w:t>1. Description</w:t>
      </w:r>
      <w:bookmarkEnd w:id="27"/>
    </w:p>
    <w:p w14:paraId="16CEBA33" w14:textId="4CA62A82" w:rsidR="00B15576" w:rsidRPr="00B15576" w:rsidRDefault="0F0FD15C" w:rsidP="5A1E62CD">
      <w:pPr>
        <w:spacing w:line="360" w:lineRule="auto"/>
        <w:jc w:val="both"/>
      </w:pPr>
      <w:r w:rsidRPr="5A1E62CD">
        <w:rPr>
          <w:rFonts w:ascii="Arial" w:eastAsia="Arial" w:hAnsi="Arial" w:cs="Arial"/>
          <w:sz w:val="24"/>
          <w:szCs w:val="24"/>
        </w:rPr>
        <w:t>This assessment required the application of international business theories to evaluate the potential entry of IKEA into New Zealand, a market in which the company currently has no significant operational presence. The task involved analysing IKEA</w:t>
      </w:r>
      <w:r w:rsidR="04144607" w:rsidRPr="5A1E62CD">
        <w:rPr>
          <w:rFonts w:ascii="Arial" w:eastAsia="Arial" w:hAnsi="Arial" w:cs="Arial"/>
          <w:sz w:val="24"/>
          <w:szCs w:val="24"/>
        </w:rPr>
        <w:t>’</w:t>
      </w:r>
      <w:r w:rsidRPr="5A1E62CD">
        <w:rPr>
          <w:rFonts w:ascii="Arial" w:eastAsia="Arial" w:hAnsi="Arial" w:cs="Arial"/>
          <w:sz w:val="24"/>
          <w:szCs w:val="24"/>
        </w:rPr>
        <w:t xml:space="preserve">s global strategy, assessing the attractiveness of New Zealand as a host market, applying the OLI framework, and recommending an appropriate entry mode. To complete the assignment, I conducted extensive research using academic journal articles, industry reports, government publications, and company sources. The analysis drew upon </w:t>
      </w:r>
      <w:r w:rsidRPr="5A1E62CD">
        <w:rPr>
          <w:rFonts w:ascii="Arial" w:eastAsia="Arial" w:hAnsi="Arial" w:cs="Arial"/>
          <w:sz w:val="24"/>
          <w:szCs w:val="24"/>
        </w:rPr>
        <w:lastRenderedPageBreak/>
        <w:t>several concepts studied throughout the module, including Bartlett and Ghoshal’s framework, Dunning’s Eclectic Paradigm, foreign direct investment theories, and macro-environmental analysis.</w:t>
      </w:r>
      <w:r w:rsidR="5E1BBC0A" w:rsidRPr="5A1E62CD">
        <w:rPr>
          <w:rFonts w:ascii="Arial" w:eastAsia="Arial" w:hAnsi="Arial" w:cs="Arial"/>
          <w:sz w:val="24"/>
          <w:szCs w:val="24"/>
        </w:rPr>
        <w:t xml:space="preserve"> </w:t>
      </w:r>
      <w:r w:rsidRPr="5A1E62CD">
        <w:rPr>
          <w:rFonts w:ascii="Arial" w:eastAsia="Arial" w:hAnsi="Arial" w:cs="Arial"/>
          <w:sz w:val="24"/>
          <w:szCs w:val="24"/>
        </w:rPr>
        <w:t>The process required moving beyond a descriptive overview of IKEA and New Zealand and instead developing a critical evaluation of the strategic fit between the organisation and the proposed host market. Throughout the assignment, I continually reviewed and refined my arguments to ensure that theory was effectively integrated with contemporary evidence and real-world business conditions.</w:t>
      </w:r>
      <w:r w:rsidR="507D16CF" w:rsidRPr="5A1E62CD">
        <w:rPr>
          <w:rFonts w:ascii="Arial" w:eastAsia="Arial" w:hAnsi="Arial" w:cs="Arial"/>
          <w:sz w:val="24"/>
          <w:szCs w:val="24"/>
        </w:rPr>
        <w:t xml:space="preserve"> To ensure the quality of the analysis, I adopted a structured literature search strategy by prioritising peer-reviewed journal articles published within the last five years, alongside government publications, industry reports and IKEA corporate information. Comparing academic and practitioner sources enabled me to evaluate contrasting perspectives and build a balanced evidence base rather than relying on a single source of information.</w:t>
      </w:r>
    </w:p>
    <w:p w14:paraId="717BB619" w14:textId="364263AD" w:rsidR="00B15576" w:rsidRPr="00B15576" w:rsidRDefault="0F0FD15C" w:rsidP="5A1E62CD">
      <w:pPr>
        <w:pStyle w:val="Heading1"/>
        <w:keepNext w:val="0"/>
        <w:keepLines w:val="0"/>
        <w:spacing w:line="360" w:lineRule="auto"/>
        <w:rPr>
          <w:rFonts w:ascii="Arial" w:eastAsia="Arial" w:hAnsi="Arial" w:cs="Arial"/>
          <w:sz w:val="32"/>
          <w:szCs w:val="32"/>
        </w:rPr>
      </w:pPr>
      <w:bookmarkStart w:id="28" w:name="_Toc816993154"/>
      <w:r w:rsidRPr="5A1E62CD">
        <w:rPr>
          <w:rFonts w:ascii="Arial" w:eastAsia="Arial" w:hAnsi="Arial" w:cs="Arial"/>
          <w:sz w:val="32"/>
          <w:szCs w:val="32"/>
        </w:rPr>
        <w:t>2. Feelings</w:t>
      </w:r>
      <w:bookmarkEnd w:id="28"/>
    </w:p>
    <w:p w14:paraId="19B1EAC3" w14:textId="5579A2CD" w:rsidR="0F0FD15C" w:rsidRDefault="0F0FD15C" w:rsidP="5A1E62CD">
      <w:pPr>
        <w:spacing w:line="360" w:lineRule="auto"/>
        <w:jc w:val="both"/>
      </w:pPr>
      <w:r w:rsidRPr="5A1E62CD">
        <w:rPr>
          <w:rFonts w:ascii="Arial" w:eastAsia="Arial" w:hAnsi="Arial" w:cs="Arial"/>
          <w:sz w:val="24"/>
          <w:szCs w:val="24"/>
        </w:rPr>
        <w:t>At the beginning of the assignment, I felt confident in my understanding of IKEA as a multinational corporation because of its strong global presence and well-documented international expansion strategy. However, I initially found it challenging to determine</w:t>
      </w:r>
      <w:r w:rsidR="1892D699" w:rsidRPr="5A1E62CD">
        <w:rPr>
          <w:rFonts w:ascii="Arial" w:eastAsia="Arial" w:hAnsi="Arial" w:cs="Arial"/>
          <w:sz w:val="24"/>
          <w:szCs w:val="24"/>
        </w:rPr>
        <w:t xml:space="preserve"> </w:t>
      </w:r>
      <w:r w:rsidRPr="5A1E62CD">
        <w:rPr>
          <w:rFonts w:ascii="Arial" w:eastAsia="Arial" w:hAnsi="Arial" w:cs="Arial"/>
          <w:sz w:val="24"/>
          <w:szCs w:val="24"/>
        </w:rPr>
        <w:t>how much emphasis should be placed on theory compared with practical market analysis. I was concerned that the report might become too descriptive if I simply outlined models without critically evaluating their relevance to IKEA</w:t>
      </w:r>
      <w:r w:rsidR="0E81918F" w:rsidRPr="5A1E62CD">
        <w:rPr>
          <w:rFonts w:ascii="Arial" w:eastAsia="Arial" w:hAnsi="Arial" w:cs="Arial"/>
          <w:sz w:val="24"/>
          <w:szCs w:val="24"/>
        </w:rPr>
        <w:t>’</w:t>
      </w:r>
      <w:r w:rsidRPr="5A1E62CD">
        <w:rPr>
          <w:rFonts w:ascii="Arial" w:eastAsia="Arial" w:hAnsi="Arial" w:cs="Arial"/>
          <w:sz w:val="24"/>
          <w:szCs w:val="24"/>
        </w:rPr>
        <w:t>s circumstances.</w:t>
      </w:r>
      <w:r w:rsidR="1CEC96FC" w:rsidRPr="5A1E62CD">
        <w:rPr>
          <w:rFonts w:ascii="Arial" w:eastAsia="Arial" w:hAnsi="Arial" w:cs="Arial"/>
          <w:sz w:val="24"/>
          <w:szCs w:val="24"/>
        </w:rPr>
        <w:t xml:space="preserve"> </w:t>
      </w:r>
      <w:r w:rsidR="20C3F53D" w:rsidRPr="5A1E62CD">
        <w:rPr>
          <w:rFonts w:ascii="Arial" w:eastAsia="Arial" w:hAnsi="Arial" w:cs="Arial"/>
          <w:sz w:val="24"/>
          <w:szCs w:val="24"/>
        </w:rPr>
        <w:t>As I progressed, my confidence increased through a clearer understanding of how theories complement each other. For example, Bartlett and Ghoshal’s framework explained IKEA’s strategic orientation, while the OLI framework assessed New Zealand’s ownership, location and internalisation advantages. I also improved my ability to evaluate evidence and recognise the limitations of theoretical models.</w:t>
      </w:r>
    </w:p>
    <w:p w14:paraId="467EFBB8" w14:textId="37DA091E" w:rsidR="00B15576" w:rsidRPr="00B15576" w:rsidRDefault="0F0FD15C" w:rsidP="5A1E62CD">
      <w:pPr>
        <w:pStyle w:val="Heading1"/>
        <w:keepNext w:val="0"/>
        <w:keepLines w:val="0"/>
        <w:spacing w:line="360" w:lineRule="auto"/>
        <w:rPr>
          <w:rFonts w:ascii="Arial" w:eastAsia="Arial" w:hAnsi="Arial" w:cs="Arial"/>
          <w:sz w:val="32"/>
          <w:szCs w:val="32"/>
        </w:rPr>
      </w:pPr>
      <w:bookmarkStart w:id="29" w:name="_Toc1318222290"/>
      <w:r w:rsidRPr="5A1E62CD">
        <w:rPr>
          <w:rFonts w:ascii="Arial" w:eastAsia="Arial" w:hAnsi="Arial" w:cs="Arial"/>
          <w:sz w:val="32"/>
          <w:szCs w:val="32"/>
        </w:rPr>
        <w:t>3. Evaluation</w:t>
      </w:r>
      <w:bookmarkEnd w:id="29"/>
    </w:p>
    <w:p w14:paraId="7466DA3B" w14:textId="5F6E875F" w:rsidR="00B15576" w:rsidRPr="00B15576" w:rsidRDefault="73077D01" w:rsidP="5A1E62CD">
      <w:pPr>
        <w:spacing w:line="360" w:lineRule="auto"/>
        <w:jc w:val="both"/>
      </w:pPr>
      <w:r w:rsidRPr="5A1E62CD">
        <w:rPr>
          <w:rFonts w:ascii="Arial" w:eastAsia="Arial" w:hAnsi="Arial" w:cs="Arial"/>
          <w:sz w:val="24"/>
          <w:szCs w:val="24"/>
        </w:rPr>
        <w:t xml:space="preserve">A key strength of my approach was using diverse academic and professional sources to support an evidence-based analysis of IKEA’s internationalisation, sustainability and entry strategies. I also integrated multiple theoretical perspectives by linking New Zealand’s external environment with IKEA’s strategic objectives and operational model. </w:t>
      </w:r>
      <w:r w:rsidR="0F0FD15C" w:rsidRPr="5A1E62CD">
        <w:rPr>
          <w:rFonts w:ascii="Arial" w:eastAsia="Arial" w:hAnsi="Arial" w:cs="Arial"/>
          <w:sz w:val="24"/>
          <w:szCs w:val="24"/>
        </w:rPr>
        <w:t xml:space="preserve">This enabled me to explain why certain market characteristics, such as </w:t>
      </w:r>
      <w:r w:rsidR="0F0FD15C" w:rsidRPr="5A1E62CD">
        <w:rPr>
          <w:rFonts w:ascii="Arial" w:eastAsia="Arial" w:hAnsi="Arial" w:cs="Arial"/>
          <w:sz w:val="24"/>
          <w:szCs w:val="24"/>
        </w:rPr>
        <w:lastRenderedPageBreak/>
        <w:t>geographic isolation and limited population size, create challenges for a retailer whose competitive advantage is strongly linked to economies of scale.</w:t>
      </w:r>
      <w:r w:rsidR="1848995D" w:rsidRPr="5A1E62CD">
        <w:rPr>
          <w:rFonts w:ascii="Arial" w:eastAsia="Arial" w:hAnsi="Arial" w:cs="Arial"/>
          <w:sz w:val="24"/>
          <w:szCs w:val="24"/>
        </w:rPr>
        <w:t xml:space="preserve"> </w:t>
      </w:r>
      <w:r w:rsidR="0F0FD15C" w:rsidRPr="5A1E62CD">
        <w:rPr>
          <w:rFonts w:ascii="Arial" w:eastAsia="Arial" w:hAnsi="Arial" w:cs="Arial"/>
          <w:sz w:val="24"/>
          <w:szCs w:val="24"/>
        </w:rPr>
        <w:t>However, several challenges emerged during the preparation of the assignment. One difficulty involved balancing standardisation and localisation within the analysis. IKEA is frequently categorised as a globally standardised organisation, yet research demonstrated that the company adapts aspects of its strategy in response to local consumer preferences and institutional environments. Another challenge involved selecting the most appropriate entry mode. While wholly owned subsidiaries provide maximum control, evidence suggested that New Zealand’s market size and logistical constraints may not justify such a resource-intensive investment. Reconciling theoretical benefits with practical market realities required considerable critical evaluation.</w:t>
      </w:r>
      <w:r w:rsidR="7EC84B0F" w:rsidRPr="5A1E62CD">
        <w:rPr>
          <w:rFonts w:ascii="Arial" w:eastAsia="Arial" w:hAnsi="Arial" w:cs="Arial"/>
          <w:sz w:val="24"/>
          <w:szCs w:val="24"/>
        </w:rPr>
        <w:t xml:space="preserve"> </w:t>
      </w:r>
    </w:p>
    <w:p w14:paraId="3BB148CD" w14:textId="65629063" w:rsidR="00B15576" w:rsidRPr="00B15576" w:rsidRDefault="7EC84B0F" w:rsidP="5A1E62CD">
      <w:pPr>
        <w:spacing w:line="360" w:lineRule="auto"/>
        <w:jc w:val="both"/>
      </w:pPr>
      <w:r w:rsidRPr="5A1E62CD">
        <w:rPr>
          <w:rFonts w:ascii="Arial" w:eastAsia="Arial" w:hAnsi="Arial" w:cs="Arial"/>
          <w:sz w:val="24"/>
          <w:szCs w:val="24"/>
        </w:rPr>
        <w:t>This process strengthened my critical thinking because I moved beyond simply applying theoretical frameworks to questioning their suitability in different contexts. Rather than accepting models at face value, I compared their assumptions with empirical evidence and recognised that no single framework could fully explain IKEA's international expansion decisions.</w:t>
      </w:r>
    </w:p>
    <w:p w14:paraId="3CEEDE3C" w14:textId="72DD48CB" w:rsidR="00B15576" w:rsidRPr="00B15576" w:rsidRDefault="0F0FD15C" w:rsidP="5A1E62CD">
      <w:pPr>
        <w:pStyle w:val="Heading1"/>
        <w:keepNext w:val="0"/>
        <w:keepLines w:val="0"/>
        <w:spacing w:line="360" w:lineRule="auto"/>
        <w:rPr>
          <w:rFonts w:ascii="Arial" w:eastAsia="Arial" w:hAnsi="Arial" w:cs="Arial"/>
          <w:sz w:val="32"/>
          <w:szCs w:val="32"/>
        </w:rPr>
      </w:pPr>
      <w:bookmarkStart w:id="30" w:name="_Toc466510048"/>
      <w:r w:rsidRPr="5A1E62CD">
        <w:rPr>
          <w:rFonts w:ascii="Arial" w:eastAsia="Arial" w:hAnsi="Arial" w:cs="Arial"/>
          <w:sz w:val="32"/>
          <w:szCs w:val="32"/>
        </w:rPr>
        <w:t>4. Analysis</w:t>
      </w:r>
      <w:bookmarkEnd w:id="30"/>
    </w:p>
    <w:p w14:paraId="58183085" w14:textId="05445F98" w:rsidR="0F0FD15C" w:rsidRDefault="0F0FD15C" w:rsidP="5A1E62CD">
      <w:pPr>
        <w:spacing w:line="360" w:lineRule="auto"/>
        <w:jc w:val="both"/>
      </w:pPr>
      <w:r w:rsidRPr="5A1E62CD">
        <w:rPr>
          <w:rFonts w:ascii="Arial" w:eastAsia="Arial" w:hAnsi="Arial" w:cs="Arial"/>
          <w:sz w:val="24"/>
          <w:szCs w:val="24"/>
        </w:rPr>
        <w:t xml:space="preserve">The learning materials from the module played a significant role in shaping my understanding of international business decision-making. </w:t>
      </w:r>
      <w:r w:rsidR="3E352945" w:rsidRPr="5A1E62CD">
        <w:rPr>
          <w:rFonts w:ascii="Arial" w:eastAsia="Arial" w:hAnsi="Arial" w:cs="Arial"/>
          <w:sz w:val="24"/>
          <w:szCs w:val="24"/>
        </w:rPr>
        <w:t>One concept that particularly influenced my understanding was the module’s discussion of cross-cultural business. During the lecture, the example from Eliot's Notes Towards the Definition of Culture (1948), which states that "No culture has appeared or developed except together with a religion," highlighted the close relationship between culture and religion in shaping societal values and consumer behaviour. This encouraged me to look beyond conventional cultural indicators and appreciate that successful international business decisions require a deeper understanding of the historical, social and institutional contexts that influence consumer expectations. As a result, my analysis of New Zealand’s cultural environment became more critical and considered the importance of balancing IKEA’s global standardisation with sensitivity to local cultural characteristics.</w:t>
      </w:r>
    </w:p>
    <w:p w14:paraId="566B7AF0" w14:textId="57133EC5" w:rsidR="0F0FD15C" w:rsidRDefault="0F0FD15C" w:rsidP="5A1E62CD">
      <w:pPr>
        <w:spacing w:line="360" w:lineRule="auto"/>
        <w:jc w:val="both"/>
      </w:pPr>
      <w:r w:rsidRPr="5A1E62CD">
        <w:rPr>
          <w:rFonts w:ascii="Arial" w:eastAsia="Arial" w:hAnsi="Arial" w:cs="Arial"/>
          <w:sz w:val="24"/>
          <w:szCs w:val="24"/>
        </w:rPr>
        <w:lastRenderedPageBreak/>
        <w:t>Bartlett and Ghoshal’s framework helped me recognise that multinational corporations must balance global efficiency with local responsiveness. Although IKEA is generally classified within the global strategy quadrant, the research process revealed that successful internationalisation often requires selective adaptation to local market conditions. This insight challenged my initial assumption that standardisation alone was responsible for IKEA’s success.</w:t>
      </w:r>
      <w:r w:rsidR="1555DEDF" w:rsidRPr="5A1E62CD">
        <w:rPr>
          <w:rFonts w:ascii="Arial" w:eastAsia="Arial" w:hAnsi="Arial" w:cs="Arial"/>
          <w:sz w:val="24"/>
          <w:szCs w:val="24"/>
        </w:rPr>
        <w:t xml:space="preserve"> Dunning’s OLI framework was valuable in showing that strong firm-specific capabilities alone do not ensure international success. Market attractiveness depends on whether location advantages and internalisation benefits justify the required investment and level of control.</w:t>
      </w:r>
    </w:p>
    <w:p w14:paraId="5B349C5C" w14:textId="682004DC" w:rsidR="113669B4" w:rsidRDefault="113669B4" w:rsidP="5A1E62CD">
      <w:pPr>
        <w:spacing w:line="360" w:lineRule="auto"/>
        <w:jc w:val="both"/>
      </w:pPr>
      <w:r w:rsidRPr="5A1E62CD">
        <w:rPr>
          <w:rFonts w:ascii="Arial" w:eastAsia="Arial" w:hAnsi="Arial" w:cs="Arial"/>
          <w:sz w:val="24"/>
          <w:szCs w:val="24"/>
        </w:rPr>
        <w:t>Another valuable insight from the module was the discussion of Foreign Direct Investment (FDI) theories and the distinction between FDI stocks</w:t>
      </w:r>
      <w:r w:rsidR="7CFF7A5E" w:rsidRPr="5A1E62CD">
        <w:rPr>
          <w:rFonts w:ascii="Arial" w:eastAsia="Arial" w:hAnsi="Arial" w:cs="Arial"/>
          <w:sz w:val="24"/>
          <w:szCs w:val="24"/>
        </w:rPr>
        <w:t xml:space="preserve"> (data)</w:t>
      </w:r>
      <w:r w:rsidRPr="5A1E62CD">
        <w:rPr>
          <w:rFonts w:ascii="Arial" w:eastAsia="Arial" w:hAnsi="Arial" w:cs="Arial"/>
          <w:sz w:val="24"/>
          <w:szCs w:val="24"/>
        </w:rPr>
        <w:t xml:space="preserve"> and flows. Learning how international capital movements are influenced by expected returns and how investment often flows towards developed economies despite differences in income levels, strengthened my understanding of why firms evaluate host countries using both market attractiveness and long</w:t>
      </w:r>
      <w:r w:rsidR="55645B09" w:rsidRPr="5A1E62CD">
        <w:rPr>
          <w:rFonts w:ascii="Arial" w:eastAsia="Arial" w:hAnsi="Arial" w:cs="Arial"/>
          <w:sz w:val="24"/>
          <w:szCs w:val="24"/>
        </w:rPr>
        <w:t>-</w:t>
      </w:r>
      <w:r w:rsidRPr="5A1E62CD">
        <w:rPr>
          <w:rFonts w:ascii="Arial" w:eastAsia="Arial" w:hAnsi="Arial" w:cs="Arial"/>
          <w:sz w:val="24"/>
          <w:szCs w:val="24"/>
        </w:rPr>
        <w:t>term investment potential. This helped me appreciate that IKEA’s market entry decision should be assessed not only through strategic frameworks such as the OLI paradigm but also through broader international investment patterns.</w:t>
      </w:r>
    </w:p>
    <w:p w14:paraId="7897D93B" w14:textId="673011FA" w:rsidR="00B15576" w:rsidRPr="00B15576" w:rsidRDefault="0F0FD15C" w:rsidP="5A1E62CD">
      <w:pPr>
        <w:spacing w:line="360" w:lineRule="auto"/>
        <w:jc w:val="both"/>
        <w:rPr>
          <w:rFonts w:ascii="Arial" w:eastAsia="Arial" w:hAnsi="Arial" w:cs="Arial"/>
          <w:sz w:val="24"/>
          <w:szCs w:val="24"/>
        </w:rPr>
      </w:pPr>
      <w:r w:rsidRPr="5A1E62CD">
        <w:rPr>
          <w:rFonts w:ascii="Arial" w:eastAsia="Arial" w:hAnsi="Arial" w:cs="Arial"/>
          <w:sz w:val="24"/>
          <w:szCs w:val="24"/>
        </w:rPr>
        <w:t>The assignment also reinforced the importance of environmental scanning in international business. Analysing New Zealand through political, economic, legal, cultural, technological, and environmental perspectives highlighted how external factors can influence strategic choices. For example, while New Zealand’s political stability and strong purchasing power create opportunities, its geographic isolation and relatively small market size reduce the potential benefits associated with IKEA’s scale-driven business model. This demonstrated that market attractiveness cannot be assessed through a single dimension but requires consideration of multiple interconnected factors.</w:t>
      </w:r>
    </w:p>
    <w:p w14:paraId="7205953B" w14:textId="5653499F" w:rsidR="00B15576" w:rsidRPr="00B15576" w:rsidRDefault="0F0FD15C" w:rsidP="5A1E62CD">
      <w:pPr>
        <w:spacing w:line="360" w:lineRule="auto"/>
        <w:jc w:val="both"/>
        <w:rPr>
          <w:rFonts w:ascii="Arial" w:eastAsia="Arial" w:hAnsi="Arial" w:cs="Arial"/>
          <w:sz w:val="24"/>
          <w:szCs w:val="24"/>
        </w:rPr>
      </w:pPr>
      <w:r w:rsidRPr="5A1E62CD">
        <w:rPr>
          <w:rFonts w:ascii="Arial" w:eastAsia="Arial" w:hAnsi="Arial" w:cs="Arial"/>
          <w:sz w:val="24"/>
          <w:szCs w:val="24"/>
        </w:rPr>
        <w:t xml:space="preserve">Furthermore, reviewing academic studies relating to consumer behaviour, cultural adaptation, sustainability, and entry mode selection enhanced my appreciation of the complexity of international expansion decisions. I learned that multinational corporations rarely follow a single formula when entering foreign markets. Instead, </w:t>
      </w:r>
      <w:r w:rsidRPr="5A1E62CD">
        <w:rPr>
          <w:rFonts w:ascii="Arial" w:eastAsia="Arial" w:hAnsi="Arial" w:cs="Arial"/>
          <w:sz w:val="24"/>
          <w:szCs w:val="24"/>
        </w:rPr>
        <w:lastRenderedPageBreak/>
        <w:t>successful internationalisation requires continuous adaptation to changing consumer expectations, technological developments, and institutional environments.</w:t>
      </w:r>
    </w:p>
    <w:p w14:paraId="4462CE4B" w14:textId="4C1A5072" w:rsidR="00B15576" w:rsidRPr="00B15576" w:rsidRDefault="0F0FD15C" w:rsidP="5A1E62CD">
      <w:pPr>
        <w:pStyle w:val="Heading1"/>
        <w:keepNext w:val="0"/>
        <w:keepLines w:val="0"/>
        <w:spacing w:line="360" w:lineRule="auto"/>
        <w:rPr>
          <w:rFonts w:ascii="Arial" w:eastAsia="Arial" w:hAnsi="Arial" w:cs="Arial"/>
          <w:sz w:val="32"/>
          <w:szCs w:val="32"/>
        </w:rPr>
      </w:pPr>
      <w:bookmarkStart w:id="31" w:name="_Toc1171967114"/>
      <w:r w:rsidRPr="5A1E62CD">
        <w:rPr>
          <w:rFonts w:ascii="Arial" w:eastAsia="Arial" w:hAnsi="Arial" w:cs="Arial"/>
          <w:sz w:val="32"/>
          <w:szCs w:val="32"/>
        </w:rPr>
        <w:t>5. Conclusion</w:t>
      </w:r>
      <w:bookmarkEnd w:id="31"/>
    </w:p>
    <w:p w14:paraId="7F4653B5" w14:textId="2D0D9700" w:rsidR="0F0FD15C" w:rsidRDefault="0F0FD15C" w:rsidP="5A1E62CD">
      <w:pPr>
        <w:spacing w:line="360" w:lineRule="auto"/>
        <w:jc w:val="both"/>
      </w:pPr>
      <w:r w:rsidRPr="5A1E62CD">
        <w:rPr>
          <w:rFonts w:ascii="Arial" w:eastAsia="Arial" w:hAnsi="Arial" w:cs="Arial"/>
          <w:sz w:val="24"/>
          <w:szCs w:val="24"/>
        </w:rPr>
        <w:t>Reflecting on the overall process, I believe that this assignment significantly improved my ability to apply international business theories to a practical organisational context. I developed a stronger understanding of how multinational corporations evaluate foreign markets and the factors that influence entry mode selection. The assignment also enhanced my ability to critically assess academic literature, compare competing perspectives, and integrate theoretical concepts with real-world evidence.</w:t>
      </w:r>
      <w:r w:rsidR="6C645301" w:rsidRPr="5A1E62CD">
        <w:rPr>
          <w:rFonts w:ascii="Arial" w:eastAsia="Arial" w:hAnsi="Arial" w:cs="Arial"/>
          <w:sz w:val="24"/>
          <w:szCs w:val="24"/>
        </w:rPr>
        <w:t xml:space="preserve"> Most importantly, I developed a deeper understanding of international strategy trade-offs, recognising that multinational corporations must balance control, risk, investment and market responsiveness when pursuing global growth.</w:t>
      </w:r>
    </w:p>
    <w:p w14:paraId="209D0F96" w14:textId="0F8D9D66" w:rsidR="00B15576" w:rsidRPr="00B15576" w:rsidRDefault="0F0FD15C" w:rsidP="5A1E62CD">
      <w:pPr>
        <w:pStyle w:val="Heading1"/>
        <w:keepNext w:val="0"/>
        <w:keepLines w:val="0"/>
        <w:spacing w:line="360" w:lineRule="auto"/>
        <w:rPr>
          <w:rFonts w:ascii="Arial" w:eastAsia="Arial" w:hAnsi="Arial" w:cs="Arial"/>
          <w:sz w:val="32"/>
          <w:szCs w:val="32"/>
        </w:rPr>
      </w:pPr>
      <w:bookmarkStart w:id="32" w:name="_Toc465965918"/>
      <w:r w:rsidRPr="5A1E62CD">
        <w:rPr>
          <w:rFonts w:ascii="Arial" w:eastAsia="Arial" w:hAnsi="Arial" w:cs="Arial"/>
          <w:sz w:val="32"/>
          <w:szCs w:val="32"/>
        </w:rPr>
        <w:t>6. Action Plan</w:t>
      </w:r>
      <w:bookmarkEnd w:id="32"/>
    </w:p>
    <w:p w14:paraId="55651673" w14:textId="05DDDC81" w:rsidR="00B15576" w:rsidRPr="00B15576" w:rsidRDefault="37033AB6" w:rsidP="5A1E62CD">
      <w:pPr>
        <w:spacing w:line="360" w:lineRule="auto"/>
        <w:jc w:val="both"/>
      </w:pPr>
      <w:r w:rsidRPr="5A1E62CD">
        <w:rPr>
          <w:rFonts w:ascii="Arial" w:eastAsia="Arial" w:hAnsi="Arial" w:cs="Arial"/>
          <w:sz w:val="24"/>
          <w:szCs w:val="24"/>
        </w:rPr>
        <w:t>In future assignments, I aim to strengthen my critical evaluation through broader evidence, comparative case studies and a more structured literature review. This module has enhanced my understanding of global business strategy, market entry decisions and the complexities of international business, providing valuable knowledge for my future career.</w:t>
      </w:r>
      <w:r w:rsidR="0F0FD15C" w:rsidRPr="5A1E62CD">
        <w:rPr>
          <w:rFonts w:ascii="Arial" w:eastAsia="Arial" w:hAnsi="Arial" w:cs="Arial"/>
          <w:sz w:val="24"/>
          <w:szCs w:val="24"/>
        </w:rPr>
        <w:t xml:space="preserve"> The experience has increased my confidence in analysing complex international business issues and applying academic theory to practical business situations.</w:t>
      </w:r>
      <w:r w:rsidR="0F4BB2A5" w:rsidRPr="5A1E62CD">
        <w:rPr>
          <w:rFonts w:ascii="Arial" w:eastAsia="Arial" w:hAnsi="Arial" w:cs="Arial"/>
          <w:sz w:val="24"/>
          <w:szCs w:val="24"/>
        </w:rPr>
        <w:t xml:space="preserve"> In future assignments and professional practice, I intend to further strengthen my analytical skills by adopting a more systematic literature review process from the outset, enabling me to identify key debates and research gaps more efficiently. I also plan to incorporate a wider range of international case studies to compare different strategic approaches and develop more balanced evaluations. Furthermore, I will continue to challenge the assumptions underpinning established strategic frameworks rather than relying solely on their theoretical strengths, enabling me to produce more critically informed analyses.</w:t>
      </w:r>
    </w:p>
    <w:p w14:paraId="4BC56BF7" w14:textId="0DE439C6" w:rsidR="5A1E62CD" w:rsidRDefault="5A1E62CD" w:rsidP="5A1E62CD">
      <w:pPr>
        <w:spacing w:line="360" w:lineRule="auto"/>
        <w:jc w:val="both"/>
        <w:rPr>
          <w:rFonts w:ascii="Arial" w:eastAsia="Arial" w:hAnsi="Arial" w:cs="Arial"/>
          <w:sz w:val="24"/>
          <w:szCs w:val="24"/>
        </w:rPr>
      </w:pPr>
    </w:p>
    <w:p w14:paraId="108BDE00" w14:textId="4F7997F0" w:rsidR="686842A0" w:rsidRDefault="686842A0" w:rsidP="5A1E62CD">
      <w:pPr>
        <w:pStyle w:val="Heading1"/>
        <w:rPr>
          <w:rFonts w:ascii="Arial" w:eastAsia="Arial" w:hAnsi="Arial" w:cs="Arial"/>
          <w:sz w:val="32"/>
          <w:szCs w:val="32"/>
        </w:rPr>
      </w:pPr>
      <w:bookmarkStart w:id="33" w:name="_Toc1264131837"/>
      <w:r w:rsidRPr="5A1E62CD">
        <w:rPr>
          <w:rFonts w:ascii="Arial" w:eastAsia="Arial" w:hAnsi="Arial" w:cs="Arial"/>
          <w:sz w:val="32"/>
          <w:szCs w:val="32"/>
        </w:rPr>
        <w:lastRenderedPageBreak/>
        <w:t>References</w:t>
      </w:r>
      <w:bookmarkEnd w:id="33"/>
    </w:p>
    <w:p w14:paraId="13BF4846" w14:textId="2E982E25" w:rsidR="699C588E" w:rsidRDefault="699C588E"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Ameer, R., 2026. Economic winners and losers of the COVID-19 pandemic: evidence from New Zealand. </w:t>
      </w:r>
      <w:r w:rsidRPr="5A1E62CD">
        <w:rPr>
          <w:rFonts w:ascii="Arial" w:eastAsia="Arial" w:hAnsi="Arial" w:cs="Arial"/>
          <w:i/>
          <w:iCs/>
          <w:color w:val="222222"/>
          <w:sz w:val="24"/>
          <w:szCs w:val="24"/>
        </w:rPr>
        <w:t>Journal of Economic Studies</w:t>
      </w:r>
      <w:r w:rsidRPr="5A1E62CD">
        <w:rPr>
          <w:rFonts w:ascii="Arial" w:eastAsia="Arial" w:hAnsi="Arial" w:cs="Arial"/>
          <w:sz w:val="24"/>
          <w:szCs w:val="24"/>
        </w:rPr>
        <w:t xml:space="preserve">, </w:t>
      </w:r>
      <w:r w:rsidRPr="5A1E62CD">
        <w:rPr>
          <w:rFonts w:ascii="Arial" w:eastAsia="Arial" w:hAnsi="Arial" w:cs="Arial"/>
          <w:i/>
          <w:iCs/>
          <w:color w:val="222222"/>
          <w:sz w:val="24"/>
          <w:szCs w:val="24"/>
        </w:rPr>
        <w:t>53</w:t>
      </w:r>
      <w:r w:rsidRPr="5A1E62CD">
        <w:rPr>
          <w:rFonts w:ascii="Arial" w:eastAsia="Arial" w:hAnsi="Arial" w:cs="Arial"/>
          <w:sz w:val="24"/>
          <w:szCs w:val="24"/>
        </w:rPr>
        <w:t>(1), pp.47-66.</w:t>
      </w:r>
    </w:p>
    <w:p w14:paraId="06D9F193" w14:textId="2758BBE4" w:rsidR="699C588E" w:rsidRDefault="699C588E"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Arulsenthilkumar, S. and Punitha, N., 2023. Ikea India: Building diversity and inclusion. </w:t>
      </w:r>
      <w:r w:rsidRPr="5A1E62CD">
        <w:rPr>
          <w:rFonts w:ascii="Arial" w:eastAsia="Arial" w:hAnsi="Arial" w:cs="Arial"/>
          <w:i/>
          <w:iCs/>
          <w:color w:val="222222"/>
          <w:sz w:val="24"/>
          <w:szCs w:val="24"/>
        </w:rPr>
        <w:t>JIMS</w:t>
      </w:r>
      <w:r w:rsidRPr="5A1E62CD">
        <w:rPr>
          <w:rFonts w:ascii="Arial" w:eastAsia="Arial" w:hAnsi="Arial" w:cs="Arial"/>
          <w:sz w:val="24"/>
          <w:szCs w:val="24"/>
        </w:rPr>
        <w:t xml:space="preserve">, </w:t>
      </w:r>
      <w:r w:rsidRPr="5A1E62CD">
        <w:rPr>
          <w:rFonts w:ascii="Arial" w:eastAsia="Arial" w:hAnsi="Arial" w:cs="Arial"/>
          <w:i/>
          <w:iCs/>
          <w:color w:val="222222"/>
          <w:sz w:val="24"/>
          <w:szCs w:val="24"/>
        </w:rPr>
        <w:t>8</w:t>
      </w:r>
      <w:r w:rsidRPr="5A1E62CD">
        <w:rPr>
          <w:rFonts w:ascii="Arial" w:eastAsia="Arial" w:hAnsi="Arial" w:cs="Arial"/>
          <w:sz w:val="24"/>
          <w:szCs w:val="24"/>
        </w:rPr>
        <w:t>, p.59.</w:t>
      </w:r>
    </w:p>
    <w:p w14:paraId="3D72C4F6" w14:textId="3CA05F08" w:rsidR="699C588E" w:rsidRDefault="699C588E"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Bartlett, C.A. and Ghoshal, S. (1989) “Bartlett, Christopher A and Ghoshal, Sumantra. Managing Across Borders: The Transnational Solution // Review,” </w:t>
      </w:r>
      <w:r w:rsidRPr="5A1E62CD">
        <w:rPr>
          <w:rFonts w:ascii="Arial" w:eastAsia="Arial" w:hAnsi="Arial" w:cs="Arial"/>
          <w:i/>
          <w:iCs/>
          <w:color w:val="3A3A3A" w:themeColor="background2" w:themeShade="40"/>
          <w:sz w:val="24"/>
          <w:szCs w:val="24"/>
        </w:rPr>
        <w:t>Globe and mail</w:t>
      </w:r>
      <w:r w:rsidRPr="5A1E62CD">
        <w:rPr>
          <w:rFonts w:ascii="Arial" w:eastAsia="Arial" w:hAnsi="Arial" w:cs="Arial"/>
          <w:sz w:val="24"/>
          <w:szCs w:val="24"/>
        </w:rPr>
        <w:t>. Toronto, Ont: The Globe and Mail.</w:t>
      </w:r>
    </w:p>
    <w:p w14:paraId="43BC05EA" w14:textId="2016441F" w:rsidR="699C588E" w:rsidRDefault="699C588E"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Bedida, E.M.S., DOURAID, A. and LARADI, M., 2026. The Evolution of the Eclectic Paradigm: A Review of the OLI Framework in International Business Research. </w:t>
      </w:r>
      <w:r w:rsidRPr="5A1E62CD">
        <w:rPr>
          <w:rFonts w:ascii="Arial" w:eastAsia="Arial" w:hAnsi="Arial" w:cs="Arial"/>
          <w:i/>
          <w:iCs/>
          <w:color w:val="222222"/>
          <w:sz w:val="24"/>
          <w:szCs w:val="24"/>
        </w:rPr>
        <w:t>Revue Marocaine de Publication des Recherches</w:t>
      </w:r>
      <w:r w:rsidRPr="5A1E62CD">
        <w:rPr>
          <w:rFonts w:ascii="Arial" w:eastAsia="Arial" w:hAnsi="Arial" w:cs="Arial"/>
          <w:sz w:val="24"/>
          <w:szCs w:val="24"/>
        </w:rPr>
        <w:t>.‎</w:t>
      </w:r>
    </w:p>
    <w:p w14:paraId="1E7C9702" w14:textId="458AE3BE" w:rsidR="699C588E" w:rsidRDefault="699C588E"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Bogati, S., 2026. Inventory Management Optimization for High-Demand Products in IKEA.</w:t>
      </w:r>
    </w:p>
    <w:p w14:paraId="794229B2" w14:textId="4BFDB32E" w:rsidR="699C588E" w:rsidRDefault="699C588E"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Bourny, D., Mirza, D. and Turcu, C., (2023). The culture-promotion effect of multinationals on trade: the IKEA case. </w:t>
      </w:r>
      <w:r w:rsidRPr="5A1E62CD">
        <w:rPr>
          <w:rFonts w:ascii="Arial" w:eastAsia="Arial" w:hAnsi="Arial" w:cs="Arial"/>
          <w:i/>
          <w:iCs/>
          <w:color w:val="222222"/>
          <w:sz w:val="24"/>
          <w:szCs w:val="24"/>
        </w:rPr>
        <w:t>Journal of Economic Geography</w:t>
      </w:r>
      <w:r w:rsidRPr="5A1E62CD">
        <w:rPr>
          <w:rFonts w:ascii="Arial" w:eastAsia="Arial" w:hAnsi="Arial" w:cs="Arial"/>
          <w:sz w:val="24"/>
          <w:szCs w:val="24"/>
        </w:rPr>
        <w:t xml:space="preserve">, </w:t>
      </w:r>
      <w:r w:rsidRPr="5A1E62CD">
        <w:rPr>
          <w:rFonts w:ascii="Arial" w:eastAsia="Arial" w:hAnsi="Arial" w:cs="Arial"/>
          <w:i/>
          <w:iCs/>
          <w:color w:val="222222"/>
          <w:sz w:val="24"/>
          <w:szCs w:val="24"/>
        </w:rPr>
        <w:t>23</w:t>
      </w:r>
      <w:r w:rsidRPr="5A1E62CD">
        <w:rPr>
          <w:rFonts w:ascii="Arial" w:eastAsia="Arial" w:hAnsi="Arial" w:cs="Arial"/>
          <w:sz w:val="24"/>
          <w:szCs w:val="24"/>
        </w:rPr>
        <w:t>(4), pp.771-800.</w:t>
      </w:r>
    </w:p>
    <w:p w14:paraId="1F98DBCF" w14:textId="40A1A00A" w:rsidR="699C588E" w:rsidRDefault="699C588E"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Dunning, J.H. (1988) “The Eclectic Paradigm of International Production: A Restatement and Some Possible Extensions,” </w:t>
      </w:r>
      <w:r w:rsidRPr="5A1E62CD">
        <w:rPr>
          <w:rFonts w:ascii="Arial" w:eastAsia="Arial" w:hAnsi="Arial" w:cs="Arial"/>
          <w:i/>
          <w:iCs/>
          <w:sz w:val="24"/>
          <w:szCs w:val="24"/>
        </w:rPr>
        <w:t>Journal of international business studies</w:t>
      </w:r>
      <w:r w:rsidRPr="5A1E62CD">
        <w:rPr>
          <w:rFonts w:ascii="Arial" w:eastAsia="Arial" w:hAnsi="Arial" w:cs="Arial"/>
          <w:sz w:val="24"/>
          <w:szCs w:val="24"/>
        </w:rPr>
        <w:t xml:space="preserve">, 19(1), pp. 1–31. Available at: </w:t>
      </w:r>
      <w:hyperlink r:id="rId20">
        <w:r w:rsidRPr="5A1E62CD">
          <w:rPr>
            <w:rStyle w:val="Hyperlink"/>
            <w:rFonts w:ascii="Arial" w:eastAsia="Arial" w:hAnsi="Arial" w:cs="Arial"/>
            <w:color w:val="auto"/>
            <w:sz w:val="24"/>
            <w:szCs w:val="24"/>
          </w:rPr>
          <w:t>https://doi.org/10.1057/palgrave.jibs.8490372</w:t>
        </w:r>
      </w:hyperlink>
      <w:r w:rsidRPr="5A1E62CD">
        <w:rPr>
          <w:rFonts w:ascii="Arial" w:eastAsia="Arial" w:hAnsi="Arial" w:cs="Arial"/>
          <w:sz w:val="24"/>
          <w:szCs w:val="24"/>
        </w:rPr>
        <w:t xml:space="preserve"> (Accessed 20 July 2026).</w:t>
      </w:r>
    </w:p>
    <w:p w14:paraId="336F6E80" w14:textId="2DBAFD5A" w:rsidR="699C588E" w:rsidRDefault="699C588E"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Eliot, T.S. (1948) </w:t>
      </w:r>
      <w:r w:rsidRPr="5A1E62CD">
        <w:rPr>
          <w:rFonts w:ascii="Arial" w:eastAsia="Arial" w:hAnsi="Arial" w:cs="Arial"/>
          <w:i/>
          <w:iCs/>
          <w:sz w:val="24"/>
          <w:szCs w:val="24"/>
        </w:rPr>
        <w:t>Notes Towards the Definition of Culture</w:t>
      </w:r>
      <w:r w:rsidRPr="5A1E62CD">
        <w:rPr>
          <w:rFonts w:ascii="Arial" w:eastAsia="Arial" w:hAnsi="Arial" w:cs="Arial"/>
          <w:sz w:val="24"/>
          <w:szCs w:val="24"/>
        </w:rPr>
        <w:t xml:space="preserve">. London: Faber &amp; Faber. Available at: </w:t>
      </w:r>
      <w:hyperlink r:id="rId21">
        <w:r w:rsidRPr="5A1E62CD">
          <w:rPr>
            <w:rStyle w:val="Hyperlink"/>
            <w:rFonts w:ascii="Arial" w:eastAsia="Arial" w:hAnsi="Arial" w:cs="Arial"/>
            <w:sz w:val="24"/>
            <w:szCs w:val="24"/>
          </w:rPr>
          <w:t>https://archive.org/details/dli.ernet.544021</w:t>
        </w:r>
      </w:hyperlink>
      <w:r w:rsidRPr="5A1E62CD">
        <w:rPr>
          <w:rFonts w:ascii="Arial" w:eastAsia="Arial" w:hAnsi="Arial" w:cs="Arial"/>
          <w:sz w:val="24"/>
          <w:szCs w:val="24"/>
        </w:rPr>
        <w:t xml:space="preserve"> </w:t>
      </w:r>
      <w:hyperlink r:id="rId22">
        <w:r w:rsidRPr="5A1E62CD">
          <w:rPr>
            <w:rStyle w:val="Hyperlink"/>
            <w:rFonts w:ascii="Arial" w:eastAsia="Arial" w:hAnsi="Arial" w:cs="Arial"/>
            <w:sz w:val="24"/>
            <w:szCs w:val="24"/>
          </w:rPr>
          <w:t>(archive.org in Bing)</w:t>
        </w:r>
      </w:hyperlink>
      <w:r w:rsidRPr="5A1E62CD">
        <w:rPr>
          <w:rFonts w:ascii="Arial" w:eastAsia="Arial" w:hAnsi="Arial" w:cs="Arial"/>
          <w:sz w:val="24"/>
          <w:szCs w:val="24"/>
        </w:rPr>
        <w:t xml:space="preserve"> (Accessed 21 July 2026).</w:t>
      </w:r>
    </w:p>
    <w:p w14:paraId="1ACC31D9" w14:textId="1A73B1EF" w:rsidR="268BE8A0" w:rsidRDefault="268BE8A0"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Giacobbe, F., Matolcsy, Z. and Wakefield, J. (2016) “An investigation of wholly-owned foreign subsidiary control through transaction cost economics theory,” </w:t>
      </w:r>
      <w:r w:rsidRPr="5A1E62CD">
        <w:rPr>
          <w:rFonts w:ascii="Arial" w:eastAsia="Arial" w:hAnsi="Arial" w:cs="Arial"/>
          <w:i/>
          <w:iCs/>
          <w:sz w:val="24"/>
          <w:szCs w:val="24"/>
        </w:rPr>
        <w:t>Accounting and finance (Parkville)</w:t>
      </w:r>
      <w:r w:rsidRPr="5A1E62CD">
        <w:rPr>
          <w:rFonts w:ascii="Arial" w:eastAsia="Arial" w:hAnsi="Arial" w:cs="Arial"/>
          <w:sz w:val="24"/>
          <w:szCs w:val="24"/>
        </w:rPr>
        <w:t xml:space="preserve">. Edited by T. Smith, 56(4), pp. 1041–1070. Available at: </w:t>
      </w:r>
      <w:hyperlink r:id="rId23">
        <w:r w:rsidRPr="5A1E62CD">
          <w:rPr>
            <w:rStyle w:val="Hyperlink"/>
            <w:rFonts w:ascii="Arial" w:eastAsia="Arial" w:hAnsi="Arial" w:cs="Arial"/>
            <w:color w:val="3A3A3A" w:themeColor="background2" w:themeShade="40"/>
            <w:sz w:val="24"/>
            <w:szCs w:val="24"/>
          </w:rPr>
          <w:t>https://doi.org/10.1111/acfi.12118</w:t>
        </w:r>
      </w:hyperlink>
      <w:r w:rsidRPr="5A1E62CD">
        <w:rPr>
          <w:rFonts w:ascii="Arial" w:eastAsia="Arial" w:hAnsi="Arial" w:cs="Arial"/>
          <w:sz w:val="24"/>
          <w:szCs w:val="24"/>
        </w:rPr>
        <w:t xml:space="preserve"> (Accessed 15 July 2026).</w:t>
      </w:r>
    </w:p>
    <w:p w14:paraId="6FD59A75" w14:textId="15CE03F4" w:rsidR="6E8104FA" w:rsidRDefault="6E8104FA"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Gibbs, G., (1988). Learning by doing: A guide to teaching and learning methods. </w:t>
      </w:r>
      <w:r w:rsidRPr="5A1E62CD">
        <w:rPr>
          <w:rFonts w:ascii="Arial" w:eastAsia="Arial" w:hAnsi="Arial" w:cs="Arial"/>
          <w:i/>
          <w:iCs/>
          <w:color w:val="222222"/>
          <w:sz w:val="24"/>
          <w:szCs w:val="24"/>
        </w:rPr>
        <w:t>Further Education Unit</w:t>
      </w:r>
      <w:r w:rsidRPr="5A1E62CD">
        <w:rPr>
          <w:rFonts w:ascii="Arial" w:eastAsia="Arial" w:hAnsi="Arial" w:cs="Arial"/>
          <w:sz w:val="24"/>
          <w:szCs w:val="24"/>
        </w:rPr>
        <w:t>.</w:t>
      </w:r>
    </w:p>
    <w:p w14:paraId="0BCFBA80" w14:textId="2A1097B8" w:rsidR="5A1E62CD" w:rsidRDefault="5A1E62CD" w:rsidP="5A1E62CD">
      <w:pPr>
        <w:spacing w:after="0" w:line="360" w:lineRule="auto"/>
        <w:jc w:val="both"/>
        <w:rPr>
          <w:rFonts w:ascii="Arial" w:eastAsia="Arial" w:hAnsi="Arial" w:cs="Arial"/>
          <w:sz w:val="24"/>
          <w:szCs w:val="24"/>
        </w:rPr>
      </w:pPr>
    </w:p>
    <w:p w14:paraId="3E8BB44E" w14:textId="78A328FA" w:rsidR="268BE8A0" w:rsidRDefault="268BE8A0"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Gong, Y. </w:t>
      </w:r>
      <w:r w:rsidRPr="5A1E62CD">
        <w:rPr>
          <w:rFonts w:ascii="Arial" w:eastAsia="Arial" w:hAnsi="Arial" w:cs="Arial"/>
          <w:i/>
          <w:iCs/>
          <w:sz w:val="24"/>
          <w:szCs w:val="24"/>
        </w:rPr>
        <w:t>et al.</w:t>
      </w:r>
      <w:r w:rsidRPr="5A1E62CD">
        <w:rPr>
          <w:rFonts w:ascii="Arial" w:eastAsia="Arial" w:hAnsi="Arial" w:cs="Arial"/>
          <w:sz w:val="24"/>
          <w:szCs w:val="24"/>
        </w:rPr>
        <w:t xml:space="preserve"> (2019) “IKEA: Sustainable Cotton Initiative in China,” </w:t>
      </w:r>
      <w:r w:rsidRPr="5A1E62CD">
        <w:rPr>
          <w:rFonts w:ascii="Arial" w:eastAsia="Arial" w:hAnsi="Arial" w:cs="Arial"/>
          <w:i/>
          <w:iCs/>
          <w:sz w:val="24"/>
          <w:szCs w:val="24"/>
        </w:rPr>
        <w:t>Asian case research journal</w:t>
      </w:r>
      <w:r w:rsidRPr="5A1E62CD">
        <w:rPr>
          <w:rFonts w:ascii="Arial" w:eastAsia="Arial" w:hAnsi="Arial" w:cs="Arial"/>
          <w:sz w:val="24"/>
          <w:szCs w:val="24"/>
        </w:rPr>
        <w:t xml:space="preserve">, 23(2), pp. 491–518. Available at: </w:t>
      </w:r>
      <w:hyperlink r:id="rId24">
        <w:r w:rsidRPr="5A1E62CD">
          <w:rPr>
            <w:rStyle w:val="Hyperlink"/>
            <w:rFonts w:ascii="Arial" w:eastAsia="Arial" w:hAnsi="Arial" w:cs="Arial"/>
            <w:color w:val="auto"/>
            <w:sz w:val="24"/>
            <w:szCs w:val="24"/>
          </w:rPr>
          <w:t>https://doi.org/10.1142/S0218927519500202</w:t>
        </w:r>
      </w:hyperlink>
      <w:r w:rsidRPr="5A1E62CD">
        <w:rPr>
          <w:rFonts w:ascii="Arial" w:eastAsia="Arial" w:hAnsi="Arial" w:cs="Arial"/>
          <w:sz w:val="24"/>
          <w:szCs w:val="24"/>
        </w:rPr>
        <w:t xml:space="preserve"> (Accessed 20 July 2026).</w:t>
      </w:r>
    </w:p>
    <w:p w14:paraId="4B419EBC" w14:textId="2A8E3ABD" w:rsidR="268BE8A0" w:rsidRDefault="268BE8A0"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lastRenderedPageBreak/>
        <w:t xml:space="preserve">HANBING, Q., (2024). </w:t>
      </w:r>
      <w:r w:rsidRPr="5A1E62CD">
        <w:rPr>
          <w:rFonts w:ascii="Arial" w:eastAsia="Arial" w:hAnsi="Arial" w:cs="Arial"/>
          <w:i/>
          <w:iCs/>
          <w:color w:val="222222"/>
          <w:sz w:val="24"/>
          <w:szCs w:val="24"/>
        </w:rPr>
        <w:t>THE INFLUENCING FACTORS OF INTERNATIONAL MARKETING STRATEGY FOR IKEA GROUP'S PRODUCTS</w:t>
      </w:r>
      <w:r w:rsidRPr="5A1E62CD">
        <w:rPr>
          <w:rFonts w:ascii="Arial" w:eastAsia="Arial" w:hAnsi="Arial" w:cs="Arial"/>
          <w:sz w:val="24"/>
          <w:szCs w:val="24"/>
        </w:rPr>
        <w:t xml:space="preserve"> (Doctoral dissertation, SIAM UNIVERSITY).</w:t>
      </w:r>
    </w:p>
    <w:p w14:paraId="6C9C1919" w14:textId="628B23C1" w:rsidR="268BE8A0" w:rsidRDefault="268BE8A0"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Ha, Y., Lee, C. and Kim, S. (2025) “The IKEA effect in supply chain relationships: mediating role of power types on supply chain sustainability,” </w:t>
      </w:r>
      <w:r w:rsidRPr="5A1E62CD">
        <w:rPr>
          <w:rFonts w:ascii="Arial" w:eastAsia="Arial" w:hAnsi="Arial" w:cs="Arial"/>
          <w:i/>
          <w:iCs/>
          <w:sz w:val="24"/>
          <w:szCs w:val="24"/>
        </w:rPr>
        <w:t>International journal of managing projects in business</w:t>
      </w:r>
      <w:r w:rsidRPr="5A1E62CD">
        <w:rPr>
          <w:rFonts w:ascii="Arial" w:eastAsia="Arial" w:hAnsi="Arial" w:cs="Arial"/>
          <w:sz w:val="24"/>
          <w:szCs w:val="24"/>
        </w:rPr>
        <w:t xml:space="preserve">, 18(3), pp. 506–527. Available at: </w:t>
      </w:r>
      <w:hyperlink r:id="rId25">
        <w:r w:rsidRPr="5A1E62CD">
          <w:rPr>
            <w:rStyle w:val="Hyperlink"/>
            <w:rFonts w:ascii="Arial" w:eastAsia="Arial" w:hAnsi="Arial" w:cs="Arial"/>
            <w:color w:val="auto"/>
            <w:sz w:val="24"/>
            <w:szCs w:val="24"/>
          </w:rPr>
          <w:t>https://doi.org/10.1108/IJMPB-12-2024-0298</w:t>
        </w:r>
      </w:hyperlink>
      <w:r w:rsidRPr="5A1E62CD">
        <w:rPr>
          <w:rFonts w:ascii="Arial" w:eastAsia="Arial" w:hAnsi="Arial" w:cs="Arial"/>
          <w:sz w:val="24"/>
          <w:szCs w:val="24"/>
        </w:rPr>
        <w:t xml:space="preserve"> (Accessed 14 July 2026).</w:t>
      </w:r>
    </w:p>
    <w:p w14:paraId="22590DF7" w14:textId="5DB10487" w:rsidR="5A1E62CD" w:rsidRDefault="5A1E62CD" w:rsidP="5A1E62CD">
      <w:pPr>
        <w:spacing w:after="0" w:line="360" w:lineRule="auto"/>
        <w:jc w:val="both"/>
        <w:rPr>
          <w:rFonts w:ascii="Arial" w:eastAsia="Arial" w:hAnsi="Arial" w:cs="Arial"/>
          <w:sz w:val="24"/>
          <w:szCs w:val="24"/>
        </w:rPr>
      </w:pPr>
    </w:p>
    <w:p w14:paraId="7DCDB67C" w14:textId="38E514C5" w:rsidR="268BE8A0" w:rsidRDefault="268BE8A0"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Hofstede, G. (2011). Dimensionalizing Cultures: The Hofstede Model in Context. </w:t>
      </w:r>
      <w:r w:rsidRPr="5A1E62CD">
        <w:rPr>
          <w:rFonts w:ascii="Arial" w:eastAsia="Arial" w:hAnsi="Arial" w:cs="Arial"/>
          <w:i/>
          <w:iCs/>
          <w:sz w:val="24"/>
          <w:szCs w:val="24"/>
        </w:rPr>
        <w:t>Online Readings in Psychology and Culture, 2</w:t>
      </w:r>
      <w:r w:rsidRPr="5A1E62CD">
        <w:rPr>
          <w:rFonts w:ascii="Arial" w:eastAsia="Arial" w:hAnsi="Arial" w:cs="Arial"/>
          <w:sz w:val="24"/>
          <w:szCs w:val="24"/>
        </w:rPr>
        <w:t xml:space="preserve">(1).  </w:t>
      </w:r>
      <w:hyperlink r:id="rId26">
        <w:r w:rsidRPr="5A1E62CD">
          <w:rPr>
            <w:rStyle w:val="Hyperlink"/>
            <w:rFonts w:ascii="Arial" w:eastAsia="Arial" w:hAnsi="Arial" w:cs="Arial"/>
            <w:sz w:val="24"/>
            <w:szCs w:val="24"/>
          </w:rPr>
          <w:t>https://doi.org/10.9707/2307-0919.1014</w:t>
        </w:r>
      </w:hyperlink>
      <w:r w:rsidRPr="5A1E62CD">
        <w:rPr>
          <w:rFonts w:ascii="Arial" w:eastAsia="Arial" w:hAnsi="Arial" w:cs="Arial"/>
          <w:sz w:val="24"/>
          <w:szCs w:val="24"/>
        </w:rPr>
        <w:t xml:space="preserve"> (Accessed 20 July 2026).</w:t>
      </w:r>
    </w:p>
    <w:p w14:paraId="39BFE9F0" w14:textId="2238A2AB" w:rsidR="268BE8A0" w:rsidRDefault="268BE8A0"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Hong, Y.W. </w:t>
      </w:r>
      <w:r w:rsidRPr="5A1E62CD">
        <w:rPr>
          <w:rFonts w:ascii="Arial" w:eastAsia="Arial" w:hAnsi="Arial" w:cs="Arial"/>
          <w:i/>
          <w:iCs/>
          <w:sz w:val="24"/>
          <w:szCs w:val="24"/>
        </w:rPr>
        <w:t>et al.</w:t>
      </w:r>
      <w:r w:rsidRPr="5A1E62CD">
        <w:rPr>
          <w:rFonts w:ascii="Arial" w:eastAsia="Arial" w:hAnsi="Arial" w:cs="Arial"/>
          <w:sz w:val="24"/>
          <w:szCs w:val="24"/>
        </w:rPr>
        <w:t xml:space="preserve"> (2025) “DIGITAL GOVERNANCE FRAMEWORKS AND TRANSPARENT INSTITUTIONS: A BUSINESS-DRIVEN APPROACH TO ACCOUNTABLE INSTITUTION DEVELOPMENT IN SUSTAINABLE PUBLIC ADMINISTRATION,” </w:t>
      </w:r>
      <w:r w:rsidRPr="5A1E62CD">
        <w:rPr>
          <w:rFonts w:ascii="Arial" w:eastAsia="Arial" w:hAnsi="Arial" w:cs="Arial"/>
          <w:i/>
          <w:iCs/>
          <w:sz w:val="24"/>
          <w:szCs w:val="24"/>
        </w:rPr>
        <w:t>Lex localis-journal of local self-government</w:t>
      </w:r>
      <w:r w:rsidRPr="5A1E62CD">
        <w:rPr>
          <w:rFonts w:ascii="Arial" w:eastAsia="Arial" w:hAnsi="Arial" w:cs="Arial"/>
          <w:sz w:val="24"/>
          <w:szCs w:val="24"/>
        </w:rPr>
        <w:t xml:space="preserve">, 23(S5), pp. 1629–1640. Available at: </w:t>
      </w:r>
      <w:hyperlink r:id="rId27">
        <w:r w:rsidRPr="5A1E62CD">
          <w:rPr>
            <w:rStyle w:val="Hyperlink"/>
            <w:rFonts w:ascii="Arial" w:eastAsia="Arial" w:hAnsi="Arial" w:cs="Arial"/>
            <w:color w:val="auto"/>
            <w:sz w:val="24"/>
            <w:szCs w:val="24"/>
          </w:rPr>
          <w:t>https://doi.org/10.52152/801434</w:t>
        </w:r>
      </w:hyperlink>
      <w:r w:rsidRPr="5A1E62CD">
        <w:rPr>
          <w:rFonts w:ascii="Arial" w:eastAsia="Arial" w:hAnsi="Arial" w:cs="Arial"/>
          <w:sz w:val="24"/>
          <w:szCs w:val="24"/>
        </w:rPr>
        <w:t xml:space="preserve"> (Accessed 19 July 2026).</w:t>
      </w:r>
    </w:p>
    <w:p w14:paraId="6082DE09" w14:textId="5A5ECF74" w:rsidR="5A1E62CD" w:rsidRDefault="5A1E62CD" w:rsidP="5A1E62CD">
      <w:pPr>
        <w:spacing w:after="0" w:line="360" w:lineRule="auto"/>
        <w:jc w:val="both"/>
        <w:rPr>
          <w:rFonts w:ascii="Arial" w:eastAsia="Arial" w:hAnsi="Arial" w:cs="Arial"/>
          <w:sz w:val="24"/>
          <w:szCs w:val="24"/>
        </w:rPr>
      </w:pPr>
    </w:p>
    <w:p w14:paraId="1353B0E6" w14:textId="699A6A4C" w:rsidR="268BE8A0" w:rsidRDefault="268BE8A0"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IKEA Museum (2026) </w:t>
      </w:r>
      <w:r w:rsidRPr="5A1E62CD">
        <w:rPr>
          <w:rFonts w:ascii="Arial" w:eastAsia="Arial" w:hAnsi="Arial" w:cs="Arial"/>
          <w:i/>
          <w:iCs/>
          <w:sz w:val="24"/>
          <w:szCs w:val="24"/>
        </w:rPr>
        <w:t>Flatpacks: A flatter furniture future</w:t>
      </w:r>
      <w:r w:rsidRPr="5A1E62CD">
        <w:rPr>
          <w:rFonts w:ascii="Arial" w:eastAsia="Arial" w:hAnsi="Arial" w:cs="Arial"/>
          <w:sz w:val="24"/>
          <w:szCs w:val="24"/>
        </w:rPr>
        <w:t xml:space="preserve">. IKEA Museum. Available at: </w:t>
      </w:r>
      <w:hyperlink r:id="rId28">
        <w:r w:rsidRPr="5A1E62CD">
          <w:rPr>
            <w:rStyle w:val="Hyperlink"/>
            <w:rFonts w:ascii="Arial" w:eastAsia="Arial" w:hAnsi="Arial" w:cs="Arial"/>
            <w:sz w:val="24"/>
            <w:szCs w:val="24"/>
          </w:rPr>
          <w:t>https://ikeamuseum.com/en/explore/the-story-of-ikea/flatpacks/?t=innovation</w:t>
        </w:r>
      </w:hyperlink>
      <w:r w:rsidRPr="5A1E62CD">
        <w:rPr>
          <w:rFonts w:ascii="Arial" w:eastAsia="Arial" w:hAnsi="Arial" w:cs="Arial"/>
          <w:sz w:val="24"/>
          <w:szCs w:val="24"/>
        </w:rPr>
        <w:t xml:space="preserve"> (Accessed 15 June 2026).</w:t>
      </w:r>
    </w:p>
    <w:p w14:paraId="3AF8F09F" w14:textId="22E2B061" w:rsidR="5A1E62CD" w:rsidRDefault="5A1E62CD" w:rsidP="5A1E62CD">
      <w:pPr>
        <w:spacing w:after="0" w:line="360" w:lineRule="auto"/>
        <w:jc w:val="both"/>
        <w:rPr>
          <w:rFonts w:ascii="Arial" w:eastAsia="Arial" w:hAnsi="Arial" w:cs="Arial"/>
          <w:sz w:val="24"/>
          <w:szCs w:val="24"/>
        </w:rPr>
      </w:pPr>
    </w:p>
    <w:p w14:paraId="21A4DCA9" w14:textId="6116C2FD" w:rsidR="268BE8A0" w:rsidRDefault="268BE8A0"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IKEA Museum (2026) </w:t>
      </w:r>
      <w:r w:rsidRPr="5A1E62CD">
        <w:rPr>
          <w:rFonts w:ascii="Arial" w:eastAsia="Arial" w:hAnsi="Arial" w:cs="Arial"/>
          <w:i/>
          <w:iCs/>
          <w:sz w:val="24"/>
          <w:szCs w:val="24"/>
        </w:rPr>
        <w:t>The Story of IKEA</w:t>
      </w:r>
      <w:r w:rsidRPr="5A1E62CD">
        <w:rPr>
          <w:rFonts w:ascii="Arial" w:eastAsia="Arial" w:hAnsi="Arial" w:cs="Arial"/>
          <w:sz w:val="24"/>
          <w:szCs w:val="24"/>
        </w:rPr>
        <w:t xml:space="preserve">. IKEA Museum. Available at: </w:t>
      </w:r>
      <w:hyperlink r:id="rId29">
        <w:r w:rsidRPr="5A1E62CD">
          <w:rPr>
            <w:rStyle w:val="Hyperlink"/>
            <w:rFonts w:ascii="Arial" w:eastAsia="Arial" w:hAnsi="Arial" w:cs="Arial"/>
            <w:sz w:val="24"/>
            <w:szCs w:val="24"/>
          </w:rPr>
          <w:t>https://ikeamuseum.com/en/explore/the-story-of-ikea/</w:t>
        </w:r>
      </w:hyperlink>
      <w:r w:rsidRPr="5A1E62CD">
        <w:rPr>
          <w:rFonts w:ascii="Arial" w:eastAsia="Arial" w:hAnsi="Arial" w:cs="Arial"/>
          <w:sz w:val="24"/>
          <w:szCs w:val="24"/>
        </w:rPr>
        <w:t xml:space="preserve"> (Accessed 15 June 2026).</w:t>
      </w:r>
    </w:p>
    <w:p w14:paraId="057070A2" w14:textId="7F3C123E" w:rsidR="268BE8A0" w:rsidRDefault="268BE8A0" w:rsidP="5A1E62CD">
      <w:pPr>
        <w:spacing w:after="0" w:line="360" w:lineRule="auto"/>
        <w:jc w:val="both"/>
        <w:rPr>
          <w:rFonts w:ascii="Arial" w:eastAsia="Arial" w:hAnsi="Arial" w:cs="Arial"/>
          <w:sz w:val="24"/>
          <w:szCs w:val="24"/>
        </w:rPr>
      </w:pPr>
      <w:r w:rsidRPr="5A1E62CD">
        <w:rPr>
          <w:rFonts w:ascii="Arial" w:eastAsia="Arial" w:hAnsi="Arial" w:cs="Arial"/>
          <w:color w:val="3A3A3A" w:themeColor="background2" w:themeShade="40"/>
          <w:sz w:val="24"/>
          <w:szCs w:val="24"/>
        </w:rPr>
        <w:t xml:space="preserve">Jiang, Y., Jia, F. and Gong, Y. (2018) “IKEA: global sourcing and the sustainable leather initiative,” </w:t>
      </w:r>
      <w:r w:rsidRPr="5A1E62CD">
        <w:rPr>
          <w:rFonts w:ascii="Arial" w:eastAsia="Arial" w:hAnsi="Arial" w:cs="Arial"/>
          <w:i/>
          <w:iCs/>
          <w:color w:val="3A3A3A" w:themeColor="background2" w:themeShade="40"/>
          <w:sz w:val="24"/>
          <w:szCs w:val="24"/>
        </w:rPr>
        <w:t>The international food and agribusiness management review</w:t>
      </w:r>
      <w:r w:rsidRPr="5A1E62CD">
        <w:rPr>
          <w:rFonts w:ascii="Arial" w:eastAsia="Arial" w:hAnsi="Arial" w:cs="Arial"/>
          <w:color w:val="3A3A3A" w:themeColor="background2" w:themeShade="40"/>
          <w:sz w:val="24"/>
          <w:szCs w:val="24"/>
        </w:rPr>
        <w:t xml:space="preserve">, 21(5), pp. 627–640. Available at: </w:t>
      </w:r>
      <w:hyperlink r:id="rId30">
        <w:r w:rsidRPr="5A1E62CD">
          <w:rPr>
            <w:rStyle w:val="Hyperlink"/>
            <w:rFonts w:ascii="Arial" w:eastAsia="Arial" w:hAnsi="Arial" w:cs="Arial"/>
            <w:color w:val="3A3A3A" w:themeColor="background2" w:themeShade="40"/>
            <w:sz w:val="24"/>
            <w:szCs w:val="24"/>
          </w:rPr>
          <w:t>https://doi.org/10.22434/IFAMR2017.0109</w:t>
        </w:r>
      </w:hyperlink>
      <w:r w:rsidRPr="5A1E62CD">
        <w:rPr>
          <w:rFonts w:ascii="Arial" w:eastAsia="Arial" w:hAnsi="Arial" w:cs="Arial"/>
          <w:color w:val="3A3A3A" w:themeColor="background2" w:themeShade="40"/>
          <w:sz w:val="24"/>
          <w:szCs w:val="24"/>
        </w:rPr>
        <w:t xml:space="preserve"> </w:t>
      </w:r>
      <w:r w:rsidRPr="5A1E62CD">
        <w:rPr>
          <w:rFonts w:ascii="Arial" w:eastAsia="Arial" w:hAnsi="Arial" w:cs="Arial"/>
          <w:sz w:val="24"/>
          <w:szCs w:val="24"/>
        </w:rPr>
        <w:t>(Accessed 12 July 2026).</w:t>
      </w:r>
    </w:p>
    <w:p w14:paraId="4FB376B4" w14:textId="460320E3" w:rsidR="268BE8A0" w:rsidRDefault="268BE8A0"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Johansson, U. and Thelander, Å. (2009) “A standardised approach to the world? IKEA in China,” </w:t>
      </w:r>
      <w:r w:rsidRPr="5A1E62CD">
        <w:rPr>
          <w:rFonts w:ascii="Arial" w:eastAsia="Arial" w:hAnsi="Arial" w:cs="Arial"/>
          <w:i/>
          <w:iCs/>
          <w:color w:val="3A3A3A" w:themeColor="background2" w:themeShade="40"/>
          <w:sz w:val="24"/>
          <w:szCs w:val="24"/>
        </w:rPr>
        <w:t>International journal of quality and service sciences</w:t>
      </w:r>
      <w:r w:rsidRPr="5A1E62CD">
        <w:rPr>
          <w:rFonts w:ascii="Arial" w:eastAsia="Arial" w:hAnsi="Arial" w:cs="Arial"/>
          <w:sz w:val="24"/>
          <w:szCs w:val="24"/>
        </w:rPr>
        <w:t xml:space="preserve">, 1(2), pp. 199–219. Available at: </w:t>
      </w:r>
      <w:hyperlink r:id="rId31">
        <w:r w:rsidRPr="5A1E62CD">
          <w:rPr>
            <w:rStyle w:val="Hyperlink"/>
            <w:rFonts w:ascii="Arial" w:eastAsia="Arial" w:hAnsi="Arial" w:cs="Arial"/>
            <w:sz w:val="24"/>
            <w:szCs w:val="24"/>
          </w:rPr>
          <w:t>https://doi.org/10.1108/17566690910971454</w:t>
        </w:r>
      </w:hyperlink>
      <w:r w:rsidRPr="5A1E62CD">
        <w:rPr>
          <w:rFonts w:ascii="Arial" w:eastAsia="Arial" w:hAnsi="Arial" w:cs="Arial"/>
          <w:sz w:val="24"/>
          <w:szCs w:val="24"/>
        </w:rPr>
        <w:t xml:space="preserve"> (Accessed 12 July 2026).</w:t>
      </w:r>
    </w:p>
    <w:p w14:paraId="0E9563C3" w14:textId="482A67AF" w:rsidR="268BE8A0" w:rsidRDefault="268BE8A0"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Koszewska, M. and Bielecki, M. (2020) “How to make furniture industry more circular? The role of component standardisation in ready-to-assemble furniture,” </w:t>
      </w:r>
      <w:r w:rsidRPr="5A1E62CD">
        <w:rPr>
          <w:rFonts w:ascii="Arial" w:eastAsia="Arial" w:hAnsi="Arial" w:cs="Arial"/>
          <w:i/>
          <w:iCs/>
          <w:color w:val="3A3A3A" w:themeColor="background2" w:themeShade="40"/>
          <w:sz w:val="24"/>
          <w:szCs w:val="24"/>
        </w:rPr>
        <w:lastRenderedPageBreak/>
        <w:t>Entrepreneurship and Sustainability Issues</w:t>
      </w:r>
      <w:r w:rsidRPr="5A1E62CD">
        <w:rPr>
          <w:rFonts w:ascii="Arial" w:eastAsia="Arial" w:hAnsi="Arial" w:cs="Arial"/>
          <w:sz w:val="24"/>
          <w:szCs w:val="24"/>
        </w:rPr>
        <w:t xml:space="preserve">, 7(3), pp. 1688–1707. Available at: </w:t>
      </w:r>
      <w:hyperlink r:id="rId32">
        <w:r w:rsidRPr="5A1E62CD">
          <w:rPr>
            <w:rStyle w:val="Hyperlink"/>
            <w:rFonts w:ascii="Arial" w:eastAsia="Arial" w:hAnsi="Arial" w:cs="Arial"/>
            <w:sz w:val="24"/>
            <w:szCs w:val="24"/>
          </w:rPr>
          <w:t>https://doi.org/10.9770/jesi.2020.7.3(17)</w:t>
        </w:r>
      </w:hyperlink>
      <w:r w:rsidRPr="5A1E62CD">
        <w:rPr>
          <w:rFonts w:ascii="Arial" w:eastAsia="Arial" w:hAnsi="Arial" w:cs="Arial"/>
          <w:sz w:val="24"/>
          <w:szCs w:val="24"/>
        </w:rPr>
        <w:t xml:space="preserve"> (Accessed 10 July 2026).</w:t>
      </w:r>
    </w:p>
    <w:p w14:paraId="0F364D31" w14:textId="0F55B2C3" w:rsidR="268BE8A0" w:rsidRDefault="268BE8A0"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Lindblom, A., Kautto, M. and Mitronen, L., (2026). Make Long-Term Strategic Choices. In </w:t>
      </w:r>
      <w:r w:rsidRPr="5A1E62CD">
        <w:rPr>
          <w:rFonts w:ascii="Arial" w:eastAsia="Arial" w:hAnsi="Arial" w:cs="Arial"/>
          <w:i/>
          <w:iCs/>
          <w:color w:val="222222"/>
          <w:sz w:val="24"/>
          <w:szCs w:val="24"/>
        </w:rPr>
        <w:t>Omnichannel Retail: A Strategic Approach for Planning and Decision Making</w:t>
      </w:r>
      <w:r w:rsidRPr="5A1E62CD">
        <w:rPr>
          <w:rFonts w:ascii="Arial" w:eastAsia="Arial" w:hAnsi="Arial" w:cs="Arial"/>
          <w:sz w:val="24"/>
          <w:szCs w:val="24"/>
        </w:rPr>
        <w:t xml:space="preserve"> (pp. 43-53). Cham: Springer Nature Switzerland.</w:t>
      </w:r>
    </w:p>
    <w:p w14:paraId="644B404B" w14:textId="308888C3" w:rsidR="64D49EED" w:rsidRDefault="64D49EED"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Mahuta, N., 2023. Aotearoa New Zealand's place in a troubled world. </w:t>
      </w:r>
      <w:r w:rsidRPr="5A1E62CD">
        <w:rPr>
          <w:rFonts w:ascii="Arial" w:eastAsia="Arial" w:hAnsi="Arial" w:cs="Arial"/>
          <w:i/>
          <w:iCs/>
          <w:color w:val="222222"/>
          <w:sz w:val="24"/>
          <w:szCs w:val="24"/>
        </w:rPr>
        <w:t>New Zealand International Review</w:t>
      </w:r>
      <w:r w:rsidRPr="5A1E62CD">
        <w:rPr>
          <w:rFonts w:ascii="Arial" w:eastAsia="Arial" w:hAnsi="Arial" w:cs="Arial"/>
          <w:sz w:val="24"/>
          <w:szCs w:val="24"/>
        </w:rPr>
        <w:t xml:space="preserve">, </w:t>
      </w:r>
      <w:r w:rsidRPr="5A1E62CD">
        <w:rPr>
          <w:rFonts w:ascii="Arial" w:eastAsia="Arial" w:hAnsi="Arial" w:cs="Arial"/>
          <w:i/>
          <w:iCs/>
          <w:color w:val="222222"/>
          <w:sz w:val="24"/>
          <w:szCs w:val="24"/>
        </w:rPr>
        <w:t>48</w:t>
      </w:r>
      <w:r w:rsidRPr="5A1E62CD">
        <w:rPr>
          <w:rFonts w:ascii="Arial" w:eastAsia="Arial" w:hAnsi="Arial" w:cs="Arial"/>
          <w:sz w:val="24"/>
          <w:szCs w:val="24"/>
        </w:rPr>
        <w:t>(5), pp.6-9.</w:t>
      </w:r>
    </w:p>
    <w:p w14:paraId="428AD763" w14:textId="066921CF" w:rsidR="64D49EED" w:rsidRDefault="64D49EED"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Mao, Y., Norkaew, O. and Liu, Y. (2020) “Parent-firm advantages and management control effects on subsidiary performance in emerging economies: a study of foreign direct investment in Thailand,” </w:t>
      </w:r>
      <w:r w:rsidRPr="5A1E62CD">
        <w:rPr>
          <w:rFonts w:ascii="Arial" w:eastAsia="Arial" w:hAnsi="Arial" w:cs="Arial"/>
          <w:i/>
          <w:iCs/>
          <w:sz w:val="24"/>
          <w:szCs w:val="24"/>
        </w:rPr>
        <w:t>Asia Pacific business review</w:t>
      </w:r>
      <w:r w:rsidRPr="5A1E62CD">
        <w:rPr>
          <w:rFonts w:ascii="Arial" w:eastAsia="Arial" w:hAnsi="Arial" w:cs="Arial"/>
          <w:sz w:val="24"/>
          <w:szCs w:val="24"/>
        </w:rPr>
        <w:t xml:space="preserve">, ahead-of-print(ahead-of-print), pp. 1–29. Available at: </w:t>
      </w:r>
      <w:hyperlink r:id="rId33">
        <w:r w:rsidRPr="5A1E62CD">
          <w:rPr>
            <w:rStyle w:val="Hyperlink"/>
            <w:rFonts w:ascii="Arial" w:eastAsia="Arial" w:hAnsi="Arial" w:cs="Arial"/>
            <w:color w:val="auto"/>
            <w:sz w:val="24"/>
            <w:szCs w:val="24"/>
          </w:rPr>
          <w:t>https://doi.org/10.1080/13602381.2020.1726047</w:t>
        </w:r>
      </w:hyperlink>
      <w:r w:rsidRPr="5A1E62CD">
        <w:rPr>
          <w:rFonts w:ascii="Arial" w:eastAsia="Arial" w:hAnsi="Arial" w:cs="Arial"/>
          <w:sz w:val="24"/>
          <w:szCs w:val="24"/>
        </w:rPr>
        <w:t xml:space="preserve"> (Accessed 15 July 2026).</w:t>
      </w:r>
    </w:p>
    <w:p w14:paraId="6480053A" w14:textId="7254FE35" w:rsidR="5A1E62CD" w:rsidRDefault="5A1E62CD" w:rsidP="5A1E62CD">
      <w:pPr>
        <w:spacing w:after="0" w:line="360" w:lineRule="auto"/>
        <w:jc w:val="both"/>
        <w:rPr>
          <w:rFonts w:ascii="Arial" w:eastAsia="Arial" w:hAnsi="Arial" w:cs="Arial"/>
          <w:sz w:val="24"/>
          <w:szCs w:val="24"/>
        </w:rPr>
      </w:pPr>
    </w:p>
    <w:p w14:paraId="55589530" w14:textId="369107A6" w:rsidR="64D49EED" w:rsidRDefault="64D49EED"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Mei-Hui, T., Ya-Chin, Y., Chen, Q., Guo-Zhen, C. and Chun-Wei, C., IKEA.(2020). </w:t>
      </w:r>
      <w:r w:rsidRPr="5A1E62CD">
        <w:rPr>
          <w:rFonts w:ascii="Arial" w:eastAsia="Arial" w:hAnsi="Arial" w:cs="Arial"/>
          <w:color w:val="3A3A3A" w:themeColor="background2" w:themeShade="40"/>
          <w:sz w:val="24"/>
          <w:szCs w:val="24"/>
        </w:rPr>
        <w:t xml:space="preserve">Available at: </w:t>
      </w:r>
      <w:hyperlink r:id="rId34" w:anchor="d=gs_cit&amp;t=1780427199452&amp;u=%2Fscholar%3Fq%3Dinfo%3AvHaRLBW6gJAJ%3Ascholar.google.com%2F%26output%3Dcite%26scirp%3D0%26hl%3Den">
        <w:r w:rsidRPr="5A1E62CD">
          <w:rPr>
            <w:rStyle w:val="Hyperlink"/>
            <w:rFonts w:ascii="Arial" w:eastAsia="Arial" w:hAnsi="Arial" w:cs="Arial"/>
            <w:sz w:val="24"/>
            <w:szCs w:val="24"/>
          </w:rPr>
          <w:t>https://scholar.google.com/scholar?hl=en&amp;as_sdt=0%2C5&amp;as_ylo=2020&amp;q=IKEA%27s+ESG+strategy+&amp;btnG=#d=gs_cit&amp;t=1780427199452&amp;u=%2Fscholar%3Fq%3Dinfo%3AvHaRLBW6gJAJ%3Ascholar.google.com%2F%26output%3Dcite%26scirp%3D0%26hl%3Den</w:t>
        </w:r>
      </w:hyperlink>
      <w:r w:rsidRPr="5A1E62CD">
        <w:rPr>
          <w:rFonts w:ascii="Arial" w:eastAsia="Arial" w:hAnsi="Arial" w:cs="Arial"/>
          <w:sz w:val="24"/>
          <w:szCs w:val="24"/>
        </w:rPr>
        <w:t xml:space="preserve">  (Accessed 15 July 2026).</w:t>
      </w:r>
    </w:p>
    <w:p w14:paraId="58D47905" w14:textId="1ACF5B2A" w:rsidR="64D49EED" w:rsidRDefault="64D49EED" w:rsidP="5A1E62CD">
      <w:pPr>
        <w:spacing w:after="0" w:line="360" w:lineRule="auto"/>
        <w:jc w:val="both"/>
        <w:rPr>
          <w:rFonts w:ascii="Arial" w:eastAsia="Arial" w:hAnsi="Arial" w:cs="Arial"/>
          <w:sz w:val="24"/>
          <w:szCs w:val="24"/>
        </w:rPr>
      </w:pPr>
      <w:r w:rsidRPr="5A1E62CD">
        <w:rPr>
          <w:rFonts w:ascii="Arial" w:eastAsia="Arial" w:hAnsi="Arial" w:cs="Arial"/>
          <w:color w:val="3A3A3A" w:themeColor="background2" w:themeShade="40"/>
          <w:sz w:val="24"/>
          <w:szCs w:val="24"/>
        </w:rPr>
        <w:t xml:space="preserve">Menzies, D. (2022) “Huaki : cultural landscape recognition needed for Māori to flourish in housing,” </w:t>
      </w:r>
      <w:r w:rsidRPr="5A1E62CD">
        <w:rPr>
          <w:rFonts w:ascii="Arial" w:eastAsia="Arial" w:hAnsi="Arial" w:cs="Arial"/>
          <w:i/>
          <w:iCs/>
          <w:color w:val="3A3A3A" w:themeColor="background2" w:themeShade="40"/>
          <w:sz w:val="24"/>
          <w:szCs w:val="24"/>
        </w:rPr>
        <w:t>Landscape review (Lincoln)</w:t>
      </w:r>
      <w:r w:rsidRPr="5A1E62CD">
        <w:rPr>
          <w:rFonts w:ascii="Arial" w:eastAsia="Arial" w:hAnsi="Arial" w:cs="Arial"/>
          <w:color w:val="3A3A3A" w:themeColor="background2" w:themeShade="40"/>
          <w:sz w:val="24"/>
          <w:szCs w:val="24"/>
        </w:rPr>
        <w:t xml:space="preserve">, 19(1), pp. 22–43. Available at: </w:t>
      </w:r>
      <w:hyperlink r:id="rId35">
        <w:r w:rsidRPr="5A1E62CD">
          <w:rPr>
            <w:rStyle w:val="Hyperlink"/>
            <w:rFonts w:ascii="Arial" w:eastAsia="Arial" w:hAnsi="Arial" w:cs="Arial"/>
            <w:color w:val="3A3A3A" w:themeColor="background2" w:themeShade="40"/>
            <w:sz w:val="24"/>
            <w:szCs w:val="24"/>
          </w:rPr>
          <w:t>https://doi.org/10.34900/lr.v19i1.1192</w:t>
        </w:r>
      </w:hyperlink>
      <w:r w:rsidRPr="5A1E62CD">
        <w:rPr>
          <w:rFonts w:ascii="Arial" w:eastAsia="Arial" w:hAnsi="Arial" w:cs="Arial"/>
          <w:color w:val="3A3A3A" w:themeColor="background2" w:themeShade="40"/>
          <w:sz w:val="24"/>
          <w:szCs w:val="24"/>
        </w:rPr>
        <w:t xml:space="preserve"> </w:t>
      </w:r>
      <w:r w:rsidRPr="5A1E62CD">
        <w:rPr>
          <w:rFonts w:ascii="Arial" w:eastAsia="Arial" w:hAnsi="Arial" w:cs="Arial"/>
          <w:sz w:val="24"/>
          <w:szCs w:val="24"/>
        </w:rPr>
        <w:t>(Accessed 12 July 2026).</w:t>
      </w:r>
    </w:p>
    <w:p w14:paraId="64866143" w14:textId="53FAD292" w:rsidR="64D49EED" w:rsidRDefault="64D49EED"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Ministry of Business, Innovation and Employment (2023) </w:t>
      </w:r>
      <w:r w:rsidRPr="5A1E62CD">
        <w:rPr>
          <w:rFonts w:ascii="Arial" w:eastAsia="Arial" w:hAnsi="Arial" w:cs="Arial"/>
          <w:i/>
          <w:iCs/>
          <w:sz w:val="24"/>
          <w:szCs w:val="24"/>
        </w:rPr>
        <w:t>Cost Recovery Impact Statement: Recovering the regulatory costs for major hazard facilities</w:t>
      </w:r>
      <w:r w:rsidRPr="5A1E62CD">
        <w:rPr>
          <w:rFonts w:ascii="Arial" w:eastAsia="Arial" w:hAnsi="Arial" w:cs="Arial"/>
          <w:sz w:val="24"/>
          <w:szCs w:val="24"/>
        </w:rPr>
        <w:t xml:space="preserve">. Available at: </w:t>
      </w:r>
      <w:hyperlink r:id="rId36">
        <w:r w:rsidRPr="5A1E62CD">
          <w:rPr>
            <w:rStyle w:val="Hyperlink"/>
            <w:rFonts w:ascii="Arial" w:eastAsia="Arial" w:hAnsi="Arial" w:cs="Arial"/>
            <w:sz w:val="24"/>
            <w:szCs w:val="24"/>
          </w:rPr>
          <w:t>https://www.mbie.govt.nz/dmsdocument/26301-recovering-the-regulatory-costs-for-major-hazard-facilities-cost-recovery-impact-statement-proactiverelease-pdf</w:t>
        </w:r>
      </w:hyperlink>
      <w:r w:rsidRPr="5A1E62CD">
        <w:rPr>
          <w:rFonts w:ascii="Arial" w:eastAsia="Arial" w:hAnsi="Arial" w:cs="Arial"/>
          <w:sz w:val="24"/>
          <w:szCs w:val="24"/>
        </w:rPr>
        <w:t xml:space="preserve"> (Accessed: 20 June 2026).</w:t>
      </w:r>
    </w:p>
    <w:p w14:paraId="1047EB83" w14:textId="27FEE3BD" w:rsidR="64D49EED" w:rsidRDefault="64D49EED"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Mohanty, S.,(2026). Analysis of IKEA: A Case Study.</w:t>
      </w:r>
    </w:p>
    <w:p w14:paraId="31BBE542" w14:textId="5771C63C" w:rsidR="0AD15765" w:rsidRDefault="0AD15765"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Nilsson, H., 2020. </w:t>
      </w:r>
      <w:r w:rsidRPr="5A1E62CD">
        <w:rPr>
          <w:rFonts w:ascii="Arial" w:eastAsia="Arial" w:hAnsi="Arial" w:cs="Arial"/>
          <w:i/>
          <w:iCs/>
          <w:color w:val="222222"/>
          <w:sz w:val="24"/>
          <w:szCs w:val="24"/>
        </w:rPr>
        <w:t>IKEA entry-Effects on firms in retail and hospitality</w:t>
      </w:r>
      <w:r w:rsidRPr="5A1E62CD">
        <w:rPr>
          <w:rFonts w:ascii="Arial" w:eastAsia="Arial" w:hAnsi="Arial" w:cs="Arial"/>
          <w:sz w:val="24"/>
          <w:szCs w:val="24"/>
        </w:rPr>
        <w:t xml:space="preserve"> (No. 11). HFI Working Paper.</w:t>
      </w:r>
    </w:p>
    <w:p w14:paraId="29FA8CC0" w14:textId="54CB5EC4" w:rsidR="0AD15765" w:rsidRDefault="0AD15765"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Roy, D., 2020. Impact of Consumer Market Preferences on Expansion Strategies: Strategies Used by IKEA in the International Market.</w:t>
      </w:r>
    </w:p>
    <w:p w14:paraId="0B1B4D8D" w14:textId="1EFF5766" w:rsidR="0AD15765" w:rsidRDefault="0AD15765"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lastRenderedPageBreak/>
        <w:t xml:space="preserve">Smith, D.C., 2024. A neglected design style: Colonial era hybrid architecture, furniture and interior decoration in Aotearoa New Zealand. </w:t>
      </w:r>
      <w:r w:rsidRPr="5A1E62CD">
        <w:rPr>
          <w:rFonts w:ascii="Arial" w:eastAsia="Arial" w:hAnsi="Arial" w:cs="Arial"/>
          <w:i/>
          <w:iCs/>
          <w:color w:val="222222"/>
          <w:sz w:val="24"/>
          <w:szCs w:val="24"/>
        </w:rPr>
        <w:t>Journal of New Zealand Studies</w:t>
      </w:r>
      <w:r w:rsidRPr="5A1E62CD">
        <w:rPr>
          <w:rFonts w:ascii="Arial" w:eastAsia="Arial" w:hAnsi="Arial" w:cs="Arial"/>
          <w:sz w:val="24"/>
          <w:szCs w:val="24"/>
        </w:rPr>
        <w:t>, (38), pp.31-65.</w:t>
      </w:r>
    </w:p>
    <w:p w14:paraId="465C4486" w14:textId="7F7C9A2A" w:rsidR="0AD15765" w:rsidRDefault="0AD15765"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Subrahmanyam, S., Santos, V. and Marcão, R., 2026. Market Entry Modes and Strategies. In </w:t>
      </w:r>
      <w:r w:rsidRPr="5A1E62CD">
        <w:rPr>
          <w:rFonts w:ascii="Arial" w:eastAsia="Arial" w:hAnsi="Arial" w:cs="Arial"/>
          <w:i/>
          <w:iCs/>
          <w:color w:val="222222"/>
          <w:sz w:val="24"/>
          <w:szCs w:val="24"/>
        </w:rPr>
        <w:t>Practices, Strategies, and Emerging Trends in Marketing for Global Expansion</w:t>
      </w:r>
      <w:r w:rsidRPr="5A1E62CD">
        <w:rPr>
          <w:rFonts w:ascii="Arial" w:eastAsia="Arial" w:hAnsi="Arial" w:cs="Arial"/>
          <w:sz w:val="24"/>
          <w:szCs w:val="24"/>
        </w:rPr>
        <w:t xml:space="preserve"> (pp. 45-78). IGI Global Scientific Publishing.</w:t>
      </w:r>
    </w:p>
    <w:p w14:paraId="0660E8E5" w14:textId="30737235" w:rsidR="0AD15765" w:rsidRDefault="0AD15765"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Tunyaplin, S. and Chanpuypetch, W. (2019) “Development of a performance measurement system for a home furniture delivery and assembly logistics provider in Thailand,” </w:t>
      </w:r>
      <w:r w:rsidRPr="5A1E62CD">
        <w:rPr>
          <w:rFonts w:ascii="Arial" w:eastAsia="Arial" w:hAnsi="Arial" w:cs="Arial"/>
          <w:i/>
          <w:iCs/>
          <w:sz w:val="24"/>
          <w:szCs w:val="24"/>
        </w:rPr>
        <w:t>International journal of business process integration and management</w:t>
      </w:r>
      <w:r w:rsidRPr="5A1E62CD">
        <w:rPr>
          <w:rFonts w:ascii="Arial" w:eastAsia="Arial" w:hAnsi="Arial" w:cs="Arial"/>
          <w:sz w:val="24"/>
          <w:szCs w:val="24"/>
        </w:rPr>
        <w:t xml:space="preserve">, 9(4), pp. 292–306. Available at: </w:t>
      </w:r>
      <w:hyperlink r:id="rId37">
        <w:r w:rsidRPr="5A1E62CD">
          <w:rPr>
            <w:rStyle w:val="Hyperlink"/>
            <w:rFonts w:ascii="Arial" w:eastAsia="Arial" w:hAnsi="Arial" w:cs="Arial"/>
            <w:color w:val="3A3A3A" w:themeColor="background2" w:themeShade="40"/>
            <w:sz w:val="24"/>
            <w:szCs w:val="24"/>
          </w:rPr>
          <w:t>https://doi.org/10.1504/IJBPIM.2019.105686</w:t>
        </w:r>
      </w:hyperlink>
      <w:r w:rsidRPr="5A1E62CD">
        <w:rPr>
          <w:rFonts w:ascii="Arial" w:eastAsia="Arial" w:hAnsi="Arial" w:cs="Arial"/>
          <w:sz w:val="24"/>
          <w:szCs w:val="24"/>
        </w:rPr>
        <w:t xml:space="preserve"> (Accessed 14 July 2026).</w:t>
      </w:r>
    </w:p>
    <w:p w14:paraId="5324B9B8" w14:textId="78935258" w:rsidR="0AD15765" w:rsidRDefault="0AD15765"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Villamor, G.B., Wakelin, S.J., Dunningham, A. and Clinton, P.W., 2023. Climate change adaptation behaviour of forest growers in New Zealand: an application of protection motivation theory. </w:t>
      </w:r>
      <w:r w:rsidRPr="5A1E62CD">
        <w:rPr>
          <w:rFonts w:ascii="Arial" w:eastAsia="Arial" w:hAnsi="Arial" w:cs="Arial"/>
          <w:i/>
          <w:iCs/>
          <w:color w:val="222222"/>
          <w:sz w:val="24"/>
          <w:szCs w:val="24"/>
        </w:rPr>
        <w:t>Climatic Change</w:t>
      </w:r>
      <w:r w:rsidRPr="5A1E62CD">
        <w:rPr>
          <w:rFonts w:ascii="Arial" w:eastAsia="Arial" w:hAnsi="Arial" w:cs="Arial"/>
          <w:sz w:val="24"/>
          <w:szCs w:val="24"/>
        </w:rPr>
        <w:t xml:space="preserve">, </w:t>
      </w:r>
      <w:r w:rsidRPr="5A1E62CD">
        <w:rPr>
          <w:rFonts w:ascii="Arial" w:eastAsia="Arial" w:hAnsi="Arial" w:cs="Arial"/>
          <w:i/>
          <w:iCs/>
          <w:color w:val="222222"/>
          <w:sz w:val="24"/>
          <w:szCs w:val="24"/>
        </w:rPr>
        <w:t>176</w:t>
      </w:r>
      <w:r w:rsidRPr="5A1E62CD">
        <w:rPr>
          <w:rFonts w:ascii="Arial" w:eastAsia="Arial" w:hAnsi="Arial" w:cs="Arial"/>
          <w:sz w:val="24"/>
          <w:szCs w:val="24"/>
        </w:rPr>
        <w:t>(2), p.3.</w:t>
      </w:r>
    </w:p>
    <w:p w14:paraId="54049C9D" w14:textId="468FC942" w:rsidR="0AD15765" w:rsidRDefault="0AD15765"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Xi, J. </w:t>
      </w:r>
      <w:r w:rsidRPr="5A1E62CD">
        <w:rPr>
          <w:rFonts w:ascii="Arial" w:eastAsia="Arial" w:hAnsi="Arial" w:cs="Arial"/>
          <w:i/>
          <w:iCs/>
          <w:sz w:val="24"/>
          <w:szCs w:val="24"/>
        </w:rPr>
        <w:t>et al.</w:t>
      </w:r>
      <w:r w:rsidRPr="5A1E62CD">
        <w:rPr>
          <w:rFonts w:ascii="Arial" w:eastAsia="Arial" w:hAnsi="Arial" w:cs="Arial"/>
          <w:sz w:val="24"/>
          <w:szCs w:val="24"/>
        </w:rPr>
        <w:t xml:space="preserve"> (2020) “Employees Perspectives of the Determinants of Corporate Culture in Western-based Multinational Corporations Operating in China,” </w:t>
      </w:r>
      <w:r w:rsidRPr="5A1E62CD">
        <w:rPr>
          <w:rFonts w:ascii="Arial" w:eastAsia="Arial" w:hAnsi="Arial" w:cs="Arial"/>
          <w:i/>
          <w:iCs/>
          <w:sz w:val="24"/>
          <w:szCs w:val="24"/>
        </w:rPr>
        <w:t>Revista argentina de clínica psicológica</w:t>
      </w:r>
      <w:r w:rsidRPr="5A1E62CD">
        <w:rPr>
          <w:rFonts w:ascii="Arial" w:eastAsia="Arial" w:hAnsi="Arial" w:cs="Arial"/>
          <w:sz w:val="24"/>
          <w:szCs w:val="24"/>
        </w:rPr>
        <w:t xml:space="preserve">, 29(5), p. 392. Available at: </w:t>
      </w:r>
      <w:hyperlink r:id="rId38">
        <w:r w:rsidRPr="5A1E62CD">
          <w:rPr>
            <w:rStyle w:val="Hyperlink"/>
            <w:rFonts w:ascii="Arial" w:eastAsia="Arial" w:hAnsi="Arial" w:cs="Arial"/>
            <w:color w:val="3A3A3A" w:themeColor="background2" w:themeShade="40"/>
            <w:sz w:val="24"/>
            <w:szCs w:val="24"/>
          </w:rPr>
          <w:t>https://doi.org/10.24205/03276716.2020.1038</w:t>
        </w:r>
      </w:hyperlink>
      <w:r w:rsidRPr="5A1E62CD">
        <w:rPr>
          <w:rFonts w:ascii="Arial" w:eastAsia="Arial" w:hAnsi="Arial" w:cs="Arial"/>
          <w:sz w:val="24"/>
          <w:szCs w:val="24"/>
        </w:rPr>
        <w:t xml:space="preserve"> (Accessed 20 July 2026).</w:t>
      </w:r>
    </w:p>
    <w:p w14:paraId="68EE6193" w14:textId="5A6782D7" w:rsidR="35CC2674" w:rsidRDefault="35CC2674"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Yang Yang and Shiming Li (2009) “A Study on Novelty-Centered Business Model Based on Value Co-Creation of IKEA,” </w:t>
      </w:r>
      <w:r w:rsidRPr="5A1E62CD">
        <w:rPr>
          <w:rFonts w:ascii="Arial" w:eastAsia="Arial" w:hAnsi="Arial" w:cs="Arial"/>
          <w:i/>
          <w:iCs/>
          <w:sz w:val="24"/>
          <w:szCs w:val="24"/>
        </w:rPr>
        <w:t>2009 International Conference on E-Business and Information System Security</w:t>
      </w:r>
      <w:r w:rsidRPr="5A1E62CD">
        <w:rPr>
          <w:rFonts w:ascii="Arial" w:eastAsia="Arial" w:hAnsi="Arial" w:cs="Arial"/>
          <w:sz w:val="24"/>
          <w:szCs w:val="24"/>
        </w:rPr>
        <w:t xml:space="preserve">. IEEE, pp. 1–4. Available at: </w:t>
      </w:r>
      <w:hyperlink r:id="rId39">
        <w:r w:rsidRPr="5A1E62CD">
          <w:rPr>
            <w:rStyle w:val="Hyperlink"/>
            <w:rFonts w:ascii="Arial" w:eastAsia="Arial" w:hAnsi="Arial" w:cs="Arial"/>
            <w:color w:val="3A3A3A" w:themeColor="background2" w:themeShade="40"/>
            <w:sz w:val="24"/>
            <w:szCs w:val="24"/>
          </w:rPr>
          <w:t>https://doi.org/10.1109/EBISS.2009.5137903</w:t>
        </w:r>
      </w:hyperlink>
      <w:r w:rsidRPr="5A1E62CD">
        <w:rPr>
          <w:rFonts w:ascii="Arial" w:eastAsia="Arial" w:hAnsi="Arial" w:cs="Arial"/>
          <w:sz w:val="24"/>
          <w:szCs w:val="24"/>
        </w:rPr>
        <w:t xml:space="preserve"> (Accessed 10 July 2026).</w:t>
      </w:r>
    </w:p>
    <w:p w14:paraId="5A45C164" w14:textId="26432EA4" w:rsidR="35CC2674" w:rsidRDefault="35CC2674" w:rsidP="5A1E62CD">
      <w:pPr>
        <w:spacing w:after="0" w:line="360" w:lineRule="auto"/>
        <w:jc w:val="both"/>
        <w:rPr>
          <w:rFonts w:ascii="Arial" w:eastAsia="Arial" w:hAnsi="Arial" w:cs="Arial"/>
          <w:sz w:val="24"/>
          <w:szCs w:val="24"/>
        </w:rPr>
      </w:pPr>
      <w:r w:rsidRPr="5A1E62CD">
        <w:rPr>
          <w:rFonts w:ascii="Arial" w:eastAsia="Arial" w:hAnsi="Arial" w:cs="Arial"/>
          <w:sz w:val="24"/>
          <w:szCs w:val="24"/>
        </w:rPr>
        <w:t xml:space="preserve">Šarić, L., (2025). </w:t>
      </w:r>
      <w:r w:rsidRPr="5A1E62CD">
        <w:rPr>
          <w:rFonts w:ascii="Arial" w:eastAsia="Arial" w:hAnsi="Arial" w:cs="Arial"/>
          <w:i/>
          <w:iCs/>
          <w:color w:val="222222"/>
          <w:sz w:val="24"/>
          <w:szCs w:val="24"/>
        </w:rPr>
        <w:t>Franchising as a Growth Model</w:t>
      </w:r>
      <w:r w:rsidRPr="5A1E62CD">
        <w:rPr>
          <w:rFonts w:ascii="Arial" w:eastAsia="Arial" w:hAnsi="Arial" w:cs="Arial"/>
          <w:sz w:val="24"/>
          <w:szCs w:val="24"/>
        </w:rPr>
        <w:t xml:space="preserve"> (Doctoral dissertation, Sveučilište u Zagrebu, Sveučilište u Zagrebu Ekonomski fakultet, Katedra za poduzetništvo).</w:t>
      </w:r>
    </w:p>
    <w:p w14:paraId="7CE22876" w14:textId="6C56E92F" w:rsidR="5A1E62CD" w:rsidRDefault="5A1E62CD" w:rsidP="5A1E62CD">
      <w:pPr>
        <w:spacing w:after="0"/>
        <w:rPr>
          <w:rFonts w:ascii="Arial" w:eastAsia="Arial" w:hAnsi="Arial" w:cs="Arial"/>
          <w:sz w:val="24"/>
          <w:szCs w:val="24"/>
        </w:rPr>
      </w:pPr>
    </w:p>
    <w:p w14:paraId="01A6D9BC" w14:textId="7455AC1E" w:rsidR="5A1E62CD" w:rsidRDefault="5A1E62CD" w:rsidP="5A1E62CD">
      <w:pPr>
        <w:spacing w:after="0"/>
        <w:rPr>
          <w:rFonts w:ascii="Arial" w:eastAsia="Arial" w:hAnsi="Arial" w:cs="Arial"/>
          <w:sz w:val="24"/>
          <w:szCs w:val="24"/>
        </w:rPr>
      </w:pPr>
    </w:p>
    <w:p w14:paraId="42F19644" w14:textId="12FFFE72" w:rsidR="5A1E62CD" w:rsidRDefault="5A1E62CD" w:rsidP="5A1E62CD">
      <w:pPr>
        <w:spacing w:after="0"/>
        <w:rPr>
          <w:rFonts w:ascii="Arial" w:eastAsia="Arial" w:hAnsi="Arial" w:cs="Arial"/>
          <w:sz w:val="24"/>
          <w:szCs w:val="24"/>
        </w:rPr>
      </w:pPr>
    </w:p>
    <w:p w14:paraId="1AE3AB10" w14:textId="583FCB68" w:rsidR="5A1E62CD" w:rsidRDefault="5A1E62CD" w:rsidP="5A1E62CD">
      <w:pPr>
        <w:spacing w:after="0"/>
        <w:rPr>
          <w:rFonts w:ascii="Arial" w:eastAsia="Arial" w:hAnsi="Arial" w:cs="Arial"/>
          <w:sz w:val="24"/>
          <w:szCs w:val="24"/>
        </w:rPr>
      </w:pPr>
    </w:p>
    <w:p w14:paraId="54C0F185" w14:textId="7F29A095" w:rsidR="5A1E62CD" w:rsidRDefault="5A1E62CD" w:rsidP="5A1E62CD">
      <w:pPr>
        <w:spacing w:after="0"/>
        <w:rPr>
          <w:rFonts w:ascii="Arial" w:eastAsia="Arial" w:hAnsi="Arial" w:cs="Arial"/>
          <w:sz w:val="24"/>
          <w:szCs w:val="24"/>
        </w:rPr>
      </w:pPr>
    </w:p>
    <w:p w14:paraId="28104217" w14:textId="10595C68" w:rsidR="5A1E62CD" w:rsidRDefault="5A1E62CD" w:rsidP="5A1E62CD">
      <w:pPr>
        <w:spacing w:after="0"/>
        <w:rPr>
          <w:rFonts w:ascii="Arial" w:eastAsia="Arial" w:hAnsi="Arial" w:cs="Arial"/>
          <w:sz w:val="24"/>
          <w:szCs w:val="24"/>
        </w:rPr>
      </w:pPr>
    </w:p>
    <w:p w14:paraId="461055AA" w14:textId="6572BA43" w:rsidR="5A1E62CD" w:rsidRDefault="5A1E62CD" w:rsidP="5A1E62CD">
      <w:pPr>
        <w:spacing w:after="0"/>
        <w:rPr>
          <w:rFonts w:ascii="Arial" w:eastAsia="Arial" w:hAnsi="Arial" w:cs="Arial"/>
          <w:sz w:val="24"/>
          <w:szCs w:val="24"/>
        </w:rPr>
      </w:pPr>
    </w:p>
    <w:p w14:paraId="632395F6" w14:textId="64F99DFD" w:rsidR="5A1E62CD" w:rsidRDefault="5A1E62CD" w:rsidP="5A1E62CD">
      <w:pPr>
        <w:spacing w:after="0"/>
        <w:rPr>
          <w:rFonts w:ascii="Arial" w:eastAsia="Arial" w:hAnsi="Arial" w:cs="Arial"/>
          <w:sz w:val="24"/>
          <w:szCs w:val="24"/>
        </w:rPr>
      </w:pPr>
    </w:p>
    <w:p w14:paraId="00590550" w14:textId="4081AADF" w:rsidR="5A1E62CD" w:rsidRDefault="5A1E62CD" w:rsidP="5A1E62CD">
      <w:pPr>
        <w:spacing w:after="0"/>
        <w:rPr>
          <w:rFonts w:ascii="Arial" w:eastAsia="Arial" w:hAnsi="Arial" w:cs="Arial"/>
          <w:sz w:val="24"/>
          <w:szCs w:val="24"/>
        </w:rPr>
      </w:pPr>
    </w:p>
    <w:p w14:paraId="2AC5DCDD" w14:textId="2DCEE342" w:rsidR="5A1E62CD" w:rsidRDefault="5A1E62CD" w:rsidP="5A1E62CD"/>
    <w:p w14:paraId="2F46E193" w14:textId="5414DAD3" w:rsidR="5A1E62CD" w:rsidRDefault="5A1E62CD" w:rsidP="5A1E62CD">
      <w:pPr>
        <w:rPr>
          <w:rFonts w:ascii="Arial" w:eastAsia="Arial" w:hAnsi="Arial" w:cs="Arial"/>
          <w:sz w:val="24"/>
          <w:szCs w:val="24"/>
        </w:rPr>
      </w:pPr>
    </w:p>
    <w:p w14:paraId="5EE8F304" w14:textId="20A780CF" w:rsidR="4C3DC9EF" w:rsidRDefault="4C3DC9EF" w:rsidP="4C3DC9EF"/>
    <w:p w14:paraId="1E255C90" w14:textId="77777777" w:rsidR="00A60C93" w:rsidRDefault="00A60C93"/>
    <w:p w14:paraId="755DF087" w14:textId="77777777" w:rsidR="00A60C93" w:rsidRDefault="00A60C93"/>
    <w:p w14:paraId="76DED5FE" w14:textId="77777777" w:rsidR="00A60C93" w:rsidRDefault="00A60C93"/>
    <w:p w14:paraId="516527F8" w14:textId="77777777" w:rsidR="00A60C93" w:rsidRDefault="00A60C93"/>
    <w:p w14:paraId="1A34DF48" w14:textId="77777777" w:rsidR="00A60C93" w:rsidRDefault="00A60C93"/>
    <w:p w14:paraId="6C9DF5CE" w14:textId="77777777" w:rsidR="00A60C93" w:rsidRDefault="00A60C93"/>
    <w:p w14:paraId="2C77C2F8" w14:textId="77777777" w:rsidR="00A60C93" w:rsidRDefault="00A60C93"/>
    <w:p w14:paraId="79CA511C" w14:textId="77777777" w:rsidR="00A60C93" w:rsidRDefault="00A60C93"/>
    <w:p w14:paraId="69CBFEDD" w14:textId="77777777" w:rsidR="00A60C93" w:rsidRDefault="00A60C93"/>
    <w:p w14:paraId="7C563702" w14:textId="77777777" w:rsidR="00A60C93" w:rsidRDefault="00A60C93"/>
    <w:p w14:paraId="365A357D" w14:textId="77777777" w:rsidR="00A60C93" w:rsidRDefault="00A60C93"/>
    <w:p w14:paraId="7620CCBD" w14:textId="77777777" w:rsidR="00A60C93" w:rsidRDefault="00A60C93"/>
    <w:p w14:paraId="44B351BA" w14:textId="77777777" w:rsidR="00A60C93" w:rsidRDefault="00A60C93"/>
    <w:p w14:paraId="45998B77" w14:textId="77777777" w:rsidR="00A60C93" w:rsidRDefault="00A60C93"/>
    <w:p w14:paraId="39481B1E" w14:textId="77777777" w:rsidR="00A60C93" w:rsidRDefault="00A60C93"/>
    <w:p w14:paraId="5C940088" w14:textId="77777777" w:rsidR="00A60C93" w:rsidRDefault="00A60C93"/>
    <w:p w14:paraId="5AB3FF53" w14:textId="0EE5C86D" w:rsidR="00A60C93" w:rsidRDefault="00A60C93"/>
    <w:sectPr w:rsidR="00A60C93">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291B44" w14:textId="77777777" w:rsidR="00542564" w:rsidRDefault="00542564" w:rsidP="00A60C93">
      <w:pPr>
        <w:spacing w:after="0" w:line="240" w:lineRule="auto"/>
      </w:pPr>
      <w:r>
        <w:separator/>
      </w:r>
    </w:p>
  </w:endnote>
  <w:endnote w:type="continuationSeparator" w:id="0">
    <w:p w14:paraId="3D8CF480" w14:textId="77777777" w:rsidR="00542564" w:rsidRDefault="00542564" w:rsidP="00A60C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8865969"/>
      <w:docPartObj>
        <w:docPartGallery w:val="Page Numbers (Bottom of Page)"/>
        <w:docPartUnique/>
      </w:docPartObj>
    </w:sdtPr>
    <w:sdtContent>
      <w:p w14:paraId="6682077A" w14:textId="4AE43638" w:rsidR="00A60C93" w:rsidRDefault="00A60C93">
        <w:pPr>
          <w:pStyle w:val="Footer"/>
          <w:jc w:val="center"/>
        </w:pPr>
        <w:r>
          <w:fldChar w:fldCharType="begin"/>
        </w:r>
        <w:r>
          <w:instrText>PAGE   \* MERGEFORMAT</w:instrText>
        </w:r>
        <w:r>
          <w:fldChar w:fldCharType="separate"/>
        </w:r>
        <w:r>
          <w:t>2</w:t>
        </w:r>
        <w:r>
          <w:fldChar w:fldCharType="end"/>
        </w:r>
      </w:p>
    </w:sdtContent>
  </w:sdt>
  <w:p w14:paraId="0C48756B" w14:textId="77777777" w:rsidR="00A60C93" w:rsidRDefault="00A60C93">
    <w:pPr>
      <w:pStyle w:val="Footer"/>
    </w:pPr>
  </w:p>
  <w:p w14:paraId="34A1FA1E" w14:textId="77777777" w:rsidR="00A60C93" w:rsidRDefault="00A60C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40E9BD" w14:textId="77777777" w:rsidR="00542564" w:rsidRDefault="00542564" w:rsidP="00A60C93">
      <w:pPr>
        <w:spacing w:after="0" w:line="240" w:lineRule="auto"/>
      </w:pPr>
      <w:r>
        <w:separator/>
      </w:r>
    </w:p>
  </w:footnote>
  <w:footnote w:type="continuationSeparator" w:id="0">
    <w:p w14:paraId="7F9C7B14" w14:textId="77777777" w:rsidR="00542564" w:rsidRDefault="00542564" w:rsidP="00A60C9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VIkFfrAZA79Wx4" int2:id="Mtew0YVN">
      <int2:state int2:value="Rejected" int2:type="spell"/>
    </int2:textHash>
    <int2:textHash int2:hashCode="5ppQtZrCymEWt2" int2:id="D2nPolGP">
      <int2:state int2:value="Rejected" int2:type="spell"/>
    </int2:textHash>
    <int2:textHash int2:hashCode="QjlVNGXhS7quJp" int2:id="X3NMXaL4">
      <int2:state int2:value="Rejected" int2:type="spell"/>
    </int2:textHash>
    <int2:textHash int2:hashCode="5nsXDkiWqpCFT+" int2:id="QNclpo6F">
      <int2:state int2:value="Rejected" int2:type="spell"/>
    </int2:textHash>
    <int2:textHash int2:hashCode="igVc1H4frX63+g" int2:id="aPjGWRgH">
      <int2:state int2:value="Rejected" int2:type="spell"/>
    </int2:textHash>
    <int2:textHash int2:hashCode="TB87WMCgPD+B3O" int2:id="oTS5VfMx">
      <int2:state int2:value="Rejected" int2:type="spell"/>
    </int2:textHash>
    <int2:textHash int2:hashCode="k/hlpei97XJTgw" int2:id="gD2hqZPq">
      <int2:state int2:value="Rejected" int2:type="spell"/>
    </int2:textHash>
    <int2:textHash int2:hashCode="/3kGZmtVtCbOK2" int2:id="4mXkrVKs">
      <int2:state int2:value="Rejected" int2:type="spell"/>
    </int2:textHash>
    <int2:textHash int2:hashCode="UNFj7tOzWcr5Gp" int2:id="doycGqxC">
      <int2:state int2:value="Rejected" int2:type="spell"/>
    </int2:textHash>
    <int2:textHash int2:hashCode="aIgbrAg7iwGxJQ" int2:id="C8MCC8hM">
      <int2:state int2:value="Rejected" int2:type="spell"/>
    </int2:textHash>
    <int2:textHash int2:hashCode="uopF5PHfKebZVW" int2:id="PLIQ7UQZ">
      <int2:state int2:value="Rejected" int2:type="spell"/>
    </int2:textHash>
    <int2:textHash int2:hashCode="XLzsrEcNvx2b0N" int2:id="Ikfibinb">
      <int2:state int2:value="Rejected" int2:type="spell"/>
    </int2:textHash>
    <int2:bookmark int2:bookmarkName="_Int_3o9k7jQV" int2:invalidationBookmarkName="" int2:hashCode="pheo7S8n/tU5Uv" int2:id="K2hYk6nY">
      <int2:state int2:value="Rejected" int2:type="style"/>
    </int2:bookmark>
    <int2:bookmark int2:bookmarkName="_Int_yrmswr97" int2:invalidationBookmarkName="" int2:hashCode="v/I4Zu4vdXTEex" int2:id="jPCA4v2E">
      <int2:state int2:value="Rejected" int2:type="spell"/>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C93"/>
    <w:rsid w:val="00007A70"/>
    <w:rsid w:val="00016174"/>
    <w:rsid w:val="00083926"/>
    <w:rsid w:val="000918A5"/>
    <w:rsid w:val="00093022"/>
    <w:rsid w:val="000A09E1"/>
    <w:rsid w:val="000B50EC"/>
    <w:rsid w:val="000F727A"/>
    <w:rsid w:val="00101329"/>
    <w:rsid w:val="00124686"/>
    <w:rsid w:val="001347E0"/>
    <w:rsid w:val="00163430"/>
    <w:rsid w:val="001701A9"/>
    <w:rsid w:val="00171AD5"/>
    <w:rsid w:val="0017621E"/>
    <w:rsid w:val="001A7F8A"/>
    <w:rsid w:val="001D6C2E"/>
    <w:rsid w:val="001F279A"/>
    <w:rsid w:val="001F2A01"/>
    <w:rsid w:val="001F6D7B"/>
    <w:rsid w:val="0021404D"/>
    <w:rsid w:val="002449E1"/>
    <w:rsid w:val="00257366"/>
    <w:rsid w:val="00294E2F"/>
    <w:rsid w:val="002C0686"/>
    <w:rsid w:val="002C0C89"/>
    <w:rsid w:val="002C40D1"/>
    <w:rsid w:val="002D58D3"/>
    <w:rsid w:val="002F51EF"/>
    <w:rsid w:val="00312BD7"/>
    <w:rsid w:val="00312EE9"/>
    <w:rsid w:val="00315421"/>
    <w:rsid w:val="00324E5D"/>
    <w:rsid w:val="00372FDC"/>
    <w:rsid w:val="003B2903"/>
    <w:rsid w:val="003D3A8E"/>
    <w:rsid w:val="003E13EE"/>
    <w:rsid w:val="004303B6"/>
    <w:rsid w:val="0043707E"/>
    <w:rsid w:val="004440A4"/>
    <w:rsid w:val="00493CE0"/>
    <w:rsid w:val="004A56C4"/>
    <w:rsid w:val="004A59E1"/>
    <w:rsid w:val="004C7F45"/>
    <w:rsid w:val="004E3F94"/>
    <w:rsid w:val="004E4010"/>
    <w:rsid w:val="00536C1A"/>
    <w:rsid w:val="00542564"/>
    <w:rsid w:val="00555A73"/>
    <w:rsid w:val="00571469"/>
    <w:rsid w:val="005A32FD"/>
    <w:rsid w:val="005A4528"/>
    <w:rsid w:val="005F5F81"/>
    <w:rsid w:val="00615B9E"/>
    <w:rsid w:val="00630E6C"/>
    <w:rsid w:val="00640E02"/>
    <w:rsid w:val="00656A0F"/>
    <w:rsid w:val="00660119"/>
    <w:rsid w:val="006607A3"/>
    <w:rsid w:val="006A6B98"/>
    <w:rsid w:val="006E5C67"/>
    <w:rsid w:val="00706B35"/>
    <w:rsid w:val="0071586F"/>
    <w:rsid w:val="00734440"/>
    <w:rsid w:val="0073CA5C"/>
    <w:rsid w:val="00767984"/>
    <w:rsid w:val="0077263C"/>
    <w:rsid w:val="00772971"/>
    <w:rsid w:val="0077416A"/>
    <w:rsid w:val="007774DC"/>
    <w:rsid w:val="00785C6C"/>
    <w:rsid w:val="0079438B"/>
    <w:rsid w:val="007A388D"/>
    <w:rsid w:val="007A692C"/>
    <w:rsid w:val="007A6DEC"/>
    <w:rsid w:val="007B54EA"/>
    <w:rsid w:val="007C1AC3"/>
    <w:rsid w:val="007C1F65"/>
    <w:rsid w:val="00836EED"/>
    <w:rsid w:val="00856465"/>
    <w:rsid w:val="00885B00"/>
    <w:rsid w:val="008A104A"/>
    <w:rsid w:val="008B5849"/>
    <w:rsid w:val="008E7EDF"/>
    <w:rsid w:val="008F15B1"/>
    <w:rsid w:val="009046E6"/>
    <w:rsid w:val="00906598"/>
    <w:rsid w:val="009446AC"/>
    <w:rsid w:val="00955E98"/>
    <w:rsid w:val="00970B36"/>
    <w:rsid w:val="00972876"/>
    <w:rsid w:val="00993C6E"/>
    <w:rsid w:val="009A048D"/>
    <w:rsid w:val="009B4E13"/>
    <w:rsid w:val="009D26CA"/>
    <w:rsid w:val="00A067CC"/>
    <w:rsid w:val="00A14BDC"/>
    <w:rsid w:val="00A1CA57"/>
    <w:rsid w:val="00A34666"/>
    <w:rsid w:val="00A45213"/>
    <w:rsid w:val="00A52CD3"/>
    <w:rsid w:val="00A60C93"/>
    <w:rsid w:val="00AA1829"/>
    <w:rsid w:val="00AC75F1"/>
    <w:rsid w:val="00AD3E1E"/>
    <w:rsid w:val="00AE3F2A"/>
    <w:rsid w:val="00AF2644"/>
    <w:rsid w:val="00AF4E52"/>
    <w:rsid w:val="00AF5099"/>
    <w:rsid w:val="00B06995"/>
    <w:rsid w:val="00B15576"/>
    <w:rsid w:val="00B252C5"/>
    <w:rsid w:val="00B31D3E"/>
    <w:rsid w:val="00B70615"/>
    <w:rsid w:val="00BA3C07"/>
    <w:rsid w:val="00BC5897"/>
    <w:rsid w:val="00BE77A6"/>
    <w:rsid w:val="00BF323A"/>
    <w:rsid w:val="00C01CBA"/>
    <w:rsid w:val="00C268C5"/>
    <w:rsid w:val="00C30EA6"/>
    <w:rsid w:val="00C313EB"/>
    <w:rsid w:val="00C34013"/>
    <w:rsid w:val="00C93043"/>
    <w:rsid w:val="00CA49C5"/>
    <w:rsid w:val="00CD503D"/>
    <w:rsid w:val="00CE0713"/>
    <w:rsid w:val="00CE42AA"/>
    <w:rsid w:val="00D00210"/>
    <w:rsid w:val="00D03509"/>
    <w:rsid w:val="00D634CE"/>
    <w:rsid w:val="00D860C2"/>
    <w:rsid w:val="00DA5DFC"/>
    <w:rsid w:val="00DB1355"/>
    <w:rsid w:val="00DB18BD"/>
    <w:rsid w:val="00DC064C"/>
    <w:rsid w:val="00DC2675"/>
    <w:rsid w:val="00DE1554"/>
    <w:rsid w:val="00DE1E04"/>
    <w:rsid w:val="00E154CA"/>
    <w:rsid w:val="00E33A7C"/>
    <w:rsid w:val="00E35D46"/>
    <w:rsid w:val="00E45B47"/>
    <w:rsid w:val="00E575F2"/>
    <w:rsid w:val="00E631E9"/>
    <w:rsid w:val="00E92736"/>
    <w:rsid w:val="00EA1516"/>
    <w:rsid w:val="00EA7D4C"/>
    <w:rsid w:val="00EB2E45"/>
    <w:rsid w:val="00EE0B96"/>
    <w:rsid w:val="00EF6598"/>
    <w:rsid w:val="00F11A87"/>
    <w:rsid w:val="00F135D7"/>
    <w:rsid w:val="00F24BA5"/>
    <w:rsid w:val="00F52969"/>
    <w:rsid w:val="00F53776"/>
    <w:rsid w:val="00F65F17"/>
    <w:rsid w:val="00F718CF"/>
    <w:rsid w:val="00F953A0"/>
    <w:rsid w:val="00F97BD4"/>
    <w:rsid w:val="00FA3256"/>
    <w:rsid w:val="00FA4C81"/>
    <w:rsid w:val="00FF613D"/>
    <w:rsid w:val="0111B100"/>
    <w:rsid w:val="013E1D92"/>
    <w:rsid w:val="01A22B84"/>
    <w:rsid w:val="01BC8C0C"/>
    <w:rsid w:val="02233A45"/>
    <w:rsid w:val="0249114D"/>
    <w:rsid w:val="024DC5AB"/>
    <w:rsid w:val="02776A02"/>
    <w:rsid w:val="027C37D1"/>
    <w:rsid w:val="034F786B"/>
    <w:rsid w:val="03885517"/>
    <w:rsid w:val="04144607"/>
    <w:rsid w:val="0445EBB3"/>
    <w:rsid w:val="04856D7E"/>
    <w:rsid w:val="04937F7D"/>
    <w:rsid w:val="04965CAB"/>
    <w:rsid w:val="049FE7BF"/>
    <w:rsid w:val="04AA2858"/>
    <w:rsid w:val="04D80EF3"/>
    <w:rsid w:val="05405AFB"/>
    <w:rsid w:val="05CB5D6D"/>
    <w:rsid w:val="05E4BE9D"/>
    <w:rsid w:val="05EC0EC3"/>
    <w:rsid w:val="064D9B60"/>
    <w:rsid w:val="0680EC96"/>
    <w:rsid w:val="0685F088"/>
    <w:rsid w:val="0731E7EA"/>
    <w:rsid w:val="0750BB2F"/>
    <w:rsid w:val="076240A2"/>
    <w:rsid w:val="07C7947E"/>
    <w:rsid w:val="0804B52E"/>
    <w:rsid w:val="0836E012"/>
    <w:rsid w:val="08561184"/>
    <w:rsid w:val="085F14E7"/>
    <w:rsid w:val="086DAE65"/>
    <w:rsid w:val="0895DBC9"/>
    <w:rsid w:val="089A5BAD"/>
    <w:rsid w:val="0919EB4C"/>
    <w:rsid w:val="09609ADB"/>
    <w:rsid w:val="09626C4D"/>
    <w:rsid w:val="09D06FF0"/>
    <w:rsid w:val="09D4234D"/>
    <w:rsid w:val="09E5638A"/>
    <w:rsid w:val="0A127963"/>
    <w:rsid w:val="0A2E0425"/>
    <w:rsid w:val="0A6FEA90"/>
    <w:rsid w:val="0ABED3AB"/>
    <w:rsid w:val="0AC1D598"/>
    <w:rsid w:val="0AD15765"/>
    <w:rsid w:val="0AFD4E7F"/>
    <w:rsid w:val="0B1C9BCD"/>
    <w:rsid w:val="0B623369"/>
    <w:rsid w:val="0B746FD6"/>
    <w:rsid w:val="0C1FC3B0"/>
    <w:rsid w:val="0CD31B25"/>
    <w:rsid w:val="0D7A8CEA"/>
    <w:rsid w:val="0DC345F1"/>
    <w:rsid w:val="0DC9F506"/>
    <w:rsid w:val="0DD8FB5E"/>
    <w:rsid w:val="0DF1351B"/>
    <w:rsid w:val="0E1ED2C6"/>
    <w:rsid w:val="0E5C9AE7"/>
    <w:rsid w:val="0E81918F"/>
    <w:rsid w:val="0EB46CF9"/>
    <w:rsid w:val="0F0FD15C"/>
    <w:rsid w:val="0F4BB2A5"/>
    <w:rsid w:val="0F56AD6A"/>
    <w:rsid w:val="0FC2855A"/>
    <w:rsid w:val="0FE6C63C"/>
    <w:rsid w:val="10439D73"/>
    <w:rsid w:val="1083077B"/>
    <w:rsid w:val="109BFAEE"/>
    <w:rsid w:val="10A1CBD3"/>
    <w:rsid w:val="10A8D6D4"/>
    <w:rsid w:val="110512F0"/>
    <w:rsid w:val="111664D7"/>
    <w:rsid w:val="113669B4"/>
    <w:rsid w:val="1142BA6C"/>
    <w:rsid w:val="11499A57"/>
    <w:rsid w:val="11557523"/>
    <w:rsid w:val="1165838E"/>
    <w:rsid w:val="11ED9007"/>
    <w:rsid w:val="1203D351"/>
    <w:rsid w:val="12562677"/>
    <w:rsid w:val="12B47814"/>
    <w:rsid w:val="1344214E"/>
    <w:rsid w:val="1388E8FC"/>
    <w:rsid w:val="139C7058"/>
    <w:rsid w:val="13BE6691"/>
    <w:rsid w:val="13C4B877"/>
    <w:rsid w:val="145EF9EC"/>
    <w:rsid w:val="147F6747"/>
    <w:rsid w:val="14842DEA"/>
    <w:rsid w:val="1487E36C"/>
    <w:rsid w:val="1551E958"/>
    <w:rsid w:val="1555DEDF"/>
    <w:rsid w:val="15CA6D42"/>
    <w:rsid w:val="165AC641"/>
    <w:rsid w:val="16A6E617"/>
    <w:rsid w:val="16FB16C0"/>
    <w:rsid w:val="176FE545"/>
    <w:rsid w:val="180BF4BB"/>
    <w:rsid w:val="1848995D"/>
    <w:rsid w:val="1892D699"/>
    <w:rsid w:val="18B65C7A"/>
    <w:rsid w:val="19032D3B"/>
    <w:rsid w:val="19172BF4"/>
    <w:rsid w:val="19357DE1"/>
    <w:rsid w:val="1957CD7C"/>
    <w:rsid w:val="19D15721"/>
    <w:rsid w:val="1A2A30AE"/>
    <w:rsid w:val="1A340306"/>
    <w:rsid w:val="1A38D20E"/>
    <w:rsid w:val="1A3AA92B"/>
    <w:rsid w:val="1A3DE7B8"/>
    <w:rsid w:val="1A4A8D81"/>
    <w:rsid w:val="1A84A19B"/>
    <w:rsid w:val="1AA142CA"/>
    <w:rsid w:val="1AD28DD6"/>
    <w:rsid w:val="1B26E674"/>
    <w:rsid w:val="1B2E2D22"/>
    <w:rsid w:val="1B6253F4"/>
    <w:rsid w:val="1BB7FC7F"/>
    <w:rsid w:val="1BDA508A"/>
    <w:rsid w:val="1C11381E"/>
    <w:rsid w:val="1C531041"/>
    <w:rsid w:val="1C550569"/>
    <w:rsid w:val="1CEC96FC"/>
    <w:rsid w:val="1D0274F8"/>
    <w:rsid w:val="1D121606"/>
    <w:rsid w:val="1D2EF65B"/>
    <w:rsid w:val="1DAEBAF1"/>
    <w:rsid w:val="1DB919EE"/>
    <w:rsid w:val="1E00B792"/>
    <w:rsid w:val="1E0977AC"/>
    <w:rsid w:val="1E52153A"/>
    <w:rsid w:val="1E6674BC"/>
    <w:rsid w:val="1EB0871C"/>
    <w:rsid w:val="1EE4D130"/>
    <w:rsid w:val="1F20CB3D"/>
    <w:rsid w:val="1F3EAEA9"/>
    <w:rsid w:val="1FAFF9C7"/>
    <w:rsid w:val="1FDE21A6"/>
    <w:rsid w:val="20779337"/>
    <w:rsid w:val="20C3F53D"/>
    <w:rsid w:val="20F21882"/>
    <w:rsid w:val="21795F2F"/>
    <w:rsid w:val="21A68BB0"/>
    <w:rsid w:val="21B411F5"/>
    <w:rsid w:val="21D013BC"/>
    <w:rsid w:val="21F4FBB3"/>
    <w:rsid w:val="220144EB"/>
    <w:rsid w:val="22107CE6"/>
    <w:rsid w:val="221704E6"/>
    <w:rsid w:val="2242AAD7"/>
    <w:rsid w:val="22492724"/>
    <w:rsid w:val="224FEB00"/>
    <w:rsid w:val="22816ABD"/>
    <w:rsid w:val="2295F7EF"/>
    <w:rsid w:val="22BECDDD"/>
    <w:rsid w:val="22EC8AE4"/>
    <w:rsid w:val="232D781F"/>
    <w:rsid w:val="2344E13D"/>
    <w:rsid w:val="239BCF4F"/>
    <w:rsid w:val="23C75725"/>
    <w:rsid w:val="23FD1FC8"/>
    <w:rsid w:val="24327AB3"/>
    <w:rsid w:val="248343D7"/>
    <w:rsid w:val="24AE92E0"/>
    <w:rsid w:val="24BB225D"/>
    <w:rsid w:val="2531E12E"/>
    <w:rsid w:val="253DA19F"/>
    <w:rsid w:val="25DE00A3"/>
    <w:rsid w:val="25FD2769"/>
    <w:rsid w:val="2661BEB1"/>
    <w:rsid w:val="26628672"/>
    <w:rsid w:val="266A7746"/>
    <w:rsid w:val="268BE8A0"/>
    <w:rsid w:val="26A09B05"/>
    <w:rsid w:val="26D18FEE"/>
    <w:rsid w:val="26D5D368"/>
    <w:rsid w:val="27133F1D"/>
    <w:rsid w:val="27AEA79C"/>
    <w:rsid w:val="27C5CB27"/>
    <w:rsid w:val="28045E36"/>
    <w:rsid w:val="28302DC3"/>
    <w:rsid w:val="28CB01B7"/>
    <w:rsid w:val="29F0DD26"/>
    <w:rsid w:val="2A04772A"/>
    <w:rsid w:val="2A297289"/>
    <w:rsid w:val="2A39455E"/>
    <w:rsid w:val="2A55DACB"/>
    <w:rsid w:val="2A7A2F20"/>
    <w:rsid w:val="2A8041F7"/>
    <w:rsid w:val="2A9053BB"/>
    <w:rsid w:val="2AC73345"/>
    <w:rsid w:val="2AD62594"/>
    <w:rsid w:val="2B0E9728"/>
    <w:rsid w:val="2B322501"/>
    <w:rsid w:val="2B43A3C1"/>
    <w:rsid w:val="2B709476"/>
    <w:rsid w:val="2B7E4555"/>
    <w:rsid w:val="2BB75D9B"/>
    <w:rsid w:val="2BE4038D"/>
    <w:rsid w:val="2C568125"/>
    <w:rsid w:val="2C631F46"/>
    <w:rsid w:val="2CDC3606"/>
    <w:rsid w:val="2D332231"/>
    <w:rsid w:val="2D90B817"/>
    <w:rsid w:val="2E630736"/>
    <w:rsid w:val="2E98BE94"/>
    <w:rsid w:val="2EDEB5D8"/>
    <w:rsid w:val="2F68F485"/>
    <w:rsid w:val="2FD2FA18"/>
    <w:rsid w:val="30206E29"/>
    <w:rsid w:val="3027E46A"/>
    <w:rsid w:val="305AD65C"/>
    <w:rsid w:val="30B346A4"/>
    <w:rsid w:val="3132098F"/>
    <w:rsid w:val="31ACF1B4"/>
    <w:rsid w:val="31CD3A39"/>
    <w:rsid w:val="31DEA266"/>
    <w:rsid w:val="31DEA903"/>
    <w:rsid w:val="3211432F"/>
    <w:rsid w:val="326021B8"/>
    <w:rsid w:val="328BB79F"/>
    <w:rsid w:val="32CB58F3"/>
    <w:rsid w:val="3316C8E0"/>
    <w:rsid w:val="3345A75E"/>
    <w:rsid w:val="33822228"/>
    <w:rsid w:val="339BCADE"/>
    <w:rsid w:val="33CD7521"/>
    <w:rsid w:val="345466FD"/>
    <w:rsid w:val="347EF809"/>
    <w:rsid w:val="34870EE1"/>
    <w:rsid w:val="348CB1A0"/>
    <w:rsid w:val="35318768"/>
    <w:rsid w:val="353EFE80"/>
    <w:rsid w:val="357C279A"/>
    <w:rsid w:val="35923621"/>
    <w:rsid w:val="35CC2674"/>
    <w:rsid w:val="366FEB91"/>
    <w:rsid w:val="3684FE53"/>
    <w:rsid w:val="37033AB6"/>
    <w:rsid w:val="370793D7"/>
    <w:rsid w:val="375139AC"/>
    <w:rsid w:val="3769C5E8"/>
    <w:rsid w:val="37EB6ACC"/>
    <w:rsid w:val="380F8BCE"/>
    <w:rsid w:val="38370491"/>
    <w:rsid w:val="384BCD04"/>
    <w:rsid w:val="385B8AD6"/>
    <w:rsid w:val="3897A907"/>
    <w:rsid w:val="389DF5D4"/>
    <w:rsid w:val="38B81CC7"/>
    <w:rsid w:val="3921CF92"/>
    <w:rsid w:val="399E2815"/>
    <w:rsid w:val="39AA601D"/>
    <w:rsid w:val="39EE2F79"/>
    <w:rsid w:val="3A1977CA"/>
    <w:rsid w:val="3A1D6A0D"/>
    <w:rsid w:val="3A4C05EB"/>
    <w:rsid w:val="3AACBF27"/>
    <w:rsid w:val="3AD876B1"/>
    <w:rsid w:val="3BABC1B6"/>
    <w:rsid w:val="3BE892EE"/>
    <w:rsid w:val="3C0FD0EA"/>
    <w:rsid w:val="3C12B416"/>
    <w:rsid w:val="3C14601B"/>
    <w:rsid w:val="3C337D9C"/>
    <w:rsid w:val="3C3A0516"/>
    <w:rsid w:val="3C58974E"/>
    <w:rsid w:val="3C87C306"/>
    <w:rsid w:val="3C911A9E"/>
    <w:rsid w:val="3D72E3ED"/>
    <w:rsid w:val="3D7CB5E8"/>
    <w:rsid w:val="3D8822A7"/>
    <w:rsid w:val="3D8BCBAE"/>
    <w:rsid w:val="3DE41BD1"/>
    <w:rsid w:val="3E09C87A"/>
    <w:rsid w:val="3E1CDC2F"/>
    <w:rsid w:val="3E352945"/>
    <w:rsid w:val="3E970492"/>
    <w:rsid w:val="3EEAC148"/>
    <w:rsid w:val="3F2BB4D8"/>
    <w:rsid w:val="3FFD0430"/>
    <w:rsid w:val="405AB542"/>
    <w:rsid w:val="4076A4BA"/>
    <w:rsid w:val="4121E7C6"/>
    <w:rsid w:val="4128E0F8"/>
    <w:rsid w:val="415C0877"/>
    <w:rsid w:val="416C3AE2"/>
    <w:rsid w:val="418CF358"/>
    <w:rsid w:val="419BE701"/>
    <w:rsid w:val="41D3E379"/>
    <w:rsid w:val="41E9FA4B"/>
    <w:rsid w:val="42378EB6"/>
    <w:rsid w:val="4242BA67"/>
    <w:rsid w:val="4283EC95"/>
    <w:rsid w:val="4285F034"/>
    <w:rsid w:val="42A3A14D"/>
    <w:rsid w:val="42FA6661"/>
    <w:rsid w:val="430DC809"/>
    <w:rsid w:val="434DC7F0"/>
    <w:rsid w:val="4396DFA5"/>
    <w:rsid w:val="43A38D48"/>
    <w:rsid w:val="43C479BC"/>
    <w:rsid w:val="43ED3B95"/>
    <w:rsid w:val="442D6C74"/>
    <w:rsid w:val="44D1E556"/>
    <w:rsid w:val="452DB808"/>
    <w:rsid w:val="458FEF3F"/>
    <w:rsid w:val="45F59032"/>
    <w:rsid w:val="46187EE4"/>
    <w:rsid w:val="46348693"/>
    <w:rsid w:val="4655C138"/>
    <w:rsid w:val="465C1E7D"/>
    <w:rsid w:val="46D39E5A"/>
    <w:rsid w:val="46E187C0"/>
    <w:rsid w:val="46E37050"/>
    <w:rsid w:val="46F5EE38"/>
    <w:rsid w:val="46FB6F39"/>
    <w:rsid w:val="478E8D0D"/>
    <w:rsid w:val="47DC8EC6"/>
    <w:rsid w:val="47E26155"/>
    <w:rsid w:val="484FFE1D"/>
    <w:rsid w:val="485FD6BD"/>
    <w:rsid w:val="48747742"/>
    <w:rsid w:val="488BCE36"/>
    <w:rsid w:val="488DC5DC"/>
    <w:rsid w:val="49067012"/>
    <w:rsid w:val="4915C8CF"/>
    <w:rsid w:val="49251446"/>
    <w:rsid w:val="49699DE6"/>
    <w:rsid w:val="496FC6C6"/>
    <w:rsid w:val="49A2A9C2"/>
    <w:rsid w:val="49A548BA"/>
    <w:rsid w:val="4A380EC0"/>
    <w:rsid w:val="4A65B431"/>
    <w:rsid w:val="4A78AF4A"/>
    <w:rsid w:val="4A7ADB91"/>
    <w:rsid w:val="4A83CCEA"/>
    <w:rsid w:val="4A95149C"/>
    <w:rsid w:val="4AC01BEC"/>
    <w:rsid w:val="4ADA3FE1"/>
    <w:rsid w:val="4AF1ACD9"/>
    <w:rsid w:val="4B0F5F57"/>
    <w:rsid w:val="4B6AAE77"/>
    <w:rsid w:val="4B9D0DEB"/>
    <w:rsid w:val="4BAC157F"/>
    <w:rsid w:val="4BD58E0B"/>
    <w:rsid w:val="4C3DC9EF"/>
    <w:rsid w:val="4C8A2AE4"/>
    <w:rsid w:val="4CE05939"/>
    <w:rsid w:val="4D376C39"/>
    <w:rsid w:val="4D63F30C"/>
    <w:rsid w:val="4D6CEB54"/>
    <w:rsid w:val="4E130007"/>
    <w:rsid w:val="4E2587C7"/>
    <w:rsid w:val="4E83D342"/>
    <w:rsid w:val="4E8A134F"/>
    <w:rsid w:val="4EBEC6B6"/>
    <w:rsid w:val="4EFBBE0E"/>
    <w:rsid w:val="4EFD4FDD"/>
    <w:rsid w:val="4F795B5A"/>
    <w:rsid w:val="4FF284E2"/>
    <w:rsid w:val="503A2A1C"/>
    <w:rsid w:val="504FED49"/>
    <w:rsid w:val="507D16CF"/>
    <w:rsid w:val="509229CE"/>
    <w:rsid w:val="5122E109"/>
    <w:rsid w:val="51695B9A"/>
    <w:rsid w:val="520DEF24"/>
    <w:rsid w:val="522041DD"/>
    <w:rsid w:val="52267A04"/>
    <w:rsid w:val="5244F55F"/>
    <w:rsid w:val="52BCB252"/>
    <w:rsid w:val="532318C8"/>
    <w:rsid w:val="5341004F"/>
    <w:rsid w:val="53D03668"/>
    <w:rsid w:val="54772FD9"/>
    <w:rsid w:val="55485EBE"/>
    <w:rsid w:val="55645B09"/>
    <w:rsid w:val="5591FEB1"/>
    <w:rsid w:val="559A1740"/>
    <w:rsid w:val="55A20BA4"/>
    <w:rsid w:val="55A8D127"/>
    <w:rsid w:val="55E76417"/>
    <w:rsid w:val="56127AF1"/>
    <w:rsid w:val="5680CF71"/>
    <w:rsid w:val="56907871"/>
    <w:rsid w:val="56A3C7B6"/>
    <w:rsid w:val="57184B9F"/>
    <w:rsid w:val="57786A85"/>
    <w:rsid w:val="57966B37"/>
    <w:rsid w:val="57B21CA7"/>
    <w:rsid w:val="57CEE8B5"/>
    <w:rsid w:val="57F589E8"/>
    <w:rsid w:val="58BB1E80"/>
    <w:rsid w:val="590F2722"/>
    <w:rsid w:val="5925CB4F"/>
    <w:rsid w:val="59B1B202"/>
    <w:rsid w:val="59BE12D5"/>
    <w:rsid w:val="59CB0568"/>
    <w:rsid w:val="5A1E62CD"/>
    <w:rsid w:val="5A654F2B"/>
    <w:rsid w:val="5A950BAB"/>
    <w:rsid w:val="5AB6CD4E"/>
    <w:rsid w:val="5ACE6B89"/>
    <w:rsid w:val="5AD2934B"/>
    <w:rsid w:val="5ADA983A"/>
    <w:rsid w:val="5B016872"/>
    <w:rsid w:val="5B3219D5"/>
    <w:rsid w:val="5B423BB3"/>
    <w:rsid w:val="5B5B99EF"/>
    <w:rsid w:val="5B69E379"/>
    <w:rsid w:val="5B73838B"/>
    <w:rsid w:val="5BA72BB1"/>
    <w:rsid w:val="5BCC16D9"/>
    <w:rsid w:val="5C2BE458"/>
    <w:rsid w:val="5CEBD317"/>
    <w:rsid w:val="5DA40CAF"/>
    <w:rsid w:val="5DA4578D"/>
    <w:rsid w:val="5E19A808"/>
    <w:rsid w:val="5E1BBC0A"/>
    <w:rsid w:val="5E4017D6"/>
    <w:rsid w:val="5E413A06"/>
    <w:rsid w:val="5E5C1C72"/>
    <w:rsid w:val="5E669AB1"/>
    <w:rsid w:val="5E7AF843"/>
    <w:rsid w:val="5EB85212"/>
    <w:rsid w:val="5EC25FB9"/>
    <w:rsid w:val="5ED7AD81"/>
    <w:rsid w:val="5F116F2B"/>
    <w:rsid w:val="5F555606"/>
    <w:rsid w:val="5F5D9D0B"/>
    <w:rsid w:val="5F852C27"/>
    <w:rsid w:val="5F859840"/>
    <w:rsid w:val="60292E24"/>
    <w:rsid w:val="6041AD6B"/>
    <w:rsid w:val="606A7BDB"/>
    <w:rsid w:val="612428AD"/>
    <w:rsid w:val="61800AD4"/>
    <w:rsid w:val="618A79E8"/>
    <w:rsid w:val="61A75272"/>
    <w:rsid w:val="61AA3677"/>
    <w:rsid w:val="61C78B0B"/>
    <w:rsid w:val="61D0A057"/>
    <w:rsid w:val="6318E2D2"/>
    <w:rsid w:val="63298C53"/>
    <w:rsid w:val="638171A8"/>
    <w:rsid w:val="6396388F"/>
    <w:rsid w:val="63B7DC0C"/>
    <w:rsid w:val="63C4DF55"/>
    <w:rsid w:val="63D33BEB"/>
    <w:rsid w:val="641C15F1"/>
    <w:rsid w:val="6425F021"/>
    <w:rsid w:val="644CA3D9"/>
    <w:rsid w:val="645323A6"/>
    <w:rsid w:val="645462CB"/>
    <w:rsid w:val="645562FF"/>
    <w:rsid w:val="6468E46E"/>
    <w:rsid w:val="646C4314"/>
    <w:rsid w:val="64767EFF"/>
    <w:rsid w:val="64C35FDE"/>
    <w:rsid w:val="64D49EED"/>
    <w:rsid w:val="6542805C"/>
    <w:rsid w:val="656EACC6"/>
    <w:rsid w:val="656F5E62"/>
    <w:rsid w:val="65FB2FEE"/>
    <w:rsid w:val="6615C247"/>
    <w:rsid w:val="663200AC"/>
    <w:rsid w:val="663BC4B7"/>
    <w:rsid w:val="6688863C"/>
    <w:rsid w:val="668ADCDF"/>
    <w:rsid w:val="66D1A001"/>
    <w:rsid w:val="66F86B3A"/>
    <w:rsid w:val="67042B9D"/>
    <w:rsid w:val="67A37E4C"/>
    <w:rsid w:val="67D537FD"/>
    <w:rsid w:val="67F060F3"/>
    <w:rsid w:val="67F9B7EE"/>
    <w:rsid w:val="682F6597"/>
    <w:rsid w:val="6840C14E"/>
    <w:rsid w:val="6841868C"/>
    <w:rsid w:val="686222C9"/>
    <w:rsid w:val="686842A0"/>
    <w:rsid w:val="6872DDE1"/>
    <w:rsid w:val="687B1D88"/>
    <w:rsid w:val="689D5EC1"/>
    <w:rsid w:val="68ABE758"/>
    <w:rsid w:val="68B8858E"/>
    <w:rsid w:val="6938F04B"/>
    <w:rsid w:val="693F6AA0"/>
    <w:rsid w:val="6954C91E"/>
    <w:rsid w:val="698AD7BC"/>
    <w:rsid w:val="699C588E"/>
    <w:rsid w:val="69AD326A"/>
    <w:rsid w:val="69BD41B6"/>
    <w:rsid w:val="69DEFC9F"/>
    <w:rsid w:val="6A08D09A"/>
    <w:rsid w:val="6A1EDE2A"/>
    <w:rsid w:val="6ADF4ADE"/>
    <w:rsid w:val="6AE904DE"/>
    <w:rsid w:val="6AF8CF08"/>
    <w:rsid w:val="6B3D4E59"/>
    <w:rsid w:val="6B9FD3B6"/>
    <w:rsid w:val="6BB2F536"/>
    <w:rsid w:val="6BBFB0DA"/>
    <w:rsid w:val="6BD9B815"/>
    <w:rsid w:val="6BD9DC1D"/>
    <w:rsid w:val="6C061EAC"/>
    <w:rsid w:val="6C53F655"/>
    <w:rsid w:val="6C645301"/>
    <w:rsid w:val="6CBA85D4"/>
    <w:rsid w:val="6CE90A38"/>
    <w:rsid w:val="6D676350"/>
    <w:rsid w:val="6DA8DE22"/>
    <w:rsid w:val="6DCFD3BB"/>
    <w:rsid w:val="6E0E74ED"/>
    <w:rsid w:val="6E8104FA"/>
    <w:rsid w:val="6E8AD8F7"/>
    <w:rsid w:val="6F1E9546"/>
    <w:rsid w:val="6F68CADB"/>
    <w:rsid w:val="6F9990D0"/>
    <w:rsid w:val="6FEAB86D"/>
    <w:rsid w:val="6FF24704"/>
    <w:rsid w:val="6FFF2E93"/>
    <w:rsid w:val="70168784"/>
    <w:rsid w:val="7057A6FE"/>
    <w:rsid w:val="70D46C2C"/>
    <w:rsid w:val="7103D228"/>
    <w:rsid w:val="710B0E33"/>
    <w:rsid w:val="711A5A78"/>
    <w:rsid w:val="713D19B2"/>
    <w:rsid w:val="71503BC9"/>
    <w:rsid w:val="717985A8"/>
    <w:rsid w:val="71AC6303"/>
    <w:rsid w:val="71B82D6B"/>
    <w:rsid w:val="71D29942"/>
    <w:rsid w:val="71FEDCEB"/>
    <w:rsid w:val="722370E9"/>
    <w:rsid w:val="72742EB4"/>
    <w:rsid w:val="72D06F46"/>
    <w:rsid w:val="7303AD2D"/>
    <w:rsid w:val="73067A65"/>
    <w:rsid w:val="73077D01"/>
    <w:rsid w:val="732656CD"/>
    <w:rsid w:val="738AD9E2"/>
    <w:rsid w:val="73BB2DE5"/>
    <w:rsid w:val="73D2AEEF"/>
    <w:rsid w:val="73FB431B"/>
    <w:rsid w:val="7404008F"/>
    <w:rsid w:val="746A4F32"/>
    <w:rsid w:val="747268BF"/>
    <w:rsid w:val="74A9D602"/>
    <w:rsid w:val="74ED2259"/>
    <w:rsid w:val="74F4ACCD"/>
    <w:rsid w:val="75077622"/>
    <w:rsid w:val="7537793D"/>
    <w:rsid w:val="755CF07D"/>
    <w:rsid w:val="759E9A5E"/>
    <w:rsid w:val="76366C39"/>
    <w:rsid w:val="7654925B"/>
    <w:rsid w:val="7663B337"/>
    <w:rsid w:val="7689C01D"/>
    <w:rsid w:val="768B49D4"/>
    <w:rsid w:val="77197E89"/>
    <w:rsid w:val="77D9BF06"/>
    <w:rsid w:val="7888E424"/>
    <w:rsid w:val="7892B00C"/>
    <w:rsid w:val="78ED1520"/>
    <w:rsid w:val="795C50C3"/>
    <w:rsid w:val="798DA443"/>
    <w:rsid w:val="79A02C14"/>
    <w:rsid w:val="79A3D51C"/>
    <w:rsid w:val="7A15C973"/>
    <w:rsid w:val="7A1A48EB"/>
    <w:rsid w:val="7A4730DC"/>
    <w:rsid w:val="7A55FBB8"/>
    <w:rsid w:val="7AC07E1C"/>
    <w:rsid w:val="7AE8E315"/>
    <w:rsid w:val="7B0FEAF8"/>
    <w:rsid w:val="7BDD308B"/>
    <w:rsid w:val="7BDF84C3"/>
    <w:rsid w:val="7BF3FB2C"/>
    <w:rsid w:val="7BFED6C6"/>
    <w:rsid w:val="7C0A28FB"/>
    <w:rsid w:val="7C0E2C3B"/>
    <w:rsid w:val="7C4D9BF5"/>
    <w:rsid w:val="7C641B29"/>
    <w:rsid w:val="7C6D7837"/>
    <w:rsid w:val="7CC3C7E0"/>
    <w:rsid w:val="7CFF7A5E"/>
    <w:rsid w:val="7D41B6C2"/>
    <w:rsid w:val="7D8984C4"/>
    <w:rsid w:val="7DAE117F"/>
    <w:rsid w:val="7DD663D5"/>
    <w:rsid w:val="7E3C6B26"/>
    <w:rsid w:val="7E64142B"/>
    <w:rsid w:val="7E66F638"/>
    <w:rsid w:val="7E93B235"/>
    <w:rsid w:val="7EC84B0F"/>
    <w:rsid w:val="7F045D2F"/>
    <w:rsid w:val="7F11AFB5"/>
    <w:rsid w:val="7FB38B84"/>
    <w:rsid w:val="7FE27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ABFB2"/>
  <w15:chartTrackingRefBased/>
  <w15:docId w15:val="{EA2E6230-D106-4CE2-A2EE-44EA7424F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0C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60C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0C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0C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0C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0C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0C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0C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0C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C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60C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0C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0C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0C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0C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0C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0C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0C93"/>
    <w:rPr>
      <w:rFonts w:eastAsiaTheme="majorEastAsia" w:cstheme="majorBidi"/>
      <w:color w:val="272727" w:themeColor="text1" w:themeTint="D8"/>
    </w:rPr>
  </w:style>
  <w:style w:type="paragraph" w:styleId="Title">
    <w:name w:val="Title"/>
    <w:basedOn w:val="Normal"/>
    <w:next w:val="Normal"/>
    <w:link w:val="TitleChar"/>
    <w:uiPriority w:val="10"/>
    <w:qFormat/>
    <w:rsid w:val="00A60C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0C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0C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0C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0C93"/>
    <w:pPr>
      <w:spacing w:before="160"/>
      <w:jc w:val="center"/>
    </w:pPr>
    <w:rPr>
      <w:i/>
      <w:iCs/>
      <w:color w:val="404040" w:themeColor="text1" w:themeTint="BF"/>
    </w:rPr>
  </w:style>
  <w:style w:type="character" w:customStyle="1" w:styleId="QuoteChar">
    <w:name w:val="Quote Char"/>
    <w:basedOn w:val="DefaultParagraphFont"/>
    <w:link w:val="Quote"/>
    <w:uiPriority w:val="29"/>
    <w:rsid w:val="00A60C93"/>
    <w:rPr>
      <w:i/>
      <w:iCs/>
      <w:color w:val="404040" w:themeColor="text1" w:themeTint="BF"/>
    </w:rPr>
  </w:style>
  <w:style w:type="paragraph" w:styleId="ListParagraph">
    <w:name w:val="List Paragraph"/>
    <w:basedOn w:val="Normal"/>
    <w:uiPriority w:val="34"/>
    <w:qFormat/>
    <w:rsid w:val="00A60C93"/>
    <w:pPr>
      <w:ind w:left="720"/>
      <w:contextualSpacing/>
    </w:pPr>
  </w:style>
  <w:style w:type="character" w:styleId="IntenseEmphasis">
    <w:name w:val="Intense Emphasis"/>
    <w:basedOn w:val="DefaultParagraphFont"/>
    <w:uiPriority w:val="21"/>
    <w:qFormat/>
    <w:rsid w:val="00A60C93"/>
    <w:rPr>
      <w:i/>
      <w:iCs/>
      <w:color w:val="0F4761" w:themeColor="accent1" w:themeShade="BF"/>
    </w:rPr>
  </w:style>
  <w:style w:type="paragraph" w:styleId="IntenseQuote">
    <w:name w:val="Intense Quote"/>
    <w:basedOn w:val="Normal"/>
    <w:next w:val="Normal"/>
    <w:link w:val="IntenseQuoteChar"/>
    <w:uiPriority w:val="30"/>
    <w:qFormat/>
    <w:rsid w:val="00A60C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0C93"/>
    <w:rPr>
      <w:i/>
      <w:iCs/>
      <w:color w:val="0F4761" w:themeColor="accent1" w:themeShade="BF"/>
    </w:rPr>
  </w:style>
  <w:style w:type="character" w:styleId="IntenseReference">
    <w:name w:val="Intense Reference"/>
    <w:basedOn w:val="DefaultParagraphFont"/>
    <w:uiPriority w:val="32"/>
    <w:qFormat/>
    <w:rsid w:val="00A60C93"/>
    <w:rPr>
      <w:b/>
      <w:bCs/>
      <w:smallCaps/>
      <w:color w:val="0F4761" w:themeColor="accent1" w:themeShade="BF"/>
      <w:spacing w:val="5"/>
    </w:rPr>
  </w:style>
  <w:style w:type="paragraph" w:styleId="Header">
    <w:name w:val="header"/>
    <w:basedOn w:val="Normal"/>
    <w:link w:val="HeaderChar"/>
    <w:uiPriority w:val="99"/>
    <w:unhideWhenUsed/>
    <w:rsid w:val="00A60C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C93"/>
  </w:style>
  <w:style w:type="paragraph" w:styleId="Footer">
    <w:name w:val="footer"/>
    <w:basedOn w:val="Normal"/>
    <w:link w:val="FooterChar"/>
    <w:uiPriority w:val="99"/>
    <w:unhideWhenUsed/>
    <w:rsid w:val="00A60C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C93"/>
  </w:style>
  <w:style w:type="character" w:styleId="Hyperlink">
    <w:name w:val="Hyperlink"/>
    <w:basedOn w:val="DefaultParagraphFont"/>
    <w:uiPriority w:val="99"/>
    <w:unhideWhenUsed/>
    <w:rsid w:val="00571469"/>
    <w:rPr>
      <w:color w:val="467886" w:themeColor="hyperlink"/>
      <w:u w:val="single"/>
    </w:rPr>
  </w:style>
  <w:style w:type="character" w:styleId="UnresolvedMention">
    <w:name w:val="Unresolved Mention"/>
    <w:basedOn w:val="DefaultParagraphFont"/>
    <w:uiPriority w:val="99"/>
    <w:semiHidden/>
    <w:unhideWhenUsed/>
    <w:rsid w:val="00571469"/>
    <w:rPr>
      <w:color w:val="605E5C"/>
      <w:shd w:val="clear" w:color="auto" w:fill="E1DFDD"/>
    </w:rPr>
  </w:style>
  <w:style w:type="paragraph" w:styleId="TOCHeading">
    <w:name w:val="TOC Heading"/>
    <w:basedOn w:val="Heading1"/>
    <w:next w:val="Normal"/>
    <w:uiPriority w:val="39"/>
    <w:unhideWhenUsed/>
    <w:qFormat/>
    <w:rsid w:val="00324E5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324E5D"/>
    <w:pPr>
      <w:spacing w:after="100"/>
    </w:pPr>
  </w:style>
  <w:style w:type="paragraph" w:styleId="TOC2">
    <w:name w:val="toc 2"/>
    <w:basedOn w:val="Normal"/>
    <w:next w:val="Normal"/>
    <w:autoRedefine/>
    <w:uiPriority w:val="39"/>
    <w:unhideWhenUsed/>
    <w:rsid w:val="00324E5D"/>
    <w:pPr>
      <w:spacing w:after="100"/>
      <w:ind w:left="220"/>
    </w:pPr>
  </w:style>
  <w:style w:type="paragraph" w:styleId="TOC3">
    <w:name w:val="toc 3"/>
    <w:basedOn w:val="Normal"/>
    <w:next w:val="Normal"/>
    <w:uiPriority w:val="39"/>
    <w:unhideWhenUsed/>
    <w:rsid w:val="4C3DC9E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doi.org/10.9707/2307-0919.1014" TargetMode="External"/><Relationship Id="rId39" Type="http://schemas.openxmlformats.org/officeDocument/2006/relationships/hyperlink" Target="https://doi.org/10.1109/EBISS.2009.5137903" TargetMode="External"/><Relationship Id="rId21" Type="http://schemas.openxmlformats.org/officeDocument/2006/relationships/hyperlink" Target="https://archive.org/details/dli.ernet.544021" TargetMode="External"/><Relationship Id="rId34" Type="http://schemas.openxmlformats.org/officeDocument/2006/relationships/hyperlink" Target="https://scholar.google.com/scholar?hl=en&amp;as_sdt=0%2C5&amp;as_ylo=2020&amp;q=IKEA%27s+ESG+strategy+&amp;btnG=" TargetMode="External"/><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doi.org/10.1057/palgrave.jibs.8490372" TargetMode="External"/><Relationship Id="rId29" Type="http://schemas.openxmlformats.org/officeDocument/2006/relationships/hyperlink" Target="https://ikeamuseum.com/en/explore/the-story-of-ikea/"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doi.org/10.1142/S0218927519500202" TargetMode="External"/><Relationship Id="rId32" Type="http://schemas.openxmlformats.org/officeDocument/2006/relationships/hyperlink" Target="https://doi.org/10.9770/jesi.2020.7.3(17)" TargetMode="External"/><Relationship Id="rId37" Type="http://schemas.openxmlformats.org/officeDocument/2006/relationships/hyperlink" Target="https://doi.org/10.1504/IJBPIM.2019.105686" TargetMode="External"/><Relationship Id="rId40" Type="http://schemas.openxmlformats.org/officeDocument/2006/relationships/footer" Target="footer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doi.org/10.1111/acfi.12118" TargetMode="External"/><Relationship Id="rId28" Type="http://schemas.openxmlformats.org/officeDocument/2006/relationships/hyperlink" Target="https://ikeamuseum.com/en/explore/the-story-of-ikea/flatpacks/?t=innovation" TargetMode="External"/><Relationship Id="rId36" Type="http://schemas.openxmlformats.org/officeDocument/2006/relationships/hyperlink" Target="https://www.mbie.govt.nz/dmsdocument/26301-recovering-the-regulatory-costs-for-major-hazard-facilities-cost-recovery-impact-statement-proactiverelease-pdf"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doi.org/10.1108/17566690910971454"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bing.com/search?q=%22https%3A%2F%2Farchive.org%2Fdetails%2Fdli.ernet.544021" TargetMode="External"/><Relationship Id="rId27" Type="http://schemas.openxmlformats.org/officeDocument/2006/relationships/hyperlink" Target="https://doi.org/10.52152/801434" TargetMode="External"/><Relationship Id="rId30" Type="http://schemas.openxmlformats.org/officeDocument/2006/relationships/hyperlink" Target="https://doi.org/10.22434/IFAMR2017.0109" TargetMode="External"/><Relationship Id="rId35" Type="http://schemas.openxmlformats.org/officeDocument/2006/relationships/hyperlink" Target="https://doi.org/10.34900/lr.v19i1.1192" TargetMode="External"/><Relationship Id="rId43" Type="http://schemas.microsoft.com/office/2020/10/relationships/intelligence" Target="intelligence2.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doi.org/10.1108/IJMPB-12-2024-0298" TargetMode="External"/><Relationship Id="rId33" Type="http://schemas.openxmlformats.org/officeDocument/2006/relationships/hyperlink" Target="https://doi.org/10.1080/13602381.2020.1726047" TargetMode="External"/><Relationship Id="rId38" Type="http://schemas.openxmlformats.org/officeDocument/2006/relationships/hyperlink" Target="https://doi.org/10.24205/03276716.2020.10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6f9060558ad798a762e2a59379afbae0">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22598a9818610187acb86b77abb6d82"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4A99E554-EE92-402D-9CAE-4B3A76553388}">
  <ds:schemaRefs>
    <ds:schemaRef ds:uri="http://schemas.microsoft.com/sharepoint/v3/contenttype/forms"/>
  </ds:schemaRefs>
</ds:datastoreItem>
</file>

<file path=customXml/itemProps2.xml><?xml version="1.0" encoding="utf-8"?>
<ds:datastoreItem xmlns:ds="http://schemas.openxmlformats.org/officeDocument/2006/customXml" ds:itemID="{D0C42173-A5B9-42F7-8D66-819A4695C7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CE18A65-02EE-49B4-9CA7-3C2E8180F005}">
  <ds:schemaRefs>
    <ds:schemaRef ds:uri="http://schemas.openxmlformats.org/officeDocument/2006/bibliography"/>
  </ds:schemaRefs>
</ds:datastoreItem>
</file>

<file path=customXml/itemProps4.xml><?xml version="1.0" encoding="utf-8"?>
<ds:datastoreItem xmlns:ds="http://schemas.openxmlformats.org/officeDocument/2006/customXml" ds:itemID="{E07F9B92-A296-407E-B618-91EA3591643C}">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8339</Words>
  <Characters>47536</Characters>
  <Application>Microsoft Office Word</Application>
  <DocSecurity>0</DocSecurity>
  <Lines>396</Lines>
  <Paragraphs>111</Paragraphs>
  <ScaleCrop>false</ScaleCrop>
  <Company/>
  <LinksUpToDate>false</LinksUpToDate>
  <CharactersWithSpaces>55764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Prodan (2223977)</dc:creator>
  <cp:keywords/>
  <dc:description/>
  <cp:lastModifiedBy>Carmen Prodan (2223977)</cp:lastModifiedBy>
  <cp:revision>150</cp:revision>
  <dcterms:created xsi:type="dcterms:W3CDTF">2026-05-28T17:45:00Z</dcterms:created>
  <dcterms:modified xsi:type="dcterms:W3CDTF">2026-07-21T08:12:00Z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cefdb0bd-0d88-42dc-a774-26d1a83a2295</vt:lpwstr>
  </property>
  <property fmtid="{D5CDD505-2E9C-101B-9397-08002B2CF9AE}" pid="3" name="ContentTypeId">
    <vt:lpwstr>0x010100A20804DBFC42F64693D899720BA9B0FE</vt:lpwstr>
  </property>
</Properties>
</file>