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Academic and Employability skills</w:t>
      </w:r>
    </w:p>
    <w:p w:rsidR="00000000" w:rsidDel="00000000" w:rsidP="00000000" w:rsidRDefault="00000000" w:rsidRPr="00000000" w14:paraId="0000000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Lecturer: Farah Islam</w:t>
      </w:r>
    </w:p>
    <w:p w:rsidR="00000000" w:rsidDel="00000000" w:rsidP="00000000" w:rsidRDefault="00000000" w:rsidRPr="00000000" w14:paraId="0000000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4">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Task 2 (part A) Reflective report-week 7 video representation on a school nurse role:</w:t>
      </w:r>
    </w:p>
    <w:p w:rsidR="00000000" w:rsidDel="00000000" w:rsidP="00000000" w:rsidRDefault="00000000" w:rsidRPr="00000000" w14:paraId="00000005">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Introduction </w:t>
      </w:r>
    </w:p>
    <w:p w:rsidR="00000000" w:rsidDel="00000000" w:rsidP="00000000" w:rsidRDefault="00000000" w:rsidRPr="00000000" w14:paraId="0000000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report reflects on my employability skills based on the video presentation I delivered in Week 7. The presentation I delivered was related to the role of a Primary School Health Nurse. To support my reflection, I have used Gibbs’ Reflective Cycle (1988), which includes six stages: description, feelings, evaluation, analysis, conclusion, and action plan. This model, developed by Graham Gibbs, is commonly used to give structure and help individuals learn from experiences (Gibbs, 1988).</w:t>
      </w:r>
    </w:p>
    <w:p w:rsidR="00000000" w:rsidDel="00000000" w:rsidP="00000000" w:rsidRDefault="00000000" w:rsidRPr="00000000" w14:paraId="00000007">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Description</w:t>
      </w:r>
    </w:p>
    <w:p w:rsidR="00000000" w:rsidDel="00000000" w:rsidP="00000000" w:rsidRDefault="00000000" w:rsidRPr="00000000" w14:paraId="0000000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Week 7, I recorded a video presentation in class with my lecturer. The task required me to explain the key skills needed for a career as a school nurse and to identify my personal weaknesses. To support the delivery and reduce the need to read directly from a script, I wrote prompts on a cue card.</w:t>
      </w:r>
    </w:p>
    <w:p w:rsidR="00000000" w:rsidDel="00000000" w:rsidP="00000000" w:rsidRDefault="00000000" w:rsidRPr="00000000" w14:paraId="00000009">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Feelings </w:t>
      </w:r>
    </w:p>
    <w:p w:rsidR="00000000" w:rsidDel="00000000" w:rsidP="00000000" w:rsidRDefault="00000000" w:rsidRPr="00000000" w14:paraId="0000000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Before the presentation began, I felt very nervous and unsure of who my audience would be. This task made me step outside of my comfort zone. However, as I progressed, I began to enjoy the experience and felt a growing sense of confidence. I believe that in future presentations, I will feel less anxious and more self-assured.</w:t>
      </w:r>
    </w:p>
    <w:p w:rsidR="00000000" w:rsidDel="00000000" w:rsidP="00000000" w:rsidRDefault="00000000" w:rsidRPr="00000000" w14:paraId="0000000B">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Evaluation </w:t>
      </w:r>
    </w:p>
    <w:p w:rsidR="00000000" w:rsidDel="00000000" w:rsidP="00000000" w:rsidRDefault="00000000" w:rsidRPr="00000000" w14:paraId="0000000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considering this was my first ever presentation and I lack confidence in public speaking, I believe the presentation went well, especially considering my initial nervousness. I did speak quite quickly, which I recognise as an area for improvement. According to Chaka (2020), it is important for professionals to develop soft skills such as communication, which I was able to demonstrate, although I recognise there is room for me to grow.</w:t>
      </w:r>
    </w:p>
    <w:p w:rsidR="00000000" w:rsidDel="00000000" w:rsidP="00000000" w:rsidRDefault="00000000" w:rsidRPr="00000000" w14:paraId="0000000D">
      <w:pPr>
        <w:spacing w:line="360" w:lineRule="auto"/>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0E">
      <w:pPr>
        <w:spacing w:line="360" w:lineRule="auto"/>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0F">
      <w:pPr>
        <w:spacing w:line="360" w:lineRule="auto"/>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10">
      <w:pPr>
        <w:spacing w:line="360" w:lineRule="auto"/>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11">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Analysis </w:t>
      </w:r>
    </w:p>
    <w:p w:rsidR="00000000" w:rsidDel="00000000" w:rsidP="00000000" w:rsidRDefault="00000000" w:rsidRPr="00000000" w14:paraId="0000001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think because I had practised beforehand, it helped my presentation flow, and my content was well organised. However, I realised that my facial expressions and pronunciation could have been improved. Eskici et al. (2020) highlight that effective communication is essential to healthcare workers, especially for building trust and understanding. I believe that reflective learning is necessary for my continued professional development. </w:t>
      </w:r>
    </w:p>
    <w:p w:rsidR="00000000" w:rsidDel="00000000" w:rsidP="00000000" w:rsidRDefault="00000000" w:rsidRPr="00000000" w14:paraId="00000013">
      <w:pPr>
        <w:spacing w:line="36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Conclusion</w:t>
      </w:r>
    </w:p>
    <w:p w:rsidR="00000000" w:rsidDel="00000000" w:rsidP="00000000" w:rsidRDefault="00000000" w:rsidRPr="00000000" w14:paraId="0000001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Therefore, through this experience I have learnt that it is important to have knowledge of the subject before you present. Although I was nervous, my preparation helped me deliver effectively. This experience has boosted my confidence, and I now realise I should trust in my ability more.</w:t>
      </w:r>
    </w:p>
    <w:p w:rsidR="00000000" w:rsidDel="00000000" w:rsidP="00000000" w:rsidRDefault="00000000" w:rsidRPr="00000000" w14:paraId="00000016">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Action plan</w:t>
      </w:r>
    </w:p>
    <w:p w:rsidR="00000000" w:rsidDel="00000000" w:rsidP="00000000" w:rsidRDefault="00000000" w:rsidRPr="00000000" w14:paraId="0000001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 improve my presentation skills and performance for future presentations, I will practice more frequently in front of a small audience or in front of a mirror. I will record myself and watch it to analyse my body language and pronunciation. I will also receive feedback from my family and peers so I can improve my public speaking confidence. I have also been watching YouTube videos and workshops to improve my public speaking. I will try stress reduction activities eg: deep breathing and yoga to cope with stress. Adrian H. Taylen (2003) states stress related disorders have been widely recognised in the department of health. With these steps, I aim to enhance my communication skills and reduce nervousness during public speaking, especially as I want to work in the healthcare setting. </w:t>
      </w:r>
    </w:p>
    <w:p w:rsidR="00000000" w:rsidDel="00000000" w:rsidP="00000000" w:rsidRDefault="00000000" w:rsidRPr="00000000" w14:paraId="00000018">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spacing w:line="360"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B">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Task 2 (part B) written report – the importance of motivation in healthcare</w:t>
      </w:r>
    </w:p>
    <w:p w:rsidR="00000000" w:rsidDel="00000000" w:rsidP="00000000" w:rsidRDefault="00000000" w:rsidRPr="00000000" w14:paraId="0000001C">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w:t>
      </w:r>
    </w:p>
    <w:p w:rsidR="00000000" w:rsidDel="00000000" w:rsidP="00000000" w:rsidRDefault="00000000" w:rsidRPr="00000000" w14:paraId="0000001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Motivation is a psychological process related to behaviour and is a very important process in health care settings. According to Texiera et al. (2020), motivation can be described as a force that guides and keeps people working towards pursuing their goals. This report explores different theories, including internal and external motivation. It includes useful tools such as SMART goals, which are Specific, Measurable, Achievable, Relevant, and Time-bound (Swann et al, 2023), in addition to the GROW model (Goals, Reality, Options, and Ways forward), a framework which can help to improve motivation (Mogonea, 2022).  The main aim of this report is to highlight the importance of motivation as an important skill for individuals working in healthcare settings. </w:t>
      </w:r>
    </w:p>
    <w:p w:rsidR="00000000" w:rsidDel="00000000" w:rsidP="00000000" w:rsidRDefault="00000000" w:rsidRPr="00000000" w14:paraId="0000001E">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Significance in healthcare employments</w:t>
      </w:r>
    </w:p>
    <w:p w:rsidR="00000000" w:rsidDel="00000000" w:rsidP="00000000" w:rsidRDefault="00000000" w:rsidRPr="00000000" w14:paraId="0000001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Healthcare assistants (HCA) work in a tough and demanding field that requires them to be emotionally resilient and caring.  When HCAs are motivated, they are more dedicated which allows them to make more meaningful connections  with patients. This in turn, helps them feel dedicated and less likely to feel burnt out. Schwartz (2021) states that motivation, helps build strong relationships with patients and provides emotional support. However, a lack of motivation can lead to poor teamwork and making the wrong decisions which can negatively affect patients. Studies show that having a clear purpose is essential for success to succeed in emotionally demanding healthcare settings (Teixiera et al., 2020). Furthermore, motivation should be supported by the workplace to encourage HCAs to stay committed and responsible. </w:t>
      </w:r>
    </w:p>
    <w:p w:rsidR="00000000" w:rsidDel="00000000" w:rsidP="00000000" w:rsidRDefault="00000000" w:rsidRPr="00000000" w14:paraId="00000020">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Theories and types of motivation</w:t>
      </w:r>
    </w:p>
    <w:p w:rsidR="00000000" w:rsidDel="00000000" w:rsidP="00000000" w:rsidRDefault="00000000" w:rsidRPr="00000000" w14:paraId="00000021">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 Intrinsic motivation vs extrinsic motivation </w:t>
      </w:r>
    </w:p>
    <w:p w:rsidR="00000000" w:rsidDel="00000000" w:rsidP="00000000" w:rsidRDefault="00000000" w:rsidRPr="00000000" w14:paraId="0000002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Motivation can be classified into two categories: intrinsic and extrinsic. Intrinsic motivation refers to the internal drive to engage in activities that an individual finds enjoyable or fulfilling. In contrast, extrinsic motivation involves external factors such as rewards or punishments, these can encourage individuals to achieve specific goals or meet certain expectations. Extrinsic motivation is often seen as essential for accomplishing objectives, as it directs behaviour toward achieving concrete outcomes and rewards. Schwartz (2021) highlights the importance of aligning both intrinsic and extrinsic motivations with organisational goals to maintain focus and performance in healthcare settings. This alignment is important for maintaining motivation and commitment in a field as demanding as healthcare, where both internal satisfaction and external rewards play roles in providing high-quality care.</w:t>
      </w:r>
    </w:p>
    <w:p w:rsidR="00000000" w:rsidDel="00000000" w:rsidP="00000000" w:rsidRDefault="00000000" w:rsidRPr="00000000" w14:paraId="00000023">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Examples of tools and techniques for improving motivation </w:t>
      </w:r>
    </w:p>
    <w:p w:rsidR="00000000" w:rsidDel="00000000" w:rsidP="00000000" w:rsidRDefault="00000000" w:rsidRPr="00000000" w14:paraId="00000024">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 SMART Goals</w:t>
      </w:r>
    </w:p>
    <w:p w:rsidR="00000000" w:rsidDel="00000000" w:rsidP="00000000" w:rsidRDefault="00000000" w:rsidRPr="00000000" w14:paraId="0000002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SMART goals are a tool that can enhance motivation and goal achievement in healthcare settings. The tool ensures that goals are clear, structured, and actionable. By setting SMART goals, healthcare professionals can break down complex tasks into manageable steps, leading to greater clarity and focus on their work; ultimately benefitting patients.</w:t>
      </w:r>
    </w:p>
    <w:p w:rsidR="00000000" w:rsidDel="00000000" w:rsidP="00000000" w:rsidRDefault="00000000" w:rsidRPr="00000000" w14:paraId="00000026">
      <w:pPr>
        <w:spacing w:line="360" w:lineRule="auto"/>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GROW model</w:t>
      </w:r>
    </w:p>
    <w:p w:rsidR="00000000" w:rsidDel="00000000" w:rsidP="00000000" w:rsidRDefault="00000000" w:rsidRPr="00000000" w14:paraId="0000002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GROW model provides a structured approach and allows individuals to reflect on personal development and problem solving in healthcare settings.  This model increases motivation by guiding individuals</w:t>
      </w:r>
      <w:r w:rsidDel="00000000" w:rsidR="00000000" w:rsidRPr="00000000">
        <w:rPr>
          <w:rtl w:val="0"/>
        </w:rPr>
        <w:t xml:space="preserve"> </w:t>
      </w:r>
      <w:r w:rsidDel="00000000" w:rsidR="00000000" w:rsidRPr="00000000">
        <w:rPr>
          <w:rFonts w:ascii="Arial" w:cs="Arial" w:eastAsia="Arial" w:hAnsi="Arial"/>
          <w:sz w:val="22"/>
          <w:szCs w:val="22"/>
          <w:rtl w:val="0"/>
        </w:rPr>
        <w:t xml:space="preserve">through a process of goal setting, self-reflection, and action planning, which allows them to take accountability and progress. According to Deiorio (2022), the GROW model serves as a four-step inquiry that helps achieve goals by allowing clear thinking, strategic thinking, and commitment.</w:t>
      </w:r>
    </w:p>
    <w:p w:rsidR="00000000" w:rsidDel="00000000" w:rsidP="00000000" w:rsidRDefault="00000000" w:rsidRPr="00000000" w14:paraId="0000002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Conclusion </w:t>
      </w:r>
    </w:p>
    <w:p w:rsidR="00000000" w:rsidDel="00000000" w:rsidP="00000000" w:rsidRDefault="00000000" w:rsidRPr="00000000" w14:paraId="0000002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Motivation is important for healthcare assistants and nurses, especially since they work in emotionally charged environments. Tools like SMART goals and the GROW model help them stay focused and organized, ensuring they can provide the best care possible to their patients. Without motivation, it becomes difficult to meet patients' needs effectively. Healthcare professionals that are motivated, lead to happier patients and a smoother workflow in the healthcare setting. Patient satisfaction isn't just important for quality care; it helps create a positive, efficient work environment for everyone.</w:t>
      </w:r>
    </w:p>
    <w:p w:rsidR="00000000" w:rsidDel="00000000" w:rsidP="00000000" w:rsidRDefault="00000000" w:rsidRPr="00000000" w14:paraId="0000002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spacing w:line="360"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E">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Paragraph activity - Activity 1 and 4</w:t>
      </w:r>
    </w:p>
    <w:p w:rsidR="00000000" w:rsidDel="00000000" w:rsidP="00000000" w:rsidRDefault="00000000" w:rsidRPr="00000000" w14:paraId="0000002F">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Activity 1</w:t>
      </w:r>
    </w:p>
    <w:p w:rsidR="00000000" w:rsidDel="00000000" w:rsidP="00000000" w:rsidRDefault="00000000" w:rsidRPr="00000000" w14:paraId="00000030">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Read the paragraph below: </w:t>
      </w:r>
    </w:p>
    <w:p w:rsidR="00000000" w:rsidDel="00000000" w:rsidP="00000000" w:rsidRDefault="00000000" w:rsidRPr="00000000" w14:paraId="00000031">
      <w:pPr>
        <w:spacing w:line="360" w:lineRule="auto"/>
        <w:jc w:val="both"/>
        <w:rPr>
          <w:rFonts w:ascii="Arial" w:cs="Arial" w:eastAsia="Arial" w:hAnsi="Arial"/>
          <w:sz w:val="22"/>
          <w:szCs w:val="22"/>
        </w:rPr>
      </w:pPr>
      <w:r w:rsidDel="00000000" w:rsidR="00000000" w:rsidRPr="00000000">
        <w:rPr>
          <w:rFonts w:ascii="Arial" w:cs="Arial" w:eastAsia="Arial" w:hAnsi="Arial"/>
          <w:color w:val="000000"/>
          <w:sz w:val="22"/>
          <w:szCs w:val="22"/>
          <w:highlight w:val="yellow"/>
          <w:rtl w:val="0"/>
        </w:rPr>
        <w:t xml:space="preserve">The UK is facing a major health crisis due the high rates of obesity.</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In 2018-19, there were 11,117 NHS hospital admissions directly attributable to obesity (NHS, 2020). </w:t>
      </w:r>
      <w:r w:rsidDel="00000000" w:rsidR="00000000" w:rsidRPr="00000000">
        <w:rPr>
          <w:rFonts w:ascii="Arial" w:cs="Arial" w:eastAsia="Arial" w:hAnsi="Arial"/>
          <w:sz w:val="22"/>
          <w:szCs w:val="22"/>
          <w:highlight w:val="magenta"/>
          <w:rtl w:val="0"/>
        </w:rPr>
        <w:t xml:space="preserve">If an adult has a BMI of 25 – 30, they are considered overweight, and a BMI of 30 or above is considered obese (NFS, 2021).</w:t>
      </w:r>
      <w:r w:rsidDel="00000000" w:rsidR="00000000" w:rsidRPr="00000000">
        <w:rPr>
          <w:rFonts w:ascii="Arial" w:cs="Arial" w:eastAsia="Arial" w:hAnsi="Arial"/>
          <w:sz w:val="22"/>
          <w:szCs w:val="22"/>
          <w:rtl w:val="0"/>
        </w:rPr>
        <w:t xml:space="preserve"> Ritchie and Roser (2017) identify that over 60% of UK adults are considered to be overweight or obese, and the US is the only country in the world with a higher rate. A review commissioned by the UK Government, conducted by NHS digital (2020), identified that 20% of all children in Year 6 of primary school are already obese. One possible way of reducing obesity in children is new legislation on the marketing of junk food to children.</w:t>
      </w:r>
    </w:p>
    <w:p w:rsidR="00000000" w:rsidDel="00000000" w:rsidP="00000000" w:rsidRDefault="00000000" w:rsidRPr="00000000" w14:paraId="0000003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Highlight or underline the sentence that outlines the topic of the paragraph. </w:t>
      </w:r>
    </w:p>
    <w:p w:rsidR="00000000" w:rsidDel="00000000" w:rsidP="00000000" w:rsidRDefault="00000000" w:rsidRPr="00000000" w14:paraId="0000003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Use a different colour or outline to highlight the sentences that develop the topic of discussion in the paragraph. </w:t>
      </w:r>
    </w:p>
    <w:p w:rsidR="00000000" w:rsidDel="00000000" w:rsidP="00000000" w:rsidRDefault="00000000" w:rsidRPr="00000000" w14:paraId="0000003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 Read the final sentence. Does this sentence conclude the topic or link to further points?  </w:t>
      </w:r>
      <w:r w:rsidDel="00000000" w:rsidR="00000000" w:rsidRPr="00000000">
        <w:rPr>
          <w:rFonts w:ascii="Arial" w:cs="Arial" w:eastAsia="Arial" w:hAnsi="Arial"/>
          <w:b w:val="1"/>
          <w:sz w:val="22"/>
          <w:szCs w:val="22"/>
          <w:rtl w:val="0"/>
        </w:rPr>
        <w:t xml:space="preserve">Yes, it does</w:t>
      </w:r>
      <w:r w:rsidDel="00000000" w:rsidR="00000000" w:rsidRPr="00000000">
        <w:rPr>
          <w:rtl w:val="0"/>
        </w:rPr>
      </w:r>
    </w:p>
    <w:p w:rsidR="00000000" w:rsidDel="00000000" w:rsidP="00000000" w:rsidRDefault="00000000" w:rsidRPr="00000000" w14:paraId="00000035">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Read the paragraph below: </w:t>
      </w:r>
    </w:p>
    <w:p w:rsidR="00000000" w:rsidDel="00000000" w:rsidP="00000000" w:rsidRDefault="00000000" w:rsidRPr="00000000" w14:paraId="0000003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highlight w:val="yellow"/>
          <w:rtl w:val="0"/>
        </w:rPr>
        <w:t xml:space="preserve">The cost of living in the UK has been rising. Paleja (2022) outlined that in April 2022, households in the UK could expect a 6% increase in the cost of living</w:t>
      </w:r>
      <w:r w:rsidDel="00000000" w:rsidR="00000000" w:rsidRPr="00000000">
        <w:rPr>
          <w:rFonts w:ascii="Arial" w:cs="Arial" w:eastAsia="Arial" w:hAnsi="Arial"/>
          <w:sz w:val="22"/>
          <w:szCs w:val="22"/>
          <w:highlight w:val="magenta"/>
          <w:rtl w:val="0"/>
        </w:rPr>
        <w:t xml:space="preserve">. This was equivalent to a £100 weekly grocery bill becoming £106 and a £1000 annual energy bill increasing to £1060.</w:t>
      </w:r>
      <w:r w:rsidDel="00000000" w:rsidR="00000000" w:rsidRPr="00000000">
        <w:rPr>
          <w:rFonts w:ascii="Arial" w:cs="Arial" w:eastAsia="Arial" w:hAnsi="Arial"/>
          <w:sz w:val="22"/>
          <w:szCs w:val="22"/>
          <w:rtl w:val="0"/>
        </w:rPr>
        <w:t xml:space="preserve"> Despite this rise in costs, Chan (2022) reported that the governor of the Bank of England, Andrew Bailey, suggested that employees should not be given any pay rises as this could lead to a spiral of inflation that could push costs for everyone even higher. So, how does an employer motivate staff that are feeling the financial squeeze? </w:t>
      </w:r>
    </w:p>
    <w:p w:rsidR="00000000" w:rsidDel="00000000" w:rsidP="00000000" w:rsidRDefault="00000000" w:rsidRPr="00000000" w14:paraId="00000037">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 Highlight or underline the sentence that outlines the topic of the paragraph. </w:t>
      </w:r>
    </w:p>
    <w:p w:rsidR="00000000" w:rsidDel="00000000" w:rsidP="00000000" w:rsidRDefault="00000000" w:rsidRPr="00000000" w14:paraId="00000038">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2. Use a different colour or outline to highlight the sentences that develop the topic of discussion in the paragraph. </w:t>
      </w:r>
    </w:p>
    <w:p w:rsidR="00000000" w:rsidDel="00000000" w:rsidP="00000000" w:rsidRDefault="00000000" w:rsidRPr="00000000" w14:paraId="0000003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 Read the final sentence. Does this sentence conclude the topic or link to further point?</w:t>
      </w:r>
    </w:p>
    <w:p w:rsidR="00000000" w:rsidDel="00000000" w:rsidP="00000000" w:rsidRDefault="00000000" w:rsidRPr="00000000" w14:paraId="0000003A">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No, it does not </w:t>
      </w:r>
    </w:p>
    <w:p w:rsidR="00000000" w:rsidDel="00000000" w:rsidP="00000000" w:rsidRDefault="00000000" w:rsidRPr="00000000" w14:paraId="0000003B">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Activity 4</w:t>
      </w:r>
    </w:p>
    <w:p w:rsidR="00000000" w:rsidDel="00000000" w:rsidP="00000000" w:rsidRDefault="00000000" w:rsidRPr="00000000" w14:paraId="0000003D">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Read the paragraph below and answer the questions below: </w:t>
      </w:r>
    </w:p>
    <w:p w:rsidR="00000000" w:rsidDel="00000000" w:rsidP="00000000" w:rsidRDefault="00000000" w:rsidRPr="00000000" w14:paraId="0000003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my opinion, there are too many of these kinds of medical conditions, more and more each year. Last year there were 10,700 people in Birmingham diagnosed and no doubt additional cases will be found. If you compared the numbers of patients in Birmingham with those found in London, there are clear differences. I believe the situation with progress and worsen in the next few years. </w:t>
      </w:r>
    </w:p>
    <w:p w:rsidR="00000000" w:rsidDel="00000000" w:rsidP="00000000" w:rsidRDefault="00000000" w:rsidRPr="00000000" w14:paraId="0000003F">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What are the main errors in the paragraph above?  How would you suggest the writer improved this paragraph?</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is vague- there is no mention of the medical condition being described.</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are grammatical errors, and it should be written more formally. </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writer switches between past and future tenses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"Last year there were 10,700 people diagnosed"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situation </w:t>
      </w:r>
      <w:r w:rsidDel="00000000" w:rsidR="00000000" w:rsidRPr="00000000">
        <w:rPr>
          <w:rFonts w:ascii="Arial" w:cs="Arial" w:eastAsia="Arial" w:hAnsi="Arial"/>
          <w:b w:val="0"/>
          <w:i w:val="1"/>
          <w:smallCaps w:val="0"/>
          <w:strike w:val="0"/>
          <w:color w:val="000000"/>
          <w:sz w:val="22"/>
          <w:szCs w:val="22"/>
          <w:highlight w:val="yellow"/>
          <w:u w:val="none"/>
          <w:vertAlign w:val="baseline"/>
          <w:rtl w:val="0"/>
        </w:rPr>
        <w:t xml:space="preserve">with</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progress and worsen"</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writer has not said what the difference is between the two cities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 rewrite the paragraph below:</w:t>
      </w:r>
    </w:p>
    <w:p w:rsidR="00000000" w:rsidDel="00000000" w:rsidP="00000000" w:rsidRDefault="00000000" w:rsidRPr="00000000" w14:paraId="0000004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my opinion, the number of endometriosis cases is increasing every year, with 10,700 people in Birmingham diagnosed last year. With more access to healthcare, this number is likely to rise. When comparing the numbers in Birmingham to those in London, there are differences, as higher numbers of confirmed cases are observed in London (20,000), although further investigation is needed to understand the reasons. I believe the situation will worsen in the coming years if no action is taken nationally; effective screening, diagnosis and treatment should be available to all women in a timely manner and should not be dependent on postcodes.</w:t>
      </w:r>
    </w:p>
    <w:p w:rsidR="00000000" w:rsidDel="00000000" w:rsidP="00000000" w:rsidRDefault="00000000" w:rsidRPr="00000000" w14:paraId="00000048">
      <w:pPr>
        <w:spacing w:line="360"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9">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References:</w:t>
      </w:r>
    </w:p>
    <w:p w:rsidR="00000000" w:rsidDel="00000000" w:rsidP="00000000" w:rsidRDefault="00000000" w:rsidRPr="00000000" w14:paraId="0000004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Chaka, C., 2020. Skills, competencies and literacies attributed to 4IR/Industry 4.0: Scoping review. IFLA journal, 46(4), pp.369-399.</w:t>
      </w:r>
    </w:p>
    <w:p w:rsidR="00000000" w:rsidDel="00000000" w:rsidP="00000000" w:rsidRDefault="00000000" w:rsidRPr="00000000" w14:paraId="0000004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Deiorio, N.M., Moore, M., Santen, S.A., Gazelle, G., Dalrymple, J.L. and Hammoud, M., 2022. Coaching models, theories, and structures: An overview for teaching faculty in the emergency department and educators in the offices. </w:t>
      </w:r>
      <w:r w:rsidDel="00000000" w:rsidR="00000000" w:rsidRPr="00000000">
        <w:rPr>
          <w:rFonts w:ascii="Arial" w:cs="Arial" w:eastAsia="Arial" w:hAnsi="Arial"/>
          <w:i w:val="1"/>
          <w:sz w:val="22"/>
          <w:szCs w:val="22"/>
          <w:rtl w:val="0"/>
        </w:rPr>
        <w:t xml:space="preserve">AEM education and training</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6</w:t>
      </w:r>
      <w:r w:rsidDel="00000000" w:rsidR="00000000" w:rsidRPr="00000000">
        <w:rPr>
          <w:rFonts w:ascii="Arial" w:cs="Arial" w:eastAsia="Arial" w:hAnsi="Arial"/>
          <w:sz w:val="22"/>
          <w:szCs w:val="22"/>
          <w:rtl w:val="0"/>
        </w:rPr>
        <w:t xml:space="preserve">(5), p.e10801.</w:t>
      </w:r>
    </w:p>
    <w:p w:rsidR="00000000" w:rsidDel="00000000" w:rsidP="00000000" w:rsidRDefault="00000000" w:rsidRPr="00000000" w14:paraId="0000004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Gibbs, G. (1998). Learning by Doing A Guide to Teaching and Learning Methods. Oxford Brooks University, Oxford. – References – Scientific Research Publishing. [online] SCRIP. Available at: </w:t>
      </w:r>
      <w:hyperlink r:id="rId7">
        <w:r w:rsidDel="00000000" w:rsidR="00000000" w:rsidRPr="00000000">
          <w:rPr>
            <w:rFonts w:ascii="Arial" w:cs="Arial" w:eastAsia="Arial" w:hAnsi="Arial"/>
            <w:color w:val="467886"/>
            <w:sz w:val="22"/>
            <w:szCs w:val="22"/>
            <w:u w:val="single"/>
            <w:rtl w:val="0"/>
          </w:rPr>
          <w:t xml:space="preserve">https://www.scirp.org/reference/referencespapers?referenceid=2230149</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Mogonea, F., 2022. A possible mentoring model: the GROW model. Analele Universității din Craiova, seria Psihologie-Pedagogie, 44(2), pp.60-70.</w:t>
      </w:r>
    </w:p>
    <w:p w:rsidR="00000000" w:rsidDel="00000000" w:rsidP="00000000" w:rsidRDefault="00000000" w:rsidRPr="00000000" w14:paraId="0000004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Schwartz, A.E., 2021. Seeing faces. </w:t>
      </w:r>
      <w:r w:rsidDel="00000000" w:rsidR="00000000" w:rsidRPr="00000000">
        <w:rPr>
          <w:rFonts w:ascii="Arial" w:cs="Arial" w:eastAsia="Arial" w:hAnsi="Arial"/>
          <w:i w:val="1"/>
          <w:sz w:val="22"/>
          <w:szCs w:val="22"/>
          <w:rtl w:val="0"/>
        </w:rPr>
        <w:t xml:space="preserve">Patient Education and Counseling</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105</w:t>
      </w:r>
      <w:r w:rsidDel="00000000" w:rsidR="00000000" w:rsidRPr="00000000">
        <w:rPr>
          <w:rFonts w:ascii="Arial" w:cs="Arial" w:eastAsia="Arial" w:hAnsi="Arial"/>
          <w:sz w:val="22"/>
          <w:szCs w:val="22"/>
          <w:rtl w:val="0"/>
        </w:rPr>
        <w:t xml:space="preserve">(3), pp.790-791.</w:t>
      </w:r>
    </w:p>
    <w:p w:rsidR="00000000" w:rsidDel="00000000" w:rsidP="00000000" w:rsidRDefault="00000000" w:rsidRPr="00000000" w14:paraId="0000004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Swann, C., Jackman, P.C., Lawrence, A., Hawkins, R.M., Goddard, S.G., Williamson, O., Schweickle, M.J., Vella, S.A., Rosenbaum, S. and Ekkekakis, P., 2023. The (over) use of SMART goals for physical activity promotion: A narrative review and critique. </w:t>
      </w:r>
      <w:r w:rsidDel="00000000" w:rsidR="00000000" w:rsidRPr="00000000">
        <w:rPr>
          <w:rFonts w:ascii="Arial" w:cs="Arial" w:eastAsia="Arial" w:hAnsi="Arial"/>
          <w:i w:val="1"/>
          <w:sz w:val="22"/>
          <w:szCs w:val="22"/>
          <w:rtl w:val="0"/>
        </w:rPr>
        <w:t xml:space="preserve">Health psychology review</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17</w:t>
      </w:r>
      <w:r w:rsidDel="00000000" w:rsidR="00000000" w:rsidRPr="00000000">
        <w:rPr>
          <w:rFonts w:ascii="Arial" w:cs="Arial" w:eastAsia="Arial" w:hAnsi="Arial"/>
          <w:sz w:val="22"/>
          <w:szCs w:val="22"/>
          <w:rtl w:val="0"/>
        </w:rPr>
        <w:t xml:space="preserve">(2), pp.211-226.</w:t>
      </w:r>
    </w:p>
    <w:p w:rsidR="00000000" w:rsidDel="00000000" w:rsidP="00000000" w:rsidRDefault="00000000" w:rsidRPr="00000000" w14:paraId="0000005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Taskiran Eskici, G., Alan, H., Eskin Bacaksiz, F., Gumus, E., Cakir, H. and Harmanci Seren, A.K., 2021. Under the same rainbow: A study on homophobia and discrimination among private sector health care professionals. Journal of Nursing Management, 29(1), pp.3-15.</w:t>
      </w:r>
    </w:p>
    <w:p w:rsidR="00000000" w:rsidDel="00000000" w:rsidP="00000000" w:rsidRDefault="00000000" w:rsidRPr="00000000" w14:paraId="0000005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Taylor, A.H. (2003). Physical activity, anxiety, and stress. pp.22–52. doi:https://doi.org/10.4324/9780203468326-9.</w:t>
      </w:r>
    </w:p>
    <w:p w:rsidR="00000000" w:rsidDel="00000000" w:rsidP="00000000" w:rsidRDefault="00000000" w:rsidRPr="00000000" w14:paraId="0000005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Teixeira, P.J., Marques, M.M., Silva, M.N., Brunet, J., Duda, J.L., Haerens, L., La Guardia, J., Lindwall, M., Lonsdale, C., Markland, D. and Michie, S., 2020. A classification of motivation and behavior change techniques used in self-determination theory-based interventions in health contexts. </w:t>
      </w:r>
      <w:r w:rsidDel="00000000" w:rsidR="00000000" w:rsidRPr="00000000">
        <w:rPr>
          <w:rFonts w:ascii="Arial" w:cs="Arial" w:eastAsia="Arial" w:hAnsi="Arial"/>
          <w:i w:val="1"/>
          <w:sz w:val="22"/>
          <w:szCs w:val="22"/>
          <w:rtl w:val="0"/>
        </w:rPr>
        <w:t xml:space="preserve">Motivation science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6</w:t>
      </w:r>
      <w:r w:rsidDel="00000000" w:rsidR="00000000" w:rsidRPr="00000000">
        <w:rPr>
          <w:rFonts w:ascii="Arial" w:cs="Arial" w:eastAsia="Arial" w:hAnsi="Arial"/>
          <w:sz w:val="22"/>
          <w:szCs w:val="22"/>
          <w:rtl w:val="0"/>
        </w:rPr>
        <w:t xml:space="preserve">(4), p.438.</w:t>
      </w:r>
    </w:p>
    <w:p w:rsidR="00000000" w:rsidDel="00000000" w:rsidP="00000000" w:rsidRDefault="00000000" w:rsidRPr="00000000" w14:paraId="0000005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jc w:val="both"/>
        <w:rPr>
          <w:rFonts w:ascii="Arial" w:cs="Arial" w:eastAsia="Arial" w:hAnsi="Arial"/>
          <w:sz w:val="22"/>
          <w:szCs w:val="22"/>
        </w:rPr>
      </w:pPr>
      <w:r w:rsidDel="00000000" w:rsidR="00000000" w:rsidRPr="00000000">
        <w:rPr>
          <w:rtl w:val="0"/>
        </w:rPr>
      </w:r>
    </w:p>
    <w:sectPr>
      <w:headerReference r:id="rId8" w:type="default"/>
      <w:footerReference r:id="rId9"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A">
    <w:pPr>
      <w:rPr/>
    </w:pPr>
    <w:r w:rsidDel="00000000" w:rsidR="00000000" w:rsidRPr="00000000">
      <w:rPr>
        <w:b w:val="1"/>
        <w:rtl w:val="0"/>
      </w:rPr>
      <w:t xml:space="preserve">Student Name:</w:t>
    </w:r>
    <w:r w:rsidDel="00000000" w:rsidR="00000000" w:rsidRPr="00000000">
      <w:rPr>
        <w:rtl w:val="0"/>
      </w:rPr>
      <w:t xml:space="preserve"> Majdah Bi            </w:t>
    </w:r>
    <w:r w:rsidDel="00000000" w:rsidR="00000000" w:rsidRPr="00000000">
      <w:rPr>
        <w:b w:val="1"/>
        <w:rtl w:val="0"/>
      </w:rPr>
      <w:t xml:space="preserve">Student ID Number:</w:t>
    </w:r>
    <w:r w:rsidDel="00000000" w:rsidR="00000000" w:rsidRPr="00000000">
      <w:rPr>
        <w:rtl w:val="0"/>
      </w:rPr>
      <w:t xml:space="preserve"> 2420112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rPr/>
    </w:pPr>
    <w:r w:rsidDel="00000000" w:rsidR="00000000" w:rsidRPr="00000000">
      <w:rPr>
        <w:rtl w:val="0"/>
      </w:rPr>
      <w:t xml:space="preserve">Module Code: LCHS4001</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ListParagraph">
    <w:name w:val="List Paragraph"/>
    <w:basedOn w:val="Normal"/>
    <w:uiPriority w:val="34"/>
    <w:qFormat w:val="1"/>
    <w:rsid w:val="00690115"/>
    <w:pPr>
      <w:ind w:left="720"/>
      <w:contextualSpacing w:val="1"/>
    </w:pPr>
  </w:style>
  <w:style w:type="character" w:styleId="Hyperlink">
    <w:name w:val="Hyperlink"/>
    <w:basedOn w:val="DefaultParagraphFont"/>
    <w:uiPriority w:val="99"/>
    <w:unhideWhenUsed w:val="1"/>
    <w:rsid w:val="00901DB6"/>
    <w:rPr>
      <w:color w:val="467886" w:themeColor="hyperlink"/>
      <w:u w:val="single"/>
    </w:rPr>
  </w:style>
  <w:style w:type="character" w:styleId="UnresolvedMention">
    <w:name w:val="Unresolved Mention"/>
    <w:basedOn w:val="DefaultParagraphFont"/>
    <w:uiPriority w:val="99"/>
    <w:semiHidden w:val="1"/>
    <w:unhideWhenUsed w:val="1"/>
    <w:rsid w:val="00901DB6"/>
    <w:rPr>
      <w:color w:val="605e5c"/>
      <w:shd w:color="auto" w:fill="e1dfdd" w:val="clear"/>
    </w:rPr>
  </w:style>
  <w:style w:type="paragraph" w:styleId="Header">
    <w:name w:val="header"/>
    <w:basedOn w:val="Normal"/>
    <w:link w:val="HeaderChar"/>
    <w:uiPriority w:val="99"/>
    <w:unhideWhenUsed w:val="1"/>
    <w:rsid w:val="00111CDD"/>
    <w:pPr>
      <w:tabs>
        <w:tab w:val="center" w:pos="4513"/>
        <w:tab w:val="right" w:pos="9026"/>
      </w:tabs>
      <w:spacing w:after="0" w:line="240" w:lineRule="auto"/>
    </w:pPr>
  </w:style>
  <w:style w:type="character" w:styleId="HeaderChar" w:customStyle="1">
    <w:name w:val="Header Char"/>
    <w:basedOn w:val="DefaultParagraphFont"/>
    <w:link w:val="Header"/>
    <w:uiPriority w:val="99"/>
    <w:rsid w:val="00111CDD"/>
  </w:style>
  <w:style w:type="paragraph" w:styleId="Footer">
    <w:name w:val="footer"/>
    <w:basedOn w:val="Normal"/>
    <w:link w:val="FooterChar"/>
    <w:uiPriority w:val="99"/>
    <w:unhideWhenUsed w:val="1"/>
    <w:rsid w:val="00111CDD"/>
    <w:pPr>
      <w:tabs>
        <w:tab w:val="center" w:pos="4513"/>
        <w:tab w:val="right" w:pos="9026"/>
      </w:tabs>
      <w:spacing w:after="0" w:line="240" w:lineRule="auto"/>
    </w:pPr>
  </w:style>
  <w:style w:type="character" w:styleId="FooterChar" w:customStyle="1">
    <w:name w:val="Footer Char"/>
    <w:basedOn w:val="DefaultParagraphFont"/>
    <w:link w:val="Footer"/>
    <w:uiPriority w:val="99"/>
    <w:rsid w:val="00111CDD"/>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scirp.org/reference/referencespapers?referenceid=2230149"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rBmWzEyJzpErG63IVfe/em0ZtQ==">CgMxLjA4AHIhMUZsOGhONlBZYkRMZnRWeEFQQjFnaWFCVXpQUGNxS3pD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2025-07-22T21:13:00Z</dcterms:created>
  <dc:creator>Majdah Bi (2420112)</dc:creator>
</cp:coreProperties>
</file>