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323C6" w14:textId="77777777" w:rsidR="00DC7396" w:rsidRPr="00B82BC9" w:rsidRDefault="00DC7396" w:rsidP="00616431">
      <w:pPr>
        <w:jc w:val="center"/>
        <w:rPr>
          <w:rFonts w:ascii="Arial" w:hAnsi="Arial" w:cs="Arial"/>
          <w:b/>
          <w:bCs/>
          <w:sz w:val="40"/>
          <w:szCs w:val="36"/>
        </w:rPr>
      </w:pPr>
      <w:r w:rsidRPr="00B82BC9">
        <w:rPr>
          <w:rFonts w:ascii="Arial" w:hAnsi="Arial" w:cs="Arial"/>
          <w:b/>
          <w:bCs/>
          <w:sz w:val="40"/>
          <w:szCs w:val="36"/>
        </w:rPr>
        <w:t>School of International Hotel Management</w:t>
      </w:r>
    </w:p>
    <w:p w14:paraId="6BE3E111" w14:textId="5001BD82" w:rsidR="00FD2635" w:rsidRPr="00B82BC9" w:rsidRDefault="00DC7396" w:rsidP="00616431">
      <w:pPr>
        <w:jc w:val="center"/>
        <w:rPr>
          <w:rFonts w:ascii="Arial" w:hAnsi="Arial" w:cs="Arial"/>
          <w:b/>
          <w:bCs/>
          <w:sz w:val="32"/>
          <w:szCs w:val="28"/>
        </w:rPr>
      </w:pPr>
      <w:r w:rsidRPr="00B82BC9">
        <w:rPr>
          <w:rFonts w:ascii="Arial" w:hAnsi="Arial" w:cs="Arial"/>
          <w:b/>
          <w:bCs/>
          <w:sz w:val="32"/>
          <w:szCs w:val="28"/>
        </w:rPr>
        <w:t>BA International Hotel Management</w:t>
      </w:r>
    </w:p>
    <w:p w14:paraId="6DCFFCDD" w14:textId="6886698D" w:rsidR="00616431" w:rsidRPr="00B82BC9" w:rsidRDefault="00616431" w:rsidP="00616431">
      <w:pPr>
        <w:jc w:val="center"/>
        <w:rPr>
          <w:rFonts w:ascii="Arial" w:hAnsi="Arial" w:cs="Arial"/>
          <w:sz w:val="32"/>
          <w:szCs w:val="28"/>
        </w:rPr>
      </w:pPr>
      <w:r w:rsidRPr="00B82BC9">
        <w:rPr>
          <w:rFonts w:ascii="Arial" w:hAnsi="Arial" w:cs="Arial"/>
          <w:sz w:val="32"/>
          <w:szCs w:val="28"/>
        </w:rPr>
        <w:t>BMIH5005: Personnel Resourcing and Development</w:t>
      </w:r>
    </w:p>
    <w:p w14:paraId="303BC00A" w14:textId="1C58C3B3" w:rsidR="00762148" w:rsidRDefault="000C228B" w:rsidP="00762148">
      <w:pPr>
        <w:jc w:val="center"/>
        <w:rPr>
          <w:rFonts w:ascii="Arial" w:hAnsi="Arial" w:cs="Arial"/>
          <w:sz w:val="32"/>
          <w:szCs w:val="28"/>
        </w:rPr>
      </w:pPr>
      <w:r w:rsidRPr="00B82BC9">
        <w:rPr>
          <w:rFonts w:ascii="Arial" w:hAnsi="Arial" w:cs="Arial"/>
          <w:sz w:val="32"/>
          <w:szCs w:val="28"/>
        </w:rPr>
        <w:t>Module Lead: Helen Lee BA (Hons)</w:t>
      </w:r>
    </w:p>
    <w:p w14:paraId="49B9C536" w14:textId="1BB4075D" w:rsidR="00762148" w:rsidRPr="00762148" w:rsidRDefault="00762148" w:rsidP="000C228B">
      <w:pPr>
        <w:jc w:val="center"/>
        <w:rPr>
          <w:rFonts w:ascii="Arial" w:hAnsi="Arial" w:cs="Arial"/>
          <w:b/>
          <w:bCs/>
          <w:sz w:val="32"/>
          <w:szCs w:val="28"/>
          <w:u w:val="single"/>
        </w:rPr>
      </w:pPr>
      <w:r w:rsidRPr="00762148">
        <w:rPr>
          <w:rFonts w:ascii="Arial" w:hAnsi="Arial" w:cs="Arial"/>
          <w:b/>
          <w:bCs/>
          <w:sz w:val="32"/>
          <w:szCs w:val="28"/>
          <w:u w:val="single"/>
        </w:rPr>
        <w:t>Case study</w:t>
      </w:r>
    </w:p>
    <w:p w14:paraId="56D5640A" w14:textId="77777777" w:rsidR="00762148" w:rsidRDefault="00762148" w:rsidP="000C228B">
      <w:pPr>
        <w:jc w:val="center"/>
        <w:rPr>
          <w:rFonts w:ascii="Arial" w:hAnsi="Arial" w:cs="Arial"/>
          <w:sz w:val="32"/>
          <w:szCs w:val="28"/>
        </w:rPr>
      </w:pPr>
    </w:p>
    <w:p w14:paraId="4D4651CF" w14:textId="06D45844" w:rsidR="00762148" w:rsidRPr="00762148" w:rsidRDefault="00762148" w:rsidP="00762148">
      <w:pPr>
        <w:ind w:left="720" w:firstLine="720"/>
        <w:jc w:val="left"/>
        <w:rPr>
          <w:rFonts w:ascii="Arial" w:hAnsi="Arial" w:cs="Arial"/>
          <w:i/>
          <w:iCs/>
          <w:sz w:val="28"/>
          <w:szCs w:val="28"/>
        </w:rPr>
      </w:pPr>
      <w:r w:rsidRPr="00762148">
        <w:rPr>
          <w:rFonts w:ascii="Arial" w:hAnsi="Arial" w:cs="Arial"/>
          <w:i/>
          <w:iCs/>
          <w:sz w:val="28"/>
          <w:szCs w:val="28"/>
        </w:rPr>
        <w:t>Student Name</w:t>
      </w:r>
      <w:r>
        <w:rPr>
          <w:rFonts w:ascii="Arial" w:hAnsi="Arial" w:cs="Arial"/>
          <w:i/>
          <w:iCs/>
          <w:sz w:val="28"/>
          <w:szCs w:val="28"/>
        </w:rPr>
        <w:tab/>
      </w:r>
      <w:r w:rsidRPr="00762148">
        <w:rPr>
          <w:rFonts w:ascii="Arial" w:hAnsi="Arial" w:cs="Arial"/>
          <w:i/>
          <w:iCs/>
          <w:sz w:val="28"/>
          <w:szCs w:val="28"/>
        </w:rPr>
        <w:t>:</w:t>
      </w:r>
      <w:r w:rsidR="0000616D">
        <w:rPr>
          <w:rFonts w:ascii="Arial" w:hAnsi="Arial" w:cs="Arial"/>
          <w:i/>
          <w:iCs/>
          <w:sz w:val="28"/>
          <w:szCs w:val="28"/>
        </w:rPr>
        <w:t xml:space="preserve"> </w:t>
      </w:r>
      <w:r w:rsidR="000C73E3">
        <w:rPr>
          <w:rFonts w:ascii="Arial" w:hAnsi="Arial" w:cs="Arial"/>
          <w:i/>
          <w:iCs/>
          <w:sz w:val="28"/>
          <w:szCs w:val="28"/>
        </w:rPr>
        <w:t xml:space="preserve">Jozef  Kotlar </w:t>
      </w:r>
    </w:p>
    <w:p w14:paraId="4162FBE3" w14:textId="524522DF" w:rsidR="00762148" w:rsidRPr="00762148" w:rsidRDefault="00762148" w:rsidP="00762148">
      <w:pPr>
        <w:ind w:left="720" w:firstLine="720"/>
        <w:jc w:val="left"/>
        <w:rPr>
          <w:rFonts w:ascii="Arial" w:hAnsi="Arial" w:cs="Arial"/>
          <w:i/>
          <w:iCs/>
          <w:sz w:val="28"/>
          <w:szCs w:val="28"/>
        </w:rPr>
      </w:pPr>
      <w:r w:rsidRPr="00762148">
        <w:rPr>
          <w:rFonts w:ascii="Arial" w:hAnsi="Arial" w:cs="Arial"/>
          <w:i/>
          <w:iCs/>
          <w:sz w:val="28"/>
          <w:szCs w:val="28"/>
        </w:rPr>
        <w:t>Student ID</w:t>
      </w:r>
      <w:r>
        <w:rPr>
          <w:rFonts w:ascii="Arial" w:hAnsi="Arial" w:cs="Arial"/>
          <w:i/>
          <w:iCs/>
          <w:sz w:val="28"/>
          <w:szCs w:val="28"/>
        </w:rPr>
        <w:tab/>
      </w:r>
      <w:r>
        <w:rPr>
          <w:rFonts w:ascii="Arial" w:hAnsi="Arial" w:cs="Arial"/>
          <w:i/>
          <w:iCs/>
          <w:sz w:val="28"/>
          <w:szCs w:val="28"/>
        </w:rPr>
        <w:tab/>
      </w:r>
      <w:r w:rsidRPr="00762148">
        <w:rPr>
          <w:rFonts w:ascii="Arial" w:hAnsi="Arial" w:cs="Arial"/>
          <w:i/>
          <w:iCs/>
          <w:sz w:val="28"/>
          <w:szCs w:val="28"/>
        </w:rPr>
        <w:t>:</w:t>
      </w:r>
      <w:r w:rsidR="000C73E3">
        <w:rPr>
          <w:rFonts w:ascii="Arial" w:hAnsi="Arial" w:cs="Arial"/>
          <w:i/>
          <w:iCs/>
          <w:sz w:val="28"/>
          <w:szCs w:val="28"/>
        </w:rPr>
        <w:t xml:space="preserve"> 2207347</w:t>
      </w:r>
    </w:p>
    <w:p w14:paraId="72AB8C8C" w14:textId="68445A0A" w:rsidR="00762148" w:rsidRPr="00762148" w:rsidRDefault="00762148" w:rsidP="00762148">
      <w:pPr>
        <w:ind w:left="720" w:firstLine="720"/>
        <w:jc w:val="left"/>
        <w:rPr>
          <w:rFonts w:ascii="Arial" w:hAnsi="Arial" w:cs="Arial"/>
          <w:i/>
          <w:iCs/>
          <w:sz w:val="28"/>
          <w:szCs w:val="28"/>
        </w:rPr>
      </w:pPr>
      <w:r w:rsidRPr="00762148">
        <w:rPr>
          <w:rFonts w:ascii="Arial" w:hAnsi="Arial" w:cs="Arial"/>
          <w:i/>
          <w:iCs/>
          <w:sz w:val="28"/>
          <w:szCs w:val="28"/>
        </w:rPr>
        <w:t>Lecturer Name</w:t>
      </w:r>
      <w:r>
        <w:rPr>
          <w:rFonts w:ascii="Arial" w:hAnsi="Arial" w:cs="Arial"/>
          <w:i/>
          <w:iCs/>
          <w:sz w:val="28"/>
          <w:szCs w:val="28"/>
        </w:rPr>
        <w:tab/>
      </w:r>
      <w:r w:rsidRPr="00762148">
        <w:rPr>
          <w:rFonts w:ascii="Arial" w:hAnsi="Arial" w:cs="Arial"/>
          <w:i/>
          <w:iCs/>
          <w:sz w:val="28"/>
          <w:szCs w:val="28"/>
        </w:rPr>
        <w:t>:</w:t>
      </w:r>
      <w:r w:rsidR="000C73E3">
        <w:rPr>
          <w:rFonts w:ascii="Arial" w:hAnsi="Arial" w:cs="Arial"/>
          <w:i/>
          <w:iCs/>
          <w:sz w:val="28"/>
          <w:szCs w:val="28"/>
        </w:rPr>
        <w:t xml:space="preserve"> Helen Lee</w:t>
      </w:r>
    </w:p>
    <w:p w14:paraId="2C408A9B" w14:textId="14586021" w:rsidR="000C228B" w:rsidRPr="00762148" w:rsidRDefault="00616431" w:rsidP="00762148">
      <w:pPr>
        <w:spacing w:line="259" w:lineRule="auto"/>
        <w:jc w:val="left"/>
        <w:rPr>
          <w:rFonts w:ascii="Arial" w:hAnsi="Arial" w:cs="Arial"/>
          <w:sz w:val="32"/>
          <w:szCs w:val="28"/>
        </w:rPr>
      </w:pPr>
      <w:r w:rsidRPr="00B82BC9">
        <w:rPr>
          <w:rFonts w:ascii="Arial" w:hAnsi="Arial" w:cs="Arial"/>
          <w:sz w:val="32"/>
          <w:szCs w:val="28"/>
        </w:rPr>
        <w:br w:type="page"/>
      </w:r>
    </w:p>
    <w:p w14:paraId="29FC80C6" w14:textId="77777777" w:rsidR="000C228B" w:rsidRPr="00B82BC9" w:rsidRDefault="000C228B" w:rsidP="000C228B">
      <w:pPr>
        <w:jc w:val="center"/>
        <w:rPr>
          <w:rFonts w:ascii="Arial" w:hAnsi="Arial" w:cs="Arial"/>
          <w:b/>
          <w:bCs/>
          <w:sz w:val="32"/>
          <w:szCs w:val="28"/>
        </w:rPr>
      </w:pPr>
    </w:p>
    <w:p w14:paraId="4431D0C1" w14:textId="1D6C8B03" w:rsidR="00616431" w:rsidRPr="00B82BC9" w:rsidRDefault="000C228B" w:rsidP="000C228B">
      <w:pPr>
        <w:jc w:val="center"/>
        <w:rPr>
          <w:rFonts w:ascii="Arial" w:hAnsi="Arial" w:cs="Arial"/>
          <w:b/>
          <w:bCs/>
        </w:rPr>
      </w:pPr>
      <w:r w:rsidRPr="00B82BC9">
        <w:rPr>
          <w:rFonts w:ascii="Arial" w:hAnsi="Arial" w:cs="Arial"/>
          <w:b/>
          <w:bCs/>
          <w:sz w:val="32"/>
          <w:szCs w:val="28"/>
        </w:rPr>
        <w:t>How to engage employees (Generation Ys or Generation Zs) throughout the employee lifecycle?</w:t>
      </w:r>
    </w:p>
    <w:p w14:paraId="68B607A5" w14:textId="1DF1201F" w:rsidR="00B9234E" w:rsidRPr="00B82BC9" w:rsidRDefault="00B9234E" w:rsidP="00B9234E">
      <w:pPr>
        <w:rPr>
          <w:rFonts w:ascii="Arial" w:hAnsi="Arial" w:cs="Arial"/>
        </w:rPr>
      </w:pPr>
      <w:r w:rsidRPr="00B82BC9">
        <w:rPr>
          <w:rFonts w:ascii="Arial" w:hAnsi="Arial" w:cs="Arial"/>
        </w:rPr>
        <w:t>If the United Kingdom's Trinity Hotel is serious about retaining millennial and Gen Z employees, its human resources department will need to adopt innovative policies and practises. Members of Generation X and Generation Y are distinguished by their openness to new ideas and technology, as well as their emphasis on work-life balance and career progression. Jobs that are presented honestly, have room for growth, and use social media are more likely to draw skilled candidates. Throughout the hiring process, the hotel's core values should be drilled into new hires, and opportunities for mentorship and input into hotel operations should be provided</w:t>
      </w:r>
      <w:r w:rsidR="00F67218" w:rsidRPr="00B82BC9">
        <w:rPr>
          <w:rFonts w:ascii="Arial" w:hAnsi="Arial" w:cs="Arial"/>
        </w:rPr>
        <w:t xml:space="preserve"> (Bardhan, 2022)</w:t>
      </w:r>
      <w:r w:rsidRPr="00B82BC9">
        <w:rPr>
          <w:rFonts w:ascii="Arial" w:hAnsi="Arial" w:cs="Arial"/>
        </w:rPr>
        <w:t>. Employees may be kept invested in their professions in a variety of ways, including via regular feedback, the promotion of lifelong learning through digital platforms, and the provision of flexible scheduling alternatives. Furthermore, it may be possible to appeal to the aims and aspirations of Generation Y and Generation Z employees by emphasising recognition and reward, promoting diversity and inclusion in the workplace, and pushing to encourage innovation.</w:t>
      </w:r>
    </w:p>
    <w:p w14:paraId="67E4977F" w14:textId="2C5D9A31" w:rsidR="00A827D1" w:rsidRPr="00B82BC9" w:rsidRDefault="00A827D1" w:rsidP="001C1D74">
      <w:pPr>
        <w:rPr>
          <w:rFonts w:ascii="Arial" w:hAnsi="Arial" w:cs="Arial"/>
        </w:rPr>
      </w:pPr>
      <w:r w:rsidRPr="00B82BC9">
        <w:rPr>
          <w:rFonts w:ascii="Arial" w:hAnsi="Arial" w:cs="Arial"/>
        </w:rPr>
        <w:t>Trinity Hotel, UK's human resources department plays a crucial role in maintaining a productive and pleasant workplace for its workers. The ability to identify and attract top talent is a critical part of HR's function. The HR team at Trinity Hotel is tasked with finding and hiring people that not only meet the technical requirements but also share the company's guiding principles. New hires who are a good match for the company's culture are more likely to invest themselves in their job and the company as a whole right away.</w:t>
      </w:r>
    </w:p>
    <w:p w14:paraId="32F558DA" w14:textId="58B6E47C" w:rsidR="00A827D1" w:rsidRPr="00B82BC9" w:rsidRDefault="00A827D1" w:rsidP="00A827D1">
      <w:pPr>
        <w:rPr>
          <w:rFonts w:ascii="Arial" w:hAnsi="Arial" w:cs="Arial"/>
        </w:rPr>
      </w:pPr>
      <w:r w:rsidRPr="00B82BC9">
        <w:rPr>
          <w:rFonts w:ascii="Arial" w:hAnsi="Arial" w:cs="Arial"/>
        </w:rPr>
        <w:t>In addition, it is HR's responsibility to establish efficient procedures for new hire orientation. New employees benefit from a smoother transition into the company, more clarity about their duties and responsibilities, and stronger bonds with their co-workers when an effective onboarding programme is in place</w:t>
      </w:r>
      <w:r w:rsidR="00FD12E9" w:rsidRPr="00B82BC9">
        <w:rPr>
          <w:rFonts w:ascii="Arial" w:hAnsi="Arial" w:cs="Arial"/>
        </w:rPr>
        <w:t xml:space="preserve"> (Carpenter, and Carpenter, 2021)</w:t>
      </w:r>
      <w:r w:rsidRPr="00B82BC9">
        <w:rPr>
          <w:rFonts w:ascii="Arial" w:hAnsi="Arial" w:cs="Arial"/>
        </w:rPr>
        <w:t xml:space="preserve">. This kind of involvement in the outset may set the tone for a successful career. Human resources is also critical in creating and delivering training and development opportunities </w:t>
      </w:r>
      <w:r w:rsidRPr="00B82BC9">
        <w:rPr>
          <w:rFonts w:ascii="Arial" w:hAnsi="Arial" w:cs="Arial"/>
        </w:rPr>
        <w:lastRenderedPageBreak/>
        <w:t>for workers</w:t>
      </w:r>
      <w:r w:rsidR="00F67218" w:rsidRPr="00B82BC9">
        <w:rPr>
          <w:rFonts w:ascii="Arial" w:hAnsi="Arial" w:cs="Arial"/>
        </w:rPr>
        <w:t xml:space="preserve"> (Card, and Ransom, 2017)</w:t>
      </w:r>
      <w:r w:rsidRPr="00B82BC9">
        <w:rPr>
          <w:rFonts w:ascii="Arial" w:hAnsi="Arial" w:cs="Arial"/>
        </w:rPr>
        <w:t>. Training, mentoring, and other career advancement options show that the company values its workers and wants to see them succeed. Employees who are invested in their careers and the success of the organisation as a whole are more inclined to give their all to their job.</w:t>
      </w:r>
    </w:p>
    <w:p w14:paraId="28698671" w14:textId="75AAA4E4" w:rsidR="00A827D1" w:rsidRPr="00B82BC9" w:rsidRDefault="00A827D1" w:rsidP="00A827D1">
      <w:pPr>
        <w:rPr>
          <w:rFonts w:ascii="Arial" w:hAnsi="Arial" w:cs="Arial"/>
        </w:rPr>
      </w:pPr>
      <w:r w:rsidRPr="00B82BC9">
        <w:rPr>
          <w:rFonts w:ascii="Arial" w:hAnsi="Arial" w:cs="Arial"/>
        </w:rPr>
        <w:t>Human resources also plays an important role in improving interactions between employers and employees. Human resources experts act as mediators, handle employee problems, and establish lines of communication</w:t>
      </w:r>
      <w:r w:rsidR="00F67218" w:rsidRPr="00B82BC9">
        <w:rPr>
          <w:rFonts w:ascii="Arial" w:hAnsi="Arial" w:cs="Arial"/>
        </w:rPr>
        <w:t xml:space="preserve"> (Armstrong, and Taylor, 2020)</w:t>
      </w:r>
      <w:r w:rsidRPr="00B82BC9">
        <w:rPr>
          <w:rFonts w:ascii="Arial" w:hAnsi="Arial" w:cs="Arial"/>
        </w:rPr>
        <w:t>. Human resources helps boost morale by creating a welcoming workplace full of mutual respect and encouragement. Trinity Hotel's HR department also has to keep an eye on morale by conducting surveys and holding frequent meetings with staff. With this data in hand, they can anticipate problems and take measures to boost morale and productivity. Human resources acts as a conduit between upper management and staff, facilitating communication and resolving issues that arise from either side</w:t>
      </w:r>
      <w:r w:rsidR="001413E1" w:rsidRPr="00B82BC9">
        <w:rPr>
          <w:rFonts w:ascii="Arial" w:hAnsi="Arial" w:cs="Arial"/>
        </w:rPr>
        <w:t xml:space="preserve"> (Hyman, 2018)</w:t>
      </w:r>
      <w:r w:rsidRPr="00B82BC9">
        <w:rPr>
          <w:rFonts w:ascii="Arial" w:hAnsi="Arial" w:cs="Arial"/>
        </w:rPr>
        <w:t>.</w:t>
      </w:r>
    </w:p>
    <w:p w14:paraId="5A47A52A" w14:textId="4D1D8711" w:rsidR="001C1D74" w:rsidRPr="006A0C34" w:rsidRDefault="00A827D1" w:rsidP="0034011C">
      <w:pPr>
        <w:rPr>
          <w:rFonts w:ascii="Arial" w:hAnsi="Arial" w:cs="Arial"/>
        </w:rPr>
      </w:pPr>
      <w:r w:rsidRPr="00B82BC9">
        <w:rPr>
          <w:rFonts w:ascii="Arial" w:hAnsi="Arial" w:cs="Arial"/>
        </w:rPr>
        <w:t>Trinity Hotel, UK's human resources department plays a diverse role in employee engagement, from hiring and orientation to training and resolving conflicts. Human resources' focus on employees' happiness and fulfilment in their work helps foster an environment that is conducive to high output and satisfied customers.</w:t>
      </w:r>
    </w:p>
    <w:p w14:paraId="2AED3934" w14:textId="31A6779E" w:rsidR="0034011C" w:rsidRPr="00B82BC9" w:rsidRDefault="0034011C" w:rsidP="0034011C">
      <w:pPr>
        <w:rPr>
          <w:rFonts w:ascii="Arial" w:hAnsi="Arial" w:cs="Arial"/>
          <w:b/>
          <w:bCs/>
        </w:rPr>
      </w:pPr>
      <w:r w:rsidRPr="00B82BC9">
        <w:rPr>
          <w:rFonts w:ascii="Arial" w:hAnsi="Arial" w:cs="Arial"/>
        </w:rPr>
        <w:t>Generation Y, sometimes known as millennials, may be identified by their unique traits in the environment of the Trinity Hotel in London, England. This generation, roughly spanning the years 1980 and 2000, places a higher importance on having fun than on accumulating things. Guests of Generation Y at Trinity Hotel are looking for one-of-a-kind, tailor-made activities that reflect their interests and ideals. They like to use digital channels for all aspects of the hotel experience, including booking, checking in, and using the facilities</w:t>
      </w:r>
      <w:r w:rsidR="007103AD" w:rsidRPr="00B82BC9">
        <w:rPr>
          <w:rFonts w:ascii="Arial" w:hAnsi="Arial" w:cs="Arial"/>
        </w:rPr>
        <w:t xml:space="preserve"> (Dollins, and Stemmle, 2021)</w:t>
      </w:r>
      <w:r w:rsidRPr="00B82BC9">
        <w:rPr>
          <w:rFonts w:ascii="Arial" w:hAnsi="Arial" w:cs="Arial"/>
        </w:rPr>
        <w:t>. Sustainability and environmental awareness are also highly valued by members of Generation Y. The eco-friendly policies and efficient energy use at Trinity Hotel are quite popular with millennials. They are on the lookout for lodgings that share their commitment to sustainability.</w:t>
      </w:r>
    </w:p>
    <w:p w14:paraId="7D88A1FC" w14:textId="0EC64553" w:rsidR="0034011C" w:rsidRPr="00B82BC9" w:rsidRDefault="0034011C" w:rsidP="0034011C">
      <w:pPr>
        <w:rPr>
          <w:rFonts w:ascii="Arial" w:hAnsi="Arial" w:cs="Arial"/>
        </w:rPr>
      </w:pPr>
      <w:r w:rsidRPr="00B82BC9">
        <w:rPr>
          <w:rFonts w:ascii="Arial" w:hAnsi="Arial" w:cs="Arial"/>
        </w:rPr>
        <w:t>Also important to this generation is convenience and adaptability. Trinity Hotel is able to accommodate guests with varied arrival and departure hours, mobile check-in choices, and a variety of amenities that can be accessed from a guest's smartphone</w:t>
      </w:r>
      <w:r w:rsidR="00300E14" w:rsidRPr="00B82BC9">
        <w:rPr>
          <w:rFonts w:ascii="Arial" w:hAnsi="Arial" w:cs="Arial"/>
        </w:rPr>
        <w:t xml:space="preserve"> (Mattox, </w:t>
      </w:r>
      <w:r w:rsidR="00300E14" w:rsidRPr="00B82BC9">
        <w:rPr>
          <w:rFonts w:ascii="Arial" w:hAnsi="Arial" w:cs="Arial"/>
        </w:rPr>
        <w:lastRenderedPageBreak/>
        <w:t>2016)</w:t>
      </w:r>
      <w:r w:rsidRPr="00B82BC9">
        <w:rPr>
          <w:rFonts w:ascii="Arial" w:hAnsi="Arial" w:cs="Arial"/>
        </w:rPr>
        <w:t>. Trinity Hotel may appeal to the interests of the millennial generation by forming connections with other area companies and expanding its selection of genuine, diversified local experiences and delectable cuisine. Moreover, members of Generation Y value interaction with others and online community</w:t>
      </w:r>
      <w:r w:rsidR="001413E1" w:rsidRPr="00B82BC9">
        <w:rPr>
          <w:rFonts w:ascii="Arial" w:hAnsi="Arial" w:cs="Arial"/>
        </w:rPr>
        <w:t xml:space="preserve"> (Kühnen, 2021)</w:t>
      </w:r>
      <w:r w:rsidRPr="00B82BC9">
        <w:rPr>
          <w:rFonts w:ascii="Arial" w:hAnsi="Arial" w:cs="Arial"/>
        </w:rPr>
        <w:t>. Events, communal areas, and chances to make connections are just some of the ways in which the Trinity Hotel may encourage guests to get to know one another. Sharing moments with visitors and encouraging them to do the same might help satisfy their need to feel connected to others. Trinity Hotel can better meet the needs of Generation Y customers by learning about and adapting to these traits.</w:t>
      </w:r>
    </w:p>
    <w:p w14:paraId="15100A04" w14:textId="2C7AE9A5" w:rsidR="00907E92" w:rsidRPr="00B82BC9" w:rsidRDefault="00907E92" w:rsidP="00907E92">
      <w:pPr>
        <w:rPr>
          <w:rFonts w:ascii="Arial" w:hAnsi="Arial" w:cs="Arial"/>
        </w:rPr>
      </w:pPr>
      <w:r w:rsidRPr="00B82BC9">
        <w:rPr>
          <w:rFonts w:ascii="Arial" w:hAnsi="Arial" w:cs="Arial"/>
        </w:rPr>
        <w:t>Fostering a healthy work atmosphere, encouraging cooperation, recognising and rewarding staff, supporting professional growth, and keeping open communication channels are all essential components to engaging a team at Trinity Hotel, UK. Establishing a constructive atmosphere at work is a priority number one</w:t>
      </w:r>
      <w:r w:rsidR="007103AD" w:rsidRPr="00B82BC9">
        <w:rPr>
          <w:rFonts w:ascii="Arial" w:hAnsi="Arial" w:cs="Arial"/>
        </w:rPr>
        <w:t xml:space="preserve"> (Friedman, 2012)</w:t>
      </w:r>
      <w:r w:rsidRPr="00B82BC9">
        <w:rPr>
          <w:rFonts w:ascii="Arial" w:hAnsi="Arial" w:cs="Arial"/>
        </w:rPr>
        <w:t>. This may be completed through encouraging group cohesion, trust, and regard. Facilitating open lines of communication and attentive listening may aid in the speedy resolution of problems and the development of a feeling of community among workers. Working together is another essential part of having a fully engaged staff. Employees may be motivated to collaborate, exchange ideas, and build on one another's skills by participating in cross-functional projects, brainstorming sessions, and other types of group activities facilitated by management</w:t>
      </w:r>
      <w:r w:rsidR="007F2316" w:rsidRPr="00B82BC9">
        <w:rPr>
          <w:rFonts w:ascii="Arial" w:hAnsi="Arial" w:cs="Arial"/>
        </w:rPr>
        <w:t xml:space="preserve"> (Ringo, 2020)</w:t>
      </w:r>
      <w:r w:rsidRPr="00B82BC9">
        <w:rPr>
          <w:rFonts w:ascii="Arial" w:hAnsi="Arial" w:cs="Arial"/>
        </w:rPr>
        <w:t>. This kind of cooperation not only boosts efficiency, but also fosters a spirit of cooperation and friendship among workers.</w:t>
      </w:r>
    </w:p>
    <w:p w14:paraId="57D64F0A" w14:textId="5A0BEC83" w:rsidR="00907E92" w:rsidRPr="00B82BC9" w:rsidRDefault="00907E92" w:rsidP="00907E92">
      <w:pPr>
        <w:rPr>
          <w:rFonts w:ascii="Arial" w:hAnsi="Arial" w:cs="Arial"/>
        </w:rPr>
      </w:pPr>
      <w:r w:rsidRPr="00B82BC9">
        <w:rPr>
          <w:rFonts w:ascii="Arial" w:hAnsi="Arial" w:cs="Arial"/>
        </w:rPr>
        <w:t>Employees are more invested in their job when they feel their efforts have been acknowledged and rewarded. Employee morale and productivity may both benefit from public and private recognition of exceptional work performance on a regular basis</w:t>
      </w:r>
      <w:r w:rsidR="007103AD" w:rsidRPr="00B82BC9">
        <w:rPr>
          <w:rFonts w:ascii="Arial" w:hAnsi="Arial" w:cs="Arial"/>
        </w:rPr>
        <w:t xml:space="preserve"> (Graban, and Toussaint, 2018)</w:t>
      </w:r>
      <w:r w:rsidRPr="00B82BC9">
        <w:rPr>
          <w:rFonts w:ascii="Arial" w:hAnsi="Arial" w:cs="Arial"/>
        </w:rPr>
        <w:t>. A company that invests in its personnel by offering training, seminars, and advancement chances is showing its employees that they value them and encouraging them to grow professionally. Keeping lines of communication open and honest is crucial for keeping a team interested and involved. Employees are given the opportunity to voice their concerns, ask questions, and get a better understanding of their roles and responsibilities when they participate in regular team meetings, one-on-</w:t>
      </w:r>
      <w:r w:rsidRPr="00B82BC9">
        <w:rPr>
          <w:rFonts w:ascii="Arial" w:hAnsi="Arial" w:cs="Arial"/>
        </w:rPr>
        <w:lastRenderedPageBreak/>
        <w:t>one conversations, and feedback sessions. By allowing everyone a voice, team members learn to trust one another and feel welcome</w:t>
      </w:r>
      <w:r w:rsidR="001413E1" w:rsidRPr="00B82BC9">
        <w:rPr>
          <w:rFonts w:ascii="Arial" w:hAnsi="Arial" w:cs="Arial"/>
        </w:rPr>
        <w:t xml:space="preserve"> (Macey, and Fink, 2020)</w:t>
      </w:r>
      <w:r w:rsidRPr="00B82BC9">
        <w:rPr>
          <w:rFonts w:ascii="Arial" w:hAnsi="Arial" w:cs="Arial"/>
        </w:rPr>
        <w:t>.</w:t>
      </w:r>
    </w:p>
    <w:p w14:paraId="518207F7" w14:textId="499DF2C0" w:rsidR="005D11D2" w:rsidRPr="00B82BC9" w:rsidRDefault="00907E92" w:rsidP="00907E92">
      <w:pPr>
        <w:rPr>
          <w:rFonts w:ascii="Arial" w:hAnsi="Arial" w:cs="Arial"/>
        </w:rPr>
      </w:pPr>
      <w:r w:rsidRPr="00B82BC9">
        <w:rPr>
          <w:rFonts w:ascii="Arial" w:hAnsi="Arial" w:cs="Arial"/>
        </w:rPr>
        <w:t>Trinity Hotel, UK's staff engagement benefits are extensive. The level of service and happiness provided to customers increases when workers are enthusiastic about their work and invested in its success. Having fewer staff leave for greener pastures also helps keep costs down, as does fostering a supportive workplace culture where employees feel valued</w:t>
      </w:r>
      <w:r w:rsidR="007103AD" w:rsidRPr="00B82BC9">
        <w:rPr>
          <w:rFonts w:ascii="Arial" w:hAnsi="Arial" w:cs="Arial"/>
        </w:rPr>
        <w:t xml:space="preserve"> (Gallagher, 2016)</w:t>
      </w:r>
      <w:r w:rsidRPr="00B82BC9">
        <w:rPr>
          <w:rFonts w:ascii="Arial" w:hAnsi="Arial" w:cs="Arial"/>
        </w:rPr>
        <w:t>. The hotel's development and performance in the cutthroat hospitality business are driven, in large part, by the level of employee engagement across the organisation. When employees at Trinity Hotel, UK are committed to one another, they are more likely to work together towards common objectives and create a positive and peaceful workplace</w:t>
      </w:r>
      <w:r w:rsidR="007F2316" w:rsidRPr="00B82BC9">
        <w:rPr>
          <w:rFonts w:ascii="Arial" w:hAnsi="Arial" w:cs="Arial"/>
        </w:rPr>
        <w:t xml:space="preserve"> (Ringard, 2020)</w:t>
      </w:r>
      <w:r w:rsidRPr="00B82BC9">
        <w:rPr>
          <w:rFonts w:ascii="Arial" w:hAnsi="Arial" w:cs="Arial"/>
        </w:rPr>
        <w:t>.</w:t>
      </w:r>
    </w:p>
    <w:p w14:paraId="36E2A85D" w14:textId="77777777" w:rsidR="007B6F07" w:rsidRPr="00B82BC9" w:rsidRDefault="007B6F07" w:rsidP="007B6F07">
      <w:pPr>
        <w:rPr>
          <w:rFonts w:ascii="Arial" w:hAnsi="Arial" w:cs="Arial"/>
        </w:rPr>
      </w:pPr>
      <w:r w:rsidRPr="00B82BC9">
        <w:rPr>
          <w:rFonts w:ascii="Arial" w:hAnsi="Arial" w:cs="Arial"/>
        </w:rPr>
        <w:t>Trinity Hotel, located in the United Kingdom, has a comprehensive employee lifecycle programme designed to attract, develop, and retain the best employees. It includes many crucial steps that guarantee the hotel staff is not just competent but also enthusiastic and dedicated to providing excellent service to guests.</w:t>
      </w:r>
    </w:p>
    <w:p w14:paraId="2FC5A610" w14:textId="5C9F96B7" w:rsidR="007B6F07" w:rsidRPr="00B82BC9" w:rsidRDefault="007B6F07" w:rsidP="007B6F07">
      <w:pPr>
        <w:rPr>
          <w:rFonts w:ascii="Arial" w:hAnsi="Arial" w:cs="Arial"/>
        </w:rPr>
      </w:pPr>
      <w:r w:rsidRPr="00B82BC9">
        <w:rPr>
          <w:rFonts w:ascii="Arial" w:hAnsi="Arial" w:cs="Arial"/>
        </w:rPr>
        <w:t>Recruiting new workers is the first step in the employment lifecycle, often known as "Attraction." Trinity Hotel is committed to building a powerful employer brand and is actively recruiting via a number of channels</w:t>
      </w:r>
      <w:r w:rsidR="007F2316" w:rsidRPr="00B82BC9">
        <w:rPr>
          <w:rFonts w:ascii="Arial" w:hAnsi="Arial" w:cs="Arial"/>
        </w:rPr>
        <w:t xml:space="preserve"> (Stadter, 2014)</w:t>
      </w:r>
      <w:r w:rsidRPr="00B82BC9">
        <w:rPr>
          <w:rFonts w:ascii="Arial" w:hAnsi="Arial" w:cs="Arial"/>
        </w:rPr>
        <w:t>. They advertise their beliefs, work environment, and dedication to employee growth in an effort to attract people who share their vision.</w:t>
      </w:r>
    </w:p>
    <w:p w14:paraId="7865ACC1" w14:textId="77777777" w:rsidR="007B6F07" w:rsidRPr="00B82BC9" w:rsidRDefault="007B6F07" w:rsidP="007B6F07">
      <w:pPr>
        <w:rPr>
          <w:rFonts w:ascii="Arial" w:hAnsi="Arial" w:cs="Arial"/>
        </w:rPr>
      </w:pPr>
      <w:r w:rsidRPr="00B82BC9">
        <w:rPr>
          <w:rFonts w:ascii="Arial" w:hAnsi="Arial" w:cs="Arial"/>
        </w:rPr>
        <w:t>The "Recruitment" stage begins after first attraction. Trinity Hotel has a thorough screening procedure to find the best possible employees. To guarantee they're hiring the most qualified candidates, they do interviews, evaluate their talents, and think about how they'll mesh with the existing team dynamic.</w:t>
      </w:r>
    </w:p>
    <w:p w14:paraId="1CCD0CF4" w14:textId="415533FA" w:rsidR="007B6F07" w:rsidRPr="00B82BC9" w:rsidRDefault="007B6F07" w:rsidP="007B6F07">
      <w:pPr>
        <w:rPr>
          <w:rFonts w:ascii="Arial" w:hAnsi="Arial" w:cs="Arial"/>
        </w:rPr>
      </w:pPr>
      <w:r w:rsidRPr="00B82BC9">
        <w:rPr>
          <w:rFonts w:ascii="Arial" w:hAnsi="Arial" w:cs="Arial"/>
        </w:rPr>
        <w:t>After being hired, new employees enter what is known as the "Onboarding" phase. Trinity Hotel is committed to helping new hires adjust quickly and easily to their new positions</w:t>
      </w:r>
      <w:r w:rsidR="007103AD" w:rsidRPr="00B82BC9">
        <w:rPr>
          <w:rFonts w:ascii="Arial" w:hAnsi="Arial" w:cs="Arial"/>
        </w:rPr>
        <w:t xml:space="preserve"> (Dollins, and Stemmle, 2021)</w:t>
      </w:r>
      <w:r w:rsidRPr="00B82BC9">
        <w:rPr>
          <w:rFonts w:ascii="Arial" w:hAnsi="Arial" w:cs="Arial"/>
        </w:rPr>
        <w:t xml:space="preserve">. The firm provides in-depth orientation programmes that acquaint new hires with their </w:t>
      </w:r>
      <w:r w:rsidR="00163C34" w:rsidRPr="00B82BC9">
        <w:rPr>
          <w:rFonts w:ascii="Arial" w:hAnsi="Arial" w:cs="Arial"/>
        </w:rPr>
        <w:t>co-workers</w:t>
      </w:r>
      <w:r w:rsidRPr="00B82BC9">
        <w:rPr>
          <w:rFonts w:ascii="Arial" w:hAnsi="Arial" w:cs="Arial"/>
        </w:rPr>
        <w:t xml:space="preserve"> and the organisation's rules, processes, and expectations.</w:t>
      </w:r>
    </w:p>
    <w:p w14:paraId="40819E35" w14:textId="06F675EA" w:rsidR="007B6F07" w:rsidRPr="00B82BC9" w:rsidRDefault="007B6F07" w:rsidP="007B6F07">
      <w:pPr>
        <w:rPr>
          <w:rFonts w:ascii="Arial" w:hAnsi="Arial" w:cs="Arial"/>
        </w:rPr>
      </w:pPr>
      <w:r w:rsidRPr="00B82BC9">
        <w:rPr>
          <w:rFonts w:ascii="Arial" w:hAnsi="Arial" w:cs="Arial"/>
        </w:rPr>
        <w:t xml:space="preserve">After a successful onboarding process, the next step is "Development." The Trinity Hotel is committed to its employees' personal and professional development. To assist </w:t>
      </w:r>
      <w:r w:rsidR="00163C34" w:rsidRPr="00B82BC9">
        <w:rPr>
          <w:rFonts w:ascii="Arial" w:hAnsi="Arial" w:cs="Arial"/>
        </w:rPr>
        <w:t>workers,</w:t>
      </w:r>
      <w:r w:rsidRPr="00B82BC9">
        <w:rPr>
          <w:rFonts w:ascii="Arial" w:hAnsi="Arial" w:cs="Arial"/>
        </w:rPr>
        <w:t xml:space="preserve"> realise their full potential, the company offers a variety of training, mentoring, and professional development options.</w:t>
      </w:r>
    </w:p>
    <w:p w14:paraId="3FA45471" w14:textId="77777777" w:rsidR="007B6F07" w:rsidRPr="00B82BC9" w:rsidRDefault="007B6F07" w:rsidP="007B6F07">
      <w:pPr>
        <w:rPr>
          <w:rFonts w:ascii="Arial" w:hAnsi="Arial" w:cs="Arial"/>
        </w:rPr>
      </w:pPr>
      <w:r w:rsidRPr="00B82BC9">
        <w:rPr>
          <w:rFonts w:ascii="Arial" w:hAnsi="Arial" w:cs="Arial"/>
        </w:rPr>
        <w:t>Trinity Hotel places a premium on the "Retention" stage of the employment lifecycle. They recognise that it is just as crucial to retain great workers as it is to recruit new ones. They invest in their employees by providing a competitive salary, comprehensive benefits, and a pleasant workplace.</w:t>
      </w:r>
    </w:p>
    <w:p w14:paraId="08359023" w14:textId="29C70B4E" w:rsidR="007B6F07" w:rsidRPr="00B82BC9" w:rsidRDefault="007B6F07" w:rsidP="007B6F07">
      <w:pPr>
        <w:rPr>
          <w:rFonts w:ascii="Arial" w:hAnsi="Arial" w:cs="Arial"/>
        </w:rPr>
      </w:pPr>
      <w:r w:rsidRPr="00B82BC9">
        <w:rPr>
          <w:rFonts w:ascii="Arial" w:hAnsi="Arial" w:cs="Arial"/>
        </w:rPr>
        <w:t>The "Separation" phase, if required, is handled last but not least with professionalism and dignity. Trinity Hotel understands that workers may inevitably leave for other jobs or retire, and they make every effort to ensure a seamless transition and continue to foster great connections even after staff members have left</w:t>
      </w:r>
      <w:r w:rsidR="00300E14" w:rsidRPr="00B82BC9">
        <w:rPr>
          <w:rFonts w:ascii="Arial" w:hAnsi="Arial" w:cs="Arial"/>
        </w:rPr>
        <w:t xml:space="preserve"> (Marchington, and Wilkinson, 2016)</w:t>
      </w:r>
      <w:r w:rsidRPr="00B82BC9">
        <w:rPr>
          <w:rFonts w:ascii="Arial" w:hAnsi="Arial" w:cs="Arial"/>
        </w:rPr>
        <w:t>.</w:t>
      </w:r>
    </w:p>
    <w:p w14:paraId="0B0C2258" w14:textId="6D389676" w:rsidR="00907E92" w:rsidRPr="00B82BC9" w:rsidRDefault="007B6F07" w:rsidP="007B6F07">
      <w:pPr>
        <w:rPr>
          <w:rFonts w:ascii="Arial" w:hAnsi="Arial" w:cs="Arial"/>
        </w:rPr>
      </w:pPr>
      <w:r w:rsidRPr="00B82BC9">
        <w:rPr>
          <w:rFonts w:ascii="Arial" w:hAnsi="Arial" w:cs="Arial"/>
        </w:rPr>
        <w:t>In conclusion, the UK's Trinity Hotel manages the job process in a way that considers the whole person. They care about their employees and want them to succeed professionally and personally. This shows in how they treat them from the time they apply for a job until they leave.</w:t>
      </w:r>
    </w:p>
    <w:p w14:paraId="23BD9414" w14:textId="77777777" w:rsidR="00642490" w:rsidRPr="00B82BC9" w:rsidRDefault="00642490" w:rsidP="00642490">
      <w:pPr>
        <w:rPr>
          <w:rFonts w:ascii="Arial" w:hAnsi="Arial" w:cs="Arial"/>
        </w:rPr>
      </w:pPr>
      <w:r w:rsidRPr="00B82BC9">
        <w:rPr>
          <w:rFonts w:ascii="Arial" w:hAnsi="Arial" w:cs="Arial"/>
        </w:rPr>
        <w:t>There are several ways in which Trinity Hotel may encourage teamwork and productivity among its employees. To begin with, it is important to organise frequent team-building events to encourage staff to connect and work cohesively. Team lunches, outdoor getaways, and friendly contests are all great examples of activities that may be used to boost morale and teamwork within an organisation.</w:t>
      </w:r>
    </w:p>
    <w:p w14:paraId="3A349CDB" w14:textId="1AC431DB" w:rsidR="00642490" w:rsidRPr="00B82BC9" w:rsidRDefault="00642490" w:rsidP="00642490">
      <w:pPr>
        <w:rPr>
          <w:rFonts w:ascii="Arial" w:hAnsi="Arial" w:cs="Arial"/>
        </w:rPr>
      </w:pPr>
      <w:r w:rsidRPr="00B82BC9">
        <w:rPr>
          <w:rFonts w:ascii="Arial" w:hAnsi="Arial" w:cs="Arial"/>
        </w:rPr>
        <w:t>Open and honest lines of communication are another powerful tool. property management may keep staff apprised of progress towards and resolution of problems with the property by holding frequent meetings</w:t>
      </w:r>
      <w:r w:rsidR="00300E14" w:rsidRPr="00B82BC9">
        <w:rPr>
          <w:rFonts w:ascii="Arial" w:hAnsi="Arial" w:cs="Arial"/>
        </w:rPr>
        <w:t xml:space="preserve"> (Murton, Inman, O’Sullivan, 2010)</w:t>
      </w:r>
      <w:r w:rsidRPr="00B82BC9">
        <w:rPr>
          <w:rFonts w:ascii="Arial" w:hAnsi="Arial" w:cs="Arial"/>
        </w:rPr>
        <w:t>. Employees are more likely to make contributions and show initiative when they believe their voices are being heard and respected.</w:t>
      </w:r>
    </w:p>
    <w:p w14:paraId="2E1A320D" w14:textId="77777777" w:rsidR="00642490" w:rsidRPr="00B82BC9" w:rsidRDefault="00642490" w:rsidP="00642490">
      <w:pPr>
        <w:rPr>
          <w:rFonts w:ascii="Arial" w:hAnsi="Arial" w:cs="Arial"/>
        </w:rPr>
      </w:pPr>
      <w:r w:rsidRPr="00B82BC9">
        <w:rPr>
          <w:rFonts w:ascii="Arial" w:hAnsi="Arial" w:cs="Arial"/>
        </w:rPr>
        <w:t>For a team to be fully invested, they need to feel appreciated and rewarded. Trinity Hotel might establish a programme to honour its staff for their exceptional work and significant achievements. Rewards might be anything from a monthly stipend or a one-time incentive to a simple gesture of gratitude for a job well done.</w:t>
      </w:r>
    </w:p>
    <w:p w14:paraId="767A042F" w14:textId="2705ADFD" w:rsidR="00642490" w:rsidRPr="00B82BC9" w:rsidRDefault="00642490" w:rsidP="00642490">
      <w:pPr>
        <w:rPr>
          <w:rFonts w:ascii="Arial" w:hAnsi="Arial" w:cs="Arial"/>
        </w:rPr>
      </w:pPr>
      <w:r w:rsidRPr="00B82BC9">
        <w:rPr>
          <w:rFonts w:ascii="Arial" w:hAnsi="Arial" w:cs="Arial"/>
        </w:rPr>
        <w:t>A company that cares about its employees will provide them with opportunity to advance in their careers</w:t>
      </w:r>
      <w:r w:rsidR="001413E1" w:rsidRPr="00B82BC9">
        <w:rPr>
          <w:rFonts w:ascii="Arial" w:hAnsi="Arial" w:cs="Arial"/>
        </w:rPr>
        <w:t xml:space="preserve"> (Gupta, 2019)</w:t>
      </w:r>
      <w:r w:rsidRPr="00B82BC9">
        <w:rPr>
          <w:rFonts w:ascii="Arial" w:hAnsi="Arial" w:cs="Arial"/>
        </w:rPr>
        <w:t>. Staff employees may benefit greatly from the hotel's provision of training opportunities including seminars and workshops, as well as financial aid for further education.</w:t>
      </w:r>
    </w:p>
    <w:p w14:paraId="003E89EE" w14:textId="2DC08979" w:rsidR="00642490" w:rsidRPr="00B82BC9" w:rsidRDefault="00642490" w:rsidP="00642490">
      <w:pPr>
        <w:rPr>
          <w:rFonts w:ascii="Arial" w:hAnsi="Arial" w:cs="Arial"/>
        </w:rPr>
      </w:pPr>
      <w:r w:rsidRPr="00B82BC9">
        <w:rPr>
          <w:rFonts w:ascii="Arial" w:hAnsi="Arial" w:cs="Arial"/>
        </w:rPr>
        <w:t>Lastly, encouraging staff participation in decision-making and actively soliciting their feedback on how to enhance hotel operations may give workers a sense of agency and pride in their work</w:t>
      </w:r>
      <w:r w:rsidR="00300E14" w:rsidRPr="00B82BC9">
        <w:rPr>
          <w:rFonts w:ascii="Arial" w:hAnsi="Arial" w:cs="Arial"/>
        </w:rPr>
        <w:t xml:space="preserve"> (Nikolova, 2019)</w:t>
      </w:r>
      <w:r w:rsidRPr="00B82BC9">
        <w:rPr>
          <w:rFonts w:ascii="Arial" w:hAnsi="Arial" w:cs="Arial"/>
        </w:rPr>
        <w:t>. Employee engagement and satisfaction may be greatly increased when workers realise that their suggestions are heard and taken into consideration.</w:t>
      </w:r>
    </w:p>
    <w:p w14:paraId="52F83AD0" w14:textId="28EBCDBB" w:rsidR="00900F75" w:rsidRPr="00B82BC9" w:rsidRDefault="00900F75" w:rsidP="00900F75">
      <w:pPr>
        <w:rPr>
          <w:rFonts w:ascii="Arial" w:hAnsi="Arial" w:cs="Arial"/>
        </w:rPr>
      </w:pPr>
      <w:r w:rsidRPr="00B82BC9">
        <w:rPr>
          <w:rFonts w:ascii="Arial" w:hAnsi="Arial" w:cs="Arial"/>
        </w:rPr>
        <w:t>Employee involvement is important for an organization's growth, and the Gallup Q12 model is a good way to do it. The model's 12 central questions probe many facets of workers' dedication to the company. There are a few different ways to put this idea into action</w:t>
      </w:r>
      <w:r w:rsidR="007F2316" w:rsidRPr="00B82BC9">
        <w:rPr>
          <w:rFonts w:ascii="Arial" w:hAnsi="Arial" w:cs="Arial"/>
        </w:rPr>
        <w:t xml:space="preserve"> (Torrington</w:t>
      </w:r>
      <w:r w:rsidR="001C1D74" w:rsidRPr="00B82BC9">
        <w:rPr>
          <w:rFonts w:ascii="Arial" w:hAnsi="Arial" w:cs="Arial"/>
        </w:rPr>
        <w:t xml:space="preserve"> et al.</w:t>
      </w:r>
      <w:r w:rsidR="007F2316" w:rsidRPr="00B82BC9">
        <w:rPr>
          <w:rFonts w:ascii="Arial" w:hAnsi="Arial" w:cs="Arial"/>
        </w:rPr>
        <w:t>, 2020)</w:t>
      </w:r>
      <w:r w:rsidRPr="00B82BC9">
        <w:rPr>
          <w:rFonts w:ascii="Arial" w:hAnsi="Arial" w:cs="Arial"/>
        </w:rPr>
        <w:t>. To begin measuring and tracking employee engagement levels over time, organisations should conduct frequent surveys asking the 12 questions listed above.</w:t>
      </w:r>
    </w:p>
    <w:p w14:paraId="17F52B56" w14:textId="5E7E42CD" w:rsidR="00900F75" w:rsidRPr="00B82BC9" w:rsidRDefault="00900F75" w:rsidP="00900F75">
      <w:pPr>
        <w:rPr>
          <w:rFonts w:ascii="Arial" w:hAnsi="Arial" w:cs="Arial"/>
        </w:rPr>
      </w:pPr>
      <w:r w:rsidRPr="00B82BC9">
        <w:rPr>
          <w:rFonts w:ascii="Arial" w:hAnsi="Arial" w:cs="Arial"/>
          <w:noProof/>
          <w14:ligatures w14:val="none"/>
        </w:rPr>
        <w:drawing>
          <wp:inline distT="0" distB="0" distL="0" distR="0" wp14:anchorId="34BFB60D" wp14:editId="592794A4">
            <wp:extent cx="5943600" cy="3322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6">
                      <a:extLst>
                        <a:ext uri="{28A0092B-C50C-407E-A947-70E740481C1C}">
                          <a14:useLocalDpi xmlns:a14="http://schemas.microsoft.com/office/drawing/2010/main" val="0"/>
                        </a:ext>
                      </a:extLst>
                    </a:blip>
                    <a:srcRect b="10564"/>
                    <a:stretch/>
                  </pic:blipFill>
                  <pic:spPr bwMode="auto">
                    <a:xfrm>
                      <a:off x="0" y="0"/>
                      <a:ext cx="5943600" cy="3322320"/>
                    </a:xfrm>
                    <a:prstGeom prst="rect">
                      <a:avLst/>
                    </a:prstGeom>
                    <a:ln>
                      <a:noFill/>
                    </a:ln>
                    <a:extLst>
                      <a:ext uri="{53640926-AAD7-44D8-BBD7-CCE9431645EC}">
                        <a14:shadowObscured xmlns:a14="http://schemas.microsoft.com/office/drawing/2010/main"/>
                      </a:ext>
                    </a:extLst>
                  </pic:spPr>
                </pic:pic>
              </a:graphicData>
            </a:graphic>
          </wp:inline>
        </w:drawing>
      </w:r>
    </w:p>
    <w:p w14:paraId="2CD5898A" w14:textId="264638B0" w:rsidR="00900F75" w:rsidRPr="00B82BC9" w:rsidRDefault="00900F75" w:rsidP="001C4D33">
      <w:pPr>
        <w:jc w:val="center"/>
        <w:rPr>
          <w:rFonts w:ascii="Arial" w:hAnsi="Arial" w:cs="Arial"/>
          <w:b/>
          <w:bCs/>
        </w:rPr>
      </w:pPr>
      <w:r w:rsidRPr="00B82BC9">
        <w:rPr>
          <w:rFonts w:ascii="Arial" w:hAnsi="Arial" w:cs="Arial"/>
          <w:b/>
          <w:bCs/>
        </w:rPr>
        <w:t>Figure: Gallup Q12</w:t>
      </w:r>
      <w:r w:rsidR="001C4D33" w:rsidRPr="00B82BC9">
        <w:rPr>
          <w:rFonts w:ascii="Arial" w:hAnsi="Arial" w:cs="Arial"/>
          <w:b/>
          <w:bCs/>
          <w:vertAlign w:val="superscript"/>
        </w:rPr>
        <w:t>TM</w:t>
      </w:r>
      <w:r w:rsidR="001C4D33" w:rsidRPr="00B82BC9">
        <w:rPr>
          <w:rFonts w:ascii="Arial" w:hAnsi="Arial" w:cs="Arial"/>
          <w:b/>
          <w:bCs/>
        </w:rPr>
        <w:t xml:space="preserve"> Engagement Model</w:t>
      </w:r>
    </w:p>
    <w:p w14:paraId="6EF98B1B" w14:textId="4143AD02" w:rsidR="001C4D33" w:rsidRPr="00B82BC9" w:rsidRDefault="001C4D33" w:rsidP="001C4D33">
      <w:pPr>
        <w:jc w:val="center"/>
        <w:rPr>
          <w:rFonts w:ascii="Arial" w:hAnsi="Arial" w:cs="Arial"/>
          <w:b/>
          <w:bCs/>
        </w:rPr>
      </w:pPr>
      <w:r w:rsidRPr="00B82BC9">
        <w:rPr>
          <w:rFonts w:ascii="Arial" w:hAnsi="Arial" w:cs="Arial"/>
          <w:b/>
          <w:bCs/>
        </w:rPr>
        <w:t>Source: Author.</w:t>
      </w:r>
    </w:p>
    <w:p w14:paraId="338C39B1" w14:textId="02A64B57" w:rsidR="00900F75" w:rsidRPr="00B82BC9" w:rsidRDefault="00900F75" w:rsidP="00900F75">
      <w:pPr>
        <w:rPr>
          <w:rFonts w:ascii="Arial" w:hAnsi="Arial" w:cs="Arial"/>
        </w:rPr>
      </w:pPr>
      <w:r w:rsidRPr="00B82BC9">
        <w:rPr>
          <w:rFonts w:ascii="Arial" w:hAnsi="Arial" w:cs="Arial"/>
        </w:rPr>
        <w:t xml:space="preserve">In the technology business, for example, a top company like Google uses the Gallup Q12 model to measure how engaged its employees are. In order to learn how their </w:t>
      </w:r>
      <w:r w:rsidR="00163C34" w:rsidRPr="00B82BC9">
        <w:rPr>
          <w:rFonts w:ascii="Arial" w:hAnsi="Arial" w:cs="Arial"/>
        </w:rPr>
        <w:t>workers,</w:t>
      </w:r>
      <w:r w:rsidRPr="00B82BC9">
        <w:rPr>
          <w:rFonts w:ascii="Arial" w:hAnsi="Arial" w:cs="Arial"/>
        </w:rPr>
        <w:t xml:space="preserve"> feel about things like job security, flexibility in scheduling, and advancement prospects, they conduct surveys. Employing novel benefits like on-site creche and flexible work arrangements, as well as figuring out where improvements can be made, are just a few ways Google uses this information to increase employee engagement</w:t>
      </w:r>
      <w:r w:rsidR="00300E14" w:rsidRPr="00B82BC9">
        <w:rPr>
          <w:rFonts w:ascii="Arial" w:hAnsi="Arial" w:cs="Arial"/>
        </w:rPr>
        <w:t xml:space="preserve"> (Nel, 2018)</w:t>
      </w:r>
      <w:r w:rsidRPr="00B82BC9">
        <w:rPr>
          <w:rFonts w:ascii="Arial" w:hAnsi="Arial" w:cs="Arial"/>
        </w:rPr>
        <w:t>.</w:t>
      </w:r>
    </w:p>
    <w:p w14:paraId="6893ACCB" w14:textId="634239E7" w:rsidR="00900F75" w:rsidRPr="00B82BC9" w:rsidRDefault="00900F75" w:rsidP="00900F75">
      <w:pPr>
        <w:rPr>
          <w:rFonts w:ascii="Arial" w:hAnsi="Arial" w:cs="Arial"/>
        </w:rPr>
      </w:pPr>
      <w:r w:rsidRPr="00B82BC9">
        <w:rPr>
          <w:rFonts w:ascii="Arial" w:hAnsi="Arial" w:cs="Arial"/>
        </w:rPr>
        <w:t>In addition, businesses may assess their standing in the market by comparing their performance to that of rivals in the same sector. When trying to figure out where they stand in relation to market giants like Amazon and Walmart, a retail firm could look at their engagement numbers. Finally, a firm resolve to respond to input is essential for success when using the Gallup Q12 approach. Action plans may be established by organisations based on survey findings, with staff participation encouraging a feeling of ownership and responsibility</w:t>
      </w:r>
      <w:r w:rsidR="007F2316" w:rsidRPr="00B82BC9">
        <w:rPr>
          <w:rFonts w:ascii="Arial" w:hAnsi="Arial" w:cs="Arial"/>
        </w:rPr>
        <w:t xml:space="preserve"> (Thompsen, 2019)</w:t>
      </w:r>
      <w:r w:rsidRPr="00B82BC9">
        <w:rPr>
          <w:rFonts w:ascii="Arial" w:hAnsi="Arial" w:cs="Arial"/>
        </w:rPr>
        <w:t>. Increased employee engagement, as measured by the Gallup Q12 model, is linked to higher levels of productivity and job satisfaction for businesses of all sizes and in a wide range of sectors.</w:t>
      </w:r>
    </w:p>
    <w:p w14:paraId="0D253C49" w14:textId="77777777" w:rsidR="00EB3F12" w:rsidRPr="00B82BC9" w:rsidRDefault="00EB3F12">
      <w:pPr>
        <w:spacing w:line="259" w:lineRule="auto"/>
        <w:jc w:val="left"/>
        <w:rPr>
          <w:rFonts w:ascii="Arial" w:eastAsiaTheme="majorEastAsia" w:hAnsi="Arial" w:cs="Arial"/>
          <w:b/>
          <w:sz w:val="32"/>
          <w:szCs w:val="32"/>
        </w:rPr>
      </w:pPr>
      <w:r w:rsidRPr="00B82BC9">
        <w:rPr>
          <w:rFonts w:ascii="Arial" w:hAnsi="Arial" w:cs="Arial"/>
        </w:rPr>
        <w:br w:type="page"/>
      </w:r>
    </w:p>
    <w:p w14:paraId="43C5D506" w14:textId="0F67689E" w:rsidR="00FE2D5A" w:rsidRPr="00B82BC9" w:rsidRDefault="00FE2D5A" w:rsidP="00FE2D5A">
      <w:pPr>
        <w:pStyle w:val="Heading1"/>
        <w:rPr>
          <w:rFonts w:ascii="Arial" w:hAnsi="Arial" w:cs="Arial"/>
        </w:rPr>
      </w:pPr>
      <w:r w:rsidRPr="00B82BC9">
        <w:rPr>
          <w:rFonts w:ascii="Arial" w:hAnsi="Arial" w:cs="Arial"/>
        </w:rPr>
        <w:t>References</w:t>
      </w:r>
    </w:p>
    <w:p w14:paraId="4691CFCA" w14:textId="77777777" w:rsidR="00411346" w:rsidRPr="00B82BC9" w:rsidRDefault="00411346" w:rsidP="00F67218">
      <w:pPr>
        <w:jc w:val="left"/>
        <w:rPr>
          <w:rFonts w:ascii="Arial" w:hAnsi="Arial" w:cs="Arial"/>
        </w:rPr>
      </w:pPr>
      <w:r w:rsidRPr="00B82BC9">
        <w:rPr>
          <w:rFonts w:ascii="Arial" w:hAnsi="Arial" w:cs="Arial"/>
        </w:rPr>
        <w:t xml:space="preserve">Armstrong, M. and Taylor, S. (2020) </w:t>
      </w:r>
      <w:r w:rsidRPr="00B82BC9">
        <w:rPr>
          <w:rFonts w:ascii="Arial" w:hAnsi="Arial" w:cs="Arial"/>
          <w:i/>
          <w:iCs/>
        </w:rPr>
        <w:t>Armstrong’s handbook of human resource management practice.</w:t>
      </w:r>
      <w:r w:rsidRPr="00B82BC9">
        <w:rPr>
          <w:rFonts w:ascii="Arial" w:hAnsi="Arial" w:cs="Arial"/>
        </w:rPr>
        <w:t xml:space="preserve"> </w:t>
      </w:r>
      <w:r w:rsidRPr="00B82BC9">
        <w:rPr>
          <w:rFonts w:ascii="Arial" w:hAnsi="Arial" w:cs="Arial"/>
          <w:i/>
          <w:iCs/>
        </w:rPr>
        <w:t>15th edition</w:t>
      </w:r>
      <w:r w:rsidRPr="00B82BC9">
        <w:rPr>
          <w:rFonts w:ascii="Arial" w:hAnsi="Arial" w:cs="Arial"/>
        </w:rPr>
        <w:t>. London, United Kingdom ;: KoganPage.</w:t>
      </w:r>
    </w:p>
    <w:p w14:paraId="62DD5FB5" w14:textId="77777777" w:rsidR="00411346" w:rsidRPr="00B82BC9" w:rsidRDefault="00411346" w:rsidP="00F67218">
      <w:pPr>
        <w:jc w:val="left"/>
        <w:rPr>
          <w:rFonts w:ascii="Arial" w:hAnsi="Arial" w:cs="Arial"/>
        </w:rPr>
      </w:pPr>
      <w:r w:rsidRPr="00B82BC9">
        <w:rPr>
          <w:rFonts w:ascii="Arial" w:hAnsi="Arial" w:cs="Arial"/>
        </w:rPr>
        <w:t xml:space="preserve">Bardhan, S. (2022) “Engaging employees with positivity,” </w:t>
      </w:r>
      <w:r w:rsidRPr="00B82BC9">
        <w:rPr>
          <w:rFonts w:ascii="Arial" w:hAnsi="Arial" w:cs="Arial"/>
          <w:i/>
          <w:iCs/>
        </w:rPr>
        <w:t>Research Anthology on Changing Dynamics of Diversity and Safety in the Workforce</w:t>
      </w:r>
      <w:r w:rsidRPr="00B82BC9">
        <w:rPr>
          <w:rFonts w:ascii="Arial" w:hAnsi="Arial" w:cs="Arial"/>
        </w:rPr>
        <w:t>, pp. 1731–1743.</w:t>
      </w:r>
    </w:p>
    <w:p w14:paraId="61AD8F19" w14:textId="5FC1B8DF" w:rsidR="00411346" w:rsidRPr="00B82BC9" w:rsidRDefault="00411346" w:rsidP="00F67218">
      <w:pPr>
        <w:jc w:val="left"/>
        <w:rPr>
          <w:rFonts w:ascii="Arial" w:hAnsi="Arial" w:cs="Arial"/>
        </w:rPr>
      </w:pPr>
      <w:r w:rsidRPr="00B82BC9">
        <w:rPr>
          <w:rFonts w:ascii="Arial" w:hAnsi="Arial" w:cs="Arial"/>
        </w:rPr>
        <w:t xml:space="preserve">Card, D. and Ransom, M. (2017) Pension plan characteristics and framing effects in employee savings </w:t>
      </w:r>
      <w:r w:rsidR="00163C34" w:rsidRPr="00B82BC9">
        <w:rPr>
          <w:rFonts w:ascii="Arial" w:hAnsi="Arial" w:cs="Arial"/>
        </w:rPr>
        <w:t>behaviour</w:t>
      </w:r>
      <w:r w:rsidRPr="00B82BC9">
        <w:rPr>
          <w:rFonts w:ascii="Arial" w:hAnsi="Arial" w:cs="Arial"/>
          <w:i/>
          <w:iCs/>
        </w:rPr>
        <w:t>. Cambridge, Mass: National Bureau of Economic Research.</w:t>
      </w:r>
    </w:p>
    <w:p w14:paraId="5A57A4F2" w14:textId="77777777" w:rsidR="00411346" w:rsidRPr="00B82BC9" w:rsidRDefault="00411346" w:rsidP="00F67218">
      <w:pPr>
        <w:jc w:val="left"/>
        <w:rPr>
          <w:rFonts w:ascii="Arial" w:hAnsi="Arial" w:cs="Arial"/>
        </w:rPr>
      </w:pPr>
      <w:r w:rsidRPr="00B82BC9">
        <w:rPr>
          <w:rFonts w:ascii="Arial" w:hAnsi="Arial" w:cs="Arial"/>
        </w:rPr>
        <w:t xml:space="preserve">Carpenter, T. and Carpenter, J. (2021) People First: The 5 steps to Pure Human Connection and a thriving organization. </w:t>
      </w:r>
      <w:r w:rsidRPr="00B82BC9">
        <w:rPr>
          <w:rFonts w:ascii="Arial" w:hAnsi="Arial" w:cs="Arial"/>
          <w:i/>
          <w:iCs/>
        </w:rPr>
        <w:t>New York: Post Hill Press.</w:t>
      </w:r>
    </w:p>
    <w:p w14:paraId="6F5FC335" w14:textId="77777777" w:rsidR="00411346" w:rsidRPr="00B82BC9" w:rsidRDefault="00411346" w:rsidP="00F67218">
      <w:pPr>
        <w:jc w:val="left"/>
        <w:rPr>
          <w:rFonts w:ascii="Arial" w:hAnsi="Arial" w:cs="Arial"/>
        </w:rPr>
      </w:pPr>
      <w:r w:rsidRPr="00B82BC9">
        <w:rPr>
          <w:rFonts w:ascii="Arial" w:hAnsi="Arial" w:cs="Arial"/>
        </w:rPr>
        <w:t>Dollins, M. and Stemmle, J. (2021) “Employee communication measurement,”</w:t>
      </w:r>
      <w:r w:rsidRPr="00B82BC9">
        <w:rPr>
          <w:rFonts w:ascii="Arial" w:hAnsi="Arial" w:cs="Arial"/>
          <w:i/>
          <w:iCs/>
        </w:rPr>
        <w:t xml:space="preserve"> Engaging Employees through Strategic Communication, pp. 59–75</w:t>
      </w:r>
      <w:r w:rsidRPr="00B82BC9">
        <w:rPr>
          <w:rFonts w:ascii="Arial" w:hAnsi="Arial" w:cs="Arial"/>
        </w:rPr>
        <w:t xml:space="preserve">. </w:t>
      </w:r>
    </w:p>
    <w:p w14:paraId="47D0CCA7" w14:textId="77777777" w:rsidR="00411346" w:rsidRPr="00B82BC9" w:rsidRDefault="00411346" w:rsidP="00F67218">
      <w:pPr>
        <w:jc w:val="left"/>
        <w:rPr>
          <w:rFonts w:ascii="Arial" w:hAnsi="Arial" w:cs="Arial"/>
        </w:rPr>
      </w:pPr>
      <w:r w:rsidRPr="00B82BC9">
        <w:rPr>
          <w:rFonts w:ascii="Arial" w:hAnsi="Arial" w:cs="Arial"/>
        </w:rPr>
        <w:t>Dollins, M. and Stemmle, J. (2021) “The evolution of employee communication to employee engagement,”</w:t>
      </w:r>
      <w:r w:rsidRPr="00B82BC9">
        <w:rPr>
          <w:rFonts w:ascii="Arial" w:hAnsi="Arial" w:cs="Arial"/>
          <w:i/>
          <w:iCs/>
        </w:rPr>
        <w:t xml:space="preserve"> Engaging Employees through Strategic Communication, pp. 197–212.</w:t>
      </w:r>
      <w:r w:rsidRPr="00B82BC9">
        <w:rPr>
          <w:rFonts w:ascii="Arial" w:hAnsi="Arial" w:cs="Arial"/>
        </w:rPr>
        <w:t xml:space="preserve"> </w:t>
      </w:r>
    </w:p>
    <w:p w14:paraId="3047FB02" w14:textId="77777777" w:rsidR="00411346" w:rsidRPr="00B82BC9" w:rsidRDefault="00411346" w:rsidP="00F67218">
      <w:pPr>
        <w:jc w:val="left"/>
        <w:rPr>
          <w:rFonts w:ascii="Arial" w:hAnsi="Arial" w:cs="Arial"/>
          <w:i/>
          <w:iCs/>
        </w:rPr>
      </w:pPr>
      <w:r w:rsidRPr="00B82BC9">
        <w:rPr>
          <w:rFonts w:ascii="Arial" w:hAnsi="Arial" w:cs="Arial"/>
        </w:rPr>
        <w:t xml:space="preserve">Friedman, A. (2012) </w:t>
      </w:r>
      <w:r w:rsidRPr="00B82BC9">
        <w:rPr>
          <w:rFonts w:ascii="Arial" w:hAnsi="Arial" w:cs="Arial"/>
          <w:i/>
          <w:iCs/>
        </w:rPr>
        <w:t>Continuing professional development: lifelong learning of millions. London: Routledge.</w:t>
      </w:r>
    </w:p>
    <w:p w14:paraId="54755B7C" w14:textId="77777777" w:rsidR="00411346" w:rsidRPr="00B82BC9" w:rsidRDefault="00411346" w:rsidP="00F67218">
      <w:pPr>
        <w:jc w:val="left"/>
        <w:rPr>
          <w:rFonts w:ascii="Arial" w:hAnsi="Arial" w:cs="Arial"/>
          <w:i/>
          <w:iCs/>
        </w:rPr>
      </w:pPr>
      <w:r w:rsidRPr="00B82BC9">
        <w:rPr>
          <w:rFonts w:ascii="Arial" w:hAnsi="Arial" w:cs="Arial"/>
        </w:rPr>
        <w:t xml:space="preserve">Gallagher, K. (2016) Essential study and employment skills for business and management students. </w:t>
      </w:r>
      <w:r w:rsidRPr="00B82BC9">
        <w:rPr>
          <w:rFonts w:ascii="Arial" w:hAnsi="Arial" w:cs="Arial"/>
          <w:i/>
          <w:iCs/>
        </w:rPr>
        <w:t>Oxford: Oxford University Press.</w:t>
      </w:r>
    </w:p>
    <w:p w14:paraId="35438322" w14:textId="77777777" w:rsidR="00411346" w:rsidRPr="00B82BC9" w:rsidRDefault="00411346" w:rsidP="00F67218">
      <w:pPr>
        <w:jc w:val="left"/>
        <w:rPr>
          <w:rFonts w:ascii="Arial" w:hAnsi="Arial" w:cs="Arial"/>
          <w:i/>
          <w:iCs/>
        </w:rPr>
      </w:pPr>
      <w:r w:rsidRPr="00B82BC9">
        <w:rPr>
          <w:rFonts w:ascii="Arial" w:hAnsi="Arial" w:cs="Arial"/>
        </w:rPr>
        <w:t xml:space="preserve">Graban, M. and Toussaint, J. (2018) </w:t>
      </w:r>
      <w:r w:rsidRPr="00B82BC9">
        <w:rPr>
          <w:rFonts w:ascii="Arial" w:hAnsi="Arial" w:cs="Arial"/>
          <w:i/>
          <w:iCs/>
        </w:rPr>
        <w:t xml:space="preserve">“Engaging and leading employees,” Lean Hospitals, pp. 237–269. </w:t>
      </w:r>
    </w:p>
    <w:p w14:paraId="7A0A7615" w14:textId="3A7F168E" w:rsidR="00411346" w:rsidRPr="00B82BC9" w:rsidRDefault="00411346" w:rsidP="00F67218">
      <w:pPr>
        <w:jc w:val="left"/>
        <w:rPr>
          <w:rFonts w:ascii="Arial" w:hAnsi="Arial" w:cs="Arial"/>
          <w:i/>
          <w:iCs/>
        </w:rPr>
      </w:pPr>
      <w:r w:rsidRPr="00B82BC9">
        <w:rPr>
          <w:rFonts w:ascii="Arial" w:hAnsi="Arial" w:cs="Arial"/>
        </w:rPr>
        <w:t>Gupta, S. (2019) “Challenges faced by Adecco Employees in handling employee lifecycle</w:t>
      </w:r>
      <w:r w:rsidR="00910A5D" w:rsidRPr="00B82BC9">
        <w:rPr>
          <w:rFonts w:ascii="Arial" w:hAnsi="Arial" w:cs="Arial"/>
        </w:rPr>
        <w:t>.</w:t>
      </w:r>
      <w:r w:rsidRPr="00B82BC9">
        <w:rPr>
          <w:rFonts w:ascii="Arial" w:hAnsi="Arial" w:cs="Arial"/>
        </w:rPr>
        <w:t xml:space="preserve">” </w:t>
      </w:r>
      <w:r w:rsidRPr="00B82BC9">
        <w:rPr>
          <w:rFonts w:ascii="Arial" w:hAnsi="Arial" w:cs="Arial"/>
          <w:i/>
          <w:iCs/>
        </w:rPr>
        <w:t xml:space="preserve">SSRN Electronic Journal [Preprint]. </w:t>
      </w:r>
    </w:p>
    <w:p w14:paraId="7E60EF72" w14:textId="77777777" w:rsidR="00411346" w:rsidRPr="00B82BC9" w:rsidRDefault="00411346" w:rsidP="00F67218">
      <w:pPr>
        <w:jc w:val="left"/>
        <w:rPr>
          <w:rFonts w:ascii="Arial" w:hAnsi="Arial" w:cs="Arial"/>
          <w:i/>
          <w:iCs/>
        </w:rPr>
      </w:pPr>
      <w:r w:rsidRPr="00B82BC9">
        <w:rPr>
          <w:rFonts w:ascii="Arial" w:hAnsi="Arial" w:cs="Arial"/>
        </w:rPr>
        <w:t xml:space="preserve">Hyman, J. (2018) “Empowering and engaging employees?,” </w:t>
      </w:r>
      <w:r w:rsidRPr="00B82BC9">
        <w:rPr>
          <w:rFonts w:ascii="Arial" w:hAnsi="Arial" w:cs="Arial"/>
          <w:i/>
          <w:iCs/>
        </w:rPr>
        <w:t>Employee Voice and Participation, pp. 107–119.</w:t>
      </w:r>
    </w:p>
    <w:p w14:paraId="09F22DCD" w14:textId="77777777" w:rsidR="00411346" w:rsidRPr="00B82BC9" w:rsidRDefault="00411346" w:rsidP="00F67218">
      <w:pPr>
        <w:jc w:val="left"/>
        <w:rPr>
          <w:rFonts w:ascii="Arial" w:hAnsi="Arial" w:cs="Arial"/>
          <w:i/>
          <w:iCs/>
        </w:rPr>
      </w:pPr>
      <w:r w:rsidRPr="00B82BC9">
        <w:rPr>
          <w:rFonts w:ascii="Arial" w:hAnsi="Arial" w:cs="Arial"/>
        </w:rPr>
        <w:t xml:space="preserve">Kühnen, U. (2021) “Engaging employees through corporate social responsibility programs: Aligning Corporate Social Responsibility and employee engagement,” </w:t>
      </w:r>
      <w:r w:rsidRPr="00B82BC9">
        <w:rPr>
          <w:rFonts w:ascii="Arial" w:hAnsi="Arial" w:cs="Arial"/>
          <w:i/>
          <w:iCs/>
        </w:rPr>
        <w:t xml:space="preserve">Journal of Organizational Psychology, 21(1). </w:t>
      </w:r>
    </w:p>
    <w:p w14:paraId="2AD3C95F" w14:textId="77777777" w:rsidR="00411346" w:rsidRPr="00B82BC9" w:rsidRDefault="00411346" w:rsidP="00F67218">
      <w:pPr>
        <w:jc w:val="left"/>
        <w:rPr>
          <w:rFonts w:ascii="Arial" w:hAnsi="Arial" w:cs="Arial"/>
          <w:i/>
          <w:iCs/>
        </w:rPr>
      </w:pPr>
      <w:r w:rsidRPr="00B82BC9">
        <w:rPr>
          <w:rFonts w:ascii="Arial" w:hAnsi="Arial" w:cs="Arial"/>
        </w:rPr>
        <w:t xml:space="preserve">Macey, W.H. and Fink, A.A. (2020) Employee surveys and sensing: Challenges and opportunities. </w:t>
      </w:r>
      <w:r w:rsidRPr="00B82BC9">
        <w:rPr>
          <w:rFonts w:ascii="Arial" w:hAnsi="Arial" w:cs="Arial"/>
          <w:i/>
          <w:iCs/>
        </w:rPr>
        <w:t>New York, NY: Oxford University Press.</w:t>
      </w:r>
    </w:p>
    <w:p w14:paraId="19E10852" w14:textId="77777777" w:rsidR="00411346" w:rsidRPr="00B82BC9" w:rsidRDefault="00411346" w:rsidP="00F67218">
      <w:pPr>
        <w:jc w:val="left"/>
        <w:rPr>
          <w:rFonts w:ascii="Arial" w:hAnsi="Arial" w:cs="Arial"/>
        </w:rPr>
      </w:pPr>
      <w:r w:rsidRPr="00B82BC9">
        <w:rPr>
          <w:rFonts w:ascii="Arial" w:hAnsi="Arial" w:cs="Arial"/>
        </w:rPr>
        <w:t xml:space="preserve">Marchington, M. and Wilkinson, A. (2016) Human resource management at work. 6th ed. London: </w:t>
      </w:r>
      <w:r w:rsidRPr="00B82BC9">
        <w:rPr>
          <w:rFonts w:ascii="Arial" w:hAnsi="Arial" w:cs="Arial"/>
          <w:i/>
          <w:iCs/>
        </w:rPr>
        <w:t>Chartered Institute of Personnel and Development.</w:t>
      </w:r>
    </w:p>
    <w:p w14:paraId="6908FE37" w14:textId="77777777" w:rsidR="00411346" w:rsidRPr="00B82BC9" w:rsidRDefault="00411346" w:rsidP="00F67218">
      <w:pPr>
        <w:jc w:val="left"/>
        <w:rPr>
          <w:rFonts w:ascii="Arial" w:hAnsi="Arial" w:cs="Arial"/>
        </w:rPr>
      </w:pPr>
      <w:r w:rsidRPr="00B82BC9">
        <w:rPr>
          <w:rFonts w:ascii="Arial" w:hAnsi="Arial" w:cs="Arial"/>
        </w:rPr>
        <w:t>Mattox, J.R. (2016) Learning analytics. London: Kogan Page.</w:t>
      </w:r>
    </w:p>
    <w:p w14:paraId="190D6850" w14:textId="77777777" w:rsidR="00411346" w:rsidRPr="00B82BC9" w:rsidRDefault="00411346" w:rsidP="00F67218">
      <w:pPr>
        <w:jc w:val="left"/>
        <w:rPr>
          <w:rFonts w:ascii="Arial" w:hAnsi="Arial" w:cs="Arial"/>
          <w:i/>
          <w:iCs/>
        </w:rPr>
      </w:pPr>
      <w:r w:rsidRPr="00B82BC9">
        <w:rPr>
          <w:rFonts w:ascii="Arial" w:hAnsi="Arial" w:cs="Arial"/>
        </w:rPr>
        <w:t xml:space="preserve">Murton, A,. Inman, M., O’Sullivan, N. (2010) </w:t>
      </w:r>
      <w:r w:rsidRPr="00B82BC9">
        <w:rPr>
          <w:rFonts w:ascii="Arial" w:hAnsi="Arial" w:cs="Arial"/>
          <w:i/>
          <w:iCs/>
        </w:rPr>
        <w:t>Unlocking Human Resource Management, Hodder Education.</w:t>
      </w:r>
    </w:p>
    <w:p w14:paraId="326780DB" w14:textId="77777777" w:rsidR="00411346" w:rsidRPr="00B82BC9" w:rsidRDefault="00411346" w:rsidP="00F67218">
      <w:pPr>
        <w:jc w:val="left"/>
        <w:rPr>
          <w:rFonts w:ascii="Arial" w:hAnsi="Arial" w:cs="Arial"/>
          <w:i/>
          <w:iCs/>
        </w:rPr>
      </w:pPr>
      <w:r w:rsidRPr="00B82BC9">
        <w:rPr>
          <w:rFonts w:ascii="Arial" w:hAnsi="Arial" w:cs="Arial"/>
        </w:rPr>
        <w:t xml:space="preserve">Nel, J.H. (2018) “Framework for engaging unionised employees,” </w:t>
      </w:r>
      <w:r w:rsidRPr="00B82BC9">
        <w:rPr>
          <w:rFonts w:ascii="Arial" w:hAnsi="Arial" w:cs="Arial"/>
          <w:i/>
          <w:iCs/>
        </w:rPr>
        <w:t xml:space="preserve">The Art of Engaging Unionised Employees, pp. 81–99. </w:t>
      </w:r>
    </w:p>
    <w:p w14:paraId="3E8DFD17" w14:textId="77777777" w:rsidR="00411346" w:rsidRPr="00B82BC9" w:rsidRDefault="00411346" w:rsidP="00F67218">
      <w:pPr>
        <w:jc w:val="left"/>
        <w:rPr>
          <w:rFonts w:ascii="Arial" w:hAnsi="Arial" w:cs="Arial"/>
        </w:rPr>
      </w:pPr>
      <w:r w:rsidRPr="00B82BC9">
        <w:rPr>
          <w:rFonts w:ascii="Arial" w:hAnsi="Arial" w:cs="Arial"/>
        </w:rPr>
        <w:t xml:space="preserve">Nikolova, I. (2019) “Engaging leader – engaged employees? A cross-lagged study on employee engagement,” </w:t>
      </w:r>
      <w:r w:rsidRPr="00B82BC9">
        <w:rPr>
          <w:rFonts w:ascii="Arial" w:hAnsi="Arial" w:cs="Arial"/>
          <w:i/>
          <w:iCs/>
        </w:rPr>
        <w:t>European Management Journal</w:t>
      </w:r>
      <w:r w:rsidRPr="00B82BC9">
        <w:rPr>
          <w:rFonts w:ascii="Arial" w:hAnsi="Arial" w:cs="Arial"/>
        </w:rPr>
        <w:t>, 37(6), pp. 772–783.</w:t>
      </w:r>
    </w:p>
    <w:p w14:paraId="68332CCD" w14:textId="77777777" w:rsidR="00411346" w:rsidRPr="00B82BC9" w:rsidRDefault="00411346" w:rsidP="00F67218">
      <w:pPr>
        <w:jc w:val="left"/>
        <w:rPr>
          <w:rFonts w:ascii="Arial" w:hAnsi="Arial" w:cs="Arial"/>
          <w:i/>
          <w:iCs/>
        </w:rPr>
      </w:pPr>
      <w:r w:rsidRPr="00B82BC9">
        <w:rPr>
          <w:rFonts w:ascii="Arial" w:hAnsi="Arial" w:cs="Arial"/>
        </w:rPr>
        <w:t xml:space="preserve">Ringard, J. (2020) How people engagement, innovation and performance will transform the world of work. </w:t>
      </w:r>
      <w:r w:rsidRPr="00B82BC9">
        <w:rPr>
          <w:rFonts w:ascii="Arial" w:hAnsi="Arial" w:cs="Arial"/>
          <w:i/>
          <w:iCs/>
        </w:rPr>
        <w:t>New York: Kogan Page Inc.</w:t>
      </w:r>
    </w:p>
    <w:p w14:paraId="0E4A9F53" w14:textId="77777777" w:rsidR="00411346" w:rsidRPr="00B82BC9" w:rsidRDefault="00411346" w:rsidP="00F67218">
      <w:pPr>
        <w:jc w:val="left"/>
        <w:rPr>
          <w:rFonts w:ascii="Arial" w:hAnsi="Arial" w:cs="Arial"/>
        </w:rPr>
      </w:pPr>
      <w:r w:rsidRPr="00B82BC9">
        <w:rPr>
          <w:rFonts w:ascii="Arial" w:hAnsi="Arial" w:cs="Arial"/>
        </w:rPr>
        <w:t xml:space="preserve">Ringo, T. (2020) </w:t>
      </w:r>
      <w:r w:rsidRPr="00B82BC9">
        <w:rPr>
          <w:rFonts w:ascii="Arial" w:hAnsi="Arial" w:cs="Arial"/>
          <w:i/>
          <w:iCs/>
        </w:rPr>
        <w:t>Solving the productivity puzzle: How to engage, motivate and develop employees to improve individual and business performance</w:t>
      </w:r>
      <w:r w:rsidRPr="00B82BC9">
        <w:rPr>
          <w:rFonts w:ascii="Arial" w:hAnsi="Arial" w:cs="Arial"/>
        </w:rPr>
        <w:t>. London: Kogan Page Inc.</w:t>
      </w:r>
    </w:p>
    <w:p w14:paraId="5FCEE760" w14:textId="38911ED4" w:rsidR="00411346" w:rsidRPr="00B82BC9" w:rsidRDefault="00411346" w:rsidP="00F67218">
      <w:pPr>
        <w:jc w:val="left"/>
        <w:rPr>
          <w:rFonts w:ascii="Arial" w:hAnsi="Arial" w:cs="Arial"/>
          <w:i/>
          <w:iCs/>
        </w:rPr>
      </w:pPr>
      <w:r w:rsidRPr="00B82BC9">
        <w:rPr>
          <w:rFonts w:ascii="Arial" w:hAnsi="Arial" w:cs="Arial"/>
        </w:rPr>
        <w:t xml:space="preserve">Stadter, F. (2014) The role of learning and development in Employer Brand Practices. </w:t>
      </w:r>
      <w:r w:rsidRPr="00B82BC9">
        <w:rPr>
          <w:rFonts w:ascii="Arial" w:hAnsi="Arial" w:cs="Arial"/>
          <w:i/>
          <w:iCs/>
        </w:rPr>
        <w:t>Scholarly</w:t>
      </w:r>
      <w:r w:rsidR="00910A5D" w:rsidRPr="00B82BC9">
        <w:rPr>
          <w:rFonts w:ascii="Arial" w:hAnsi="Arial" w:cs="Arial"/>
          <w:i/>
          <w:iCs/>
        </w:rPr>
        <w:t xml:space="preserve"> </w:t>
      </w:r>
      <w:r w:rsidRPr="00B82BC9">
        <w:rPr>
          <w:rFonts w:ascii="Arial" w:hAnsi="Arial" w:cs="Arial"/>
          <w:i/>
          <w:iCs/>
        </w:rPr>
        <w:t>Commons.</w:t>
      </w:r>
    </w:p>
    <w:p w14:paraId="1F8F3EDF" w14:textId="77777777" w:rsidR="00411346" w:rsidRPr="00B82BC9" w:rsidRDefault="00411346" w:rsidP="00F67218">
      <w:pPr>
        <w:jc w:val="left"/>
        <w:rPr>
          <w:rFonts w:ascii="Arial" w:hAnsi="Arial" w:cs="Arial"/>
        </w:rPr>
      </w:pPr>
      <w:r w:rsidRPr="00B82BC9">
        <w:rPr>
          <w:rFonts w:ascii="Arial" w:hAnsi="Arial" w:cs="Arial"/>
        </w:rPr>
        <w:t xml:space="preserve">Thompsen, J.A. (2019) </w:t>
      </w:r>
      <w:r w:rsidRPr="00B82BC9">
        <w:rPr>
          <w:rFonts w:ascii="Arial" w:hAnsi="Arial" w:cs="Arial"/>
          <w:i/>
          <w:iCs/>
        </w:rPr>
        <w:t>Managing the employee lifecycle.</w:t>
      </w:r>
      <w:r w:rsidRPr="00B82BC9">
        <w:rPr>
          <w:rFonts w:ascii="Arial" w:hAnsi="Arial" w:cs="Arial"/>
        </w:rPr>
        <w:t xml:space="preserve"> London: Routledge.</w:t>
      </w:r>
    </w:p>
    <w:p w14:paraId="556BA131" w14:textId="5640CBA0" w:rsidR="00411346" w:rsidRPr="00B82BC9" w:rsidRDefault="00411346" w:rsidP="00F67218">
      <w:pPr>
        <w:jc w:val="left"/>
        <w:rPr>
          <w:rFonts w:ascii="Arial" w:hAnsi="Arial" w:cs="Arial"/>
          <w:i/>
          <w:iCs/>
        </w:rPr>
      </w:pPr>
      <w:r w:rsidRPr="00B82BC9">
        <w:rPr>
          <w:rFonts w:ascii="Arial" w:hAnsi="Arial" w:cs="Arial"/>
        </w:rPr>
        <w:t xml:space="preserve">Torrington, D, Hall, L, Atkinson, C, &amp; Taylor, S </w:t>
      </w:r>
      <w:r w:rsidR="00F67218" w:rsidRPr="00B82BC9">
        <w:rPr>
          <w:rFonts w:ascii="Arial" w:hAnsi="Arial" w:cs="Arial"/>
        </w:rPr>
        <w:t>(</w:t>
      </w:r>
      <w:r w:rsidRPr="00B82BC9">
        <w:rPr>
          <w:rFonts w:ascii="Arial" w:hAnsi="Arial" w:cs="Arial"/>
        </w:rPr>
        <w:t>2020</w:t>
      </w:r>
      <w:r w:rsidR="00F67218" w:rsidRPr="00B82BC9">
        <w:rPr>
          <w:rFonts w:ascii="Arial" w:hAnsi="Arial" w:cs="Arial"/>
        </w:rPr>
        <w:t>)</w:t>
      </w:r>
      <w:r w:rsidRPr="00B82BC9">
        <w:rPr>
          <w:rFonts w:ascii="Arial" w:hAnsi="Arial" w:cs="Arial"/>
        </w:rPr>
        <w:t xml:space="preserve">, </w:t>
      </w:r>
      <w:r w:rsidRPr="00B82BC9">
        <w:rPr>
          <w:rFonts w:ascii="Arial" w:hAnsi="Arial" w:cs="Arial"/>
          <w:i/>
          <w:iCs/>
        </w:rPr>
        <w:t xml:space="preserve">Human Resource Management PDF EBook, Pearson Education, Limited, Harlow. </w:t>
      </w:r>
    </w:p>
    <w:sectPr w:rsidR="00411346" w:rsidRPr="00B82BC9" w:rsidSect="0062744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141896" w14:textId="77777777" w:rsidR="00633A62" w:rsidRDefault="00633A62" w:rsidP="003352CA">
      <w:pPr>
        <w:spacing w:after="0" w:line="240" w:lineRule="auto"/>
      </w:pPr>
      <w:r>
        <w:separator/>
      </w:r>
    </w:p>
  </w:endnote>
  <w:endnote w:type="continuationSeparator" w:id="0">
    <w:p w14:paraId="7A47D1A9" w14:textId="77777777" w:rsidR="00633A62" w:rsidRDefault="00633A62" w:rsidP="00335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538947"/>
      <w:docPartObj>
        <w:docPartGallery w:val="Page Numbers (Bottom of Page)"/>
        <w:docPartUnique/>
      </w:docPartObj>
    </w:sdtPr>
    <w:sdtEndPr>
      <w:rPr>
        <w:noProof/>
      </w:rPr>
    </w:sdtEndPr>
    <w:sdtContent>
      <w:p w14:paraId="7C77F8DE" w14:textId="2B895DF3" w:rsidR="00616431" w:rsidRDefault="006164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10CAA3" w14:textId="77777777" w:rsidR="00616431" w:rsidRDefault="00616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75E21" w14:textId="77777777" w:rsidR="00633A62" w:rsidRDefault="00633A62" w:rsidP="003352CA">
      <w:pPr>
        <w:spacing w:after="0" w:line="240" w:lineRule="auto"/>
      </w:pPr>
      <w:r>
        <w:separator/>
      </w:r>
    </w:p>
  </w:footnote>
  <w:footnote w:type="continuationSeparator" w:id="0">
    <w:p w14:paraId="36341336" w14:textId="77777777" w:rsidR="00633A62" w:rsidRDefault="00633A62" w:rsidP="003352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3MDMzMrE0MjA0MzJQ0lEKTi0uzszPAykwrAUA/ZVywSwAAAA="/>
  </w:docVars>
  <w:rsids>
    <w:rsidRoot w:val="00DD5BEE"/>
    <w:rsid w:val="0000616D"/>
    <w:rsid w:val="00010ABC"/>
    <w:rsid w:val="000559A4"/>
    <w:rsid w:val="00084D5F"/>
    <w:rsid w:val="000C228B"/>
    <w:rsid w:val="000C73E3"/>
    <w:rsid w:val="001413E1"/>
    <w:rsid w:val="00145778"/>
    <w:rsid w:val="00154ECC"/>
    <w:rsid w:val="00163C34"/>
    <w:rsid w:val="001C1D74"/>
    <w:rsid w:val="001C4D33"/>
    <w:rsid w:val="002812C0"/>
    <w:rsid w:val="00300E14"/>
    <w:rsid w:val="003352CA"/>
    <w:rsid w:val="0034011C"/>
    <w:rsid w:val="00355F59"/>
    <w:rsid w:val="00392538"/>
    <w:rsid w:val="004076AA"/>
    <w:rsid w:val="00411346"/>
    <w:rsid w:val="00495303"/>
    <w:rsid w:val="00496411"/>
    <w:rsid w:val="004F4A39"/>
    <w:rsid w:val="005D11D2"/>
    <w:rsid w:val="00616431"/>
    <w:rsid w:val="0062744B"/>
    <w:rsid w:val="00633A62"/>
    <w:rsid w:val="00642490"/>
    <w:rsid w:val="006A0C34"/>
    <w:rsid w:val="006F7672"/>
    <w:rsid w:val="007103AD"/>
    <w:rsid w:val="00732EC7"/>
    <w:rsid w:val="00762148"/>
    <w:rsid w:val="007B6F07"/>
    <w:rsid w:val="007E0F7A"/>
    <w:rsid w:val="007F2316"/>
    <w:rsid w:val="00803EA5"/>
    <w:rsid w:val="008B347C"/>
    <w:rsid w:val="00900F75"/>
    <w:rsid w:val="00907E92"/>
    <w:rsid w:val="00910A5D"/>
    <w:rsid w:val="009332D4"/>
    <w:rsid w:val="00954787"/>
    <w:rsid w:val="00964F0E"/>
    <w:rsid w:val="00980491"/>
    <w:rsid w:val="00A827D1"/>
    <w:rsid w:val="00B82BC9"/>
    <w:rsid w:val="00B9234E"/>
    <w:rsid w:val="00C12906"/>
    <w:rsid w:val="00C45DD2"/>
    <w:rsid w:val="00CC2E2E"/>
    <w:rsid w:val="00D42D0A"/>
    <w:rsid w:val="00D81C49"/>
    <w:rsid w:val="00DC7396"/>
    <w:rsid w:val="00DD5BEE"/>
    <w:rsid w:val="00E11B1C"/>
    <w:rsid w:val="00EB3F12"/>
    <w:rsid w:val="00F65E68"/>
    <w:rsid w:val="00F67218"/>
    <w:rsid w:val="00FA0D55"/>
    <w:rsid w:val="00FA632C"/>
    <w:rsid w:val="00FD12E9"/>
    <w:rsid w:val="00FD2635"/>
    <w:rsid w:val="00FE2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997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538"/>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autoRedefine/>
    <w:uiPriority w:val="9"/>
    <w:qFormat/>
    <w:rsid w:val="0049641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496411"/>
    <w:pPr>
      <w:keepNext/>
      <w:keepLines/>
      <w:spacing w:before="40" w:after="0"/>
      <w:outlineLvl w:val="1"/>
    </w:pPr>
    <w:rPr>
      <w:rFonts w:eastAsiaTheme="majorEastAsia" w:cstheme="majorBidi"/>
      <w:b/>
      <w:color w:val="2E74B5" w:themeColor="accent5" w:themeShade="BF"/>
      <w:sz w:val="28"/>
      <w:szCs w:val="26"/>
    </w:rPr>
  </w:style>
  <w:style w:type="paragraph" w:styleId="Heading3">
    <w:name w:val="heading 3"/>
    <w:basedOn w:val="Normal"/>
    <w:next w:val="Normal"/>
    <w:link w:val="Heading3Char"/>
    <w:autoRedefine/>
    <w:uiPriority w:val="9"/>
    <w:unhideWhenUsed/>
    <w:qFormat/>
    <w:rsid w:val="00496411"/>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411"/>
    <w:rPr>
      <w:rFonts w:ascii="Times New Roman" w:eastAsiaTheme="majorEastAsia" w:hAnsi="Times New Roman" w:cstheme="majorBidi"/>
      <w:b/>
      <w:kern w:val="2"/>
      <w:sz w:val="32"/>
      <w:szCs w:val="32"/>
      <w14:ligatures w14:val="standardContextual"/>
    </w:rPr>
  </w:style>
  <w:style w:type="paragraph" w:styleId="Subtitle">
    <w:name w:val="Subtitle"/>
    <w:basedOn w:val="Heading3"/>
    <w:next w:val="Normal"/>
    <w:link w:val="SubtitleChar"/>
    <w:autoRedefine/>
    <w:uiPriority w:val="11"/>
    <w:qFormat/>
    <w:rsid w:val="00154ECC"/>
    <w:pPr>
      <w:numPr>
        <w:ilvl w:val="1"/>
      </w:numPr>
    </w:pPr>
    <w:rPr>
      <w:rFonts w:eastAsiaTheme="minorEastAsia"/>
      <w:b w:val="0"/>
      <w:color w:val="5B9BD5" w:themeColor="accent5"/>
      <w:spacing w:val="15"/>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rsid w:val="00496411"/>
    <w:rPr>
      <w:rFonts w:ascii="Times New Roman" w:eastAsiaTheme="majorEastAsia" w:hAnsi="Times New Roman" w:cstheme="majorBidi"/>
      <w:b/>
      <w:color w:val="1F3763" w:themeColor="accent1" w:themeShade="7F"/>
      <w:kern w:val="2"/>
      <w:sz w:val="24"/>
      <w:szCs w:val="24"/>
      <w14:ligatures w14:val="standardContextual"/>
    </w:rPr>
  </w:style>
  <w:style w:type="character" w:customStyle="1" w:styleId="Heading2Char">
    <w:name w:val="Heading 2 Char"/>
    <w:basedOn w:val="DefaultParagraphFont"/>
    <w:link w:val="Heading2"/>
    <w:uiPriority w:val="9"/>
    <w:rsid w:val="00496411"/>
    <w:rPr>
      <w:rFonts w:ascii="Times New Roman" w:eastAsiaTheme="majorEastAsia" w:hAnsi="Times New Roman" w:cstheme="majorBidi"/>
      <w:b/>
      <w:color w:val="2E74B5" w:themeColor="accent5" w:themeShade="BF"/>
      <w:kern w:val="2"/>
      <w:sz w:val="28"/>
      <w:szCs w:val="26"/>
      <w14:ligatures w14:val="standardContextual"/>
    </w:rPr>
  </w:style>
  <w:style w:type="paragraph" w:styleId="Header">
    <w:name w:val="header"/>
    <w:basedOn w:val="Normal"/>
    <w:link w:val="HeaderChar"/>
    <w:uiPriority w:val="99"/>
    <w:unhideWhenUsed/>
    <w:rsid w:val="003352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52CA"/>
    <w:rPr>
      <w:rFonts w:ascii="Times New Roman" w:hAnsi="Times New Roman"/>
      <w:kern w:val="2"/>
      <w:sz w:val="24"/>
      <w14:ligatures w14:val="standardContextual"/>
    </w:rPr>
  </w:style>
  <w:style w:type="paragraph" w:styleId="Footer">
    <w:name w:val="footer"/>
    <w:basedOn w:val="Normal"/>
    <w:link w:val="FooterChar"/>
    <w:uiPriority w:val="99"/>
    <w:unhideWhenUsed/>
    <w:rsid w:val="003352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52CA"/>
    <w:rPr>
      <w:rFonts w:ascii="Times New Roman" w:hAnsi="Times New Roman"/>
      <w:kern w:val="2"/>
      <w:sz w:val="24"/>
      <w14:ligatures w14:val="standardContextual"/>
    </w:rPr>
  </w:style>
  <w:style w:type="paragraph" w:styleId="ListParagraph">
    <w:name w:val="List Paragraph"/>
    <w:basedOn w:val="Normal"/>
    <w:uiPriority w:val="34"/>
    <w:qFormat/>
    <w:rsid w:val="00F672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2023-10-18T11:14:00Z</dcterms:created>
  <dcterms:modified xsi:type="dcterms:W3CDTF">2023-10-18T11:14:00Z</dcterms:modified>
</cp:coreProperties>
</file>