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30ED6" w:rsidRPr="00A406E5" w14:paraId="2EE38145" w14:textId="77777777" w:rsidTr="00530ED6">
        <w:tc>
          <w:tcPr>
            <w:tcW w:w="8624" w:type="dxa"/>
            <w:shd w:val="clear" w:color="auto" w:fill="C0C0C0"/>
          </w:tcPr>
          <w:p w14:paraId="7B05F70C" w14:textId="77777777" w:rsidR="00530ED6" w:rsidRPr="00A406E5" w:rsidRDefault="00530ED6" w:rsidP="00717F7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68E2FBEC" w14:textId="77777777" w:rsidR="00530ED6" w:rsidRPr="00A406E5" w:rsidRDefault="00530ED6" w:rsidP="00530ED6">
      <w:pPr>
        <w:jc w:val="center"/>
        <w:rPr>
          <w:rFonts w:ascii="Arial" w:hAnsi="Arial" w:cs="Arial"/>
          <w:b/>
          <w:i/>
          <w:sz w:val="32"/>
        </w:rPr>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0ED6" w:rsidRPr="00A406E5" w14:paraId="31977B3E" w14:textId="77777777" w:rsidTr="00530ED6">
        <w:tc>
          <w:tcPr>
            <w:tcW w:w="2093" w:type="dxa"/>
            <w:shd w:val="clear" w:color="auto" w:fill="auto"/>
          </w:tcPr>
          <w:p w14:paraId="66E76DFD"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737A45" w14:textId="23875475"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hemeFill="background1" w:themeFillShade="D9"/>
          </w:tcPr>
          <w:p w14:paraId="04269079"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Student ID number:</w:t>
            </w:r>
          </w:p>
        </w:tc>
        <w:tc>
          <w:tcPr>
            <w:tcW w:w="2268" w:type="dxa"/>
          </w:tcPr>
          <w:p w14:paraId="5681188B" w14:textId="292FA509"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2315599</w:t>
            </w:r>
          </w:p>
        </w:tc>
      </w:tr>
      <w:tr w:rsidR="00530ED6" w:rsidRPr="00A406E5" w14:paraId="0F22D3DB" w14:textId="77777777" w:rsidTr="00530ED6">
        <w:tc>
          <w:tcPr>
            <w:tcW w:w="2093" w:type="dxa"/>
            <w:shd w:val="clear" w:color="auto" w:fill="auto"/>
          </w:tcPr>
          <w:p w14:paraId="1B5FBED6"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28CBE4"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Law and Legal Practice LLB</w:t>
            </w:r>
          </w:p>
        </w:tc>
      </w:tr>
      <w:tr w:rsidR="00530ED6" w:rsidRPr="00A406E5" w14:paraId="5D0D51BC" w14:textId="77777777" w:rsidTr="00530ED6">
        <w:tc>
          <w:tcPr>
            <w:tcW w:w="2093" w:type="dxa"/>
            <w:shd w:val="clear" w:color="auto" w:fill="auto"/>
          </w:tcPr>
          <w:p w14:paraId="46262CDC"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3C585"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 xml:space="preserve">Family Law and Practice </w:t>
            </w:r>
          </w:p>
        </w:tc>
      </w:tr>
      <w:tr w:rsidR="00530ED6" w:rsidRPr="00A406E5" w14:paraId="11D4FF4D" w14:textId="77777777" w:rsidTr="00530ED6">
        <w:tc>
          <w:tcPr>
            <w:tcW w:w="2093" w:type="dxa"/>
            <w:shd w:val="clear" w:color="auto" w:fill="auto"/>
          </w:tcPr>
          <w:p w14:paraId="63059201"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BF221A"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BMLW5018</w:t>
            </w:r>
          </w:p>
        </w:tc>
        <w:tc>
          <w:tcPr>
            <w:tcW w:w="2268" w:type="dxa"/>
            <w:shd w:val="clear" w:color="auto" w:fill="D9D9D9" w:themeFill="background1" w:themeFillShade="D9"/>
          </w:tcPr>
          <w:p w14:paraId="2A8C354F" w14:textId="7A591F79" w:rsidR="00530ED6" w:rsidRPr="004D5E9B" w:rsidRDefault="00530ED6" w:rsidP="00717F7F">
            <w:pPr>
              <w:pStyle w:val="Heading2"/>
              <w:rPr>
                <w:rFonts w:ascii="Arial" w:hAnsi="Arial" w:cs="Arial"/>
                <w:sz w:val="22"/>
                <w:szCs w:val="22"/>
              </w:rPr>
            </w:pPr>
          </w:p>
        </w:tc>
        <w:tc>
          <w:tcPr>
            <w:tcW w:w="2268" w:type="dxa"/>
          </w:tcPr>
          <w:p w14:paraId="5FE5E6D2" w14:textId="6B0001FC" w:rsidR="00530ED6" w:rsidRPr="00A406E5" w:rsidRDefault="00530ED6" w:rsidP="00717F7F">
            <w:pPr>
              <w:spacing w:before="120" w:after="120"/>
              <w:jc w:val="both"/>
              <w:rPr>
                <w:rFonts w:ascii="Arial" w:hAnsi="Arial" w:cs="Arial"/>
                <w:b/>
                <w:bCs/>
                <w:sz w:val="22"/>
                <w:szCs w:val="22"/>
              </w:rPr>
            </w:pPr>
          </w:p>
        </w:tc>
      </w:tr>
      <w:tr w:rsidR="00530ED6" w:rsidRPr="00A406E5" w14:paraId="1BBB2DEE" w14:textId="77777777" w:rsidTr="00530ED6">
        <w:tc>
          <w:tcPr>
            <w:tcW w:w="2093" w:type="dxa"/>
            <w:shd w:val="clear" w:color="auto" w:fill="auto"/>
          </w:tcPr>
          <w:p w14:paraId="1E94FBB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89BF1F"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Legal design assessment</w:t>
            </w:r>
          </w:p>
        </w:tc>
        <w:tc>
          <w:tcPr>
            <w:tcW w:w="2268" w:type="dxa"/>
            <w:shd w:val="clear" w:color="auto" w:fill="auto"/>
          </w:tcPr>
          <w:p w14:paraId="4375FD13"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7AA290"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2000</w:t>
            </w:r>
          </w:p>
        </w:tc>
      </w:tr>
      <w:tr w:rsidR="00530ED6" w:rsidRPr="00A406E5" w14:paraId="76B355E5" w14:textId="77777777" w:rsidTr="00530ED6">
        <w:tc>
          <w:tcPr>
            <w:tcW w:w="2093" w:type="dxa"/>
            <w:shd w:val="clear" w:color="auto" w:fill="auto"/>
          </w:tcPr>
          <w:p w14:paraId="76DDBF1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938C4"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08 November 2024 23.59</w:t>
            </w:r>
          </w:p>
        </w:tc>
        <w:tc>
          <w:tcPr>
            <w:tcW w:w="2268" w:type="dxa"/>
            <w:shd w:val="clear" w:color="auto" w:fill="auto"/>
          </w:tcPr>
          <w:p w14:paraId="7B037577"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BE5442" w14:textId="77777777" w:rsidR="00530ED6" w:rsidRPr="00A406E5" w:rsidRDefault="00530ED6" w:rsidP="00717F7F">
            <w:pPr>
              <w:spacing w:before="120" w:after="120"/>
              <w:jc w:val="both"/>
              <w:rPr>
                <w:rFonts w:ascii="Arial" w:hAnsi="Arial" w:cs="Arial"/>
                <w:b/>
                <w:bCs/>
                <w:sz w:val="22"/>
                <w:szCs w:val="22"/>
              </w:rPr>
            </w:pPr>
            <w:r w:rsidRPr="2C26D1B3">
              <w:rPr>
                <w:rFonts w:ascii="Arial" w:hAnsi="Arial" w:cs="Arial"/>
                <w:b/>
                <w:bCs/>
                <w:sz w:val="22"/>
                <w:szCs w:val="22"/>
              </w:rPr>
              <w:t>06 December 2024</w:t>
            </w:r>
          </w:p>
        </w:tc>
      </w:tr>
    </w:tbl>
    <w:p w14:paraId="06028311" w14:textId="77777777" w:rsidR="00530ED6" w:rsidRDefault="00530ED6" w:rsidP="004C528C">
      <w:pPr>
        <w:ind w:right="237"/>
        <w:jc w:val="both"/>
      </w:pPr>
    </w:p>
    <w:p w14:paraId="052F1A05" w14:textId="0F8C8138" w:rsidR="00530ED6" w:rsidRDefault="00530ED6">
      <w:r>
        <w:br w:type="page"/>
      </w:r>
    </w:p>
    <w:sdt>
      <w:sdtPr>
        <w:id w:val="98736878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EE22ED7" w14:textId="2EEEE253" w:rsidR="00491889" w:rsidRDefault="00491889">
          <w:pPr>
            <w:pStyle w:val="TOCHeading"/>
          </w:pPr>
          <w:r>
            <w:t>Contents</w:t>
          </w:r>
        </w:p>
        <w:p w14:paraId="4F8B1654" w14:textId="225BE501" w:rsidR="00F22826" w:rsidRPr="00F22826" w:rsidRDefault="00491889">
          <w:pPr>
            <w:pStyle w:val="TOC1"/>
            <w:tabs>
              <w:tab w:val="right" w:leader="dot" w:pos="9016"/>
            </w:tabs>
            <w:rPr>
              <w:noProof/>
            </w:rPr>
          </w:pPr>
          <w:r>
            <w:fldChar w:fldCharType="begin"/>
          </w:r>
          <w:r>
            <w:instrText xml:space="preserve"> TOC \o "1-3" \h \z \u </w:instrText>
          </w:r>
          <w:r>
            <w:fldChar w:fldCharType="separate"/>
          </w:r>
          <w:hyperlink w:anchor="_Toc193198827" w:history="1">
            <w:r w:rsidR="00F22826" w:rsidRPr="00F22826">
              <w:rPr>
                <w:rStyle w:val="Hyperlink"/>
                <w:noProof/>
              </w:rPr>
              <w:t>Assessment 1: Child Rights/Law Communications plan</w:t>
            </w:r>
            <w:r w:rsidR="00F22826" w:rsidRPr="00F22826">
              <w:rPr>
                <w:noProof/>
                <w:webHidden/>
              </w:rPr>
              <w:tab/>
            </w:r>
            <w:r w:rsidR="00F22826" w:rsidRPr="00F22826">
              <w:rPr>
                <w:noProof/>
                <w:webHidden/>
              </w:rPr>
              <w:fldChar w:fldCharType="begin"/>
            </w:r>
            <w:r w:rsidR="00F22826" w:rsidRPr="00F22826">
              <w:rPr>
                <w:noProof/>
                <w:webHidden/>
              </w:rPr>
              <w:instrText xml:space="preserve"> PAGEREF _Toc193198827 \h </w:instrText>
            </w:r>
            <w:r w:rsidR="00F22826" w:rsidRPr="00F22826">
              <w:rPr>
                <w:noProof/>
                <w:webHidden/>
              </w:rPr>
            </w:r>
            <w:r w:rsidR="00F22826" w:rsidRPr="00F22826">
              <w:rPr>
                <w:noProof/>
                <w:webHidden/>
              </w:rPr>
              <w:fldChar w:fldCharType="separate"/>
            </w:r>
            <w:r w:rsidR="00F37074">
              <w:rPr>
                <w:noProof/>
                <w:webHidden/>
              </w:rPr>
              <w:t>3</w:t>
            </w:r>
            <w:r w:rsidR="00F22826" w:rsidRPr="00F22826">
              <w:rPr>
                <w:noProof/>
                <w:webHidden/>
              </w:rPr>
              <w:fldChar w:fldCharType="end"/>
            </w:r>
          </w:hyperlink>
        </w:p>
        <w:p w14:paraId="25E479D2" w14:textId="0913F46E" w:rsidR="00F22826" w:rsidRPr="00F22826" w:rsidRDefault="00F22826">
          <w:pPr>
            <w:pStyle w:val="TOC1"/>
            <w:tabs>
              <w:tab w:val="right" w:leader="dot" w:pos="9016"/>
            </w:tabs>
            <w:rPr>
              <w:noProof/>
            </w:rPr>
          </w:pPr>
          <w:hyperlink w:anchor="_Toc193198828" w:history="1">
            <w:r w:rsidRPr="00F22826">
              <w:rPr>
                <w:rStyle w:val="Hyperlink"/>
                <w:noProof/>
              </w:rPr>
              <w:t>Part B – B1</w:t>
            </w:r>
            <w:r w:rsidRPr="00F22826">
              <w:rPr>
                <w:noProof/>
                <w:webHidden/>
              </w:rPr>
              <w:tab/>
            </w:r>
            <w:r w:rsidRPr="00F22826">
              <w:rPr>
                <w:noProof/>
                <w:webHidden/>
              </w:rPr>
              <w:fldChar w:fldCharType="begin"/>
            </w:r>
            <w:r w:rsidRPr="00F22826">
              <w:rPr>
                <w:noProof/>
                <w:webHidden/>
              </w:rPr>
              <w:instrText xml:space="preserve"> PAGEREF _Toc193198828 \h </w:instrText>
            </w:r>
            <w:r w:rsidRPr="00F22826">
              <w:rPr>
                <w:noProof/>
                <w:webHidden/>
              </w:rPr>
            </w:r>
            <w:r w:rsidRPr="00F22826">
              <w:rPr>
                <w:noProof/>
                <w:webHidden/>
              </w:rPr>
              <w:fldChar w:fldCharType="separate"/>
            </w:r>
            <w:r w:rsidR="00F37074">
              <w:rPr>
                <w:noProof/>
                <w:webHidden/>
              </w:rPr>
              <w:t>4</w:t>
            </w:r>
            <w:r w:rsidRPr="00F22826">
              <w:rPr>
                <w:noProof/>
                <w:webHidden/>
              </w:rPr>
              <w:fldChar w:fldCharType="end"/>
            </w:r>
          </w:hyperlink>
        </w:p>
        <w:p w14:paraId="492236F1" w14:textId="31918096" w:rsidR="00F22826" w:rsidRPr="00F22826" w:rsidRDefault="00F22826">
          <w:pPr>
            <w:pStyle w:val="TOC1"/>
            <w:tabs>
              <w:tab w:val="right" w:leader="dot" w:pos="9016"/>
            </w:tabs>
            <w:rPr>
              <w:noProof/>
            </w:rPr>
          </w:pPr>
          <w:hyperlink w:anchor="_Toc193198829" w:history="1">
            <w:r w:rsidRPr="00F22826">
              <w:rPr>
                <w:rStyle w:val="Hyperlink"/>
                <w:noProof/>
              </w:rPr>
              <w:t>Part B – B2</w:t>
            </w:r>
            <w:r w:rsidRPr="00F22826">
              <w:rPr>
                <w:noProof/>
                <w:webHidden/>
              </w:rPr>
              <w:tab/>
            </w:r>
            <w:r w:rsidRPr="00F22826">
              <w:rPr>
                <w:noProof/>
                <w:webHidden/>
              </w:rPr>
              <w:fldChar w:fldCharType="begin"/>
            </w:r>
            <w:r w:rsidRPr="00F22826">
              <w:rPr>
                <w:noProof/>
                <w:webHidden/>
              </w:rPr>
              <w:instrText xml:space="preserve"> PAGEREF _Toc193198829 \h </w:instrText>
            </w:r>
            <w:r w:rsidRPr="00F22826">
              <w:rPr>
                <w:noProof/>
                <w:webHidden/>
              </w:rPr>
            </w:r>
            <w:r w:rsidRPr="00F22826">
              <w:rPr>
                <w:noProof/>
                <w:webHidden/>
              </w:rPr>
              <w:fldChar w:fldCharType="separate"/>
            </w:r>
            <w:r w:rsidR="00F37074">
              <w:rPr>
                <w:noProof/>
                <w:webHidden/>
              </w:rPr>
              <w:t>5</w:t>
            </w:r>
            <w:r w:rsidRPr="00F22826">
              <w:rPr>
                <w:noProof/>
                <w:webHidden/>
              </w:rPr>
              <w:fldChar w:fldCharType="end"/>
            </w:r>
          </w:hyperlink>
        </w:p>
        <w:p w14:paraId="40A2AA98" w14:textId="085EBE02" w:rsidR="00F22826" w:rsidRPr="00F22826" w:rsidRDefault="00F22826">
          <w:pPr>
            <w:pStyle w:val="TOC1"/>
            <w:tabs>
              <w:tab w:val="right" w:leader="dot" w:pos="9016"/>
            </w:tabs>
            <w:rPr>
              <w:noProof/>
            </w:rPr>
          </w:pPr>
          <w:hyperlink w:anchor="_Toc193198830" w:history="1">
            <w:r w:rsidRPr="00F22826">
              <w:rPr>
                <w:rStyle w:val="Hyperlink"/>
                <w:noProof/>
              </w:rPr>
              <w:t>Part B – B3</w:t>
            </w:r>
            <w:r w:rsidRPr="00F22826">
              <w:rPr>
                <w:noProof/>
                <w:webHidden/>
              </w:rPr>
              <w:tab/>
            </w:r>
            <w:r w:rsidRPr="00F22826">
              <w:rPr>
                <w:noProof/>
                <w:webHidden/>
              </w:rPr>
              <w:fldChar w:fldCharType="begin"/>
            </w:r>
            <w:r w:rsidRPr="00F22826">
              <w:rPr>
                <w:noProof/>
                <w:webHidden/>
              </w:rPr>
              <w:instrText xml:space="preserve"> PAGEREF _Toc193198830 \h </w:instrText>
            </w:r>
            <w:r w:rsidRPr="00F22826">
              <w:rPr>
                <w:noProof/>
                <w:webHidden/>
              </w:rPr>
            </w:r>
            <w:r w:rsidRPr="00F22826">
              <w:rPr>
                <w:noProof/>
                <w:webHidden/>
              </w:rPr>
              <w:fldChar w:fldCharType="separate"/>
            </w:r>
            <w:r w:rsidR="00F37074">
              <w:rPr>
                <w:noProof/>
                <w:webHidden/>
              </w:rPr>
              <w:t>7</w:t>
            </w:r>
            <w:r w:rsidRPr="00F22826">
              <w:rPr>
                <w:noProof/>
                <w:webHidden/>
              </w:rPr>
              <w:fldChar w:fldCharType="end"/>
            </w:r>
          </w:hyperlink>
        </w:p>
        <w:p w14:paraId="3B776A67" w14:textId="23EF8522" w:rsidR="00F22826" w:rsidRPr="00F22826" w:rsidRDefault="00F22826">
          <w:pPr>
            <w:pStyle w:val="TOC1"/>
            <w:tabs>
              <w:tab w:val="right" w:leader="dot" w:pos="9016"/>
            </w:tabs>
            <w:rPr>
              <w:noProof/>
            </w:rPr>
          </w:pPr>
          <w:hyperlink w:anchor="_Toc193198831" w:history="1">
            <w:r w:rsidRPr="00F22826">
              <w:rPr>
                <w:rStyle w:val="Hyperlink"/>
                <w:noProof/>
              </w:rPr>
              <w:t>Part B – B4 Analysis/Feedback</w:t>
            </w:r>
            <w:r w:rsidRPr="00F22826">
              <w:rPr>
                <w:noProof/>
                <w:webHidden/>
              </w:rPr>
              <w:tab/>
            </w:r>
            <w:r w:rsidRPr="00F22826">
              <w:rPr>
                <w:noProof/>
                <w:webHidden/>
              </w:rPr>
              <w:fldChar w:fldCharType="begin"/>
            </w:r>
            <w:r w:rsidRPr="00F22826">
              <w:rPr>
                <w:noProof/>
                <w:webHidden/>
              </w:rPr>
              <w:instrText xml:space="preserve"> PAGEREF _Toc193198831 \h </w:instrText>
            </w:r>
            <w:r w:rsidRPr="00F22826">
              <w:rPr>
                <w:noProof/>
                <w:webHidden/>
              </w:rPr>
            </w:r>
            <w:r w:rsidRPr="00F22826">
              <w:rPr>
                <w:noProof/>
                <w:webHidden/>
              </w:rPr>
              <w:fldChar w:fldCharType="separate"/>
            </w:r>
            <w:r w:rsidR="00F37074">
              <w:rPr>
                <w:noProof/>
                <w:webHidden/>
              </w:rPr>
              <w:t>9</w:t>
            </w:r>
            <w:r w:rsidRPr="00F22826">
              <w:rPr>
                <w:noProof/>
                <w:webHidden/>
              </w:rPr>
              <w:fldChar w:fldCharType="end"/>
            </w:r>
          </w:hyperlink>
        </w:p>
        <w:p w14:paraId="6F39BB72" w14:textId="5EC32321" w:rsidR="00F22826" w:rsidRPr="00F22826" w:rsidRDefault="00F22826">
          <w:pPr>
            <w:pStyle w:val="TOC1"/>
            <w:tabs>
              <w:tab w:val="right" w:leader="dot" w:pos="9016"/>
            </w:tabs>
            <w:rPr>
              <w:noProof/>
            </w:rPr>
          </w:pPr>
          <w:hyperlink w:anchor="_Toc193198832" w:history="1">
            <w:r w:rsidRPr="00F22826">
              <w:rPr>
                <w:rStyle w:val="Hyperlink"/>
                <w:noProof/>
              </w:rPr>
              <w:t>Table of Legislation</w:t>
            </w:r>
            <w:r w:rsidRPr="00F22826">
              <w:rPr>
                <w:noProof/>
                <w:webHidden/>
              </w:rPr>
              <w:tab/>
            </w:r>
            <w:r w:rsidRPr="00F22826">
              <w:rPr>
                <w:noProof/>
                <w:webHidden/>
              </w:rPr>
              <w:fldChar w:fldCharType="begin"/>
            </w:r>
            <w:r w:rsidRPr="00F22826">
              <w:rPr>
                <w:noProof/>
                <w:webHidden/>
              </w:rPr>
              <w:instrText xml:space="preserve"> PAGEREF _Toc193198832 \h </w:instrText>
            </w:r>
            <w:r w:rsidRPr="00F22826">
              <w:rPr>
                <w:noProof/>
                <w:webHidden/>
              </w:rPr>
            </w:r>
            <w:r w:rsidRPr="00F22826">
              <w:rPr>
                <w:noProof/>
                <w:webHidden/>
              </w:rPr>
              <w:fldChar w:fldCharType="separate"/>
            </w:r>
            <w:r w:rsidR="00F37074">
              <w:rPr>
                <w:noProof/>
                <w:webHidden/>
              </w:rPr>
              <w:t>10</w:t>
            </w:r>
            <w:r w:rsidRPr="00F22826">
              <w:rPr>
                <w:noProof/>
                <w:webHidden/>
              </w:rPr>
              <w:fldChar w:fldCharType="end"/>
            </w:r>
          </w:hyperlink>
        </w:p>
        <w:p w14:paraId="14D8EFF0" w14:textId="2E4ADD38" w:rsidR="00F22826" w:rsidRPr="00F22826" w:rsidRDefault="00F22826">
          <w:pPr>
            <w:pStyle w:val="TOC1"/>
            <w:tabs>
              <w:tab w:val="right" w:leader="dot" w:pos="9016"/>
            </w:tabs>
            <w:rPr>
              <w:noProof/>
            </w:rPr>
          </w:pPr>
          <w:hyperlink w:anchor="_Toc193198833" w:history="1">
            <w:r w:rsidRPr="00F22826">
              <w:rPr>
                <w:rStyle w:val="Hyperlink"/>
                <w:noProof/>
              </w:rPr>
              <w:t>Table of cases</w:t>
            </w:r>
            <w:r w:rsidRPr="00F22826">
              <w:rPr>
                <w:noProof/>
                <w:webHidden/>
              </w:rPr>
              <w:tab/>
            </w:r>
            <w:r w:rsidRPr="00F22826">
              <w:rPr>
                <w:noProof/>
                <w:webHidden/>
              </w:rPr>
              <w:fldChar w:fldCharType="begin"/>
            </w:r>
            <w:r w:rsidRPr="00F22826">
              <w:rPr>
                <w:noProof/>
                <w:webHidden/>
              </w:rPr>
              <w:instrText xml:space="preserve"> PAGEREF _Toc193198833 \h </w:instrText>
            </w:r>
            <w:r w:rsidRPr="00F22826">
              <w:rPr>
                <w:noProof/>
                <w:webHidden/>
              </w:rPr>
            </w:r>
            <w:r w:rsidRPr="00F22826">
              <w:rPr>
                <w:noProof/>
                <w:webHidden/>
              </w:rPr>
              <w:fldChar w:fldCharType="separate"/>
            </w:r>
            <w:r w:rsidR="00F37074">
              <w:rPr>
                <w:noProof/>
                <w:webHidden/>
              </w:rPr>
              <w:t>11</w:t>
            </w:r>
            <w:r w:rsidRPr="00F22826">
              <w:rPr>
                <w:noProof/>
                <w:webHidden/>
              </w:rPr>
              <w:fldChar w:fldCharType="end"/>
            </w:r>
          </w:hyperlink>
        </w:p>
        <w:p w14:paraId="617996D6" w14:textId="15891A72" w:rsidR="00F22826" w:rsidRPr="00F22826" w:rsidRDefault="00F22826">
          <w:pPr>
            <w:pStyle w:val="TOC1"/>
            <w:tabs>
              <w:tab w:val="right" w:leader="dot" w:pos="9016"/>
            </w:tabs>
            <w:rPr>
              <w:noProof/>
            </w:rPr>
          </w:pPr>
          <w:hyperlink w:anchor="_Toc193198834" w:history="1">
            <w:r w:rsidRPr="00F22826">
              <w:rPr>
                <w:rStyle w:val="Hyperlink"/>
                <w:noProof/>
              </w:rPr>
              <w:t>References</w:t>
            </w:r>
            <w:r w:rsidRPr="00F22826">
              <w:rPr>
                <w:noProof/>
                <w:webHidden/>
              </w:rPr>
              <w:tab/>
            </w:r>
            <w:r w:rsidRPr="00F22826">
              <w:rPr>
                <w:noProof/>
                <w:webHidden/>
              </w:rPr>
              <w:fldChar w:fldCharType="begin"/>
            </w:r>
            <w:r w:rsidRPr="00F22826">
              <w:rPr>
                <w:noProof/>
                <w:webHidden/>
              </w:rPr>
              <w:instrText xml:space="preserve"> PAGEREF _Toc193198834 \h </w:instrText>
            </w:r>
            <w:r w:rsidRPr="00F22826">
              <w:rPr>
                <w:noProof/>
                <w:webHidden/>
              </w:rPr>
            </w:r>
            <w:r w:rsidRPr="00F22826">
              <w:rPr>
                <w:noProof/>
                <w:webHidden/>
              </w:rPr>
              <w:fldChar w:fldCharType="separate"/>
            </w:r>
            <w:r w:rsidR="00F37074">
              <w:rPr>
                <w:noProof/>
                <w:webHidden/>
              </w:rPr>
              <w:t>12</w:t>
            </w:r>
            <w:r w:rsidRPr="00F22826">
              <w:rPr>
                <w:noProof/>
                <w:webHidden/>
              </w:rPr>
              <w:fldChar w:fldCharType="end"/>
            </w:r>
          </w:hyperlink>
        </w:p>
        <w:p w14:paraId="362BBD28" w14:textId="109C88FB" w:rsidR="00491889" w:rsidRDefault="00491889">
          <w:r>
            <w:rPr>
              <w:b/>
              <w:bCs/>
            </w:rPr>
            <w:fldChar w:fldCharType="end"/>
          </w:r>
        </w:p>
      </w:sdtContent>
    </w:sdt>
    <w:p w14:paraId="17C36FC9" w14:textId="77777777" w:rsidR="00491889" w:rsidRDefault="00491889">
      <w:pPr>
        <w:rPr>
          <w:rFonts w:ascii="Arial" w:hAnsi="Arial" w:cs="Arial"/>
          <w:b/>
          <w:bCs/>
          <w:u w:val="single"/>
        </w:rPr>
      </w:pPr>
      <w:r>
        <w:rPr>
          <w:rFonts w:ascii="Arial" w:hAnsi="Arial" w:cs="Arial"/>
          <w:b/>
          <w:bCs/>
          <w:u w:val="single"/>
        </w:rPr>
        <w:br w:type="page"/>
      </w:r>
    </w:p>
    <w:p w14:paraId="2A3AD44C" w14:textId="752E997E" w:rsidR="00FE37CA" w:rsidRPr="00491889" w:rsidRDefault="00FE37CA" w:rsidP="00491889">
      <w:pPr>
        <w:pStyle w:val="Heading1"/>
      </w:pPr>
      <w:bookmarkStart w:id="0" w:name="_Toc193198827"/>
      <w:r w:rsidRPr="00491889">
        <w:lastRenderedPageBreak/>
        <w:t>Assessment 1: Child Rights/Law Communications plan</w:t>
      </w:r>
      <w:bookmarkEnd w:id="0"/>
    </w:p>
    <w:p w14:paraId="7BDA5C5B" w14:textId="0FC3304C" w:rsidR="00FE37CA" w:rsidRDefault="00FE37CA" w:rsidP="00FE37CA">
      <w:pPr>
        <w:rPr>
          <w:rFonts w:ascii="Arial" w:hAnsi="Arial" w:cs="Arial"/>
          <w:b/>
          <w:bCs/>
        </w:rPr>
      </w:pPr>
      <w:r>
        <w:rPr>
          <w:rFonts w:ascii="Arial" w:hAnsi="Arial" w:cs="Arial"/>
          <w:b/>
          <w:bCs/>
        </w:rPr>
        <w:t>Area of law:</w:t>
      </w:r>
      <w:r>
        <w:rPr>
          <w:rFonts w:ascii="Arial" w:hAnsi="Arial" w:cs="Arial"/>
          <w:b/>
          <w:bCs/>
        </w:rPr>
        <w:tab/>
      </w:r>
      <w:r>
        <w:rPr>
          <w:rFonts w:ascii="Arial" w:hAnsi="Arial" w:cs="Arial"/>
          <w:b/>
          <w:bCs/>
        </w:rPr>
        <w:tab/>
        <w:t>Child Protection</w:t>
      </w:r>
    </w:p>
    <w:tbl>
      <w:tblPr>
        <w:tblStyle w:val="TableGrid"/>
        <w:tblW w:w="9290" w:type="dxa"/>
        <w:tblLook w:val="04A0" w:firstRow="1" w:lastRow="0" w:firstColumn="1" w:lastColumn="0" w:noHBand="0" w:noVBand="1"/>
      </w:tblPr>
      <w:tblGrid>
        <w:gridCol w:w="3064"/>
        <w:gridCol w:w="6226"/>
      </w:tblGrid>
      <w:tr w:rsidR="00FE37CA" w14:paraId="0C5E5056" w14:textId="77777777" w:rsidTr="00717F7F">
        <w:trPr>
          <w:trHeight w:val="2182"/>
        </w:trPr>
        <w:tc>
          <w:tcPr>
            <w:tcW w:w="3064" w:type="dxa"/>
          </w:tcPr>
          <w:p w14:paraId="2659F460" w14:textId="0758C3F2" w:rsidR="00FE37CA" w:rsidRDefault="00FE37CA" w:rsidP="00717F7F">
            <w:pPr>
              <w:rPr>
                <w:rFonts w:ascii="Arial" w:hAnsi="Arial" w:cs="Arial"/>
                <w:b/>
                <w:bCs/>
              </w:rPr>
            </w:pPr>
            <w:r>
              <w:rPr>
                <w:rFonts w:ascii="Arial" w:hAnsi="Arial" w:cs="Arial"/>
                <w:b/>
                <w:bCs/>
              </w:rPr>
              <w:t xml:space="preserve">Which legal challenge will your resource address? </w:t>
            </w:r>
          </w:p>
        </w:tc>
        <w:tc>
          <w:tcPr>
            <w:tcW w:w="6226" w:type="dxa"/>
          </w:tcPr>
          <w:p w14:paraId="29207492" w14:textId="77777777" w:rsidR="00FE37CA" w:rsidRPr="00A023EB" w:rsidRDefault="00FE37CA" w:rsidP="00FE37CA">
            <w:pPr>
              <w:jc w:val="both"/>
            </w:pPr>
            <w:r w:rsidRPr="00A023EB">
              <w:t xml:space="preserve">For this assignment, I want to focus on child protection. I have 3 daughters and feel very strongly about protecting them.  All 3 of my daughters are dancers and I am a licensed chaperone with an enhanced DBS following a vigorous police check and having to undertake a course and exam with the local authority. I will hold this licence for 3 years thereafter I will need to resit the course and exam again. </w:t>
            </w:r>
          </w:p>
          <w:p w14:paraId="6400C3A4" w14:textId="77777777" w:rsidR="00FE37CA" w:rsidRPr="00A023EB" w:rsidRDefault="00FE37CA" w:rsidP="00717F7F">
            <w:pPr>
              <w:rPr>
                <w:rFonts w:cs="Arial"/>
                <w:b/>
                <w:bCs/>
              </w:rPr>
            </w:pPr>
          </w:p>
        </w:tc>
      </w:tr>
      <w:tr w:rsidR="00FE37CA" w14:paraId="2E0EF9EE" w14:textId="77777777" w:rsidTr="00717F7F">
        <w:trPr>
          <w:trHeight w:val="1115"/>
        </w:trPr>
        <w:tc>
          <w:tcPr>
            <w:tcW w:w="3064" w:type="dxa"/>
          </w:tcPr>
          <w:p w14:paraId="193C99FC" w14:textId="77777777" w:rsidR="00FE37CA" w:rsidRDefault="00FE37CA" w:rsidP="00717F7F">
            <w:pPr>
              <w:rPr>
                <w:rFonts w:ascii="Arial" w:hAnsi="Arial" w:cs="Arial"/>
                <w:b/>
                <w:bCs/>
              </w:rPr>
            </w:pPr>
            <w:r>
              <w:rPr>
                <w:rFonts w:ascii="Arial" w:hAnsi="Arial" w:cs="Arial"/>
                <w:b/>
                <w:bCs/>
              </w:rPr>
              <w:t>Who is your intended audience?</w:t>
            </w:r>
          </w:p>
        </w:tc>
        <w:tc>
          <w:tcPr>
            <w:tcW w:w="6226" w:type="dxa"/>
          </w:tcPr>
          <w:p w14:paraId="44EC0880" w14:textId="0997F241" w:rsidR="00FE37CA" w:rsidRPr="00A023EB" w:rsidRDefault="00FE37CA" w:rsidP="00717F7F">
            <w:pPr>
              <w:rPr>
                <w:rFonts w:cs="Arial"/>
                <w:b/>
                <w:bCs/>
              </w:rPr>
            </w:pPr>
            <w:r w:rsidRPr="00A023EB">
              <w:t>I have chosen to aim this at children who attend comprehensive school therefore the age range is 11-16 years.</w:t>
            </w:r>
          </w:p>
        </w:tc>
      </w:tr>
      <w:tr w:rsidR="00FE37CA" w14:paraId="3A18FF41" w14:textId="77777777" w:rsidTr="00717F7F">
        <w:trPr>
          <w:trHeight w:val="1115"/>
        </w:trPr>
        <w:tc>
          <w:tcPr>
            <w:tcW w:w="3064" w:type="dxa"/>
          </w:tcPr>
          <w:p w14:paraId="0F96FABA" w14:textId="77777777" w:rsidR="00FE37CA" w:rsidRDefault="00FE37CA" w:rsidP="00717F7F">
            <w:pPr>
              <w:rPr>
                <w:rFonts w:ascii="Arial" w:hAnsi="Arial" w:cs="Arial"/>
                <w:b/>
                <w:bCs/>
              </w:rPr>
            </w:pPr>
            <w:r>
              <w:rPr>
                <w:rFonts w:ascii="Arial" w:hAnsi="Arial" w:cs="Arial"/>
                <w:b/>
                <w:bCs/>
              </w:rPr>
              <w:t>What is your primary message?</w:t>
            </w:r>
          </w:p>
        </w:tc>
        <w:tc>
          <w:tcPr>
            <w:tcW w:w="6226" w:type="dxa"/>
          </w:tcPr>
          <w:p w14:paraId="67ED71AF" w14:textId="5E0D4E70" w:rsidR="00FE37CA" w:rsidRPr="00A023EB" w:rsidRDefault="00FE37CA" w:rsidP="00FE37CA">
            <w:pPr>
              <w:jc w:val="both"/>
            </w:pPr>
            <w:proofErr w:type="gramStart"/>
            <w:r w:rsidRPr="00A023EB">
              <w:t>In order to</w:t>
            </w:r>
            <w:proofErr w:type="gramEnd"/>
            <w:r w:rsidRPr="00A023EB">
              <w:t xml:space="preserve"> access that a lay person </w:t>
            </w:r>
            <w:r w:rsidR="00056E9D" w:rsidRPr="00A023EB">
              <w:t xml:space="preserve">or child </w:t>
            </w:r>
            <w:r w:rsidRPr="00A023EB">
              <w:t xml:space="preserve">would understand the concept of the three posters, I received feedback from my </w:t>
            </w:r>
            <w:r w:rsidR="00A027C2" w:rsidRPr="00A023EB">
              <w:t>12-year-old</w:t>
            </w:r>
            <w:r w:rsidRPr="00A023EB">
              <w:t xml:space="preserve"> daughter</w:t>
            </w:r>
            <w:r w:rsidR="00A023EB" w:rsidRPr="00A023EB">
              <w:t xml:space="preserve"> as she would be my target audience</w:t>
            </w:r>
            <w:r w:rsidRPr="00A023EB">
              <w:t>. I have designed the posters in a way that a child could identify some of the signs individually set out on each slide. By asking the question</w:t>
            </w:r>
            <w:r w:rsidR="00454659" w:rsidRPr="00A023EB">
              <w:t>s</w:t>
            </w:r>
            <w:r w:rsidRPr="00A023EB">
              <w:t xml:space="preserve"> have you or someone you know</w:t>
            </w:r>
            <w:r w:rsidR="00B75D00" w:rsidRPr="00A023EB">
              <w:t xml:space="preserve">, the children can </w:t>
            </w:r>
            <w:r w:rsidR="001F15E4" w:rsidRPr="00A023EB">
              <w:t>then relate to real life scenarios</w:t>
            </w:r>
            <w:r w:rsidR="00A027C2" w:rsidRPr="00A023EB">
              <w:t>.</w:t>
            </w:r>
          </w:p>
          <w:p w14:paraId="2E1D6E30" w14:textId="77777777" w:rsidR="00FE37CA" w:rsidRPr="00A023EB" w:rsidRDefault="00FE37CA" w:rsidP="00717F7F">
            <w:pPr>
              <w:rPr>
                <w:rFonts w:cs="Arial"/>
                <w:b/>
                <w:bCs/>
              </w:rPr>
            </w:pPr>
          </w:p>
        </w:tc>
      </w:tr>
      <w:tr w:rsidR="00FE37CA" w14:paraId="0A2244AA" w14:textId="77777777" w:rsidTr="00717F7F">
        <w:trPr>
          <w:trHeight w:val="1115"/>
        </w:trPr>
        <w:tc>
          <w:tcPr>
            <w:tcW w:w="3064" w:type="dxa"/>
          </w:tcPr>
          <w:p w14:paraId="6C0535F4" w14:textId="77777777" w:rsidR="00FE37CA" w:rsidRDefault="00FE37CA" w:rsidP="00717F7F">
            <w:pPr>
              <w:rPr>
                <w:rFonts w:ascii="Arial" w:hAnsi="Arial" w:cs="Arial"/>
                <w:b/>
                <w:bCs/>
              </w:rPr>
            </w:pPr>
            <w:r>
              <w:rPr>
                <w:rFonts w:ascii="Arial" w:hAnsi="Arial" w:cs="Arial"/>
                <w:b/>
                <w:bCs/>
              </w:rPr>
              <w:t>What is your secondary message (if any)?</w:t>
            </w:r>
          </w:p>
        </w:tc>
        <w:tc>
          <w:tcPr>
            <w:tcW w:w="6226" w:type="dxa"/>
          </w:tcPr>
          <w:p w14:paraId="1EF3CD93" w14:textId="239DE861" w:rsidR="00FE37CA" w:rsidRPr="00A023EB" w:rsidRDefault="00FE37CA" w:rsidP="00717F7F">
            <w:pPr>
              <w:rPr>
                <w:rFonts w:cs="Arial"/>
              </w:rPr>
            </w:pPr>
            <w:r w:rsidRPr="00A023EB">
              <w:rPr>
                <w:rFonts w:cs="Arial"/>
              </w:rPr>
              <w:t>As more toilets in school are unisex, the posters are not limited to one sex</w:t>
            </w:r>
            <w:r w:rsidR="00DC3CE6" w:rsidRPr="00A023EB">
              <w:rPr>
                <w:rFonts w:cs="Arial"/>
              </w:rPr>
              <w:t>, th</w:t>
            </w:r>
            <w:r w:rsidRPr="00A023EB">
              <w:rPr>
                <w:rFonts w:cs="Arial"/>
              </w:rPr>
              <w:t>ey are applicable to both female and male students.</w:t>
            </w:r>
          </w:p>
        </w:tc>
      </w:tr>
      <w:tr w:rsidR="00FE37CA" w14:paraId="72993469" w14:textId="77777777" w:rsidTr="00717F7F">
        <w:trPr>
          <w:trHeight w:val="1115"/>
        </w:trPr>
        <w:tc>
          <w:tcPr>
            <w:tcW w:w="3064" w:type="dxa"/>
          </w:tcPr>
          <w:p w14:paraId="5FB0F371" w14:textId="77777777" w:rsidR="00FE37CA" w:rsidRDefault="00FE37CA" w:rsidP="00717F7F">
            <w:pPr>
              <w:rPr>
                <w:rFonts w:ascii="Arial" w:hAnsi="Arial" w:cs="Arial"/>
                <w:b/>
                <w:bCs/>
              </w:rPr>
            </w:pPr>
            <w:r>
              <w:rPr>
                <w:rFonts w:ascii="Arial" w:hAnsi="Arial" w:cs="Arial"/>
                <w:b/>
                <w:bCs/>
              </w:rPr>
              <w:t>Will you include a call to action? (optional)</w:t>
            </w:r>
          </w:p>
        </w:tc>
        <w:tc>
          <w:tcPr>
            <w:tcW w:w="6226" w:type="dxa"/>
          </w:tcPr>
          <w:p w14:paraId="22780D0B" w14:textId="334A32FD" w:rsidR="00FE37CA" w:rsidRPr="00A023EB" w:rsidRDefault="00FE37CA" w:rsidP="00717F7F">
            <w:pPr>
              <w:rPr>
                <w:rFonts w:cs="Arial"/>
              </w:rPr>
            </w:pPr>
            <w:r w:rsidRPr="00A023EB">
              <w:rPr>
                <w:rFonts w:cs="Arial"/>
              </w:rPr>
              <w:t>The call to action in every slide is a QR code to scan and a link directly to the Childline website.</w:t>
            </w:r>
          </w:p>
        </w:tc>
      </w:tr>
      <w:tr w:rsidR="00FE37CA" w14:paraId="6560EBC3" w14:textId="77777777" w:rsidTr="00717F7F">
        <w:trPr>
          <w:trHeight w:val="1115"/>
        </w:trPr>
        <w:tc>
          <w:tcPr>
            <w:tcW w:w="3064" w:type="dxa"/>
          </w:tcPr>
          <w:p w14:paraId="7A7CA30B" w14:textId="77777777" w:rsidR="00FE37CA" w:rsidRDefault="00FE37CA" w:rsidP="00717F7F">
            <w:pPr>
              <w:rPr>
                <w:rFonts w:ascii="Arial" w:hAnsi="Arial" w:cs="Arial"/>
                <w:b/>
                <w:bCs/>
              </w:rPr>
            </w:pPr>
            <w:r>
              <w:rPr>
                <w:rFonts w:ascii="Arial" w:hAnsi="Arial" w:cs="Arial"/>
                <w:b/>
                <w:bCs/>
              </w:rPr>
              <w:t>Which communications platform will you use?</w:t>
            </w:r>
          </w:p>
        </w:tc>
        <w:tc>
          <w:tcPr>
            <w:tcW w:w="6226" w:type="dxa"/>
          </w:tcPr>
          <w:p w14:paraId="1A87C36D" w14:textId="28101791" w:rsidR="00FE37CA" w:rsidRPr="00A023EB" w:rsidRDefault="00FE37CA" w:rsidP="00717F7F">
            <w:pPr>
              <w:rPr>
                <w:rFonts w:cs="Arial"/>
              </w:rPr>
            </w:pPr>
            <w:r w:rsidRPr="00A023EB">
              <w:rPr>
                <w:rFonts w:cs="Arial"/>
              </w:rPr>
              <w:t xml:space="preserve">QR codes and click to website </w:t>
            </w:r>
          </w:p>
        </w:tc>
      </w:tr>
      <w:tr w:rsidR="00FE37CA" w14:paraId="164A539B" w14:textId="77777777" w:rsidTr="00717F7F">
        <w:trPr>
          <w:trHeight w:val="1064"/>
        </w:trPr>
        <w:tc>
          <w:tcPr>
            <w:tcW w:w="3064" w:type="dxa"/>
          </w:tcPr>
          <w:p w14:paraId="52417666" w14:textId="77777777" w:rsidR="00FE37CA" w:rsidRDefault="00FE37CA" w:rsidP="00717F7F">
            <w:pPr>
              <w:rPr>
                <w:rFonts w:ascii="Arial" w:hAnsi="Arial" w:cs="Arial"/>
                <w:b/>
                <w:bCs/>
              </w:rPr>
            </w:pPr>
            <w:r>
              <w:rPr>
                <w:rFonts w:ascii="Arial" w:hAnsi="Arial" w:cs="Arial"/>
                <w:b/>
                <w:bCs/>
              </w:rPr>
              <w:t>What asset(s) will you produce?</w:t>
            </w:r>
          </w:p>
        </w:tc>
        <w:tc>
          <w:tcPr>
            <w:tcW w:w="6226" w:type="dxa"/>
          </w:tcPr>
          <w:p w14:paraId="6EAC716D" w14:textId="77777777" w:rsidR="00FE37CA" w:rsidRPr="00A023EB" w:rsidRDefault="00FE37CA" w:rsidP="00FE37CA">
            <w:pPr>
              <w:jc w:val="both"/>
            </w:pPr>
            <w:r w:rsidRPr="00A023EB">
              <w:t xml:space="preserve">I have chosen to promote three different posters. One focussing on neglect, one of sexual abuse and one on physical abuse. During my chaperone training, it was highlighted the signs to look for in each of these scenarios. </w:t>
            </w:r>
          </w:p>
          <w:p w14:paraId="346809BC" w14:textId="71EEBBED" w:rsidR="00FE37CA" w:rsidRPr="00A023EB" w:rsidRDefault="00FE37CA" w:rsidP="00717F7F">
            <w:pPr>
              <w:rPr>
                <w:rFonts w:cs="Arial"/>
                <w:b/>
                <w:bCs/>
              </w:rPr>
            </w:pPr>
          </w:p>
        </w:tc>
      </w:tr>
      <w:tr w:rsidR="00FE37CA" w14:paraId="56DC7232" w14:textId="77777777" w:rsidTr="00717F7F">
        <w:trPr>
          <w:trHeight w:val="1166"/>
        </w:trPr>
        <w:tc>
          <w:tcPr>
            <w:tcW w:w="3064" w:type="dxa"/>
          </w:tcPr>
          <w:p w14:paraId="3C7620C6" w14:textId="77777777" w:rsidR="00FE37CA" w:rsidRDefault="00FE37CA" w:rsidP="00717F7F">
            <w:pPr>
              <w:rPr>
                <w:rFonts w:ascii="Arial" w:hAnsi="Arial" w:cs="Arial"/>
                <w:b/>
                <w:bCs/>
              </w:rPr>
            </w:pPr>
            <w:r>
              <w:rPr>
                <w:rFonts w:ascii="Arial" w:hAnsi="Arial" w:cs="Arial"/>
                <w:b/>
                <w:bCs/>
              </w:rPr>
              <w:t>Do you require any visual assets?</w:t>
            </w:r>
          </w:p>
        </w:tc>
        <w:tc>
          <w:tcPr>
            <w:tcW w:w="6226" w:type="dxa"/>
          </w:tcPr>
          <w:p w14:paraId="1AD42000" w14:textId="5BBEEB08" w:rsidR="00FE37CA" w:rsidRPr="00A023EB" w:rsidRDefault="00FE37CA" w:rsidP="00717F7F">
            <w:pPr>
              <w:rPr>
                <w:rFonts w:cs="Arial"/>
                <w:b/>
                <w:bCs/>
              </w:rPr>
            </w:pPr>
            <w:r w:rsidRPr="00A023EB">
              <w:t>I have chosen a poster to be displayed in the toilets in a school for children to read with the option</w:t>
            </w:r>
            <w:r w:rsidR="00200148">
              <w:t xml:space="preserve"> to</w:t>
            </w:r>
            <w:r w:rsidRPr="00A023EB">
              <w:t xml:space="preserve"> research and explore a further call to action by using QR codes and websites incorporated within the poster</w:t>
            </w:r>
          </w:p>
        </w:tc>
      </w:tr>
    </w:tbl>
    <w:p w14:paraId="3E8FB5B6" w14:textId="77777777" w:rsidR="00FE37CA" w:rsidRDefault="00FE37CA" w:rsidP="006B5399">
      <w:pPr>
        <w:jc w:val="both"/>
      </w:pPr>
    </w:p>
    <w:p w14:paraId="2D04C8E3" w14:textId="77777777" w:rsidR="00FE3083" w:rsidRDefault="00FE3083" w:rsidP="006B5399">
      <w:pPr>
        <w:jc w:val="both"/>
      </w:pPr>
    </w:p>
    <w:p w14:paraId="1C45EAA2" w14:textId="18362DDF" w:rsidR="00530ED6" w:rsidRPr="00043EFC" w:rsidRDefault="002D6084" w:rsidP="00491889">
      <w:pPr>
        <w:pStyle w:val="Heading1"/>
      </w:pPr>
      <w:bookmarkStart w:id="1" w:name="_Toc193198828"/>
      <w:r>
        <w:t>Part B – B1</w:t>
      </w:r>
      <w:bookmarkEnd w:id="1"/>
      <w:r>
        <w:t xml:space="preserve"> </w:t>
      </w:r>
    </w:p>
    <w:p w14:paraId="0F4A9121" w14:textId="7360B2D0" w:rsidR="00473764" w:rsidRDefault="00043EFC" w:rsidP="0004126D">
      <w:pPr>
        <w:ind w:right="-46"/>
        <w:jc w:val="both"/>
      </w:pPr>
      <w:r>
        <w:t xml:space="preserve">Child Protection in the UK is a critical and complex issue that for many is very difficult to understand. </w:t>
      </w:r>
      <w:r w:rsidR="002F1135">
        <w:t>It involves a range of legal frameworks and policies with organisation</w:t>
      </w:r>
      <w:r w:rsidR="001D68F2">
        <w:t xml:space="preserve">s working together for the safeguarding of children. The UK government has </w:t>
      </w:r>
      <w:r w:rsidR="00EF66E7">
        <w:t>a duty of care to implement procedures to protect children f</w:t>
      </w:r>
      <w:r w:rsidR="00EB6A1A">
        <w:t xml:space="preserve">rom harm in the forms of neglects, abuse and exploitation. </w:t>
      </w:r>
    </w:p>
    <w:p w14:paraId="04868C37" w14:textId="4B8E9573" w:rsidR="006D76EB" w:rsidRDefault="00AC5007" w:rsidP="0004126D">
      <w:pPr>
        <w:ind w:right="-46"/>
        <w:jc w:val="both"/>
      </w:pPr>
      <w:r>
        <w:t>Unfortunately,</w:t>
      </w:r>
      <w:r w:rsidR="006D76EB">
        <w:t xml:space="preserve"> many of these organisations </w:t>
      </w:r>
      <w:r w:rsidR="00F64B1E">
        <w:t xml:space="preserve">are seen by the </w:t>
      </w:r>
      <w:proofErr w:type="gramStart"/>
      <w:r w:rsidR="00F64B1E">
        <w:t>general public</w:t>
      </w:r>
      <w:proofErr w:type="gramEnd"/>
      <w:r w:rsidR="00F64B1E">
        <w:t xml:space="preserve"> as failing. Many child abuse cases that are published in the media show that a series of failings have taken place which </w:t>
      </w:r>
      <w:proofErr w:type="gramStart"/>
      <w:r>
        <w:t>the end result</w:t>
      </w:r>
      <w:proofErr w:type="gramEnd"/>
      <w:r>
        <w:t xml:space="preserve"> is that a child has fallen victim to abuse.  </w:t>
      </w:r>
      <w:r w:rsidR="00DF654D">
        <w:t>We have only to remember the desperately appalling case of Peter Connelly, referred to at the time a Baby P, who died at the hands of his mother, her lover and his brother</w:t>
      </w:r>
      <w:r w:rsidR="002A175F">
        <w:t xml:space="preserve"> in London in 2007. </w:t>
      </w:r>
    </w:p>
    <w:p w14:paraId="6AD42886" w14:textId="77777777" w:rsidR="002D6084" w:rsidRDefault="002D6084" w:rsidP="0004126D">
      <w:pPr>
        <w:ind w:right="-46"/>
        <w:jc w:val="both"/>
      </w:pPr>
    </w:p>
    <w:p w14:paraId="38046A55" w14:textId="77777777" w:rsidR="002D6084" w:rsidRDefault="002D6084">
      <w:r>
        <w:br w:type="page"/>
      </w:r>
    </w:p>
    <w:p w14:paraId="121D2921" w14:textId="77777777" w:rsidR="002D6084" w:rsidRDefault="002D6084" w:rsidP="002D6084">
      <w:pPr>
        <w:pStyle w:val="Heading1"/>
      </w:pPr>
      <w:bookmarkStart w:id="2" w:name="_Toc193198829"/>
      <w:r>
        <w:lastRenderedPageBreak/>
        <w:t>Part B – B2</w:t>
      </w:r>
      <w:bookmarkEnd w:id="2"/>
      <w:r>
        <w:t xml:space="preserve"> </w:t>
      </w:r>
    </w:p>
    <w:p w14:paraId="22D2F0E9" w14:textId="531CC778" w:rsidR="00043EFC" w:rsidRDefault="00EE47D5" w:rsidP="0004126D">
      <w:pPr>
        <w:ind w:right="-46"/>
        <w:jc w:val="both"/>
      </w:pPr>
      <w:r>
        <w:t xml:space="preserve">The legislation set out in </w:t>
      </w:r>
      <w:r w:rsidR="00932AAC">
        <w:t xml:space="preserve">The </w:t>
      </w:r>
      <w:r w:rsidR="00051772">
        <w:t xml:space="preserve">Children Act 1989 </w:t>
      </w:r>
      <w:r w:rsidR="000C6A9E">
        <w:t>defines the duties and powers of the local authorities</w:t>
      </w:r>
      <w:r w:rsidR="00991A80">
        <w:t xml:space="preserve">, CAFCASS, the courts and parents. </w:t>
      </w:r>
      <w:r w:rsidR="00312DF4">
        <w:t xml:space="preserve">The focus </w:t>
      </w:r>
      <w:r w:rsidR="00F26434">
        <w:t xml:space="preserve">shared by all organisations is that the child’s welfare is always paramount. </w:t>
      </w:r>
      <w:r w:rsidR="00420BF4">
        <w:t xml:space="preserve">The Children Act 2004 highlights and reinforces the need for all services working </w:t>
      </w:r>
      <w:r w:rsidR="00DA4B76">
        <w:t>together to support children.</w:t>
      </w:r>
    </w:p>
    <w:p w14:paraId="4DEF3730" w14:textId="1B8043E2" w:rsidR="00350AA5" w:rsidRDefault="00350AA5" w:rsidP="0004126D">
      <w:pPr>
        <w:ind w:right="-46"/>
        <w:jc w:val="both"/>
      </w:pPr>
      <w:r w:rsidRPr="00350AA5">
        <w:t>In the UK, children's rights encompass several essential protections and entitlements. Children must be safeguarded from abuse, neglect, exploitation, and violence. They are entitled to access education and receive support tailored to their learning needs. Healthcare services, including support for physical and mental health, are fundamental rights. Children have the right to express their views and be heard in matters affecting them. They should live with their family unless it is determined not to be in their best interest. Privacy and protection of personal information are guaranteed, along with the right to engage in play and recreational activities.</w:t>
      </w:r>
    </w:p>
    <w:p w14:paraId="1D6CBCC3" w14:textId="5651434E" w:rsidR="005C3CCE" w:rsidRDefault="00257B26" w:rsidP="0004126D">
      <w:pPr>
        <w:ind w:right="-46"/>
        <w:jc w:val="both"/>
      </w:pPr>
      <w:r>
        <w:t>The UK has established safeguarding procedures</w:t>
      </w:r>
      <w:r w:rsidR="00BD6D61">
        <w:t xml:space="preserve"> to enables individuals and agencies to identi</w:t>
      </w:r>
      <w:r w:rsidR="008839CF">
        <w:t>f</w:t>
      </w:r>
      <w:r w:rsidR="00BD6D61">
        <w:t>y and respond accordingly to cases of child abuse. The Local Safeguarding Children Boards (LSCCBs)</w:t>
      </w:r>
      <w:r w:rsidR="0077057D">
        <w:t xml:space="preserve"> coordinate social services, healthy </w:t>
      </w:r>
      <w:r w:rsidR="00B84A0E">
        <w:t>services</w:t>
      </w:r>
      <w:r w:rsidR="0077057D">
        <w:t>, schools, police</w:t>
      </w:r>
      <w:r w:rsidR="008839CF">
        <w:t>, doctors</w:t>
      </w:r>
      <w:r w:rsidR="00657728">
        <w:t xml:space="preserve"> and hospitals. These boards have developed procedures to identify abuse and have implemented procedures </w:t>
      </w:r>
      <w:r w:rsidR="000E44AC">
        <w:t xml:space="preserve">for the safeguarding and children and to promote within their jurisdictions the welfare of children. </w:t>
      </w:r>
    </w:p>
    <w:p w14:paraId="13D7B758" w14:textId="51066A09" w:rsidR="001544A7" w:rsidRDefault="001544A7" w:rsidP="003C3D8B">
      <w:pPr>
        <w:jc w:val="both"/>
      </w:pPr>
      <w:r w:rsidRPr="001544A7">
        <w:t>Local authorities in the UK have a vital duty of care in child protection, with social services playing a key role. Social workers identify the needs of children and families, regardless of age. Vulnerable pregnant mothers may receive support from social services and midwifery teams, including placement in mother and baby units. When concerns about a child's safety arise, social workers conduct thorough assessments with other professionals to determine risk and develop care plans. They collaborate closely with families to provide necessary support. Under Section 17 of the Children Act 1989, local authorities must assist children in need, which may involve removing a child from a harmful environment in extreme cases.</w:t>
      </w:r>
    </w:p>
    <w:p w14:paraId="28883A86" w14:textId="64866B85" w:rsidR="00FD3597" w:rsidRPr="00FD3597" w:rsidRDefault="00935817" w:rsidP="003C3D8B">
      <w:pPr>
        <w:jc w:val="both"/>
      </w:pPr>
      <w:r>
        <w:t xml:space="preserve">After a s47 </w:t>
      </w:r>
      <w:r w:rsidR="003D0F89">
        <w:t xml:space="preserve">investigation has taken place, the local authority </w:t>
      </w:r>
      <w:r w:rsidR="008B05F3">
        <w:t>must arrange a child</w:t>
      </w:r>
      <w:r w:rsidR="00814996">
        <w:t xml:space="preserve"> protection conference with 15 days where their findings determine </w:t>
      </w:r>
      <w:r w:rsidR="000058F3">
        <w:t xml:space="preserve">whether the child is to be a risk of significant harm. This is a </w:t>
      </w:r>
      <w:r w:rsidR="00922CE7">
        <w:t>multi-agency meeting</w:t>
      </w:r>
      <w:r w:rsidR="000058F3">
        <w:t xml:space="preserve"> which involves professionals from various </w:t>
      </w:r>
      <w:r w:rsidR="00A75468">
        <w:t xml:space="preserve">fields including social services, nurses, teachers and the child’s family. The sole purpose is to access any risks to the child and to formulate a Child Protection Plan which outlines the actions that you needed to protect the child and support the family. </w:t>
      </w:r>
    </w:p>
    <w:p w14:paraId="61AB5761" w14:textId="7D486A4C" w:rsidR="005363C8" w:rsidRDefault="005363C8" w:rsidP="003C3D8B">
      <w:pPr>
        <w:jc w:val="both"/>
      </w:pPr>
      <w:r w:rsidRPr="005363C8">
        <w:t xml:space="preserve">Government and local authorities, including healthcare providers, run programs to raise awareness about child abuse and neglect. These initiatives aim to encourage early reporting and provide support to families at an earlier stage to prevent abuse from </w:t>
      </w:r>
      <w:r w:rsidRPr="005363C8">
        <w:lastRenderedPageBreak/>
        <w:t xml:space="preserve">escalating. Services offered can include parenting classes, family </w:t>
      </w:r>
      <w:r w:rsidR="00BC5900" w:rsidRPr="005363C8">
        <w:t>counselling</w:t>
      </w:r>
      <w:r w:rsidRPr="005363C8">
        <w:t>, meal vouchers, placement with foster carers for respite, nappy vouchers, and transportation to baby and toddler classes and schools.</w:t>
      </w:r>
    </w:p>
    <w:p w14:paraId="208BB940" w14:textId="16A561F3" w:rsidR="002159AF" w:rsidRPr="0020558F" w:rsidRDefault="002159AF" w:rsidP="003C3D8B">
      <w:pPr>
        <w:jc w:val="both"/>
      </w:pPr>
      <w:r>
        <w:t xml:space="preserve">Schools can play a key role in </w:t>
      </w:r>
      <w:r w:rsidR="00C90105">
        <w:t xml:space="preserve">child protection by teaching and talking to children about how to ask for help, what is abuse, </w:t>
      </w:r>
      <w:r w:rsidR="002C103B">
        <w:t xml:space="preserve">where to find help, who to contact. Many schools across the </w:t>
      </w:r>
      <w:r w:rsidR="006918FD">
        <w:t>UK</w:t>
      </w:r>
      <w:r w:rsidR="002C103B">
        <w:t xml:space="preserve"> will partake in fundraising for Children in Need appeal in November. This allows the teachers to then take about what is a child in need and why it is important that </w:t>
      </w:r>
      <w:r w:rsidR="006918FD">
        <w:t xml:space="preserve">they can identify if they or someone they know is in need. </w:t>
      </w:r>
    </w:p>
    <w:p w14:paraId="56E917CD" w14:textId="3EB5A017" w:rsidR="0044220A" w:rsidRPr="0044220A" w:rsidRDefault="0044220A" w:rsidP="00350AA5">
      <w:pPr>
        <w:jc w:val="both"/>
      </w:pPr>
      <w:r w:rsidRPr="0044220A">
        <w:t>Child protection in the UK is a complex issue that requires a coordinated approach by various organi</w:t>
      </w:r>
      <w:r w:rsidR="005363C8">
        <w:t>s</w:t>
      </w:r>
      <w:r w:rsidRPr="0044220A">
        <w:t>ations. Preventative measures, including early intervention, education, and providing information to children through their teachers, are crucial in promoting child welfare. While challenges remain, children in the UK now have more rights and legal protections than ever before.</w:t>
      </w:r>
    </w:p>
    <w:p w14:paraId="6F9BC888" w14:textId="43F6E0D4" w:rsidR="00F22826" w:rsidRDefault="00F22826">
      <w:r>
        <w:t xml:space="preserve"> </w:t>
      </w:r>
    </w:p>
    <w:p w14:paraId="711C0CB7" w14:textId="77777777" w:rsidR="00F22826" w:rsidRDefault="00F22826">
      <w:r>
        <w:br w:type="page"/>
      </w:r>
    </w:p>
    <w:p w14:paraId="3D88CB95" w14:textId="754E7FF6" w:rsidR="004C528C" w:rsidRDefault="00F22826" w:rsidP="00F22826">
      <w:pPr>
        <w:pStyle w:val="Heading1"/>
      </w:pPr>
      <w:bookmarkStart w:id="3" w:name="_Toc193198830"/>
      <w:r>
        <w:lastRenderedPageBreak/>
        <w:t>Part B – B3</w:t>
      </w:r>
      <w:bookmarkEnd w:id="3"/>
      <w:r>
        <w:t xml:space="preserve"> </w:t>
      </w:r>
    </w:p>
    <w:p w14:paraId="50CC6170" w14:textId="1E95114D" w:rsidR="003C148B" w:rsidRDefault="00B43494" w:rsidP="00947F66">
      <w:pPr>
        <w:jc w:val="both"/>
      </w:pPr>
      <w:r>
        <w:t>Communicating</w:t>
      </w:r>
      <w:r w:rsidR="003C148B">
        <w:t xml:space="preserve"> with children under 16</w:t>
      </w:r>
      <w:r w:rsidR="0029076B">
        <w:t xml:space="preserve"> about child protection and their rights and how to ask for help is a critical and complex task. Children under the age of 16 </w:t>
      </w:r>
      <w:r w:rsidR="00BE4F90">
        <w:t xml:space="preserve">widely wary in the </w:t>
      </w:r>
      <w:r>
        <w:t>development</w:t>
      </w:r>
      <w:r w:rsidR="00BE4F90">
        <w:t xml:space="preserve"> and understanding</w:t>
      </w:r>
      <w:r w:rsidR="00947F66">
        <w:t xml:space="preserve">. It is vitally important to tailor the information to the appropriate age of the audience. </w:t>
      </w:r>
      <w:r w:rsidR="001B7BAD">
        <w:t xml:space="preserve">For example, a younger child would struggle to understand the seriousness of abuse whilst adolescents whilst being more capable of understanding more complex issues might react with resistance or be embarrassed to talk about such matters. </w:t>
      </w:r>
      <w:r w:rsidR="0004126D">
        <w:t>Therefore,</w:t>
      </w:r>
      <w:r w:rsidR="009D29CB">
        <w:t xml:space="preserve"> it is crucial to tailor the information to the children’s cognitive and emotional level. Professionals must find a balance between </w:t>
      </w:r>
      <w:r w:rsidR="00132A14">
        <w:t>simplicity</w:t>
      </w:r>
      <w:r w:rsidR="009D29CB">
        <w:t xml:space="preserve"> and clarity whilst ensuring the children understand the information without being overwhelmed or becoming upset. </w:t>
      </w:r>
      <w:r w:rsidR="00E775F2">
        <w:t xml:space="preserve">Professional </w:t>
      </w:r>
      <w:r w:rsidR="00132A14">
        <w:t>must</w:t>
      </w:r>
      <w:r w:rsidR="00E775F2">
        <w:t xml:space="preserve"> be able to be honest with sensitivity and use </w:t>
      </w:r>
      <w:r w:rsidR="00132A14">
        <w:t>appropriate</w:t>
      </w:r>
      <w:r w:rsidR="00E775F2">
        <w:t xml:space="preserve"> </w:t>
      </w:r>
      <w:r w:rsidR="00132A14">
        <w:t>language</w:t>
      </w:r>
      <w:r w:rsidR="00E775F2">
        <w:t xml:space="preserve"> when talking to the children </w:t>
      </w:r>
      <w:r w:rsidR="00132A14">
        <w:t xml:space="preserve">and gaining their trust to be open and honest. </w:t>
      </w:r>
    </w:p>
    <w:p w14:paraId="7B042387" w14:textId="573221C4" w:rsidR="001F0A8C" w:rsidRDefault="001F0A8C" w:rsidP="00947F66">
      <w:pPr>
        <w:jc w:val="both"/>
      </w:pPr>
      <w:r>
        <w:t>Discussing the topic of child protection ma</w:t>
      </w:r>
      <w:r w:rsidR="00741836">
        <w:t>y bring about a sense of fear or anxiety. Children may worry about their safety or feel ashamed about talking about such matters</w:t>
      </w:r>
      <w:r w:rsidR="00F67748">
        <w:t xml:space="preserve"> or above all fear the consequences they would face if they disclosed the </w:t>
      </w:r>
      <w:r w:rsidR="0008649C">
        <w:t>abuse</w:t>
      </w:r>
      <w:r w:rsidR="00F67748">
        <w:t xml:space="preserve"> they were suffering. This emotional response may hinder an open communication. </w:t>
      </w:r>
      <w:r w:rsidR="00952FCB">
        <w:t xml:space="preserve">It is essential to create of safe supportive space where the child can feel secure and understood and know that they and being listened to and believed. </w:t>
      </w:r>
      <w:r w:rsidR="00901355">
        <w:t>Adults would need to approach the subject with care whilst ensuring that they provide reassurance to the child and emphas</w:t>
      </w:r>
      <w:r w:rsidR="0008649C">
        <w:t xml:space="preserve">ise to them that their wellbeing and safety it the main priority. </w:t>
      </w:r>
    </w:p>
    <w:p w14:paraId="630A9EE7" w14:textId="77777777" w:rsidR="00473FAD" w:rsidRPr="00473FAD" w:rsidRDefault="00473FAD" w:rsidP="00473FAD">
      <w:pPr>
        <w:jc w:val="both"/>
      </w:pPr>
      <w:r w:rsidRPr="00473FAD">
        <w:t>Many children may be reluctant to speak about their experiences, especially if they have been taught to respect authority figures who might be the perpetrators. Building trust between the child and support workers requires time, empathy, and patience. Support workers must show reliability and a non-judgmental attitude to encourage children to share their private experiences. This can be particularly challenging if the child has been neglected or betrayed by another adult in their life.</w:t>
      </w:r>
    </w:p>
    <w:p w14:paraId="297EEA59" w14:textId="77777777" w:rsidR="00473FAD" w:rsidRPr="00473FAD" w:rsidRDefault="00473FAD" w:rsidP="00473FAD">
      <w:pPr>
        <w:jc w:val="both"/>
      </w:pPr>
      <w:r w:rsidRPr="00473FAD">
        <w:t>This scenario highlights the importance of children's rights to express their feelings and be heard. Children have the right to voice their views and have them taken seriously in matters affecting them. Respecting this right is crucial for building trust and providing effective support.</w:t>
      </w:r>
    </w:p>
    <w:p w14:paraId="6465B331" w14:textId="12E49140" w:rsidR="00CF6E7C" w:rsidRDefault="003B3C3C" w:rsidP="00947F66">
      <w:pPr>
        <w:jc w:val="both"/>
      </w:pPr>
      <w:r>
        <w:t>Legal terminology would be difficult for a child to understand. Support workers to the child</w:t>
      </w:r>
      <w:r w:rsidR="00D37180">
        <w:t xml:space="preserve"> would need to explain their rights to them in clear relatable terminology. For </w:t>
      </w:r>
      <w:r w:rsidR="0004126D">
        <w:t>example,</w:t>
      </w:r>
      <w:r w:rsidR="00D37180">
        <w:t xml:space="preserve"> instead of saying “custodial arrangements</w:t>
      </w:r>
      <w:r w:rsidR="00343344">
        <w:t xml:space="preserve">” or “emergency </w:t>
      </w:r>
      <w:r w:rsidR="007D60E5">
        <w:t xml:space="preserve">protection orders” it would be </w:t>
      </w:r>
      <w:r w:rsidR="00250317">
        <w:t xml:space="preserve">better to use terms like “who you will be staying with to keep you safe” for the child to clearly understand. </w:t>
      </w:r>
    </w:p>
    <w:p w14:paraId="0710919B" w14:textId="77777777" w:rsidR="0004126D" w:rsidRDefault="0004126D" w:rsidP="00947F66">
      <w:pPr>
        <w:jc w:val="both"/>
      </w:pPr>
    </w:p>
    <w:p w14:paraId="77DCCA8A" w14:textId="43E04822" w:rsidR="00DF02A3" w:rsidRDefault="00DF02A3" w:rsidP="00947F66">
      <w:pPr>
        <w:jc w:val="both"/>
      </w:pPr>
      <w:r w:rsidRPr="00DF02A3">
        <w:lastRenderedPageBreak/>
        <w:t>When speaking to a child, it's crucial to consider cultural and social factors. Children from diverse backgrounds may view discussing abuse as taboo and feel compelled to respect their elders and remain silent. These beliefs can create barriers and complicate conversations for professionals, who must adapt their strategies. Children may also have misconceptions about abuse and protection, often reinforced by perpetrators. Addressing these myths is essential to help children understand their rights and the importance of speaking out. This requires clear and consistent messaging from agencies, reinforcing the reality of the situation and providing necessary support.</w:t>
      </w:r>
    </w:p>
    <w:p w14:paraId="41A5EC01" w14:textId="3752A04F" w:rsidR="0004126D" w:rsidRDefault="00D97539" w:rsidP="00947F66">
      <w:pPr>
        <w:jc w:val="both"/>
      </w:pPr>
      <w:r>
        <w:t xml:space="preserve">The child will need to feel assured that what they have disclosed will be treated </w:t>
      </w:r>
      <w:r w:rsidR="004526A9">
        <w:t xml:space="preserve">confidentially. There needs to be a difference from what the </w:t>
      </w:r>
      <w:r w:rsidR="003F5401">
        <w:t>support</w:t>
      </w:r>
      <w:r w:rsidR="004526A9">
        <w:t xml:space="preserve"> workers are saying is confidential and what the </w:t>
      </w:r>
      <w:r w:rsidR="003F5401">
        <w:t>perpetrator</w:t>
      </w:r>
      <w:r w:rsidR="004526A9">
        <w:t xml:space="preserve"> may have told them that it is a secret. The child will fear </w:t>
      </w:r>
      <w:r w:rsidR="00EB6936">
        <w:t xml:space="preserve">of their </w:t>
      </w:r>
      <w:r w:rsidR="003F5401">
        <w:t>private</w:t>
      </w:r>
      <w:r w:rsidR="00EB6936">
        <w:t xml:space="preserve"> matters being spoken about. It is </w:t>
      </w:r>
      <w:r w:rsidR="003F5401">
        <w:t>vital</w:t>
      </w:r>
      <w:r w:rsidR="00EB6936">
        <w:t xml:space="preserve"> that the support worker clearly explains in </w:t>
      </w:r>
      <w:r w:rsidR="00922CE7">
        <w:t>age-appropriate</w:t>
      </w:r>
      <w:r w:rsidR="00EB6936">
        <w:t xml:space="preserve"> terms the limits of </w:t>
      </w:r>
      <w:r w:rsidR="003F5401">
        <w:t>confidentiality</w:t>
      </w:r>
      <w:r w:rsidR="00EB6936">
        <w:t xml:space="preserve"> and why </w:t>
      </w:r>
      <w:r w:rsidR="00CC2BA2">
        <w:t xml:space="preserve">it </w:t>
      </w:r>
      <w:r w:rsidR="00922CE7">
        <w:t>must be</w:t>
      </w:r>
      <w:r w:rsidR="00EB6936">
        <w:t xml:space="preserve"> reported </w:t>
      </w:r>
      <w:r w:rsidR="003F5401">
        <w:t xml:space="preserve">so that they can trust the process. </w:t>
      </w:r>
    </w:p>
    <w:p w14:paraId="032C7929" w14:textId="4A443F00" w:rsidR="003F5401" w:rsidRDefault="003F5401" w:rsidP="00947F66">
      <w:pPr>
        <w:jc w:val="both"/>
      </w:pPr>
      <w:r>
        <w:t xml:space="preserve">Children’s emotional readiness to engage with an adult in </w:t>
      </w:r>
      <w:r w:rsidR="00635FD8">
        <w:t>conversation can vary. Some children may be too traum</w:t>
      </w:r>
      <w:r w:rsidR="002936FB">
        <w:t xml:space="preserve">atised to talk about what has happened to them </w:t>
      </w:r>
      <w:r w:rsidR="00727332">
        <w:t>w</w:t>
      </w:r>
      <w:r w:rsidR="002936FB">
        <w:t xml:space="preserve">hilst other may not understand that what they have had to endure is in fact abuse. </w:t>
      </w:r>
      <w:r w:rsidR="00101DC4">
        <w:t>It is essential to gauge the level of the child’s understanding and proceed at a pace that suits them and the circumstances</w:t>
      </w:r>
      <w:r w:rsidR="00312187">
        <w:t xml:space="preserve">. Depending on the emotional state, they would need to feel not pressured or rushed. </w:t>
      </w:r>
    </w:p>
    <w:p w14:paraId="37F997E5" w14:textId="66A002D7" w:rsidR="001C3CF3" w:rsidRDefault="001C3CF3" w:rsidP="007342B0">
      <w:pPr>
        <w:jc w:val="both"/>
      </w:pPr>
      <w:r w:rsidRPr="001C3CF3">
        <w:t xml:space="preserve">Professionals working to uphold children's rights can employ various strategies to address challenges effectively. Storytelling and play therapy are particularly suited to help younger children understand their rights and express their feelings. Active listening, which demonstrates empathy and understanding, encourages children to </w:t>
      </w:r>
      <w:proofErr w:type="gramStart"/>
      <w:r w:rsidRPr="001C3CF3">
        <w:t>open up</w:t>
      </w:r>
      <w:proofErr w:type="gramEnd"/>
      <w:r w:rsidRPr="001C3CF3">
        <w:t xml:space="preserve"> and share their experiences. Role-playing can assist children in practicing responses to unsafe situations. Additionally, educational programs in schools can gradually teach children about their rights and safety in an age-appropriate manner. These approaches help children understand their rights and feel empowered to express themselves.</w:t>
      </w:r>
    </w:p>
    <w:p w14:paraId="4FC272A9" w14:textId="666125F2" w:rsidR="005050C2" w:rsidRDefault="005050C2" w:rsidP="007342B0">
      <w:pPr>
        <w:jc w:val="both"/>
      </w:pPr>
      <w:r>
        <w:t xml:space="preserve">In conclusion, speaking to children under the age of 16 about child protection and abuse </w:t>
      </w:r>
      <w:r w:rsidR="00A33F1E">
        <w:t>is challenging. This is due to development differen</w:t>
      </w:r>
      <w:r w:rsidR="00277A77">
        <w:t>ce</w:t>
      </w:r>
      <w:r w:rsidR="00A33F1E">
        <w:t xml:space="preserve"> and emotional responses to cultural and social barriers. Many children will have misconceptions about abuse and authority figures. The rate of </w:t>
      </w:r>
      <w:r w:rsidR="00277A77">
        <w:t>success</w:t>
      </w:r>
      <w:r w:rsidR="00A33F1E">
        <w:t xml:space="preserve"> in these conversations will rely upon the </w:t>
      </w:r>
      <w:r w:rsidR="005340E8">
        <w:t xml:space="preserve">sensitivity and an understanding </w:t>
      </w:r>
      <w:r w:rsidR="007342B0">
        <w:t xml:space="preserve">from the </w:t>
      </w:r>
      <w:r w:rsidR="00277A77">
        <w:t>child’s</w:t>
      </w:r>
      <w:r w:rsidR="005340E8">
        <w:t xml:space="preserve"> perspective. Above all they must be made to feel safe, understood, believed and </w:t>
      </w:r>
      <w:r w:rsidR="00277A77">
        <w:t xml:space="preserve">they are made to feel empowered </w:t>
      </w:r>
      <w:r w:rsidR="007342B0">
        <w:t>that they have sought help.</w:t>
      </w:r>
      <w:r w:rsidR="00277A77">
        <w:t xml:space="preserve"> </w:t>
      </w:r>
    </w:p>
    <w:p w14:paraId="7A778111" w14:textId="69BA641C" w:rsidR="00334C52" w:rsidRDefault="00334C52" w:rsidP="007342B0">
      <w:pPr>
        <w:jc w:val="both"/>
      </w:pPr>
    </w:p>
    <w:p w14:paraId="014A1603" w14:textId="77777777" w:rsidR="00350900" w:rsidRDefault="00350900">
      <w:pPr>
        <w:rPr>
          <w:b/>
          <w:bCs/>
        </w:rPr>
      </w:pPr>
    </w:p>
    <w:p w14:paraId="7690DE9D" w14:textId="77777777" w:rsidR="007342B0" w:rsidRDefault="007342B0">
      <w:pPr>
        <w:rPr>
          <w:b/>
          <w:bCs/>
        </w:rPr>
      </w:pPr>
    </w:p>
    <w:p w14:paraId="1891B5BC" w14:textId="1C5B8224" w:rsidR="004C528C" w:rsidRPr="0004126D" w:rsidRDefault="00F22826" w:rsidP="00491889">
      <w:pPr>
        <w:pStyle w:val="Heading1"/>
      </w:pPr>
      <w:bookmarkStart w:id="4" w:name="_Toc193198831"/>
      <w:r>
        <w:lastRenderedPageBreak/>
        <w:t xml:space="preserve">Part B – B4 </w:t>
      </w:r>
      <w:r w:rsidR="00316778" w:rsidRPr="0004126D">
        <w:t>Analysis/Feedback</w:t>
      </w:r>
      <w:bookmarkEnd w:id="4"/>
      <w:r w:rsidR="00316778" w:rsidRPr="0004126D">
        <w:t xml:space="preserve"> </w:t>
      </w:r>
    </w:p>
    <w:p w14:paraId="4941255D" w14:textId="71136BAE" w:rsidR="00316778" w:rsidRPr="00263DB0" w:rsidRDefault="00833155" w:rsidP="008E2486">
      <w:pPr>
        <w:jc w:val="both"/>
      </w:pPr>
      <w:r w:rsidRPr="00263DB0">
        <w:t xml:space="preserve">My middle daughter Amelia who is aged 12 attends Year 8 Comprehensive school. I showed her the </w:t>
      </w:r>
      <w:r w:rsidR="00263DB0" w:rsidRPr="00263DB0">
        <w:t>slides,</w:t>
      </w:r>
      <w:r w:rsidRPr="00263DB0">
        <w:t xml:space="preserve"> and she provided feedback that the posters were eye </w:t>
      </w:r>
      <w:r w:rsidR="00263DB0" w:rsidRPr="00263DB0">
        <w:t>catching,</w:t>
      </w:r>
      <w:r w:rsidRPr="00263DB0">
        <w:t xml:space="preserve"> and the questions posed on them were engaging which </w:t>
      </w:r>
      <w:r w:rsidR="008E2486" w:rsidRPr="00263DB0">
        <w:t xml:space="preserve">promoted her to read </w:t>
      </w:r>
      <w:proofErr w:type="gramStart"/>
      <w:r w:rsidR="008E2486" w:rsidRPr="00263DB0">
        <w:t>all of</w:t>
      </w:r>
      <w:proofErr w:type="gramEnd"/>
      <w:r w:rsidR="008E2486" w:rsidRPr="00263DB0">
        <w:t xml:space="preserve"> the poster. I explained that these would be displayed in a toilet cubicle in school. She explained that she would feel comfortable reading these posters in the privacy of a toilet cubicle and would be able to scan the QR code or look up the website imprinted on the posters without anyone else knowing what she was doing. </w:t>
      </w:r>
      <w:r w:rsidR="00427C8D">
        <w:t xml:space="preserve">However, it may be the case that </w:t>
      </w:r>
      <w:r w:rsidR="005B18F1">
        <w:t>some children who are victims of abuse may not have access to a mobile phone. Amelia</w:t>
      </w:r>
      <w:r w:rsidR="008E2486" w:rsidRPr="00263DB0">
        <w:t xml:space="preserve"> advised that this is important as she would not want her peers knowing that she was looking up Childline or abuse on her phone. </w:t>
      </w:r>
      <w:r w:rsidR="009A3998" w:rsidRPr="00263DB0">
        <w:t xml:space="preserve">Amelia confirmed that during the PHSE lessons conducted in school, pupils are provided with </w:t>
      </w:r>
      <w:r w:rsidR="005444C7" w:rsidRPr="00263DB0">
        <w:t xml:space="preserve">information delivered by </w:t>
      </w:r>
      <w:proofErr w:type="gramStart"/>
      <w:r w:rsidR="005444C7" w:rsidRPr="00263DB0">
        <w:t>guests</w:t>
      </w:r>
      <w:proofErr w:type="gramEnd"/>
      <w:r w:rsidR="005444C7" w:rsidRPr="00263DB0">
        <w:t xml:space="preserve"> speakers in </w:t>
      </w:r>
      <w:r w:rsidR="00263DB0" w:rsidRPr="00263DB0">
        <w:t>classroom-based</w:t>
      </w:r>
      <w:r w:rsidR="005444C7" w:rsidRPr="00263DB0">
        <w:t xml:space="preserve"> teaching. They discuss a variety of topics in these lessons including health, sex education and children’s rights and </w:t>
      </w:r>
      <w:r w:rsidR="00246619" w:rsidRPr="00263DB0">
        <w:t xml:space="preserve">they are provided with information of who to contact. </w:t>
      </w:r>
    </w:p>
    <w:p w14:paraId="79F80BD2" w14:textId="17FCF4B9" w:rsidR="00281E1C" w:rsidRPr="00263DB0" w:rsidRDefault="006F7F6F" w:rsidP="000523F9">
      <w:pPr>
        <w:jc w:val="both"/>
      </w:pPr>
      <w:r w:rsidRPr="00263DB0">
        <w:t xml:space="preserve">Designing content for children </w:t>
      </w:r>
      <w:r w:rsidR="00C07CAB" w:rsidRPr="00263DB0">
        <w:t xml:space="preserve">can be difficult to navigate.  I have taken on board some of the feedback received and have changed some of the colours and highlighted certain phrases for instance it is their </w:t>
      </w:r>
      <w:r w:rsidR="00281E1C" w:rsidRPr="00263DB0">
        <w:t xml:space="preserve">right to be protected. </w:t>
      </w:r>
    </w:p>
    <w:p w14:paraId="1329857E" w14:textId="6F863E0A" w:rsidR="00281E1C" w:rsidRPr="00263DB0" w:rsidRDefault="00281E1C" w:rsidP="000523F9">
      <w:pPr>
        <w:jc w:val="both"/>
      </w:pPr>
      <w:r w:rsidRPr="00263DB0">
        <w:t xml:space="preserve">I have targeted these slides to be aimed at </w:t>
      </w:r>
      <w:r w:rsidR="008429AB" w:rsidRPr="00263DB0">
        <w:t xml:space="preserve">comprehensive school aged </w:t>
      </w:r>
      <w:r w:rsidR="00263DB0" w:rsidRPr="00263DB0">
        <w:t>children,</w:t>
      </w:r>
      <w:r w:rsidR="008429AB" w:rsidRPr="00263DB0">
        <w:t xml:space="preserve"> so the age range is 11-16 years. Most of these children will have their own </w:t>
      </w:r>
      <w:r w:rsidR="00263DB0" w:rsidRPr="00263DB0">
        <w:t>mobile</w:t>
      </w:r>
      <w:r w:rsidR="002F0861" w:rsidRPr="00263DB0">
        <w:t xml:space="preserve"> phones whoever I have </w:t>
      </w:r>
      <w:proofErr w:type="gramStart"/>
      <w:r w:rsidR="002F0861" w:rsidRPr="00263DB0">
        <w:t>made reference</w:t>
      </w:r>
      <w:proofErr w:type="gramEnd"/>
      <w:r w:rsidR="002F0861" w:rsidRPr="00263DB0">
        <w:t xml:space="preserve"> in each of the slides to Childline where there is a click through to the website. I have also displayed the telephone number for Children but in the instances where a child does not have access to their own mobile, I have included in the slides that they can speak to one of their </w:t>
      </w:r>
      <w:r w:rsidR="00F2350A" w:rsidRPr="00263DB0">
        <w:t>teachers</w:t>
      </w:r>
      <w:r w:rsidR="002F0861" w:rsidRPr="00263DB0">
        <w:t xml:space="preserve">. </w:t>
      </w:r>
    </w:p>
    <w:p w14:paraId="15E89300" w14:textId="77777777" w:rsidR="000523F9" w:rsidRPr="00263DB0" w:rsidRDefault="000523F9" w:rsidP="008E2486">
      <w:pPr>
        <w:jc w:val="both"/>
      </w:pPr>
    </w:p>
    <w:p w14:paraId="14B3BA16" w14:textId="77777777" w:rsidR="009315C6" w:rsidRDefault="009315C6"/>
    <w:p w14:paraId="06B34038" w14:textId="77777777" w:rsidR="009315C6" w:rsidRDefault="009315C6"/>
    <w:p w14:paraId="6BD5699D" w14:textId="77777777" w:rsidR="009315C6" w:rsidRDefault="009315C6"/>
    <w:p w14:paraId="72A4BB79" w14:textId="77777777" w:rsidR="009315C6" w:rsidRDefault="009315C6"/>
    <w:p w14:paraId="3B865BA0" w14:textId="77777777" w:rsidR="009315C6" w:rsidRDefault="009315C6"/>
    <w:p w14:paraId="3EBF6FDD" w14:textId="77777777" w:rsidR="009315C6" w:rsidRDefault="009315C6"/>
    <w:p w14:paraId="378DFF88" w14:textId="77777777" w:rsidR="009315C6" w:rsidRDefault="009315C6"/>
    <w:p w14:paraId="17CADE29" w14:textId="77777777" w:rsidR="009315C6" w:rsidRDefault="009315C6"/>
    <w:p w14:paraId="670DFE07" w14:textId="77777777" w:rsidR="005F22EA" w:rsidRDefault="00D10479" w:rsidP="00491889">
      <w:pPr>
        <w:pStyle w:val="Heading1"/>
      </w:pPr>
      <w:bookmarkStart w:id="5" w:name="_Toc193198832"/>
      <w:r>
        <w:lastRenderedPageBreak/>
        <w:t>Table of Legislation</w:t>
      </w:r>
      <w:bookmarkEnd w:id="5"/>
      <w:r>
        <w:t xml:space="preserve"> </w:t>
      </w:r>
    </w:p>
    <w:p w14:paraId="14EC30A7" w14:textId="77777777" w:rsidR="00AB56AC" w:rsidRPr="004622F5" w:rsidRDefault="00AB56AC" w:rsidP="00A67523">
      <w:pPr>
        <w:pStyle w:val="NoSpacing"/>
      </w:pPr>
    </w:p>
    <w:p w14:paraId="19899DA6" w14:textId="77777777" w:rsidR="00AB56AC" w:rsidRDefault="00AB56AC" w:rsidP="00A67523">
      <w:pPr>
        <w:pStyle w:val="NoSpacing"/>
      </w:pPr>
      <w:r>
        <w:t>Care Standards Act 2000</w:t>
      </w:r>
    </w:p>
    <w:p w14:paraId="04AD2CAB" w14:textId="77777777" w:rsidR="00AB56AC" w:rsidRDefault="00AB56AC" w:rsidP="00A67523">
      <w:pPr>
        <w:pStyle w:val="NoSpacing"/>
      </w:pPr>
    </w:p>
    <w:p w14:paraId="4F71B6EE" w14:textId="22D5F1E2" w:rsidR="00AB56AC" w:rsidRDefault="00AB56AC" w:rsidP="00A67523">
      <w:pPr>
        <w:pStyle w:val="NoSpacing"/>
      </w:pPr>
      <w:r w:rsidRPr="005F22EA">
        <w:t>Children Act 1989</w:t>
      </w:r>
      <w:r>
        <w:t xml:space="preserve"> </w:t>
      </w:r>
    </w:p>
    <w:p w14:paraId="01769687" w14:textId="77777777" w:rsidR="00AB56AC" w:rsidRDefault="00AB56AC" w:rsidP="00A67523">
      <w:pPr>
        <w:pStyle w:val="NoSpacing"/>
      </w:pPr>
    </w:p>
    <w:p w14:paraId="5883A931" w14:textId="02974D21" w:rsidR="00AB56AC" w:rsidRPr="004622F5" w:rsidRDefault="00AB56AC" w:rsidP="00A67523">
      <w:pPr>
        <w:pStyle w:val="NoSpacing"/>
      </w:pPr>
      <w:r w:rsidRPr="004622F5">
        <w:t>Children Act 2004</w:t>
      </w:r>
    </w:p>
    <w:p w14:paraId="739611E4" w14:textId="77777777" w:rsidR="00AB56AC" w:rsidRDefault="00AB56AC" w:rsidP="00A67523">
      <w:pPr>
        <w:pStyle w:val="NoSpacing"/>
      </w:pPr>
    </w:p>
    <w:p w14:paraId="4DFEA9BF" w14:textId="3D795A9D" w:rsidR="00AB56AC" w:rsidRDefault="00AB56AC" w:rsidP="00A67523">
      <w:pPr>
        <w:pStyle w:val="NoSpacing"/>
      </w:pPr>
      <w:r w:rsidRPr="004622F5">
        <w:t>Children and Social Work Act 2017</w:t>
      </w:r>
    </w:p>
    <w:p w14:paraId="3588A184" w14:textId="77777777" w:rsidR="00AB56AC" w:rsidRDefault="00AB56AC" w:rsidP="00A67523">
      <w:pPr>
        <w:pStyle w:val="NoSpacing"/>
      </w:pPr>
    </w:p>
    <w:p w14:paraId="3DC2E246" w14:textId="5F395542" w:rsidR="00AB56AC" w:rsidRDefault="00AB56AC" w:rsidP="00A67523">
      <w:pPr>
        <w:pStyle w:val="NoSpacing"/>
      </w:pPr>
      <w:r>
        <w:t xml:space="preserve">Human Rights Act 1998 </w:t>
      </w:r>
    </w:p>
    <w:p w14:paraId="502F7009" w14:textId="77777777" w:rsidR="00AB56AC" w:rsidRDefault="00AB56AC" w:rsidP="00A67523">
      <w:pPr>
        <w:pStyle w:val="NoSpacing"/>
      </w:pPr>
    </w:p>
    <w:p w14:paraId="786F61C1" w14:textId="55A904F1" w:rsidR="00AB56AC" w:rsidRDefault="00AB56AC" w:rsidP="00A67523">
      <w:pPr>
        <w:pStyle w:val="NoSpacing"/>
      </w:pPr>
      <w:r>
        <w:t>Protection of Children Act 1999</w:t>
      </w:r>
    </w:p>
    <w:p w14:paraId="45F9F421" w14:textId="2C800F4B" w:rsidR="009315C6" w:rsidRDefault="00390BF7" w:rsidP="00A67523">
      <w:pPr>
        <w:pStyle w:val="NoSpacing"/>
      </w:pPr>
      <w:r w:rsidRPr="005F22EA">
        <w:br w:type="page"/>
      </w:r>
      <w:r w:rsidR="00A67523">
        <w:lastRenderedPageBreak/>
        <w:br/>
      </w:r>
      <w:bookmarkStart w:id="6" w:name="_Toc193198833"/>
      <w:r w:rsidR="00D10479" w:rsidRPr="00A67523">
        <w:rPr>
          <w:rStyle w:val="Heading1Char"/>
        </w:rPr>
        <w:t>Table of cases</w:t>
      </w:r>
      <w:bookmarkEnd w:id="6"/>
      <w:r w:rsidR="00D10479">
        <w:t xml:space="preserve"> </w:t>
      </w:r>
    </w:p>
    <w:p w14:paraId="32CC53F4" w14:textId="77777777" w:rsidR="009315C6" w:rsidRDefault="009315C6"/>
    <w:p w14:paraId="7E2AD6F9" w14:textId="3EC4EC28" w:rsidR="00EA5B3B" w:rsidRPr="00EE5CF7" w:rsidRDefault="00EA5B3B">
      <w:r w:rsidRPr="00EE5CF7">
        <w:t xml:space="preserve">Arthur </w:t>
      </w:r>
      <w:proofErr w:type="spellStart"/>
      <w:r w:rsidRPr="00EE5CF7">
        <w:t>Labinjo</w:t>
      </w:r>
      <w:proofErr w:type="spellEnd"/>
      <w:r w:rsidRPr="00EE5CF7">
        <w:t>-Hughes</w:t>
      </w:r>
      <w:r w:rsidRPr="00EE5CF7">
        <w:t xml:space="preserve"> [2020]</w:t>
      </w:r>
    </w:p>
    <w:p w14:paraId="7AAE0B6A" w14:textId="2263F2A7" w:rsidR="009315C6" w:rsidRPr="00EE5CF7" w:rsidRDefault="00A176A9">
      <w:r w:rsidRPr="00EE5CF7">
        <w:t xml:space="preserve">Baby </w:t>
      </w:r>
      <w:r w:rsidR="0033431F" w:rsidRPr="00EE5CF7">
        <w:t>P [2007]</w:t>
      </w:r>
    </w:p>
    <w:p w14:paraId="42C881DE" w14:textId="0B9A6A85" w:rsidR="00EE5CF7" w:rsidRPr="00EE5CF7" w:rsidRDefault="00EE5CF7">
      <w:r w:rsidRPr="00EE5CF7">
        <w:t>Daniel Pelka</w:t>
      </w:r>
      <w:r w:rsidRPr="00EE5CF7">
        <w:t xml:space="preserve"> [2012]</w:t>
      </w:r>
    </w:p>
    <w:p w14:paraId="21524D1E" w14:textId="77777777" w:rsidR="00EE5CF7" w:rsidRPr="00EE5CF7" w:rsidRDefault="00EE5CF7" w:rsidP="00EE5CF7">
      <w:r w:rsidRPr="00EE5CF7">
        <w:t>Khyra Ishaq [2008]</w:t>
      </w:r>
    </w:p>
    <w:p w14:paraId="39CB0D46" w14:textId="219CE7F8" w:rsidR="00281F01" w:rsidRPr="00EE5CF7" w:rsidRDefault="00281F01">
      <w:r w:rsidRPr="00EE5CF7">
        <w:t>Liam Fee</w:t>
      </w:r>
      <w:r w:rsidRPr="00EE5CF7">
        <w:t xml:space="preserve"> [2014]</w:t>
      </w:r>
    </w:p>
    <w:p w14:paraId="7481609A" w14:textId="5A92EBEE" w:rsidR="0033431F" w:rsidRPr="00EE5CF7" w:rsidRDefault="00CE3174">
      <w:r w:rsidRPr="00EE5CF7">
        <w:t xml:space="preserve">Victoria </w:t>
      </w:r>
      <w:proofErr w:type="gramStart"/>
      <w:r w:rsidRPr="00EE5CF7">
        <w:t xml:space="preserve">Climbié </w:t>
      </w:r>
      <w:r w:rsidR="0031493B">
        <w:t xml:space="preserve"> and</w:t>
      </w:r>
      <w:proofErr w:type="gramEnd"/>
      <w:r w:rsidR="0031493B">
        <w:t xml:space="preserve"> Z</w:t>
      </w:r>
      <w:r w:rsidR="00676AE1">
        <w:t xml:space="preserve"> v UK </w:t>
      </w:r>
      <w:r w:rsidRPr="00EE5CF7">
        <w:t xml:space="preserve"> [200</w:t>
      </w:r>
      <w:r w:rsidR="00676AE1">
        <w:t>1</w:t>
      </w:r>
      <w:r w:rsidRPr="00EE5CF7">
        <w:t>]</w:t>
      </w:r>
    </w:p>
    <w:p w14:paraId="4062DE0B" w14:textId="77777777" w:rsidR="009315C6" w:rsidRDefault="009315C6"/>
    <w:p w14:paraId="4549FA7A" w14:textId="77777777" w:rsidR="009315C6" w:rsidRDefault="009315C6"/>
    <w:p w14:paraId="1D3E2FC7" w14:textId="77777777" w:rsidR="009315C6" w:rsidRDefault="009315C6"/>
    <w:p w14:paraId="3C5BA726" w14:textId="77777777" w:rsidR="009315C6" w:rsidRDefault="009315C6"/>
    <w:p w14:paraId="56F93E4E" w14:textId="77777777" w:rsidR="009315C6" w:rsidRDefault="009315C6"/>
    <w:p w14:paraId="26F41462" w14:textId="77777777" w:rsidR="009315C6" w:rsidRDefault="009315C6"/>
    <w:p w14:paraId="3AF3E6BB" w14:textId="77777777" w:rsidR="009315C6" w:rsidRDefault="009315C6"/>
    <w:p w14:paraId="7AD33FFC" w14:textId="77777777" w:rsidR="009315C6" w:rsidRDefault="009315C6"/>
    <w:p w14:paraId="6842CFA8" w14:textId="77777777" w:rsidR="009315C6" w:rsidRDefault="009315C6"/>
    <w:p w14:paraId="3E40C524" w14:textId="77777777" w:rsidR="009315C6" w:rsidRDefault="009315C6"/>
    <w:p w14:paraId="50D4F8A0" w14:textId="77777777" w:rsidR="009315C6" w:rsidRDefault="009315C6"/>
    <w:p w14:paraId="27A3A661" w14:textId="77777777" w:rsidR="009315C6" w:rsidRDefault="009315C6"/>
    <w:p w14:paraId="4F4A433D" w14:textId="77777777" w:rsidR="009315C6" w:rsidRDefault="009315C6"/>
    <w:p w14:paraId="49C578AD" w14:textId="421EC36E" w:rsidR="00D10479" w:rsidRDefault="00D10479">
      <w:r>
        <w:br w:type="page"/>
      </w:r>
    </w:p>
    <w:p w14:paraId="7A877E79" w14:textId="2D9FE9E8" w:rsidR="009315C6" w:rsidRPr="009315C6" w:rsidRDefault="009315C6" w:rsidP="00491889">
      <w:pPr>
        <w:pStyle w:val="Heading1"/>
      </w:pPr>
      <w:bookmarkStart w:id="7" w:name="_Toc193198834"/>
      <w:r w:rsidRPr="009315C6">
        <w:lastRenderedPageBreak/>
        <w:t>References</w:t>
      </w:r>
      <w:bookmarkEnd w:id="7"/>
    </w:p>
    <w:p w14:paraId="03524959" w14:textId="70EE35CD" w:rsidR="002548C6" w:rsidRDefault="00AA53DF">
      <w:r w:rsidRPr="00AA53DF">
        <w:t>Barton, C. and Douglas, G., 1995. </w:t>
      </w:r>
      <w:r w:rsidRPr="00AA53DF">
        <w:rPr>
          <w:i/>
          <w:iCs/>
        </w:rPr>
        <w:t>Law and parenthood</w:t>
      </w:r>
      <w:r w:rsidRPr="00AA53DF">
        <w:t>. Cambridge University Press.</w:t>
      </w:r>
    </w:p>
    <w:p w14:paraId="1E9828F4" w14:textId="77777777" w:rsidR="00AA53DF" w:rsidRDefault="00AA53DF"/>
    <w:p w14:paraId="74153C73" w14:textId="6669C909" w:rsidR="001D78A7" w:rsidRDefault="001D78A7">
      <w:r w:rsidRPr="00FD4E16">
        <w:t>Briggs, F., 2020. </w:t>
      </w:r>
      <w:r w:rsidRPr="00FD4E16">
        <w:rPr>
          <w:i/>
          <w:iCs/>
        </w:rPr>
        <w:t>Child protection: A guide for teachers and child care professionals</w:t>
      </w:r>
      <w:r w:rsidRPr="00FD4E16">
        <w:t>. Routledge.</w:t>
      </w:r>
    </w:p>
    <w:p w14:paraId="743FCBC2" w14:textId="77777777" w:rsidR="001D78A7" w:rsidRDefault="001D78A7"/>
    <w:p w14:paraId="21342C3E" w14:textId="77777777" w:rsidR="0065564D" w:rsidRPr="0065564D" w:rsidRDefault="0065564D" w:rsidP="0065564D">
      <w:r w:rsidRPr="0065564D">
        <w:t>Department for Education (2021). </w:t>
      </w:r>
      <w:r w:rsidRPr="0065564D">
        <w:rPr>
          <w:i/>
          <w:iCs/>
        </w:rPr>
        <w:t>Personal, social, health and economic (PSHE) education</w:t>
      </w:r>
      <w:r w:rsidRPr="0065564D">
        <w:t>. [online] GOV.UK. Available at: https://www.gov.uk/government/publications/personal-social-health-and-economic-education-pshe/personal-social-health-and-economic-pshe-education.</w:t>
      </w:r>
    </w:p>
    <w:p w14:paraId="69921AAA" w14:textId="77777777" w:rsidR="0065564D" w:rsidRPr="0065564D" w:rsidRDefault="0065564D" w:rsidP="0065564D">
      <w:r w:rsidRPr="0065564D">
        <w:t>‌</w:t>
      </w:r>
    </w:p>
    <w:p w14:paraId="6FA03BC5" w14:textId="638AE0DC" w:rsidR="00BC2F40" w:rsidRDefault="00BC2F40">
      <w:r w:rsidRPr="00BC2F40">
        <w:t>Dunsby, R.M. and Howes, L.M., 2019. The NEW adventures of the digital vigilante! Facebook users’ views on online naming and shaming. </w:t>
      </w:r>
      <w:r w:rsidRPr="00BC2F40">
        <w:rPr>
          <w:i/>
          <w:iCs/>
        </w:rPr>
        <w:t>Australian &amp; New Zealand Journal of Criminology</w:t>
      </w:r>
      <w:r w:rsidRPr="00BC2F40">
        <w:t>, </w:t>
      </w:r>
      <w:r w:rsidRPr="00BC2F40">
        <w:rPr>
          <w:i/>
          <w:iCs/>
        </w:rPr>
        <w:t>52</w:t>
      </w:r>
      <w:r w:rsidRPr="00BC2F40">
        <w:t>(1), pp.41-59.</w:t>
      </w:r>
    </w:p>
    <w:p w14:paraId="3E000397" w14:textId="77777777" w:rsidR="00BC2F40" w:rsidRDefault="00BC2F40"/>
    <w:p w14:paraId="6DBD01E8" w14:textId="2F8DF6BF" w:rsidR="001D78A7" w:rsidRDefault="001D78A7">
      <w:r w:rsidRPr="004953F8">
        <w:t>Ferguson, T.H. and Ferguson, H., 2011. </w:t>
      </w:r>
      <w:r w:rsidRPr="004953F8">
        <w:rPr>
          <w:i/>
          <w:iCs/>
        </w:rPr>
        <w:t>Child protection practice</w:t>
      </w:r>
      <w:r w:rsidRPr="004953F8">
        <w:t>. Bloomsbury Publishing.</w:t>
      </w:r>
    </w:p>
    <w:p w14:paraId="0C0B1238" w14:textId="77777777" w:rsidR="001D78A7" w:rsidRDefault="001D78A7"/>
    <w:p w14:paraId="5C26E0B9" w14:textId="290436D8" w:rsidR="002548C6" w:rsidRDefault="002548C6">
      <w:r w:rsidRPr="002548C6">
        <w:t>George, R., 2021. </w:t>
      </w:r>
      <w:r w:rsidRPr="002548C6">
        <w:rPr>
          <w:i/>
          <w:iCs/>
        </w:rPr>
        <w:t>Blackstone's Statutes on Family Law 2021-2022</w:t>
      </w:r>
      <w:r w:rsidRPr="002548C6">
        <w:t>. Oxford University Press.</w:t>
      </w:r>
    </w:p>
    <w:p w14:paraId="5F68E91F" w14:textId="77777777" w:rsidR="00D43C34" w:rsidRDefault="00D43C34"/>
    <w:p w14:paraId="06FF247C" w14:textId="5F8DD673" w:rsidR="001D78A7" w:rsidRDefault="001D78A7">
      <w:r w:rsidRPr="009B219C">
        <w:t>Gil, D.G., 1973. </w:t>
      </w:r>
      <w:r w:rsidRPr="009B219C">
        <w:rPr>
          <w:i/>
          <w:iCs/>
        </w:rPr>
        <w:t>Violence against children: Physical child abuse in the United States</w:t>
      </w:r>
      <w:r w:rsidRPr="009B219C">
        <w:t>. Harvard University Press.</w:t>
      </w:r>
    </w:p>
    <w:p w14:paraId="24710D7C" w14:textId="77777777" w:rsidR="001D78A7" w:rsidRDefault="001D78A7"/>
    <w:p w14:paraId="395DA244" w14:textId="20E163C8" w:rsidR="005673F2" w:rsidRDefault="005673F2">
      <w:r w:rsidRPr="005673F2">
        <w:t>Harris, B., 2018. </w:t>
      </w:r>
      <w:r w:rsidRPr="005673F2">
        <w:rPr>
          <w:i/>
          <w:iCs/>
        </w:rPr>
        <w:t>The origins of the British welfare state: society, state and social welfare in England and Wales, 1800-1945</w:t>
      </w:r>
      <w:r w:rsidRPr="005673F2">
        <w:t>. Bloomsbury Publishing.</w:t>
      </w:r>
    </w:p>
    <w:p w14:paraId="65ECA7BF" w14:textId="77777777" w:rsidR="005673F2" w:rsidRDefault="005673F2"/>
    <w:p w14:paraId="3DCDD85E" w14:textId="36070583" w:rsidR="00875853" w:rsidRDefault="000A11F0">
      <w:r>
        <w:t xml:space="preserve">Herring, J., 2017. </w:t>
      </w:r>
      <w:r>
        <w:rPr>
          <w:i/>
          <w:iCs/>
        </w:rPr>
        <w:t>Family L</w:t>
      </w:r>
      <w:r w:rsidR="009B2426">
        <w:rPr>
          <w:i/>
          <w:iCs/>
        </w:rPr>
        <w:t xml:space="preserve">aw. </w:t>
      </w:r>
      <w:r w:rsidR="009B2426">
        <w:t>Pearson</w:t>
      </w:r>
      <w:r w:rsidR="00DD286A">
        <w:t>.</w:t>
      </w:r>
    </w:p>
    <w:p w14:paraId="6D50E82C" w14:textId="77777777" w:rsidR="009B2426" w:rsidRDefault="009B2426"/>
    <w:p w14:paraId="3F448E9B" w14:textId="117F87C1" w:rsidR="002E3CBE" w:rsidRDefault="002E3CBE">
      <w:r w:rsidRPr="002E3CBE">
        <w:t>Jones, R., 2014. </w:t>
      </w:r>
      <w:r w:rsidRPr="002E3CBE">
        <w:rPr>
          <w:i/>
          <w:iCs/>
        </w:rPr>
        <w:t>The story of Baby P: Setting the record straight</w:t>
      </w:r>
      <w:r w:rsidRPr="002E3CBE">
        <w:t>. Policy Press.</w:t>
      </w:r>
    </w:p>
    <w:p w14:paraId="3B15392C" w14:textId="77777777" w:rsidR="002E3CBE" w:rsidRPr="009B2426" w:rsidRDefault="002E3CBE"/>
    <w:p w14:paraId="5265CEBB" w14:textId="201F2138" w:rsidR="001D78A7" w:rsidRDefault="001D78A7">
      <w:r w:rsidRPr="00937EC9">
        <w:lastRenderedPageBreak/>
        <w:t>Lonne, B., Parton, N., Thomson, J. and Harries, M., 2008. </w:t>
      </w:r>
      <w:r w:rsidRPr="00937EC9">
        <w:rPr>
          <w:i/>
          <w:iCs/>
        </w:rPr>
        <w:t>Reforming child protection</w:t>
      </w:r>
      <w:r w:rsidRPr="00937EC9">
        <w:t>. Routledge.</w:t>
      </w:r>
    </w:p>
    <w:p w14:paraId="2E6E6ACD" w14:textId="77777777" w:rsidR="00D9181A" w:rsidRDefault="00D9181A"/>
    <w:p w14:paraId="00B450EE" w14:textId="20C520D3" w:rsidR="00D9181A" w:rsidRDefault="00D9181A">
      <w:r>
        <w:t>Lyon, C</w:t>
      </w:r>
      <w:r w:rsidR="00C5670E">
        <w:t>., 2003</w:t>
      </w:r>
      <w:r w:rsidR="00C5670E" w:rsidRPr="004845E0">
        <w:rPr>
          <w:i/>
          <w:iCs/>
        </w:rPr>
        <w:t xml:space="preserve">. </w:t>
      </w:r>
      <w:r w:rsidR="004845E0" w:rsidRPr="004845E0">
        <w:rPr>
          <w:i/>
          <w:iCs/>
        </w:rPr>
        <w:t>Child abuse.</w:t>
      </w:r>
      <w:r w:rsidR="004845E0">
        <w:t xml:space="preserve"> </w:t>
      </w:r>
      <w:r w:rsidR="00FA275B">
        <w:t xml:space="preserve">Jordan Publishing Limited. </w:t>
      </w:r>
    </w:p>
    <w:p w14:paraId="2C8378FD" w14:textId="77777777" w:rsidR="001D78A7" w:rsidRDefault="001D78A7"/>
    <w:p w14:paraId="26B8B506" w14:textId="699FA4D5" w:rsidR="001D78A7" w:rsidRDefault="001D78A7">
      <w:r w:rsidRPr="00913185">
        <w:t>McCoy, M.L. and Keen, S.M., 2022. </w:t>
      </w:r>
      <w:r w:rsidRPr="00913185">
        <w:rPr>
          <w:i/>
          <w:iCs/>
        </w:rPr>
        <w:t>Child abuse and neglect</w:t>
      </w:r>
      <w:r w:rsidRPr="00913185">
        <w:t>. Routledge.</w:t>
      </w:r>
    </w:p>
    <w:p w14:paraId="0F3B537D" w14:textId="77777777" w:rsidR="001D78A7" w:rsidRDefault="001D78A7"/>
    <w:p w14:paraId="17057FE6" w14:textId="4AC5542E" w:rsidR="001D78A7" w:rsidRDefault="001D78A7">
      <w:r w:rsidRPr="001D78A7">
        <w:t>Oates, R.K., 2013. </w:t>
      </w:r>
      <w:r w:rsidRPr="001D78A7">
        <w:rPr>
          <w:i/>
          <w:iCs/>
        </w:rPr>
        <w:t>The spectrum of child abuse: Assessment, treatment and prevention</w:t>
      </w:r>
      <w:r w:rsidRPr="001D78A7">
        <w:t>. Routledge.</w:t>
      </w:r>
    </w:p>
    <w:p w14:paraId="67B1F6AA" w14:textId="77777777" w:rsidR="00E96FBE" w:rsidRDefault="00E96FBE"/>
    <w:p w14:paraId="4DDA61DF" w14:textId="19AB9CFB" w:rsidR="001D78A7" w:rsidRDefault="00584A69">
      <w:r w:rsidRPr="00584A69">
        <w:t>Oldham, M. ed., 2013. </w:t>
      </w:r>
      <w:r w:rsidRPr="00584A69">
        <w:rPr>
          <w:i/>
          <w:iCs/>
        </w:rPr>
        <w:t>Blackstone's Statutes on Family Law 2013-2014</w:t>
      </w:r>
      <w:r w:rsidRPr="00584A69">
        <w:t>. Oxford University Press, USA.</w:t>
      </w:r>
    </w:p>
    <w:p w14:paraId="31AA9524" w14:textId="77777777" w:rsidR="00584A69" w:rsidRDefault="00584A69"/>
    <w:p w14:paraId="4908506E" w14:textId="71FE8FAA" w:rsidR="001D78A7" w:rsidRDefault="001D78A7">
      <w:r w:rsidRPr="00BE1A3D">
        <w:t>Parton, N., 2014. </w:t>
      </w:r>
      <w:r w:rsidRPr="00BE1A3D">
        <w:rPr>
          <w:i/>
          <w:iCs/>
        </w:rPr>
        <w:t>The politics of child protection: Contemporary developments and future directions</w:t>
      </w:r>
      <w:r w:rsidRPr="00BE1A3D">
        <w:t>. Bloomsbury Publishing.</w:t>
      </w:r>
    </w:p>
    <w:p w14:paraId="130B8382" w14:textId="77777777" w:rsidR="007B1A9D" w:rsidRDefault="007B1A9D" w:rsidP="007B1A9D"/>
    <w:p w14:paraId="70F25066" w14:textId="46FDD61A" w:rsidR="007B1A9D" w:rsidRPr="007B1A9D" w:rsidRDefault="007B1A9D" w:rsidP="007B1A9D">
      <w:r w:rsidRPr="007B1A9D">
        <w:t>PSHE Association (2022). </w:t>
      </w:r>
      <w:r w:rsidRPr="007B1A9D">
        <w:rPr>
          <w:i/>
          <w:iCs/>
        </w:rPr>
        <w:t>Home | pshe-association.org.uk</w:t>
      </w:r>
      <w:r w:rsidRPr="007B1A9D">
        <w:t>. [online] pshe-association.org.uk. Available at: https://pshe-association.org.uk/.</w:t>
      </w:r>
    </w:p>
    <w:p w14:paraId="1B035EF4" w14:textId="77777777" w:rsidR="007B1A9D" w:rsidRPr="007B1A9D" w:rsidRDefault="007B1A9D" w:rsidP="007B1A9D">
      <w:r w:rsidRPr="007B1A9D">
        <w:t>‌</w:t>
      </w:r>
    </w:p>
    <w:p w14:paraId="2D9B4ECF" w14:textId="4A639844" w:rsidR="00925B8E" w:rsidRDefault="00925B8E">
      <w:r w:rsidRPr="00925B8E">
        <w:t>Pritchard, C., 2004. </w:t>
      </w:r>
      <w:r w:rsidRPr="00925B8E">
        <w:rPr>
          <w:i/>
          <w:iCs/>
        </w:rPr>
        <w:t>The Child Abusers</w:t>
      </w:r>
      <w:r w:rsidRPr="00925B8E">
        <w:t>. McGraw-Hill Education (UK).</w:t>
      </w:r>
    </w:p>
    <w:p w14:paraId="5287297D" w14:textId="77777777" w:rsidR="00925B8E" w:rsidRDefault="00925B8E"/>
    <w:p w14:paraId="02366CB6" w14:textId="3A0CAA7D" w:rsidR="005E0E84" w:rsidRDefault="005E0E84">
      <w:r w:rsidRPr="005E0E84">
        <w:t>Shoesmith, S., 2016. </w:t>
      </w:r>
      <w:r w:rsidRPr="005E0E84">
        <w:rPr>
          <w:i/>
          <w:iCs/>
        </w:rPr>
        <w:t>Learning from Baby P: The politics of blame, fear and denial</w:t>
      </w:r>
      <w:r w:rsidRPr="005E0E84">
        <w:t>. Jessica Kingsley Publishers.</w:t>
      </w:r>
    </w:p>
    <w:p w14:paraId="3406AA20" w14:textId="77777777" w:rsidR="005E0E84" w:rsidRDefault="005E0E84"/>
    <w:p w14:paraId="5F025670" w14:textId="4DE97E41" w:rsidR="001D78A7" w:rsidRDefault="001D78A7">
      <w:r w:rsidRPr="000E7A15">
        <w:t>Sinclair, I., 2007. </w:t>
      </w:r>
      <w:r w:rsidRPr="000E7A15">
        <w:rPr>
          <w:i/>
          <w:iCs/>
        </w:rPr>
        <w:t>The pursuit of permanence: A study of the English care system</w:t>
      </w:r>
      <w:r w:rsidRPr="000E7A15">
        <w:t>. Jessica Kingsley Publishers.</w:t>
      </w:r>
    </w:p>
    <w:p w14:paraId="698E0B1F" w14:textId="77777777" w:rsidR="001D78A7" w:rsidRDefault="001D78A7"/>
    <w:p w14:paraId="6C9DB190" w14:textId="4F7285E0" w:rsidR="00A36617" w:rsidRDefault="00A36617">
      <w:r w:rsidRPr="00A36617">
        <w:t>Smallridge, J. and Wagner, P., 2020. The rise of online vigilantism. </w:t>
      </w:r>
      <w:r w:rsidRPr="00A36617">
        <w:rPr>
          <w:i/>
          <w:iCs/>
        </w:rPr>
        <w:t>The Palgrave handbook of international cybercrime and cyberdeviance</w:t>
      </w:r>
      <w:r w:rsidRPr="00A36617">
        <w:t>, pp.1307-1331.</w:t>
      </w:r>
    </w:p>
    <w:p w14:paraId="5A64BF4A" w14:textId="77777777" w:rsidR="00A36617" w:rsidRDefault="00A36617"/>
    <w:p w14:paraId="77BAF5A7" w14:textId="5D7B9849" w:rsidR="001D78A7" w:rsidRDefault="001D78A7">
      <w:r w:rsidRPr="006C4836">
        <w:lastRenderedPageBreak/>
        <w:t>Stafford, A., Vincent, S., Parton, N. and Smith, C., 2011. </w:t>
      </w:r>
      <w:r w:rsidRPr="006C4836">
        <w:rPr>
          <w:i/>
          <w:iCs/>
        </w:rPr>
        <w:t>Child protection systems in the United Kingdom: A comparative analysis</w:t>
      </w:r>
      <w:r w:rsidRPr="006C4836">
        <w:t>. Jessica Kingsley Publishers.</w:t>
      </w:r>
    </w:p>
    <w:p w14:paraId="02E4B852" w14:textId="77777777" w:rsidR="001D78A7" w:rsidRDefault="001D78A7"/>
    <w:p w14:paraId="5A6F083E" w14:textId="094DA5F7" w:rsidR="001D78A7" w:rsidRDefault="001D78A7">
      <w:r w:rsidRPr="00D37D53">
        <w:t>Thompson, N., 2000. </w:t>
      </w:r>
      <w:r w:rsidRPr="00D37D53">
        <w:rPr>
          <w:i/>
          <w:iCs/>
        </w:rPr>
        <w:t>EBOOK: Theory And Practice In Human Services</w:t>
      </w:r>
      <w:r w:rsidRPr="00D37D53">
        <w:t>. McGraw-Hill Education (UK).</w:t>
      </w:r>
    </w:p>
    <w:p w14:paraId="7D8AA57D" w14:textId="77777777" w:rsidR="00DD286A" w:rsidRDefault="00DD286A"/>
    <w:p w14:paraId="709C2709" w14:textId="77777777" w:rsidR="001D78A7" w:rsidRDefault="001D78A7">
      <w:r w:rsidRPr="00A934CA">
        <w:t>Trevithick, P., 2011. </w:t>
      </w:r>
      <w:r w:rsidRPr="00A934CA">
        <w:rPr>
          <w:i/>
          <w:iCs/>
        </w:rPr>
        <w:t>Social work skills and knowledge: A practice handbook</w:t>
      </w:r>
      <w:r w:rsidRPr="00A934CA">
        <w:t>. McGraw-Hill Education (UK).</w:t>
      </w:r>
    </w:p>
    <w:p w14:paraId="1139ADFC" w14:textId="77777777" w:rsidR="001D78A7" w:rsidRDefault="001D78A7"/>
    <w:p w14:paraId="34FA0AB2" w14:textId="66CF7C60" w:rsidR="00DD286A" w:rsidRDefault="00DD286A">
      <w:r w:rsidRPr="00DD286A">
        <w:t>Turnell, A. and Essex, S., 2006. </w:t>
      </w:r>
      <w:r w:rsidRPr="00DD286A">
        <w:rPr>
          <w:i/>
          <w:iCs/>
        </w:rPr>
        <w:t>Working with Denied Child Abuse: The Resolutions Approach: The Resolutions Approach</w:t>
      </w:r>
      <w:r w:rsidRPr="00DD286A">
        <w:t>. McGraw-Hill Education (UK).</w:t>
      </w:r>
    </w:p>
    <w:p w14:paraId="5BADCFBA" w14:textId="77777777" w:rsidR="00DD286A" w:rsidRDefault="00DD286A"/>
    <w:p w14:paraId="31926F6B" w14:textId="1B7FCF20" w:rsidR="001D78A7" w:rsidRDefault="001D78A7">
      <w:r w:rsidRPr="004172A7">
        <w:t>Wilson, K. and James, A.L., 2007. </w:t>
      </w:r>
      <w:r w:rsidRPr="004172A7">
        <w:rPr>
          <w:i/>
          <w:iCs/>
        </w:rPr>
        <w:t>The child protection handbook</w:t>
      </w:r>
      <w:r w:rsidRPr="004172A7">
        <w:t>. Elsevier Health Sciences.</w:t>
      </w:r>
    </w:p>
    <w:p w14:paraId="03BEDC08" w14:textId="77777777" w:rsidR="009315C6" w:rsidRDefault="009315C6"/>
    <w:p w14:paraId="7BF4B262" w14:textId="77777777" w:rsidR="009315C6" w:rsidRDefault="009315C6"/>
    <w:p w14:paraId="5825AC83" w14:textId="77777777" w:rsidR="009315C6" w:rsidRDefault="009315C6"/>
    <w:p w14:paraId="22010588" w14:textId="77777777" w:rsidR="009315C6" w:rsidRDefault="009315C6"/>
    <w:sectPr w:rsidR="009315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283C"/>
    <w:multiLevelType w:val="multilevel"/>
    <w:tmpl w:val="6F103E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3737D"/>
    <w:multiLevelType w:val="multilevel"/>
    <w:tmpl w:val="8B86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3324896">
    <w:abstractNumId w:val="1"/>
  </w:num>
  <w:num w:numId="2" w16cid:durableId="104424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CCE"/>
    <w:rsid w:val="000058F3"/>
    <w:rsid w:val="0004126D"/>
    <w:rsid w:val="00043EFC"/>
    <w:rsid w:val="00051772"/>
    <w:rsid w:val="000523F9"/>
    <w:rsid w:val="00056E9D"/>
    <w:rsid w:val="00062023"/>
    <w:rsid w:val="0008649C"/>
    <w:rsid w:val="000A11F0"/>
    <w:rsid w:val="000A3F0F"/>
    <w:rsid w:val="000B3C53"/>
    <w:rsid w:val="000C6A9E"/>
    <w:rsid w:val="000E2285"/>
    <w:rsid w:val="000E44AC"/>
    <w:rsid w:val="000E7A15"/>
    <w:rsid w:val="000F33AD"/>
    <w:rsid w:val="000F7511"/>
    <w:rsid w:val="00101DC4"/>
    <w:rsid w:val="001213A6"/>
    <w:rsid w:val="00132A14"/>
    <w:rsid w:val="001544A7"/>
    <w:rsid w:val="001816D1"/>
    <w:rsid w:val="0019393D"/>
    <w:rsid w:val="001963E6"/>
    <w:rsid w:val="001B7BAD"/>
    <w:rsid w:val="001C3CF3"/>
    <w:rsid w:val="001D2BD6"/>
    <w:rsid w:val="001D68F2"/>
    <w:rsid w:val="001D78A7"/>
    <w:rsid w:val="001E4478"/>
    <w:rsid w:val="001F0A8C"/>
    <w:rsid w:val="001F15E4"/>
    <w:rsid w:val="00200148"/>
    <w:rsid w:val="0020558F"/>
    <w:rsid w:val="002159AF"/>
    <w:rsid w:val="00246619"/>
    <w:rsid w:val="00250317"/>
    <w:rsid w:val="002548C6"/>
    <w:rsid w:val="00257B26"/>
    <w:rsid w:val="00263DB0"/>
    <w:rsid w:val="00277A77"/>
    <w:rsid w:val="00281E1C"/>
    <w:rsid w:val="00281F01"/>
    <w:rsid w:val="0029076B"/>
    <w:rsid w:val="002936FB"/>
    <w:rsid w:val="00297B69"/>
    <w:rsid w:val="002A175F"/>
    <w:rsid w:val="002A50EF"/>
    <w:rsid w:val="002C103B"/>
    <w:rsid w:val="002C6303"/>
    <w:rsid w:val="002D6084"/>
    <w:rsid w:val="002E3CBE"/>
    <w:rsid w:val="002F0861"/>
    <w:rsid w:val="002F0E62"/>
    <w:rsid w:val="002F1135"/>
    <w:rsid w:val="002F7188"/>
    <w:rsid w:val="00312187"/>
    <w:rsid w:val="00312DF4"/>
    <w:rsid w:val="003136E3"/>
    <w:rsid w:val="0031493B"/>
    <w:rsid w:val="00316778"/>
    <w:rsid w:val="0033431F"/>
    <w:rsid w:val="00334C52"/>
    <w:rsid w:val="00343344"/>
    <w:rsid w:val="00350900"/>
    <w:rsid w:val="00350AA5"/>
    <w:rsid w:val="00367467"/>
    <w:rsid w:val="00371729"/>
    <w:rsid w:val="003737E7"/>
    <w:rsid w:val="00390BF7"/>
    <w:rsid w:val="003B3C3C"/>
    <w:rsid w:val="003C148B"/>
    <w:rsid w:val="003C3D8B"/>
    <w:rsid w:val="003C5F2D"/>
    <w:rsid w:val="003D0F89"/>
    <w:rsid w:val="003D5403"/>
    <w:rsid w:val="003F5401"/>
    <w:rsid w:val="004172A7"/>
    <w:rsid w:val="00420BF4"/>
    <w:rsid w:val="00427C8D"/>
    <w:rsid w:val="0044220A"/>
    <w:rsid w:val="004526A9"/>
    <w:rsid w:val="00454659"/>
    <w:rsid w:val="004622F5"/>
    <w:rsid w:val="00473764"/>
    <w:rsid w:val="00473FAD"/>
    <w:rsid w:val="00481D9E"/>
    <w:rsid w:val="004822E8"/>
    <w:rsid w:val="004845E0"/>
    <w:rsid w:val="004861D9"/>
    <w:rsid w:val="00491889"/>
    <w:rsid w:val="004953F8"/>
    <w:rsid w:val="004C528C"/>
    <w:rsid w:val="004E74DB"/>
    <w:rsid w:val="005050C2"/>
    <w:rsid w:val="005233A6"/>
    <w:rsid w:val="00530ED6"/>
    <w:rsid w:val="005340E8"/>
    <w:rsid w:val="005363C8"/>
    <w:rsid w:val="00543CE8"/>
    <w:rsid w:val="005444C7"/>
    <w:rsid w:val="00565BAB"/>
    <w:rsid w:val="005673F2"/>
    <w:rsid w:val="00584A69"/>
    <w:rsid w:val="005A5D20"/>
    <w:rsid w:val="005B18F1"/>
    <w:rsid w:val="005C3CCE"/>
    <w:rsid w:val="005D512E"/>
    <w:rsid w:val="005E0E84"/>
    <w:rsid w:val="005F22EA"/>
    <w:rsid w:val="00635FD8"/>
    <w:rsid w:val="00645A02"/>
    <w:rsid w:val="0064701F"/>
    <w:rsid w:val="0065564D"/>
    <w:rsid w:val="00657681"/>
    <w:rsid w:val="00657728"/>
    <w:rsid w:val="00670A38"/>
    <w:rsid w:val="00676AE1"/>
    <w:rsid w:val="006918FD"/>
    <w:rsid w:val="0069195F"/>
    <w:rsid w:val="006B0B07"/>
    <w:rsid w:val="006B5399"/>
    <w:rsid w:val="006B6498"/>
    <w:rsid w:val="006C4836"/>
    <w:rsid w:val="006D0775"/>
    <w:rsid w:val="006D76EB"/>
    <w:rsid w:val="006E17AB"/>
    <w:rsid w:val="006F7F6F"/>
    <w:rsid w:val="00727332"/>
    <w:rsid w:val="007342B0"/>
    <w:rsid w:val="00741836"/>
    <w:rsid w:val="0077057D"/>
    <w:rsid w:val="007B1A9D"/>
    <w:rsid w:val="007C2959"/>
    <w:rsid w:val="007D60E5"/>
    <w:rsid w:val="007E403C"/>
    <w:rsid w:val="00814996"/>
    <w:rsid w:val="00825FDC"/>
    <w:rsid w:val="00833155"/>
    <w:rsid w:val="0083380B"/>
    <w:rsid w:val="008429AB"/>
    <w:rsid w:val="008543DE"/>
    <w:rsid w:val="00875853"/>
    <w:rsid w:val="00883928"/>
    <w:rsid w:val="008839CF"/>
    <w:rsid w:val="008A094E"/>
    <w:rsid w:val="008B05F3"/>
    <w:rsid w:val="008C5A3F"/>
    <w:rsid w:val="008E2486"/>
    <w:rsid w:val="008E66F4"/>
    <w:rsid w:val="00901355"/>
    <w:rsid w:val="00913185"/>
    <w:rsid w:val="00914F0F"/>
    <w:rsid w:val="00922CE7"/>
    <w:rsid w:val="00925B8E"/>
    <w:rsid w:val="009315C6"/>
    <w:rsid w:val="00932AAC"/>
    <w:rsid w:val="00935817"/>
    <w:rsid w:val="00937EC9"/>
    <w:rsid w:val="00947F66"/>
    <w:rsid w:val="00952FCB"/>
    <w:rsid w:val="0095539C"/>
    <w:rsid w:val="0098156D"/>
    <w:rsid w:val="009842F0"/>
    <w:rsid w:val="00991A80"/>
    <w:rsid w:val="009A3998"/>
    <w:rsid w:val="009B219C"/>
    <w:rsid w:val="009B2426"/>
    <w:rsid w:val="009D29CB"/>
    <w:rsid w:val="00A023EB"/>
    <w:rsid w:val="00A027C2"/>
    <w:rsid w:val="00A176A9"/>
    <w:rsid w:val="00A21F0A"/>
    <w:rsid w:val="00A33F1E"/>
    <w:rsid w:val="00A36617"/>
    <w:rsid w:val="00A43FDE"/>
    <w:rsid w:val="00A67523"/>
    <w:rsid w:val="00A75468"/>
    <w:rsid w:val="00A934CA"/>
    <w:rsid w:val="00AA53DF"/>
    <w:rsid w:val="00AB56AC"/>
    <w:rsid w:val="00AC5007"/>
    <w:rsid w:val="00AC5787"/>
    <w:rsid w:val="00B335FB"/>
    <w:rsid w:val="00B43494"/>
    <w:rsid w:val="00B5231C"/>
    <w:rsid w:val="00B739F0"/>
    <w:rsid w:val="00B75D00"/>
    <w:rsid w:val="00B84A0E"/>
    <w:rsid w:val="00BC19B4"/>
    <w:rsid w:val="00BC2F40"/>
    <w:rsid w:val="00BC5900"/>
    <w:rsid w:val="00BD3678"/>
    <w:rsid w:val="00BD6D61"/>
    <w:rsid w:val="00BE1A3D"/>
    <w:rsid w:val="00BE4F90"/>
    <w:rsid w:val="00BF101F"/>
    <w:rsid w:val="00BF1F88"/>
    <w:rsid w:val="00C07CAB"/>
    <w:rsid w:val="00C12314"/>
    <w:rsid w:val="00C25C59"/>
    <w:rsid w:val="00C5670E"/>
    <w:rsid w:val="00C63AF2"/>
    <w:rsid w:val="00C6597B"/>
    <w:rsid w:val="00C90105"/>
    <w:rsid w:val="00CA610F"/>
    <w:rsid w:val="00CB296F"/>
    <w:rsid w:val="00CB568B"/>
    <w:rsid w:val="00CC2BA2"/>
    <w:rsid w:val="00CE3174"/>
    <w:rsid w:val="00CF6E7C"/>
    <w:rsid w:val="00D10479"/>
    <w:rsid w:val="00D20098"/>
    <w:rsid w:val="00D37180"/>
    <w:rsid w:val="00D37D53"/>
    <w:rsid w:val="00D43C34"/>
    <w:rsid w:val="00D5394D"/>
    <w:rsid w:val="00D6458D"/>
    <w:rsid w:val="00D9181A"/>
    <w:rsid w:val="00D97539"/>
    <w:rsid w:val="00DA4B76"/>
    <w:rsid w:val="00DC3CE6"/>
    <w:rsid w:val="00DD1643"/>
    <w:rsid w:val="00DD286A"/>
    <w:rsid w:val="00DF02A3"/>
    <w:rsid w:val="00DF654D"/>
    <w:rsid w:val="00E05BA6"/>
    <w:rsid w:val="00E61501"/>
    <w:rsid w:val="00E775F2"/>
    <w:rsid w:val="00E91A93"/>
    <w:rsid w:val="00E96FBE"/>
    <w:rsid w:val="00EA5B3B"/>
    <w:rsid w:val="00EB6936"/>
    <w:rsid w:val="00EB6A1A"/>
    <w:rsid w:val="00EC4584"/>
    <w:rsid w:val="00EE47D5"/>
    <w:rsid w:val="00EE5CF7"/>
    <w:rsid w:val="00EF66E7"/>
    <w:rsid w:val="00F04E8E"/>
    <w:rsid w:val="00F22826"/>
    <w:rsid w:val="00F2350A"/>
    <w:rsid w:val="00F26434"/>
    <w:rsid w:val="00F37074"/>
    <w:rsid w:val="00F54093"/>
    <w:rsid w:val="00F566B6"/>
    <w:rsid w:val="00F64B1E"/>
    <w:rsid w:val="00F67748"/>
    <w:rsid w:val="00FA275B"/>
    <w:rsid w:val="00FB5F88"/>
    <w:rsid w:val="00FC5017"/>
    <w:rsid w:val="00FD3597"/>
    <w:rsid w:val="00FD4E16"/>
    <w:rsid w:val="00FD798E"/>
    <w:rsid w:val="00FE3083"/>
    <w:rsid w:val="00FE3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4145"/>
  <w15:chartTrackingRefBased/>
  <w15:docId w15:val="{18C88800-0066-4110-85A8-FFB53101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CCE"/>
    <w:rPr>
      <w:rFonts w:eastAsiaTheme="majorEastAsia" w:cstheme="majorBidi"/>
      <w:color w:val="272727" w:themeColor="text1" w:themeTint="D8"/>
    </w:rPr>
  </w:style>
  <w:style w:type="paragraph" w:styleId="Title">
    <w:name w:val="Title"/>
    <w:basedOn w:val="Normal"/>
    <w:next w:val="Normal"/>
    <w:link w:val="TitleChar"/>
    <w:uiPriority w:val="10"/>
    <w:qFormat/>
    <w:rsid w:val="005C3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CCE"/>
    <w:pPr>
      <w:spacing w:before="160"/>
      <w:jc w:val="center"/>
    </w:pPr>
    <w:rPr>
      <w:i/>
      <w:iCs/>
      <w:color w:val="404040" w:themeColor="text1" w:themeTint="BF"/>
    </w:rPr>
  </w:style>
  <w:style w:type="character" w:customStyle="1" w:styleId="QuoteChar">
    <w:name w:val="Quote Char"/>
    <w:basedOn w:val="DefaultParagraphFont"/>
    <w:link w:val="Quote"/>
    <w:uiPriority w:val="29"/>
    <w:rsid w:val="005C3CCE"/>
    <w:rPr>
      <w:i/>
      <w:iCs/>
      <w:color w:val="404040" w:themeColor="text1" w:themeTint="BF"/>
    </w:rPr>
  </w:style>
  <w:style w:type="paragraph" w:styleId="ListParagraph">
    <w:name w:val="List Paragraph"/>
    <w:basedOn w:val="Normal"/>
    <w:uiPriority w:val="34"/>
    <w:qFormat/>
    <w:rsid w:val="005C3CCE"/>
    <w:pPr>
      <w:ind w:left="720"/>
      <w:contextualSpacing/>
    </w:pPr>
  </w:style>
  <w:style w:type="character" w:styleId="IntenseEmphasis">
    <w:name w:val="Intense Emphasis"/>
    <w:basedOn w:val="DefaultParagraphFont"/>
    <w:uiPriority w:val="21"/>
    <w:qFormat/>
    <w:rsid w:val="005C3CCE"/>
    <w:rPr>
      <w:i/>
      <w:iCs/>
      <w:color w:val="0F4761" w:themeColor="accent1" w:themeShade="BF"/>
    </w:rPr>
  </w:style>
  <w:style w:type="paragraph" w:styleId="IntenseQuote">
    <w:name w:val="Intense Quote"/>
    <w:basedOn w:val="Normal"/>
    <w:next w:val="Normal"/>
    <w:link w:val="IntenseQuoteChar"/>
    <w:uiPriority w:val="30"/>
    <w:qFormat/>
    <w:rsid w:val="005C3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CCE"/>
    <w:rPr>
      <w:i/>
      <w:iCs/>
      <w:color w:val="0F4761" w:themeColor="accent1" w:themeShade="BF"/>
    </w:rPr>
  </w:style>
  <w:style w:type="character" w:styleId="IntenseReference">
    <w:name w:val="Intense Reference"/>
    <w:basedOn w:val="DefaultParagraphFont"/>
    <w:uiPriority w:val="32"/>
    <w:qFormat/>
    <w:rsid w:val="005C3CCE"/>
    <w:rPr>
      <w:b/>
      <w:bCs/>
      <w:smallCaps/>
      <w:color w:val="0F4761" w:themeColor="accent1" w:themeShade="BF"/>
      <w:spacing w:val="5"/>
    </w:rPr>
  </w:style>
  <w:style w:type="table" w:styleId="TableGrid">
    <w:name w:val="Table Grid"/>
    <w:basedOn w:val="TableNormal"/>
    <w:uiPriority w:val="39"/>
    <w:rsid w:val="00FE3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9188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22826"/>
    <w:pPr>
      <w:spacing w:after="100"/>
    </w:pPr>
  </w:style>
  <w:style w:type="character" w:styleId="Hyperlink">
    <w:name w:val="Hyperlink"/>
    <w:basedOn w:val="DefaultParagraphFont"/>
    <w:uiPriority w:val="99"/>
    <w:unhideWhenUsed/>
    <w:rsid w:val="00F22826"/>
    <w:rPr>
      <w:color w:val="467886" w:themeColor="hyperlink"/>
      <w:u w:val="single"/>
    </w:rPr>
  </w:style>
  <w:style w:type="paragraph" w:styleId="NoSpacing">
    <w:name w:val="No Spacing"/>
    <w:uiPriority w:val="1"/>
    <w:qFormat/>
    <w:rsid w:val="00A675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5362">
      <w:bodyDiv w:val="1"/>
      <w:marLeft w:val="0"/>
      <w:marRight w:val="0"/>
      <w:marTop w:val="0"/>
      <w:marBottom w:val="0"/>
      <w:divBdr>
        <w:top w:val="none" w:sz="0" w:space="0" w:color="auto"/>
        <w:left w:val="none" w:sz="0" w:space="0" w:color="auto"/>
        <w:bottom w:val="none" w:sz="0" w:space="0" w:color="auto"/>
        <w:right w:val="none" w:sz="0" w:space="0" w:color="auto"/>
      </w:divBdr>
    </w:div>
    <w:div w:id="258098813">
      <w:bodyDiv w:val="1"/>
      <w:marLeft w:val="0"/>
      <w:marRight w:val="0"/>
      <w:marTop w:val="0"/>
      <w:marBottom w:val="0"/>
      <w:divBdr>
        <w:top w:val="none" w:sz="0" w:space="0" w:color="auto"/>
        <w:left w:val="none" w:sz="0" w:space="0" w:color="auto"/>
        <w:bottom w:val="none" w:sz="0" w:space="0" w:color="auto"/>
        <w:right w:val="none" w:sz="0" w:space="0" w:color="auto"/>
      </w:divBdr>
    </w:div>
    <w:div w:id="426511402">
      <w:bodyDiv w:val="1"/>
      <w:marLeft w:val="0"/>
      <w:marRight w:val="0"/>
      <w:marTop w:val="0"/>
      <w:marBottom w:val="0"/>
      <w:divBdr>
        <w:top w:val="none" w:sz="0" w:space="0" w:color="auto"/>
        <w:left w:val="none" w:sz="0" w:space="0" w:color="auto"/>
        <w:bottom w:val="none" w:sz="0" w:space="0" w:color="auto"/>
        <w:right w:val="none" w:sz="0" w:space="0" w:color="auto"/>
      </w:divBdr>
    </w:div>
    <w:div w:id="907300610">
      <w:bodyDiv w:val="1"/>
      <w:marLeft w:val="0"/>
      <w:marRight w:val="0"/>
      <w:marTop w:val="0"/>
      <w:marBottom w:val="0"/>
      <w:divBdr>
        <w:top w:val="none" w:sz="0" w:space="0" w:color="auto"/>
        <w:left w:val="none" w:sz="0" w:space="0" w:color="auto"/>
        <w:bottom w:val="none" w:sz="0" w:space="0" w:color="auto"/>
        <w:right w:val="none" w:sz="0" w:space="0" w:color="auto"/>
      </w:divBdr>
    </w:div>
    <w:div w:id="945427237">
      <w:bodyDiv w:val="1"/>
      <w:marLeft w:val="0"/>
      <w:marRight w:val="0"/>
      <w:marTop w:val="0"/>
      <w:marBottom w:val="0"/>
      <w:divBdr>
        <w:top w:val="none" w:sz="0" w:space="0" w:color="auto"/>
        <w:left w:val="none" w:sz="0" w:space="0" w:color="auto"/>
        <w:bottom w:val="none" w:sz="0" w:space="0" w:color="auto"/>
        <w:right w:val="none" w:sz="0" w:space="0" w:color="auto"/>
      </w:divBdr>
    </w:div>
    <w:div w:id="1008140787">
      <w:bodyDiv w:val="1"/>
      <w:marLeft w:val="0"/>
      <w:marRight w:val="0"/>
      <w:marTop w:val="0"/>
      <w:marBottom w:val="0"/>
      <w:divBdr>
        <w:top w:val="none" w:sz="0" w:space="0" w:color="auto"/>
        <w:left w:val="none" w:sz="0" w:space="0" w:color="auto"/>
        <w:bottom w:val="none" w:sz="0" w:space="0" w:color="auto"/>
        <w:right w:val="none" w:sz="0" w:space="0" w:color="auto"/>
      </w:divBdr>
    </w:div>
    <w:div w:id="1155999070">
      <w:bodyDiv w:val="1"/>
      <w:marLeft w:val="0"/>
      <w:marRight w:val="0"/>
      <w:marTop w:val="0"/>
      <w:marBottom w:val="0"/>
      <w:divBdr>
        <w:top w:val="none" w:sz="0" w:space="0" w:color="auto"/>
        <w:left w:val="none" w:sz="0" w:space="0" w:color="auto"/>
        <w:bottom w:val="none" w:sz="0" w:space="0" w:color="auto"/>
        <w:right w:val="none" w:sz="0" w:space="0" w:color="auto"/>
      </w:divBdr>
    </w:div>
    <w:div w:id="1286623702">
      <w:bodyDiv w:val="1"/>
      <w:marLeft w:val="0"/>
      <w:marRight w:val="0"/>
      <w:marTop w:val="0"/>
      <w:marBottom w:val="0"/>
      <w:divBdr>
        <w:top w:val="none" w:sz="0" w:space="0" w:color="auto"/>
        <w:left w:val="none" w:sz="0" w:space="0" w:color="auto"/>
        <w:bottom w:val="none" w:sz="0" w:space="0" w:color="auto"/>
        <w:right w:val="none" w:sz="0" w:space="0" w:color="auto"/>
      </w:divBdr>
    </w:div>
    <w:div w:id="1403983439">
      <w:bodyDiv w:val="1"/>
      <w:marLeft w:val="0"/>
      <w:marRight w:val="0"/>
      <w:marTop w:val="0"/>
      <w:marBottom w:val="0"/>
      <w:divBdr>
        <w:top w:val="none" w:sz="0" w:space="0" w:color="auto"/>
        <w:left w:val="none" w:sz="0" w:space="0" w:color="auto"/>
        <w:bottom w:val="none" w:sz="0" w:space="0" w:color="auto"/>
        <w:right w:val="none" w:sz="0" w:space="0" w:color="auto"/>
      </w:divBdr>
    </w:div>
    <w:div w:id="1447626399">
      <w:bodyDiv w:val="1"/>
      <w:marLeft w:val="0"/>
      <w:marRight w:val="0"/>
      <w:marTop w:val="0"/>
      <w:marBottom w:val="0"/>
      <w:divBdr>
        <w:top w:val="none" w:sz="0" w:space="0" w:color="auto"/>
        <w:left w:val="none" w:sz="0" w:space="0" w:color="auto"/>
        <w:bottom w:val="none" w:sz="0" w:space="0" w:color="auto"/>
        <w:right w:val="none" w:sz="0" w:space="0" w:color="auto"/>
      </w:divBdr>
    </w:div>
    <w:div w:id="1736585699">
      <w:bodyDiv w:val="1"/>
      <w:marLeft w:val="0"/>
      <w:marRight w:val="0"/>
      <w:marTop w:val="0"/>
      <w:marBottom w:val="0"/>
      <w:divBdr>
        <w:top w:val="none" w:sz="0" w:space="0" w:color="auto"/>
        <w:left w:val="none" w:sz="0" w:space="0" w:color="auto"/>
        <w:bottom w:val="none" w:sz="0" w:space="0" w:color="auto"/>
        <w:right w:val="none" w:sz="0" w:space="0" w:color="auto"/>
      </w:divBdr>
    </w:div>
    <w:div w:id="1794865052">
      <w:bodyDiv w:val="1"/>
      <w:marLeft w:val="0"/>
      <w:marRight w:val="0"/>
      <w:marTop w:val="0"/>
      <w:marBottom w:val="0"/>
      <w:divBdr>
        <w:top w:val="none" w:sz="0" w:space="0" w:color="auto"/>
        <w:left w:val="none" w:sz="0" w:space="0" w:color="auto"/>
        <w:bottom w:val="none" w:sz="0" w:space="0" w:color="auto"/>
        <w:right w:val="none" w:sz="0" w:space="0" w:color="auto"/>
      </w:divBdr>
      <w:divsChild>
        <w:div w:id="1397824568">
          <w:marLeft w:val="0"/>
          <w:marRight w:val="0"/>
          <w:marTop w:val="0"/>
          <w:marBottom w:val="0"/>
          <w:divBdr>
            <w:top w:val="none" w:sz="0" w:space="0" w:color="auto"/>
            <w:left w:val="none" w:sz="0" w:space="0" w:color="auto"/>
            <w:bottom w:val="none" w:sz="0" w:space="0" w:color="auto"/>
            <w:right w:val="none" w:sz="0" w:space="0" w:color="auto"/>
          </w:divBdr>
        </w:div>
        <w:div w:id="1356271090">
          <w:marLeft w:val="0"/>
          <w:marRight w:val="0"/>
          <w:marTop w:val="0"/>
          <w:marBottom w:val="0"/>
          <w:divBdr>
            <w:top w:val="none" w:sz="0" w:space="0" w:color="auto"/>
            <w:left w:val="none" w:sz="0" w:space="0" w:color="auto"/>
            <w:bottom w:val="none" w:sz="0" w:space="0" w:color="auto"/>
            <w:right w:val="none" w:sz="0" w:space="0" w:color="auto"/>
          </w:divBdr>
        </w:div>
        <w:div w:id="1981223846">
          <w:marLeft w:val="0"/>
          <w:marRight w:val="0"/>
          <w:marTop w:val="0"/>
          <w:marBottom w:val="0"/>
          <w:divBdr>
            <w:top w:val="none" w:sz="0" w:space="0" w:color="auto"/>
            <w:left w:val="none" w:sz="0" w:space="0" w:color="auto"/>
            <w:bottom w:val="none" w:sz="0" w:space="0" w:color="auto"/>
            <w:right w:val="none" w:sz="0" w:space="0" w:color="auto"/>
          </w:divBdr>
        </w:div>
        <w:div w:id="1494833255">
          <w:marLeft w:val="0"/>
          <w:marRight w:val="0"/>
          <w:marTop w:val="0"/>
          <w:marBottom w:val="0"/>
          <w:divBdr>
            <w:top w:val="none" w:sz="0" w:space="0" w:color="auto"/>
            <w:left w:val="none" w:sz="0" w:space="0" w:color="auto"/>
            <w:bottom w:val="none" w:sz="0" w:space="0" w:color="auto"/>
            <w:right w:val="none" w:sz="0" w:space="0" w:color="auto"/>
          </w:divBdr>
        </w:div>
        <w:div w:id="115415471">
          <w:marLeft w:val="0"/>
          <w:marRight w:val="0"/>
          <w:marTop w:val="0"/>
          <w:marBottom w:val="0"/>
          <w:divBdr>
            <w:top w:val="none" w:sz="0" w:space="0" w:color="auto"/>
            <w:left w:val="none" w:sz="0" w:space="0" w:color="auto"/>
            <w:bottom w:val="none" w:sz="0" w:space="0" w:color="auto"/>
            <w:right w:val="none" w:sz="0" w:space="0" w:color="auto"/>
          </w:divBdr>
        </w:div>
        <w:div w:id="1349986954">
          <w:marLeft w:val="0"/>
          <w:marRight w:val="0"/>
          <w:marTop w:val="0"/>
          <w:marBottom w:val="0"/>
          <w:divBdr>
            <w:top w:val="none" w:sz="0" w:space="0" w:color="auto"/>
            <w:left w:val="none" w:sz="0" w:space="0" w:color="auto"/>
            <w:bottom w:val="none" w:sz="0" w:space="0" w:color="auto"/>
            <w:right w:val="none" w:sz="0" w:space="0" w:color="auto"/>
          </w:divBdr>
        </w:div>
        <w:div w:id="250356238">
          <w:marLeft w:val="0"/>
          <w:marRight w:val="0"/>
          <w:marTop w:val="0"/>
          <w:marBottom w:val="0"/>
          <w:divBdr>
            <w:top w:val="none" w:sz="0" w:space="0" w:color="auto"/>
            <w:left w:val="none" w:sz="0" w:space="0" w:color="auto"/>
            <w:bottom w:val="none" w:sz="0" w:space="0" w:color="auto"/>
            <w:right w:val="none" w:sz="0" w:space="0" w:color="auto"/>
          </w:divBdr>
        </w:div>
        <w:div w:id="216824196">
          <w:marLeft w:val="0"/>
          <w:marRight w:val="0"/>
          <w:marTop w:val="0"/>
          <w:marBottom w:val="0"/>
          <w:divBdr>
            <w:top w:val="none" w:sz="0" w:space="0" w:color="auto"/>
            <w:left w:val="none" w:sz="0" w:space="0" w:color="auto"/>
            <w:bottom w:val="none" w:sz="0" w:space="0" w:color="auto"/>
            <w:right w:val="none" w:sz="0" w:space="0" w:color="auto"/>
          </w:divBdr>
        </w:div>
      </w:divsChild>
    </w:div>
    <w:div w:id="1940407610">
      <w:bodyDiv w:val="1"/>
      <w:marLeft w:val="0"/>
      <w:marRight w:val="0"/>
      <w:marTop w:val="0"/>
      <w:marBottom w:val="0"/>
      <w:divBdr>
        <w:top w:val="none" w:sz="0" w:space="0" w:color="auto"/>
        <w:left w:val="none" w:sz="0" w:space="0" w:color="auto"/>
        <w:bottom w:val="none" w:sz="0" w:space="0" w:color="auto"/>
        <w:right w:val="none" w:sz="0" w:space="0" w:color="auto"/>
      </w:divBdr>
      <w:divsChild>
        <w:div w:id="1505050492">
          <w:marLeft w:val="0"/>
          <w:marRight w:val="0"/>
          <w:marTop w:val="0"/>
          <w:marBottom w:val="0"/>
          <w:divBdr>
            <w:top w:val="none" w:sz="0" w:space="0" w:color="auto"/>
            <w:left w:val="none" w:sz="0" w:space="0" w:color="auto"/>
            <w:bottom w:val="none" w:sz="0" w:space="0" w:color="auto"/>
            <w:right w:val="none" w:sz="0" w:space="0" w:color="auto"/>
          </w:divBdr>
        </w:div>
        <w:div w:id="626085019">
          <w:marLeft w:val="0"/>
          <w:marRight w:val="0"/>
          <w:marTop w:val="0"/>
          <w:marBottom w:val="0"/>
          <w:divBdr>
            <w:top w:val="none" w:sz="0" w:space="0" w:color="auto"/>
            <w:left w:val="none" w:sz="0" w:space="0" w:color="auto"/>
            <w:bottom w:val="none" w:sz="0" w:space="0" w:color="auto"/>
            <w:right w:val="none" w:sz="0" w:space="0" w:color="auto"/>
          </w:divBdr>
        </w:div>
        <w:div w:id="1672680518">
          <w:marLeft w:val="0"/>
          <w:marRight w:val="0"/>
          <w:marTop w:val="0"/>
          <w:marBottom w:val="0"/>
          <w:divBdr>
            <w:top w:val="none" w:sz="0" w:space="0" w:color="auto"/>
            <w:left w:val="none" w:sz="0" w:space="0" w:color="auto"/>
            <w:bottom w:val="none" w:sz="0" w:space="0" w:color="auto"/>
            <w:right w:val="none" w:sz="0" w:space="0" w:color="auto"/>
          </w:divBdr>
        </w:div>
        <w:div w:id="1339235071">
          <w:marLeft w:val="0"/>
          <w:marRight w:val="0"/>
          <w:marTop w:val="0"/>
          <w:marBottom w:val="0"/>
          <w:divBdr>
            <w:top w:val="none" w:sz="0" w:space="0" w:color="auto"/>
            <w:left w:val="none" w:sz="0" w:space="0" w:color="auto"/>
            <w:bottom w:val="none" w:sz="0" w:space="0" w:color="auto"/>
            <w:right w:val="none" w:sz="0" w:space="0" w:color="auto"/>
          </w:divBdr>
        </w:div>
        <w:div w:id="1058287404">
          <w:marLeft w:val="0"/>
          <w:marRight w:val="0"/>
          <w:marTop w:val="0"/>
          <w:marBottom w:val="0"/>
          <w:divBdr>
            <w:top w:val="none" w:sz="0" w:space="0" w:color="auto"/>
            <w:left w:val="none" w:sz="0" w:space="0" w:color="auto"/>
            <w:bottom w:val="none" w:sz="0" w:space="0" w:color="auto"/>
            <w:right w:val="none" w:sz="0" w:space="0" w:color="auto"/>
          </w:divBdr>
        </w:div>
        <w:div w:id="1123036612">
          <w:marLeft w:val="0"/>
          <w:marRight w:val="0"/>
          <w:marTop w:val="0"/>
          <w:marBottom w:val="0"/>
          <w:divBdr>
            <w:top w:val="none" w:sz="0" w:space="0" w:color="auto"/>
            <w:left w:val="none" w:sz="0" w:space="0" w:color="auto"/>
            <w:bottom w:val="none" w:sz="0" w:space="0" w:color="auto"/>
            <w:right w:val="none" w:sz="0" w:space="0" w:color="auto"/>
          </w:divBdr>
        </w:div>
        <w:div w:id="1038778227">
          <w:marLeft w:val="0"/>
          <w:marRight w:val="0"/>
          <w:marTop w:val="0"/>
          <w:marBottom w:val="0"/>
          <w:divBdr>
            <w:top w:val="none" w:sz="0" w:space="0" w:color="auto"/>
            <w:left w:val="none" w:sz="0" w:space="0" w:color="auto"/>
            <w:bottom w:val="none" w:sz="0" w:space="0" w:color="auto"/>
            <w:right w:val="none" w:sz="0" w:space="0" w:color="auto"/>
          </w:divBdr>
        </w:div>
        <w:div w:id="20709512">
          <w:marLeft w:val="0"/>
          <w:marRight w:val="0"/>
          <w:marTop w:val="0"/>
          <w:marBottom w:val="0"/>
          <w:divBdr>
            <w:top w:val="none" w:sz="0" w:space="0" w:color="auto"/>
            <w:left w:val="none" w:sz="0" w:space="0" w:color="auto"/>
            <w:bottom w:val="none" w:sz="0" w:space="0" w:color="auto"/>
            <w:right w:val="none" w:sz="0" w:space="0" w:color="auto"/>
          </w:divBdr>
        </w:div>
      </w:divsChild>
    </w:div>
    <w:div w:id="202180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47F2C-3879-4EE1-A133-B1DFC60D6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TotalTime>
  <Pages>14</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42</cp:revision>
  <dcterms:created xsi:type="dcterms:W3CDTF">2025-03-18T13:52:00Z</dcterms:created>
  <dcterms:modified xsi:type="dcterms:W3CDTF">2025-03-19T21:57:00Z</dcterms:modified>
</cp:coreProperties>
</file>