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b w:val="0"/>
          <w:color w:val="039be5"/>
          <w:sz w:val="72"/>
          <w:szCs w:val="72"/>
        </w:rPr>
      </w:pPr>
      <w:bookmarkStart w:colFirst="0" w:colLast="0" w:name="_aczyuw2yex2w" w:id="0"/>
      <w:bookmarkEnd w:id="0"/>
      <w:r w:rsidDel="00000000" w:rsidR="00000000" w:rsidRPr="00000000">
        <w:rPr>
          <w:b w:val="0"/>
          <w:color w:val="039be5"/>
          <w:sz w:val="72"/>
          <w:szCs w:val="72"/>
          <w:rtl w:val="0"/>
        </w:rPr>
        <w:t xml:space="preserve">Understanding crime,justice and punishment.</w:t>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0"/>
          <w:szCs w:val="90"/>
        </w:rPr>
      </w:pPr>
      <w:bookmarkStart w:colFirst="0" w:colLast="0" w:name="_q311s15hk3ol" w:id="1"/>
      <w:bookmarkEnd w:id="1"/>
      <w:r w:rsidDel="00000000" w:rsidR="00000000" w:rsidRPr="00000000">
        <w:rPr>
          <w:sz w:val="90"/>
          <w:szCs w:val="90"/>
          <w:rtl w:val="0"/>
        </w:rPr>
        <w:t xml:space="preserve">Is</w:t>
      </w:r>
      <w:r w:rsidDel="00000000" w:rsidR="00000000" w:rsidRPr="00000000">
        <w:rPr>
          <w:sz w:val="90"/>
          <w:szCs w:val="90"/>
          <w:rtl w:val="0"/>
        </w:rPr>
        <w:t xml:space="preserve"> criminal behaviour innate or shaped by environment?</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600" w:line="240" w:lineRule="auto"/>
        <w:rPr>
          <w:color w:val="666666"/>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t xml:space="preserve">Luci Montgomery </w:t>
      </w:r>
      <w:r w:rsidDel="00000000" w:rsidR="00000000" w:rsidRPr="00000000">
        <w:rPr>
          <w:rtl w:val="0"/>
        </w:rPr>
        <w:br w:type="textWrapping"/>
      </w:r>
      <w:r w:rsidDel="00000000" w:rsidR="00000000" w:rsidRPr="00000000">
        <w:rPr>
          <w:color w:val="666666"/>
          <w:rtl w:val="0"/>
        </w:rPr>
        <w:t xml:space="preserve">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Fonts w:ascii="Arial" w:cs="Arial" w:eastAsia="Arial" w:hAnsi="Arial"/>
          <w:rtl w:val="0"/>
        </w:rPr>
        <w:t xml:space="preserve">Through the argument of criminal behaviour being innate or shaped by environment, there are many theories that can used and analysed to evaluate the different sides of criminal behaviour</w:t>
      </w:r>
      <w:r w:rsidDel="00000000" w:rsidR="00000000" w:rsidRPr="00000000">
        <w:rPr>
          <w:rFonts w:ascii="Arial" w:cs="Arial" w:eastAsia="Arial" w:hAnsi="Arial"/>
          <w:rtl w:val="0"/>
        </w:rPr>
        <w:t xml:space="preserve">.The different </w:t>
      </w:r>
      <w:r w:rsidDel="00000000" w:rsidR="00000000" w:rsidRPr="00000000">
        <w:rPr>
          <w:rFonts w:ascii="Arial" w:cs="Arial" w:eastAsia="Arial" w:hAnsi="Arial"/>
          <w:rtl w:val="0"/>
        </w:rPr>
        <w:t xml:space="preserve">theories of positivism that can help study the innate factors of criminal behaviour, such as the biological and psychological theories that analyse the genetic factors of how and why certain individuals are more likely to be criminals,the psychological factors that identify the most likely personality to link with criminality.On the contrast,there are also theories that can help to argue that criminal behaviour is shaped by environment,such as the sociological theories that help show a more </w:t>
      </w:r>
      <w:r w:rsidDel="00000000" w:rsidR="00000000" w:rsidRPr="00000000">
        <w:rPr>
          <w:rFonts w:ascii="Arial" w:cs="Arial" w:eastAsia="Arial" w:hAnsi="Arial"/>
          <w:rtl w:val="0"/>
        </w:rPr>
        <w:t xml:space="preserve">social </w:t>
      </w:r>
      <w:r w:rsidDel="00000000" w:rsidR="00000000" w:rsidRPr="00000000">
        <w:rPr>
          <w:rFonts w:ascii="Arial" w:cs="Arial" w:eastAsia="Arial" w:hAnsi="Arial"/>
          <w:rtl w:val="0"/>
        </w:rPr>
        <w:t xml:space="preserve">side of how the environment shapes people's behaviour.</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Fonts w:ascii="Arial" w:cs="Arial" w:eastAsia="Arial" w:hAnsi="Arial"/>
          <w:rtl w:val="0"/>
        </w:rPr>
        <w:t xml:space="preserve">One major part of this, is biological positivism that studies the biological reasoning behind criminal behaviour,one study run by Lombroso </w:t>
      </w:r>
      <w:r w:rsidDel="00000000" w:rsidR="00000000" w:rsidRPr="00000000">
        <w:rPr>
          <w:rFonts w:ascii="Arial" w:cs="Arial" w:eastAsia="Arial" w:hAnsi="Arial"/>
          <w:rtl w:val="0"/>
        </w:rPr>
        <w:t xml:space="preserve">throughout the 19th century </w:t>
      </w:r>
      <w:r w:rsidDel="00000000" w:rsidR="00000000" w:rsidRPr="00000000">
        <w:rPr>
          <w:rFonts w:ascii="Arial" w:cs="Arial" w:eastAsia="Arial" w:hAnsi="Arial"/>
          <w:rtl w:val="0"/>
        </w:rPr>
        <w:t xml:space="preserve">the italian physician,related criminal behaviour to biological factors such as people’s height, their arm span and hand size, Lombroso also related criminal behaviours to other biological factors such as epilepsy,insanity and atavism,through this he established the importance of the influences of environment causes that link with crime</w:t>
      </w:r>
      <w:r w:rsidDel="00000000" w:rsidR="00000000" w:rsidRPr="00000000">
        <w:rPr>
          <w:rFonts w:ascii="Arial" w:cs="Arial" w:eastAsia="Arial" w:hAnsi="Arial"/>
          <w:rtl w:val="0"/>
        </w:rPr>
        <w:t xml:space="preserve">.Lombroso s</w:t>
      </w:r>
      <w:r w:rsidDel="00000000" w:rsidR="00000000" w:rsidRPr="00000000">
        <w:rPr>
          <w:rFonts w:ascii="Arial" w:cs="Arial" w:eastAsia="Arial" w:hAnsi="Arial"/>
          <w:rtl w:val="0"/>
        </w:rPr>
        <w:t xml:space="preserve">tated that a murderer is more likely to have bloodshot eyes and big nose.(Ferracuti,2008) Another biological theory that provides a response for the innate criminal behaviour is Sheldon's ideology that takes three different body types and their link to the likelihood of criminality.The three different bodies were mesomorphic,a more square ,muscular body shape,Endomorph a rounder,softer and more relaxed body type and lastly,Ectomorph a thinner and more narrow body type.(Jansen and whiting,1994)</w:t>
        <w:tab/>
        <w:tab/>
        <w:tab/>
        <w:tab/>
        <w:tab/>
        <w:tab/>
        <w:tab/>
        <w:tab/>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Fonts w:ascii="Arial" w:cs="Arial" w:eastAsia="Arial" w:hAnsi="Arial"/>
          <w:rtl w:val="0"/>
        </w:rPr>
        <w:t xml:space="preserve">Psychological ideologies also help to answer the debate of innate criminal behaviour,Freud's theory of the human mind as stated by Koenane,(2017) is split into three part,each playing a different role,these three being id,ego and the superego.The id,according to Freud is primitive or naturally irrational,unconscious,universal and something that we are all born with.Simply,we can be influenced by unconscious forces that are not seen,it is thought that it is made up of natural biological instincts and urges,a reasoning to why the id tries to act on any pleasurable experience.The ego,uses the ids principles and pushes it towards reality,thinking,planning,problem solving and decision making,these are  main actions of what an ego personality is.The ego sits between two extreme personalities,it sets a realistic idealism between id and superego.The superego,is a part of our immoral thoughts and actions carried out by the ego,the superego pushes the individual with guilt.(Koenane,2017)Freud's theory pushes the idea that with these traits,criminal behaviour is not something </w:t>
      </w:r>
      <w:r w:rsidDel="00000000" w:rsidR="00000000" w:rsidRPr="00000000">
        <w:rPr>
          <w:rFonts w:ascii="Arial" w:cs="Arial" w:eastAsia="Arial" w:hAnsi="Arial"/>
          <w:rtl w:val="0"/>
        </w:rPr>
        <w:t xml:space="preserve">we  are able to fully learn from our </w:t>
      </w:r>
      <w:r w:rsidDel="00000000" w:rsidR="00000000" w:rsidRPr="00000000">
        <w:rPr>
          <w:rFonts w:ascii="Arial" w:cs="Arial" w:eastAsia="Arial" w:hAnsi="Arial"/>
          <w:rtl w:val="0"/>
        </w:rPr>
        <w:t xml:space="preserve">environment but something we possess from birth.Another psychological  theory that can help to answer the question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criminal behaviour being innate or shaped by environment is Eysenck's </w:t>
      </w:r>
      <w:r w:rsidDel="00000000" w:rsidR="00000000" w:rsidRPr="00000000">
        <w:rPr>
          <w:rFonts w:ascii="Arial" w:cs="Arial" w:eastAsia="Arial" w:hAnsi="Arial"/>
          <w:rtl w:val="0"/>
        </w:rPr>
        <w:t xml:space="preserve">the</w:t>
      </w:r>
      <w:r w:rsidDel="00000000" w:rsidR="00000000" w:rsidRPr="00000000">
        <w:rPr>
          <w:rFonts w:ascii="Arial" w:cs="Arial" w:eastAsia="Arial" w:hAnsi="Arial"/>
          <w:rtl w:val="0"/>
        </w:rPr>
        <w:t xml:space="preserve">ory,this uses a system of measuring the different personality traits of extraversion,introversion,low and hi</w:t>
      </w:r>
      <w:r w:rsidDel="00000000" w:rsidR="00000000" w:rsidRPr="00000000">
        <w:rPr>
          <w:rFonts w:ascii="Arial" w:cs="Arial" w:eastAsia="Arial" w:hAnsi="Arial"/>
          <w:rtl w:val="0"/>
        </w:rPr>
        <w:t xml:space="preserve">gh neuroticism,these different personality traits split into sections help to specifically provide examples as to w</w:t>
      </w:r>
      <w:r w:rsidDel="00000000" w:rsidR="00000000" w:rsidRPr="00000000">
        <w:rPr>
          <w:rFonts w:ascii="Arial" w:cs="Arial" w:eastAsia="Arial" w:hAnsi="Arial"/>
          <w:rtl w:val="0"/>
        </w:rPr>
        <w:t xml:space="preserve">hat are the most stereotypical traits for criminal behaviour.(Eysenck &amp; Eyesenck,1963)</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color w:val="2a2a2a"/>
          <w:highlight w:val="white"/>
        </w:rPr>
      </w:pPr>
      <w:r w:rsidDel="00000000" w:rsidR="00000000" w:rsidRPr="00000000">
        <w:rPr>
          <w:rFonts w:ascii="Arial" w:cs="Arial" w:eastAsia="Arial" w:hAnsi="Arial"/>
          <w:rtl w:val="0"/>
        </w:rPr>
        <w:t xml:space="preserve">Lastly</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sociological positivism this  can be used for arguing the side of  criminal behaviour being shaped by the environment,two theories can help to analyse the behaviour within these environments.</w:t>
      </w:r>
      <w:r w:rsidDel="00000000" w:rsidR="00000000" w:rsidRPr="00000000">
        <w:rPr>
          <w:rFonts w:ascii="Arial" w:cs="Arial" w:eastAsia="Arial" w:hAnsi="Arial"/>
          <w:highlight w:val="white"/>
          <w:rtl w:val="0"/>
        </w:rPr>
        <w:t xml:space="preserve">Labelling theory being one of them,came from Howard Becker, who published his groundbreaking work in 1963.</w:t>
      </w:r>
      <w:r w:rsidDel="00000000" w:rsidR="00000000" w:rsidRPr="00000000">
        <w:rPr>
          <w:rFonts w:ascii="Arial" w:cs="Arial" w:eastAsia="Arial" w:hAnsi="Arial"/>
          <w:color w:val="202122"/>
          <w:highlight w:val="white"/>
          <w:rtl w:val="0"/>
        </w:rPr>
        <w:t xml:space="preserve">Labelling theory corresponds to the sociological ideologies of positivism and argues the side of environment shaping criminal behaviour,it analyses the social aspects of values,morals and social norms.</w:t>
      </w:r>
      <w:r w:rsidDel="00000000" w:rsidR="00000000" w:rsidRPr="00000000">
        <w:rPr>
          <w:rFonts w:ascii="Arial" w:cs="Arial" w:eastAsia="Arial" w:hAnsi="Arial"/>
          <w:color w:val="111111"/>
          <w:highlight w:val="white"/>
          <w:rtl w:val="0"/>
        </w:rPr>
        <w:t xml:space="preserve">The theory is an approach in the sociology of deviance that focuses on the ways in which the agents of social control attach stigmatising stereotypes to particular groups, and the ways in which the stigmatised change their behaviour once labelled.Wellford(1975)discusses the idea of the  u</w:t>
      </w:r>
      <w:r w:rsidDel="00000000" w:rsidR="00000000" w:rsidRPr="00000000">
        <w:rPr>
          <w:rFonts w:ascii="Arial" w:cs="Arial" w:eastAsia="Arial" w:hAnsi="Arial"/>
          <w:color w:val="2a2a2a"/>
          <w:highlight w:val="white"/>
          <w:rtl w:val="0"/>
        </w:rPr>
        <w:t xml:space="preserve">sefulness of labelling theory as an explanatory model for theories of criminal behaviour,labelling picks up on the stereotypes in society and</w:t>
      </w:r>
      <w:r w:rsidDel="00000000" w:rsidR="00000000" w:rsidRPr="00000000">
        <w:rPr>
          <w:rFonts w:ascii="Arial" w:cs="Arial" w:eastAsia="Arial" w:hAnsi="Arial"/>
          <w:color w:val="2a2a2a"/>
          <w:highlight w:val="white"/>
          <w:rtl w:val="0"/>
        </w:rPr>
        <w:t xml:space="preserve"> can label them within their groups.The</w:t>
      </w:r>
      <w:r w:rsidDel="00000000" w:rsidR="00000000" w:rsidRPr="00000000">
        <w:rPr>
          <w:rFonts w:ascii="Arial" w:cs="Arial" w:eastAsia="Arial" w:hAnsi="Arial"/>
          <w:color w:val="2a2a2a"/>
          <w:highlight w:val="white"/>
          <w:rtl w:val="0"/>
        </w:rPr>
        <w:t xml:space="preserve">se groups  as mentioned by Routledge (2017) can include,criminals,adulterers,people with mental health issues and homosexuals,classing those that at anypoint of time have been separated from society due to </w:t>
      </w:r>
      <w:r w:rsidDel="00000000" w:rsidR="00000000" w:rsidRPr="00000000">
        <w:rPr>
          <w:rFonts w:ascii="Arial" w:cs="Arial" w:eastAsia="Arial" w:hAnsi="Arial"/>
          <w:color w:val="2a2a2a"/>
          <w:highlight w:val="white"/>
          <w:rtl w:val="0"/>
        </w:rPr>
        <w:t xml:space="preserve">their beliefs,abilities or actions.Zoning theory sets a geographical reasoning behind the showing the areas that crime is more likely to happen,for example the city centre, as it can be more densely populated and have more targets available such as shops and drinking establishments,i.e pubs. </w:t>
      </w:r>
      <w:r w:rsidDel="00000000" w:rsidR="00000000" w:rsidRPr="00000000">
        <w:rPr>
          <w:rFonts w:ascii="Arial" w:cs="Arial" w:eastAsia="Arial" w:hAnsi="Arial"/>
          <w:b w:val="1"/>
          <w:color w:val="2a2a2a"/>
          <w:highlight w:val="white"/>
          <w:rtl w:val="0"/>
        </w:rPr>
        <w:t xml:space="preserve"> </w:t>
      </w:r>
      <w:r w:rsidDel="00000000" w:rsidR="00000000" w:rsidRPr="00000000">
        <w:rPr>
          <w:rFonts w:ascii="Arial" w:cs="Arial" w:eastAsia="Arial" w:hAnsi="Arial"/>
          <w:color w:val="2a2a2a"/>
          <w:highlight w:val="white"/>
          <w:rtl w:val="0"/>
        </w:rPr>
        <w:t xml:space="preserve">Dobbert et al (2015) discuss crime being committed closer to the central business districts as it is these areas that </w:t>
      </w:r>
      <w:r w:rsidDel="00000000" w:rsidR="00000000" w:rsidRPr="00000000">
        <w:rPr>
          <w:rFonts w:ascii="Arial" w:cs="Arial" w:eastAsia="Arial" w:hAnsi="Arial"/>
          <w:b w:val="1"/>
          <w:color w:val="2a2a2a"/>
          <w:highlight w:val="white"/>
          <w:rtl w:val="0"/>
        </w:rPr>
        <w:t xml:space="preserve">hold</w:t>
      </w:r>
      <w:r w:rsidDel="00000000" w:rsidR="00000000" w:rsidRPr="00000000">
        <w:rPr>
          <w:rFonts w:ascii="Arial" w:cs="Arial" w:eastAsia="Arial" w:hAnsi="Arial"/>
          <w:color w:val="2a2a2a"/>
          <w:highlight w:val="white"/>
          <w:rtl w:val="0"/>
        </w:rPr>
        <w:t xml:space="preserve"> the most of the population and is where crime happens most.</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color w:val="2a2a2a"/>
          <w:highlight w:val="white"/>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Fonts w:ascii="Arial" w:cs="Arial" w:eastAsia="Arial" w:hAnsi="Arial"/>
          <w:color w:val="2a2a2a"/>
          <w:highlight w:val="white"/>
          <w:rtl w:val="0"/>
        </w:rPr>
        <w:t xml:space="preserve">The</w:t>
      </w:r>
      <w:r w:rsidDel="00000000" w:rsidR="00000000" w:rsidRPr="00000000">
        <w:rPr>
          <w:rFonts w:ascii="Arial" w:cs="Arial" w:eastAsia="Arial" w:hAnsi="Arial"/>
          <w:color w:val="2a2a2a"/>
          <w:highlight w:val="white"/>
          <w:rtl w:val="0"/>
        </w:rPr>
        <w:t xml:space="preserve"> Classicist </w:t>
      </w:r>
      <w:r w:rsidDel="00000000" w:rsidR="00000000" w:rsidRPr="00000000">
        <w:rPr>
          <w:rFonts w:ascii="Arial" w:cs="Arial" w:eastAsia="Arial" w:hAnsi="Arial"/>
          <w:color w:val="2a2a2a"/>
          <w:highlight w:val="white"/>
          <w:rtl w:val="0"/>
        </w:rPr>
        <w:t xml:space="preserve">view of criminal behaviour being shaped </w:t>
      </w:r>
      <w:r w:rsidDel="00000000" w:rsidR="00000000" w:rsidRPr="00000000">
        <w:rPr>
          <w:rFonts w:ascii="Arial" w:cs="Arial" w:eastAsia="Arial" w:hAnsi="Arial"/>
          <w:color w:val="2a2a2a"/>
          <w:highlight w:val="white"/>
          <w:rtl w:val="0"/>
        </w:rPr>
        <w:t xml:space="preserve">by environment</w:t>
      </w:r>
      <w:r w:rsidDel="00000000" w:rsidR="00000000" w:rsidRPr="00000000">
        <w:rPr>
          <w:rFonts w:ascii="Arial" w:cs="Arial" w:eastAsia="Arial" w:hAnsi="Arial"/>
          <w:color w:val="2a2a2a"/>
          <w:highlight w:val="white"/>
          <w:rtl w:val="0"/>
        </w:rPr>
        <w:t xml:space="preserve">,pushes towards rational choice and routine activity theory.Rational choice theory as stated by </w:t>
      </w:r>
      <w:r w:rsidDel="00000000" w:rsidR="00000000" w:rsidRPr="00000000">
        <w:rPr>
          <w:rFonts w:ascii="Arial" w:cs="Arial" w:eastAsia="Arial" w:hAnsi="Arial"/>
          <w:rtl w:val="0"/>
        </w:rPr>
        <w:t xml:space="preserve">Green(2002) is “an approach used by social scientists to understand human behaviour”, it acknowledges that each individual has the capability to make the decision to commit the crime, </w:t>
      </w:r>
      <w:r w:rsidDel="00000000" w:rsidR="00000000" w:rsidRPr="00000000">
        <w:rPr>
          <w:rFonts w:ascii="Arial" w:cs="Arial" w:eastAsia="Arial" w:hAnsi="Arial"/>
          <w:b w:val="1"/>
          <w:rtl w:val="0"/>
        </w:rPr>
        <w:t xml:space="preserve">by </w:t>
      </w:r>
      <w:r w:rsidDel="00000000" w:rsidR="00000000" w:rsidRPr="00000000">
        <w:rPr>
          <w:rFonts w:ascii="Arial" w:cs="Arial" w:eastAsia="Arial" w:hAnsi="Arial"/>
          <w:rtl w:val="0"/>
        </w:rPr>
        <w:t xml:space="preserve">assessing the risks and benefits of committing it.Routine activity theory </w:t>
      </w:r>
      <w:r w:rsidDel="00000000" w:rsidR="00000000" w:rsidRPr="00000000">
        <w:rPr>
          <w:rFonts w:ascii="Arial" w:cs="Arial" w:eastAsia="Arial" w:hAnsi="Arial"/>
          <w:b w:val="1"/>
          <w:rtl w:val="0"/>
        </w:rPr>
        <w:t xml:space="preserve">as </w:t>
      </w:r>
      <w:r w:rsidDel="00000000" w:rsidR="00000000" w:rsidRPr="00000000">
        <w:rPr>
          <w:rFonts w:ascii="Arial" w:cs="Arial" w:eastAsia="Arial" w:hAnsi="Arial"/>
          <w:rtl w:val="0"/>
        </w:rPr>
        <w:t xml:space="preserve">discussed by Miro(2014), analyses crime and criminal  behaviour as three main components ,the first being a motivated offender,being the criminal,secondly,a suitable target,a victim and lastly,lack of a capable guardian,varying from cctv,security guards or the public themselves.These help to argue the fact that criminal behaviour can be shaped by the environment somebody is in</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rPr>
      </w:pPr>
      <w:r w:rsidDel="00000000" w:rsidR="00000000" w:rsidRPr="00000000">
        <w:rPr>
          <w:rFonts w:ascii="Arial" w:cs="Arial" w:eastAsia="Arial" w:hAnsi="Arial"/>
          <w:rtl w:val="0"/>
        </w:rPr>
        <w:t xml:space="preserve">Therefore to conclude,criminal behaviour can be both innate and shaped by environment with the ability for people to be born with biological and psychological factors </w:t>
      </w:r>
      <w:r w:rsidDel="00000000" w:rsidR="00000000" w:rsidRPr="00000000">
        <w:rPr>
          <w:rFonts w:ascii="Arial" w:cs="Arial" w:eastAsia="Arial" w:hAnsi="Arial"/>
          <w:b w:val="1"/>
          <w:rtl w:val="0"/>
        </w:rPr>
        <w:t xml:space="preserve">t</w:t>
      </w:r>
      <w:r w:rsidDel="00000000" w:rsidR="00000000" w:rsidRPr="00000000">
        <w:rPr>
          <w:rFonts w:ascii="Arial" w:cs="Arial" w:eastAsia="Arial" w:hAnsi="Arial"/>
          <w:rtl w:val="0"/>
        </w:rPr>
        <w:t xml:space="preserve">hat can result in the individual </w:t>
      </w:r>
      <w:r w:rsidDel="00000000" w:rsidR="00000000" w:rsidRPr="00000000">
        <w:rPr>
          <w:rFonts w:ascii="Arial" w:cs="Arial" w:eastAsia="Arial" w:hAnsi="Arial"/>
          <w:rtl w:val="0"/>
        </w:rPr>
        <w:t xml:space="preserve">committing a crime and their environment moulding and changing the way in which they view criminal behaviour into committing it .With the different theories of analysing body parts and facial features to different personalities and  tendencies.The contrasting argument of criminal behaviour being shaped by environment pushes more towards the sociological and classicist view.Their ability to make a rational choice on deciding whether or not to commit a crime and their  capability to respond to the opportunity of their access to a crime.Sociologically,criminal behaviour is analysed through the zoning theory,</w:t>
      </w:r>
      <w:r w:rsidDel="00000000" w:rsidR="00000000" w:rsidRPr="00000000">
        <w:rPr>
          <w:rFonts w:ascii="Arial" w:cs="Arial" w:eastAsia="Arial" w:hAnsi="Arial"/>
          <w:highlight w:val="white"/>
          <w:rtl w:val="0"/>
        </w:rPr>
        <w:t xml:space="preserve"> showing the geographical sides of crime being centred in more dense areas with larger numbers of targets, whilst labelling theory picks up on the idea of social deviance and stereotypes alongside their reactions to these labels.</w:t>
      </w: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200" w:line="300" w:lineRule="auto"/>
        <w:rPr>
          <w:rFonts w:ascii="Arial" w:cs="Arial" w:eastAsia="Arial" w:hAnsi="Arial"/>
          <w:color w:val="666666"/>
        </w:rPr>
      </w:pPr>
      <w:r w:rsidDel="00000000" w:rsidR="00000000" w:rsidRPr="00000000">
        <w:rPr>
          <w:rtl w:val="0"/>
        </w:rPr>
      </w:r>
    </w:p>
    <w:p w:rsidR="00000000" w:rsidDel="00000000" w:rsidP="00000000" w:rsidRDefault="00000000" w:rsidRPr="00000000" w14:paraId="00000010">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wj249xa64hfo" w:id="2"/>
      <w:bookmarkEnd w:id="2"/>
      <w:r w:rsidDel="00000000" w:rsidR="00000000" w:rsidRPr="00000000">
        <w:rPr>
          <w:rtl w:val="0"/>
        </w:rPr>
      </w:r>
    </w:p>
    <w:p w:rsidR="00000000" w:rsidDel="00000000" w:rsidP="00000000" w:rsidRDefault="00000000" w:rsidRPr="00000000" w14:paraId="00000011">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jtt03xnb5kvk" w:id="3"/>
      <w:bookmarkEnd w:id="3"/>
      <w:r w:rsidDel="00000000" w:rsidR="00000000" w:rsidRPr="00000000">
        <w:br w:type="page"/>
      </w:r>
      <w:r w:rsidDel="00000000" w:rsidR="00000000" w:rsidRPr="00000000">
        <w:rPr>
          <w:rtl w:val="0"/>
        </w:rPr>
      </w:r>
    </w:p>
    <w:p w:rsidR="00000000" w:rsidDel="00000000" w:rsidP="00000000" w:rsidRDefault="00000000" w:rsidRPr="00000000" w14:paraId="00000012">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Dobbert,D and Mackey,T.(2015)</w:t>
      </w:r>
      <w:r w:rsidDel="00000000" w:rsidR="00000000" w:rsidRPr="00000000">
        <w:rPr>
          <w:rFonts w:ascii="Arial" w:cs="Arial" w:eastAsia="Arial" w:hAnsi="Arial"/>
          <w:i w:val="1"/>
          <w:rtl w:val="0"/>
        </w:rPr>
        <w:t xml:space="preserve">Theories on behaviours that defy social norms.</w:t>
      </w:r>
      <w:r w:rsidDel="00000000" w:rsidR="00000000" w:rsidRPr="00000000">
        <w:rPr>
          <w:rFonts w:ascii="Arial" w:cs="Arial" w:eastAsia="Arial" w:hAnsi="Arial"/>
          <w:rtl w:val="0"/>
        </w:rPr>
        <w:t xml:space="preserve">Deviance.[Online]Usa:Bloomsbury publishing.Available at:https://books.google.co.uk/books?hl=en&amp;lr=&amp;id=23vCEAAAQBAJ&amp;oi=fnd&amp;pg=RA1-PT62&amp;dq=Mckay+and+shaw+zoning+theory&amp;ots=j7cqE-5DCz&amp;sig=kjHrM1R7zWLCFOyEsZfIDygY2MA#v=onepage&amp;q=Mckay%20and%20shaw%20zoning%20theory&amp;f=false</w:t>
      </w:r>
      <w:r w:rsidDel="00000000" w:rsidR="00000000" w:rsidRPr="00000000">
        <w:rPr>
          <w:rFonts w:ascii="Arial" w:cs="Arial" w:eastAsia="Arial" w:hAnsi="Arial"/>
          <w:rtl w:val="0"/>
        </w:rPr>
        <w:t xml:space="preserve">(Accessed:6 November 2023)</w:t>
      </w:r>
      <w:r w:rsidDel="00000000" w:rsidR="00000000" w:rsidRPr="00000000">
        <w:rPr>
          <w:rtl w:val="0"/>
        </w:rPr>
      </w:r>
    </w:p>
    <w:p w:rsidR="00000000" w:rsidDel="00000000" w:rsidP="00000000" w:rsidRDefault="00000000" w:rsidRPr="00000000" w14:paraId="00000013">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Eysenck, J. and Eysenck, S. (1963) </w:t>
      </w:r>
      <w:r w:rsidDel="00000000" w:rsidR="00000000" w:rsidRPr="00000000">
        <w:rPr>
          <w:rFonts w:ascii="Arial" w:cs="Arial" w:eastAsia="Arial" w:hAnsi="Arial"/>
          <w:i w:val="1"/>
          <w:rtl w:val="0"/>
        </w:rPr>
        <w:t xml:space="preserve">Apa PsycNet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American Psychological Association</w:t>
      </w:r>
      <w:r w:rsidDel="00000000" w:rsidR="00000000" w:rsidRPr="00000000">
        <w:rPr>
          <w:rFonts w:ascii="Arial" w:cs="Arial" w:eastAsia="Arial" w:hAnsi="Arial"/>
          <w:rtl w:val="0"/>
        </w:rPr>
        <w:t xml:space="preserve">. Available at: https://psycnet.apa.org/doiLanding?doi=10.1037%2Ft02711-000 (Accessed: 05 November 2023). </w:t>
      </w:r>
    </w:p>
    <w:p w:rsidR="00000000" w:rsidDel="00000000" w:rsidP="00000000" w:rsidRDefault="00000000" w:rsidRPr="00000000" w14:paraId="00000014">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Ferracuti, S. (1996) ‘Cesare Lombroso (1835–1907)’, </w:t>
      </w:r>
      <w:r w:rsidDel="00000000" w:rsidR="00000000" w:rsidRPr="00000000">
        <w:rPr>
          <w:rFonts w:ascii="Arial" w:cs="Arial" w:eastAsia="Arial" w:hAnsi="Arial"/>
          <w:i w:val="1"/>
          <w:rtl w:val="0"/>
        </w:rPr>
        <w:t xml:space="preserve">The Journal of Forensic Psychiatry</w:t>
      </w:r>
      <w:r w:rsidDel="00000000" w:rsidR="00000000" w:rsidRPr="00000000">
        <w:rPr>
          <w:rFonts w:ascii="Arial" w:cs="Arial" w:eastAsia="Arial" w:hAnsi="Arial"/>
          <w:rtl w:val="0"/>
        </w:rPr>
        <w:t xml:space="preserve">, 7(1), pp. 130–149. doi:10.1080/09585189608409921. </w:t>
      </w:r>
    </w:p>
    <w:p w:rsidR="00000000" w:rsidDel="00000000" w:rsidP="00000000" w:rsidRDefault="00000000" w:rsidRPr="00000000" w14:paraId="00000015">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Green,S.,(2002)Rational Choice Theory:An Overview.</w:t>
      </w:r>
      <w:hyperlink r:id="rId7">
        <w:r w:rsidDel="00000000" w:rsidR="00000000" w:rsidRPr="00000000">
          <w:rPr>
            <w:rFonts w:ascii="Arial" w:cs="Arial" w:eastAsia="Arial" w:hAnsi="Arial"/>
            <w:rtl w:val="0"/>
          </w:rPr>
          <w:t xml:space="preserve">https://view.officeapps.live.com/op/view.aspx?src=https%3A%2F%2Fbusiness.baylor.edu%2Fsteve_green%2Fgreen1.doc&amp;wdOrigin=BROWSELINK</w:t>
        </w:r>
      </w:hyperlink>
      <w:r w:rsidDel="00000000" w:rsidR="00000000" w:rsidRPr="00000000">
        <w:rPr>
          <w:rtl w:val="0"/>
        </w:rPr>
      </w:r>
    </w:p>
    <w:p w:rsidR="00000000" w:rsidDel="00000000" w:rsidP="00000000" w:rsidRDefault="00000000" w:rsidRPr="00000000" w14:paraId="00000016">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Janssen, B. and Whiting, H. (1984) ‘Sheldon’s physical-psychical typology revisited’, </w:t>
      </w:r>
      <w:r w:rsidDel="00000000" w:rsidR="00000000" w:rsidRPr="00000000">
        <w:rPr>
          <w:rFonts w:ascii="Arial" w:cs="Arial" w:eastAsia="Arial" w:hAnsi="Arial"/>
          <w:i w:val="1"/>
          <w:rtl w:val="0"/>
        </w:rPr>
        <w:t xml:space="preserve">Journal of Research in Personality</w:t>
      </w:r>
      <w:r w:rsidDel="00000000" w:rsidR="00000000" w:rsidRPr="00000000">
        <w:rPr>
          <w:rFonts w:ascii="Arial" w:cs="Arial" w:eastAsia="Arial" w:hAnsi="Arial"/>
          <w:rtl w:val="0"/>
        </w:rPr>
        <w:t xml:space="preserve">, 18(4), pp. 432–441. doi:10.1016/0092-6566(84)90002-3. </w:t>
      </w:r>
    </w:p>
    <w:p w:rsidR="00000000" w:rsidDel="00000000" w:rsidP="00000000" w:rsidRDefault="00000000" w:rsidRPr="00000000" w14:paraId="00000017">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Koenane, M. (2017) ‘Towards an ethical recontextualisation of Freud’s theory of personality’, </w:t>
      </w:r>
      <w:r w:rsidDel="00000000" w:rsidR="00000000" w:rsidRPr="00000000">
        <w:rPr>
          <w:rFonts w:ascii="Arial" w:cs="Arial" w:eastAsia="Arial" w:hAnsi="Arial"/>
          <w:i w:val="1"/>
          <w:rtl w:val="0"/>
        </w:rPr>
        <w:t xml:space="preserve">Phronimon</w:t>
      </w:r>
      <w:r w:rsidDel="00000000" w:rsidR="00000000" w:rsidRPr="00000000">
        <w:rPr>
          <w:rFonts w:ascii="Arial" w:cs="Arial" w:eastAsia="Arial" w:hAnsi="Arial"/>
          <w:rtl w:val="0"/>
        </w:rPr>
        <w:t xml:space="preserve">, 15(1), pp. 1–15. doi:10.25159/2413-3086/2209. </w:t>
      </w:r>
    </w:p>
    <w:p w:rsidR="00000000" w:rsidDel="00000000" w:rsidP="00000000" w:rsidRDefault="00000000" w:rsidRPr="00000000" w14:paraId="00000018">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Miro,F(2014)</w:t>
      </w:r>
      <w:r w:rsidDel="00000000" w:rsidR="00000000" w:rsidRPr="00000000">
        <w:rPr>
          <w:rFonts w:ascii="Arial" w:cs="Arial" w:eastAsia="Arial" w:hAnsi="Arial"/>
          <w:i w:val="1"/>
          <w:color w:val="1c1d1e"/>
          <w:rtl w:val="0"/>
        </w:rPr>
        <w:t xml:space="preserve">Routine Activity Theory,</w:t>
      </w:r>
      <w:r w:rsidDel="00000000" w:rsidR="00000000" w:rsidRPr="00000000">
        <w:rPr>
          <w:rFonts w:ascii="Arial" w:cs="Arial" w:eastAsia="Arial" w:hAnsi="Arial"/>
          <w:color w:val="1c1d1e"/>
          <w:rtl w:val="0"/>
        </w:rPr>
        <w:t xml:space="preserve">Wiley Library.</w:t>
      </w:r>
      <w:r w:rsidDel="00000000" w:rsidR="00000000" w:rsidRPr="00000000">
        <w:rPr>
          <w:rFonts w:ascii="Open Sans" w:cs="Open Sans" w:eastAsia="Open Sans" w:hAnsi="Open Sans"/>
          <w:color w:val="767676"/>
          <w:sz w:val="21"/>
          <w:szCs w:val="21"/>
          <w:highlight w:val="white"/>
          <w:rtl w:val="0"/>
        </w:rPr>
        <w:t xml:space="preserve"> </w:t>
      </w:r>
      <w:hyperlink r:id="rId8">
        <w:r w:rsidDel="00000000" w:rsidR="00000000" w:rsidRPr="00000000">
          <w:rPr>
            <w:rFonts w:ascii="Arial" w:cs="Arial" w:eastAsia="Arial" w:hAnsi="Arial"/>
            <w:rtl w:val="0"/>
          </w:rPr>
          <w:t xml:space="preserve">https://doi.org/10.1002/9781118517390.wbetc198</w:t>
        </w:r>
      </w:hyperlink>
      <w:r w:rsidDel="00000000" w:rsidR="00000000" w:rsidRPr="00000000">
        <w:rPr>
          <w:rFonts w:ascii="Arial" w:cs="Arial" w:eastAsia="Arial" w:hAnsi="Arial"/>
          <w:rtl w:val="0"/>
        </w:rPr>
        <w:t xml:space="preserve">(Acessed:06 November 2023)</w:t>
      </w:r>
      <w:r w:rsidDel="00000000" w:rsidR="00000000" w:rsidRPr="00000000">
        <w:rPr>
          <w:rtl w:val="0"/>
        </w:rPr>
      </w:r>
    </w:p>
    <w:p w:rsidR="00000000" w:rsidDel="00000000" w:rsidP="00000000" w:rsidRDefault="00000000" w:rsidRPr="00000000" w14:paraId="00000019">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Routledge (2018) </w:t>
      </w:r>
      <w:r w:rsidDel="00000000" w:rsidR="00000000" w:rsidRPr="00000000">
        <w:rPr>
          <w:rFonts w:ascii="Arial" w:cs="Arial" w:eastAsia="Arial" w:hAnsi="Arial"/>
          <w:i w:val="1"/>
          <w:rtl w:val="0"/>
        </w:rPr>
        <w:t xml:space="preserve">Routledge International Handbook of Critical Mental Health</w:t>
      </w:r>
      <w:r w:rsidDel="00000000" w:rsidR="00000000" w:rsidRPr="00000000">
        <w:rPr>
          <w:rFonts w:ascii="Arial" w:cs="Arial" w:eastAsia="Arial" w:hAnsi="Arial"/>
          <w:rtl w:val="0"/>
        </w:rPr>
        <w:t xml:space="preserve">. London and New York: Routledge. </w:t>
      </w:r>
    </w:p>
    <w:p w:rsidR="00000000" w:rsidDel="00000000" w:rsidP="00000000" w:rsidRDefault="00000000" w:rsidRPr="00000000" w14:paraId="0000001A">
      <w:pPr>
        <w:spacing w:after="240" w:before="240" w:lineRule="auto"/>
        <w:ind w:left="580" w:hanging="20"/>
        <w:rPr>
          <w:rFonts w:ascii="Arial" w:cs="Arial" w:eastAsia="Arial" w:hAnsi="Arial"/>
        </w:rPr>
      </w:pPr>
      <w:r w:rsidDel="00000000" w:rsidR="00000000" w:rsidRPr="00000000">
        <w:rPr>
          <w:rFonts w:ascii="Arial" w:cs="Arial" w:eastAsia="Arial" w:hAnsi="Arial"/>
          <w:rtl w:val="0"/>
        </w:rPr>
        <w:t xml:space="preserve">Wellford,C.,(2014)</w:t>
      </w:r>
      <w:r w:rsidDel="00000000" w:rsidR="00000000" w:rsidRPr="00000000">
        <w:rPr>
          <w:rFonts w:ascii="Arial" w:cs="Arial" w:eastAsia="Arial" w:hAnsi="Arial"/>
          <w:i w:val="1"/>
          <w:rtl w:val="0"/>
        </w:rPr>
        <w:t xml:space="preserve">Labelling theory and criminology,An assessment</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highlight w:val="white"/>
          <w:rtl w:val="0"/>
        </w:rPr>
        <w:t xml:space="preserve">Social Problems</w:t>
      </w:r>
      <w:r w:rsidDel="00000000" w:rsidR="00000000" w:rsidRPr="00000000">
        <w:rPr>
          <w:rFonts w:ascii="Arial" w:cs="Arial" w:eastAsia="Arial" w:hAnsi="Arial"/>
          <w:highlight w:val="white"/>
          <w:rtl w:val="0"/>
        </w:rPr>
        <w:t xml:space="preserve">, Volume 22, Issue 3, 1 February 1975, Pages 332–345, </w:t>
      </w:r>
      <w:hyperlink r:id="rId9">
        <w:r w:rsidDel="00000000" w:rsidR="00000000" w:rsidRPr="00000000">
          <w:rPr>
            <w:rFonts w:ascii="Arial" w:cs="Arial" w:eastAsia="Arial" w:hAnsi="Arial"/>
            <w:highlight w:val="white"/>
            <w:rtl w:val="0"/>
          </w:rPr>
          <w:t xml:space="preserve">https://doi.org/10.2307/799814</w:t>
        </w:r>
      </w:hyperlink>
      <w:r w:rsidDel="00000000" w:rsidR="00000000" w:rsidRPr="00000000">
        <w:rPr>
          <w:rtl w:val="0"/>
        </w:rPr>
      </w:r>
    </w:p>
    <w:p w:rsidR="00000000" w:rsidDel="00000000" w:rsidP="00000000" w:rsidRDefault="00000000" w:rsidRPr="00000000" w14:paraId="0000001B">
      <w:pPr>
        <w:spacing w:after="240" w:before="240" w:lineRule="auto"/>
        <w:ind w:left="580" w:hanging="20"/>
        <w:rPr/>
      </w:pPr>
      <w:r w:rsidDel="00000000" w:rsidR="00000000" w:rsidRPr="00000000">
        <w:rPr>
          <w:rtl w:val="0"/>
        </w:rPr>
      </w:r>
    </w:p>
    <w:p w:rsidR="00000000" w:rsidDel="00000000" w:rsidP="00000000" w:rsidRDefault="00000000" w:rsidRPr="00000000" w14:paraId="0000001C">
      <w:pPr>
        <w:spacing w:after="240" w:before="240" w:lineRule="auto"/>
        <w:ind w:left="580" w:hanging="20"/>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2307/799814"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view.officeapps.live.com/op/view.aspx?src=https%3A%2F%2Fbusiness.baylor.edu%2Fsteve_green%2Fgreen1.doc&amp;wdOrigin=BROWSELINK" TargetMode="External"/><Relationship Id="rId8" Type="http://schemas.openxmlformats.org/officeDocument/2006/relationships/hyperlink" Target="https://doi.org/10.1002/9781118517390.wbetc19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