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C61F8A" w:rsidRDefault="00000000">
      <w:r>
        <w:t xml:space="preserve"> </w:t>
      </w:r>
    </w:p>
    <w:p w14:paraId="00000002" w14:textId="77777777" w:rsidR="00C61F8A" w:rsidRDefault="00C61F8A"/>
    <w:p w14:paraId="00000003" w14:textId="77777777" w:rsidR="00C61F8A" w:rsidRPr="00384D2B" w:rsidRDefault="00000000" w:rsidP="00384D2B">
      <w:pPr>
        <w:pStyle w:val="Titlu1"/>
      </w:pPr>
      <w:r w:rsidRPr="00384D2B">
        <w:t>Student name:Ilisei Brandusa Elena</w:t>
      </w:r>
    </w:p>
    <w:p w14:paraId="00000004" w14:textId="77777777" w:rsidR="00C61F8A" w:rsidRPr="00384D2B" w:rsidRDefault="00000000" w:rsidP="00384D2B">
      <w:pPr>
        <w:pStyle w:val="Titlu1"/>
      </w:pPr>
      <w:r w:rsidRPr="00384D2B">
        <w:t>Student ID:2336718</w:t>
      </w:r>
    </w:p>
    <w:p w14:paraId="00000005" w14:textId="77777777" w:rsidR="00C61F8A" w:rsidRPr="00384D2B" w:rsidRDefault="00000000" w:rsidP="00384D2B">
      <w:pPr>
        <w:pStyle w:val="Titlu1"/>
      </w:pPr>
      <w:r w:rsidRPr="00384D2B">
        <w:t>Module Name:Academic Skills</w:t>
      </w:r>
    </w:p>
    <w:p w14:paraId="00000006" w14:textId="77777777" w:rsidR="00C61F8A" w:rsidRPr="00384D2B" w:rsidRDefault="00000000" w:rsidP="00384D2B">
      <w:pPr>
        <w:pStyle w:val="Titlu1"/>
      </w:pPr>
      <w:r w:rsidRPr="00384D2B">
        <w:t>Module Code: LCLM4001</w:t>
      </w:r>
    </w:p>
    <w:p w14:paraId="00000007" w14:textId="77777777" w:rsidR="00C61F8A" w:rsidRPr="00A107F3" w:rsidRDefault="00000000" w:rsidP="00384D2B">
      <w:pPr>
        <w:pStyle w:val="Titlu1"/>
      </w:pPr>
      <w:r w:rsidRPr="00384D2B">
        <w:t xml:space="preserve">Lecturer Name: </w:t>
      </w:r>
      <w:r w:rsidRPr="00A107F3">
        <w:rPr>
          <w:highlight w:val="white"/>
        </w:rPr>
        <w:t>Sukhpreet Grewal</w:t>
      </w:r>
    </w:p>
    <w:p w14:paraId="00000008" w14:textId="77777777" w:rsidR="00C61F8A" w:rsidRDefault="00C61F8A"/>
    <w:p w14:paraId="00000009" w14:textId="77777777" w:rsidR="00C61F8A" w:rsidRDefault="00C61F8A"/>
    <w:p w14:paraId="0000000A" w14:textId="77777777" w:rsidR="00C61F8A" w:rsidRDefault="00C61F8A"/>
    <w:p w14:paraId="0000000B" w14:textId="77777777" w:rsidR="00C61F8A" w:rsidRDefault="00C61F8A"/>
    <w:p w14:paraId="0000000C" w14:textId="77777777" w:rsidR="00C61F8A" w:rsidRDefault="00C61F8A"/>
    <w:p w14:paraId="0000000D" w14:textId="77777777" w:rsidR="00C61F8A" w:rsidRDefault="00C61F8A"/>
    <w:p w14:paraId="0000000E" w14:textId="77777777" w:rsidR="00C61F8A" w:rsidRDefault="00C61F8A"/>
    <w:p w14:paraId="0000000F" w14:textId="77777777" w:rsidR="00C61F8A" w:rsidRDefault="00000000">
      <w:r>
        <w:t xml:space="preserve">                             Submited on:20.07.2024</w:t>
      </w:r>
    </w:p>
    <w:p w14:paraId="00000010" w14:textId="77777777" w:rsidR="00C61F8A" w:rsidRDefault="00000000">
      <w:r>
        <w:br w:type="page"/>
      </w:r>
    </w:p>
    <w:p w14:paraId="00000011" w14:textId="77777777" w:rsidR="00C61F8A" w:rsidRDefault="00000000">
      <w:pPr>
        <w:keepNext/>
        <w:keepLines/>
        <w:pBdr>
          <w:top w:val="nil"/>
          <w:left w:val="nil"/>
          <w:bottom w:val="nil"/>
          <w:right w:val="nil"/>
          <w:between w:val="nil"/>
        </w:pBdr>
        <w:spacing w:before="240" w:after="0"/>
        <w:rPr>
          <w:rFonts w:ascii="Play" w:eastAsia="Play" w:hAnsi="Play" w:cs="Play"/>
          <w:color w:val="0F4761"/>
          <w:sz w:val="32"/>
          <w:szCs w:val="32"/>
        </w:rPr>
      </w:pPr>
      <w:r>
        <w:rPr>
          <w:rFonts w:ascii="Play" w:eastAsia="Play" w:hAnsi="Play" w:cs="Play"/>
          <w:color w:val="0F4761"/>
          <w:sz w:val="32"/>
          <w:szCs w:val="32"/>
        </w:rPr>
        <w:t>Contents</w:t>
      </w:r>
    </w:p>
    <w:sdt>
      <w:sdtPr>
        <w:id w:val="-701164392"/>
        <w:docPartObj>
          <w:docPartGallery w:val="Table of Contents"/>
          <w:docPartUnique/>
        </w:docPartObj>
      </w:sdtPr>
      <w:sdtContent>
        <w:p w14:paraId="00000012" w14:textId="77777777" w:rsidR="00C61F8A" w:rsidRDefault="00000000">
          <w:pPr>
            <w:pBdr>
              <w:top w:val="nil"/>
              <w:left w:val="nil"/>
              <w:bottom w:val="nil"/>
              <w:right w:val="nil"/>
              <w:between w:val="nil"/>
            </w:pBdr>
            <w:tabs>
              <w:tab w:val="right" w:pos="9016"/>
            </w:tabs>
            <w:spacing w:after="100"/>
            <w:rPr>
              <w:color w:val="000000"/>
            </w:rPr>
          </w:pPr>
          <w:r>
            <w:fldChar w:fldCharType="begin"/>
          </w:r>
          <w:r>
            <w:instrText xml:space="preserve"> TOC \h \u \z \t "Heading 1,1,Heading 2,2,Heading 3,3,"</w:instrText>
          </w:r>
          <w:r>
            <w:fldChar w:fldCharType="separate"/>
          </w:r>
          <w:r>
            <w:rPr>
              <w:color w:val="000000"/>
            </w:rPr>
            <w:t xml:space="preserve">    </w:t>
          </w:r>
          <w:hyperlink w:anchor="_gjdgxs">
            <w:r>
              <w:rPr>
                <w:color w:val="000000"/>
              </w:rPr>
              <w:t>Introduction:</w:t>
            </w:r>
            <w:r>
              <w:rPr>
                <w:color w:val="000000"/>
              </w:rPr>
              <w:tab/>
              <w:t>3</w:t>
            </w:r>
          </w:hyperlink>
        </w:p>
        <w:p w14:paraId="00000013" w14:textId="77777777" w:rsidR="00C61F8A" w:rsidRDefault="00000000">
          <w:pPr>
            <w:pBdr>
              <w:top w:val="nil"/>
              <w:left w:val="nil"/>
              <w:bottom w:val="nil"/>
              <w:right w:val="nil"/>
              <w:between w:val="nil"/>
            </w:pBdr>
            <w:tabs>
              <w:tab w:val="right" w:pos="9016"/>
            </w:tabs>
            <w:spacing w:after="100"/>
            <w:rPr>
              <w:color w:val="000000"/>
            </w:rPr>
          </w:pPr>
          <w:hyperlink w:anchor="_30j0zll">
            <w:r>
              <w:rPr>
                <w:color w:val="000000"/>
              </w:rPr>
              <w:t>Gibb’s Model:</w:t>
            </w:r>
            <w:r>
              <w:rPr>
                <w:color w:val="000000"/>
              </w:rPr>
              <w:tab/>
              <w:t>3</w:t>
            </w:r>
          </w:hyperlink>
        </w:p>
        <w:p w14:paraId="00000014" w14:textId="77777777" w:rsidR="00C61F8A" w:rsidRDefault="00000000">
          <w:pPr>
            <w:pBdr>
              <w:top w:val="nil"/>
              <w:left w:val="nil"/>
              <w:bottom w:val="nil"/>
              <w:right w:val="nil"/>
              <w:between w:val="nil"/>
            </w:pBdr>
            <w:tabs>
              <w:tab w:val="right" w:pos="9016"/>
            </w:tabs>
            <w:spacing w:after="100"/>
            <w:ind w:left="220"/>
            <w:rPr>
              <w:color w:val="000000"/>
            </w:rPr>
          </w:pPr>
          <w:hyperlink w:anchor="_1fob9te">
            <w:r>
              <w:rPr>
                <w:color w:val="000000"/>
              </w:rPr>
              <w:t>Description:</w:t>
            </w:r>
            <w:r>
              <w:rPr>
                <w:color w:val="000000"/>
              </w:rPr>
              <w:tab/>
              <w:t>3</w:t>
            </w:r>
          </w:hyperlink>
        </w:p>
        <w:p w14:paraId="00000015" w14:textId="77777777" w:rsidR="00C61F8A" w:rsidRDefault="00000000">
          <w:pPr>
            <w:pBdr>
              <w:top w:val="nil"/>
              <w:left w:val="nil"/>
              <w:bottom w:val="nil"/>
              <w:right w:val="nil"/>
              <w:between w:val="nil"/>
            </w:pBdr>
            <w:tabs>
              <w:tab w:val="right" w:pos="9016"/>
            </w:tabs>
            <w:spacing w:after="100"/>
            <w:ind w:left="220"/>
            <w:rPr>
              <w:color w:val="000000"/>
            </w:rPr>
          </w:pPr>
          <w:hyperlink w:anchor="_3znysh7">
            <w:r>
              <w:rPr>
                <w:color w:val="000000"/>
              </w:rPr>
              <w:t>Feellings:</w:t>
            </w:r>
            <w:r>
              <w:rPr>
                <w:color w:val="000000"/>
              </w:rPr>
              <w:tab/>
              <w:t>3</w:t>
            </w:r>
          </w:hyperlink>
        </w:p>
        <w:p w14:paraId="00000016" w14:textId="77777777" w:rsidR="00C61F8A" w:rsidRDefault="00000000">
          <w:pPr>
            <w:pBdr>
              <w:top w:val="nil"/>
              <w:left w:val="nil"/>
              <w:bottom w:val="nil"/>
              <w:right w:val="nil"/>
              <w:between w:val="nil"/>
            </w:pBdr>
            <w:tabs>
              <w:tab w:val="right" w:pos="9016"/>
            </w:tabs>
            <w:spacing w:after="100"/>
            <w:ind w:left="220"/>
            <w:rPr>
              <w:color w:val="000000"/>
            </w:rPr>
          </w:pPr>
          <w:hyperlink w:anchor="_2et92p0">
            <w:r>
              <w:rPr>
                <w:color w:val="000000"/>
              </w:rPr>
              <w:t>Evaluation:</w:t>
            </w:r>
            <w:r>
              <w:rPr>
                <w:color w:val="000000"/>
              </w:rPr>
              <w:tab/>
              <w:t>3</w:t>
            </w:r>
          </w:hyperlink>
        </w:p>
        <w:p w14:paraId="00000017" w14:textId="77777777" w:rsidR="00C61F8A" w:rsidRDefault="00000000">
          <w:pPr>
            <w:pBdr>
              <w:top w:val="nil"/>
              <w:left w:val="nil"/>
              <w:bottom w:val="nil"/>
              <w:right w:val="nil"/>
              <w:between w:val="nil"/>
            </w:pBdr>
            <w:tabs>
              <w:tab w:val="right" w:pos="9016"/>
            </w:tabs>
            <w:spacing w:after="100"/>
            <w:ind w:left="220"/>
            <w:rPr>
              <w:color w:val="000000"/>
            </w:rPr>
          </w:pPr>
          <w:hyperlink w:anchor="_tyjcwt">
            <w:r>
              <w:rPr>
                <w:color w:val="000000"/>
              </w:rPr>
              <w:t>Analysing:</w:t>
            </w:r>
            <w:r>
              <w:rPr>
                <w:color w:val="000000"/>
              </w:rPr>
              <w:tab/>
              <w:t xml:space="preserve"> 3</w:t>
            </w:r>
          </w:hyperlink>
        </w:p>
        <w:p w14:paraId="00000018" w14:textId="77777777" w:rsidR="00C61F8A" w:rsidRDefault="00000000">
          <w:pPr>
            <w:pBdr>
              <w:top w:val="nil"/>
              <w:left w:val="nil"/>
              <w:bottom w:val="nil"/>
              <w:right w:val="nil"/>
              <w:between w:val="nil"/>
            </w:pBdr>
            <w:tabs>
              <w:tab w:val="right" w:pos="9016"/>
            </w:tabs>
            <w:spacing w:after="100"/>
            <w:ind w:left="220"/>
            <w:rPr>
              <w:color w:val="000000"/>
            </w:rPr>
          </w:pPr>
          <w:hyperlink w:anchor="_3dy6vkm">
            <w:r>
              <w:rPr>
                <w:color w:val="000000"/>
              </w:rPr>
              <w:t>Conclusion:</w:t>
            </w:r>
            <w:r>
              <w:rPr>
                <w:color w:val="000000"/>
              </w:rPr>
              <w:tab/>
              <w:t>3</w:t>
            </w:r>
          </w:hyperlink>
        </w:p>
        <w:p w14:paraId="00000019" w14:textId="77777777" w:rsidR="00C61F8A" w:rsidRDefault="00000000">
          <w:pPr>
            <w:pBdr>
              <w:top w:val="nil"/>
              <w:left w:val="nil"/>
              <w:bottom w:val="nil"/>
              <w:right w:val="nil"/>
              <w:between w:val="nil"/>
            </w:pBdr>
            <w:tabs>
              <w:tab w:val="right" w:pos="9016"/>
            </w:tabs>
            <w:spacing w:after="100"/>
            <w:ind w:left="220"/>
            <w:rPr>
              <w:color w:val="000000"/>
            </w:rPr>
          </w:pPr>
          <w:hyperlink w:anchor="_1t3h5sf">
            <w:r>
              <w:rPr>
                <w:color w:val="000000"/>
              </w:rPr>
              <w:t>Action plan:</w:t>
            </w:r>
            <w:r>
              <w:rPr>
                <w:color w:val="000000"/>
              </w:rPr>
              <w:tab/>
              <w:t>3</w:t>
            </w:r>
          </w:hyperlink>
        </w:p>
        <w:p w14:paraId="0000001A" w14:textId="77777777" w:rsidR="00C61F8A" w:rsidRDefault="00000000">
          <w:r>
            <w:fldChar w:fldCharType="end"/>
          </w:r>
        </w:p>
      </w:sdtContent>
    </w:sdt>
    <w:p w14:paraId="0000001B" w14:textId="77777777" w:rsidR="00C61F8A" w:rsidRDefault="00000000">
      <w:r>
        <w:br w:type="page"/>
      </w:r>
    </w:p>
    <w:p w14:paraId="0000001C" w14:textId="77777777" w:rsidR="00C61F8A" w:rsidRDefault="00C61F8A"/>
    <w:p w14:paraId="0000001D" w14:textId="77777777" w:rsidR="00C61F8A" w:rsidRDefault="00000000">
      <w:pPr>
        <w:rPr>
          <w:color w:val="000000"/>
        </w:rPr>
      </w:pPr>
      <w:bookmarkStart w:id="0" w:name="_gjdgxs" w:colFirst="0" w:colLast="0"/>
      <w:bookmarkEnd w:id="0"/>
      <w:r>
        <w:rPr>
          <w:rFonts w:ascii="Times New Roman" w:eastAsia="Times New Roman" w:hAnsi="Times New Roman" w:cs="Times New Roman"/>
          <w:color w:val="000000"/>
          <w:sz w:val="24"/>
          <w:szCs w:val="24"/>
        </w:rPr>
        <w:t>Introduction:</w:t>
      </w:r>
    </w:p>
    <w:p w14:paraId="0000001E" w14:textId="77777777" w:rsidR="00C61F8A" w:rsidRDefault="00000000">
      <w:pPr>
        <w:shd w:val="clear" w:color="auto" w:fill="FFFFFF"/>
        <w:spacing w:before="280" w:after="280" w:line="360" w:lineRule="auto"/>
        <w:ind w:left="720"/>
        <w:rPr>
          <w:color w:val="000000"/>
        </w:rPr>
      </w:pPr>
      <w:r>
        <w:rPr>
          <w:color w:val="000000"/>
        </w:rPr>
        <w:t xml:space="preserve">As a means of focusing our attention back onto our own experience, we use reflection as a tool by applying critical approaches such as bringing an objective eye to the experience, creating arguments and drawing conclusions about yourself (Cotrell, 2023). </w:t>
      </w:r>
      <w:r>
        <w:rPr>
          <w:rFonts w:ascii="Arial" w:eastAsia="Arial" w:hAnsi="Arial" w:cs="Arial"/>
          <w:color w:val="000000"/>
          <w:highlight w:val="white"/>
        </w:rPr>
        <w:t>Rather than just carrying on as you always have, reflecting allows you to improve your abilities and assess their efficacy. As we gain knowledge, we might get mired in a pattern that is not necessarily productive."Workplaces serve as important learning environments, and both businesses and academic institutions are very interested in studying how people learn at work. Sociology, psychology, education, human resource management, and management are among the disciplines that address it. When workplaces function as learning environments, it is important to acknowledge that learning is a complex and multifaceted phenomenon. The learning that is involved may be connected to the knowledge and abilities that the employer requires for the specific job function. The development of new work practices and production methods, as well as the enhancement of the firm's productivity and effectiveness, can be based on this. Personal development is another aspect of learning that has an impact on both private and public life. (</w:t>
      </w:r>
      <w:r>
        <w:rPr>
          <w:rFonts w:ascii="Arial" w:eastAsia="Arial" w:hAnsi="Arial" w:cs="Arial"/>
          <w:color w:val="000000"/>
        </w:rPr>
        <w:t>Steen Høyrup</w:t>
      </w:r>
      <w:r>
        <w:rPr>
          <w:rFonts w:ascii="Arial" w:eastAsia="Arial" w:hAnsi="Arial" w:cs="Arial"/>
          <w:i/>
          <w:color w:val="000000"/>
        </w:rPr>
        <w:t>, 2006</w:t>
      </w:r>
      <w:r>
        <w:rPr>
          <w:rFonts w:ascii="Arial" w:eastAsia="Arial" w:hAnsi="Arial" w:cs="Arial"/>
          <w:color w:val="000000"/>
          <w:highlight w:val="white"/>
        </w:rPr>
        <w:t>).You can determine what adjustments you might need to make by considering your own abilities.We maximize the benefits of any new knowledge by thinking back on our past experiences. Developing greater insight, controlling your own thoughts and emotions, making better decisions, and keeping an eye on your own performance are a few more aspects of self-improvement.</w:t>
      </w:r>
      <w:r>
        <w:rPr>
          <w:rFonts w:ascii="Quattrocento Sans" w:eastAsia="Quattrocento Sans" w:hAnsi="Quattrocento Sans" w:cs="Quattrocento Sans"/>
          <w:color w:val="000000"/>
        </w:rPr>
        <w:t xml:space="preserve">Results showed the variety of topics that students thought were most important as well as, to some extent, shifts in their thought processes. </w:t>
      </w:r>
      <w:r>
        <w:rPr>
          <w:rFonts w:ascii="Arial" w:eastAsia="Arial" w:hAnsi="Arial" w:cs="Arial"/>
          <w:color w:val="000000"/>
          <w:highlight w:val="white"/>
        </w:rPr>
        <w:t xml:space="preserve">A recurring theme was how difficult it is to understand what it takes to be a professional and, consequently, how much one learns about oneself." </w:t>
      </w:r>
      <w:r>
        <w:rPr>
          <w:rFonts w:ascii="Arial" w:eastAsia="Arial" w:hAnsi="Arial" w:cs="Arial"/>
        </w:rPr>
        <w:t>(</w:t>
      </w:r>
      <w:r>
        <w:rPr>
          <w:rFonts w:ascii="Arial" w:eastAsia="Arial" w:hAnsi="Arial" w:cs="Arial"/>
          <w:color w:val="000000"/>
        </w:rPr>
        <w:t xml:space="preserve"> Smith</w:t>
      </w:r>
      <w:r>
        <w:rPr>
          <w:rFonts w:ascii="Arial" w:eastAsia="Arial" w:hAnsi="Arial" w:cs="Arial"/>
          <w:i/>
          <w:color w:val="000000"/>
        </w:rPr>
        <w:t>,1998</w:t>
      </w:r>
      <w:r>
        <w:rPr>
          <w:color w:val="000000"/>
        </w:rPr>
        <w:t>)</w:t>
      </w:r>
    </w:p>
    <w:p w14:paraId="0000001F" w14:textId="77777777" w:rsidR="00C61F8A" w:rsidRDefault="00000000">
      <w:pPr>
        <w:shd w:val="clear" w:color="auto" w:fill="FFFFFF"/>
        <w:spacing w:before="280" w:after="280" w:line="360" w:lineRule="auto"/>
        <w:ind w:left="720"/>
        <w:rPr>
          <w:rFonts w:ascii="Arial" w:eastAsia="Arial" w:hAnsi="Arial" w:cs="Arial"/>
          <w:color w:val="000000"/>
        </w:rPr>
      </w:pPr>
      <w:r>
        <w:rPr>
          <w:rFonts w:ascii="Arial" w:eastAsia="Arial" w:hAnsi="Arial" w:cs="Arial"/>
          <w:color w:val="000000"/>
        </w:rPr>
        <w:t xml:space="preserve">Studying academic skills is the first step I took towards improving myself on personal and professional plan. We had activities in class that helped us improve our communication skills,writing skills ,note taking skills. Also we studied reflection skills,one of the fundamental academic skills to help improving professionally and academically.In this report,I will reflect on the following three academic topics using Gibb’s reflective model:Academic writing,Research skills,Paraphrasing skills. </w:t>
      </w:r>
    </w:p>
    <w:p w14:paraId="00000020" w14:textId="77777777" w:rsidR="00C61F8A" w:rsidRDefault="00C61F8A">
      <w:pPr>
        <w:spacing w:line="360" w:lineRule="auto"/>
        <w:rPr>
          <w:rFonts w:ascii="Arial" w:eastAsia="Arial" w:hAnsi="Arial" w:cs="Arial"/>
          <w:color w:val="000000"/>
        </w:rPr>
      </w:pPr>
      <w:bookmarkStart w:id="1" w:name="_30j0zll" w:colFirst="0" w:colLast="0"/>
      <w:bookmarkEnd w:id="1"/>
    </w:p>
    <w:p w14:paraId="00000021" w14:textId="77777777" w:rsidR="00C61F8A" w:rsidRDefault="00000000">
      <w:pPr>
        <w:pStyle w:val="Titlu1"/>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Gibb’s reflective Model:</w:t>
      </w:r>
    </w:p>
    <w:p w14:paraId="00000022" w14:textId="77777777" w:rsidR="00C61F8A" w:rsidRDefault="00000000">
      <w:pPr>
        <w:pStyle w:val="Titlu2"/>
        <w:spacing w:line="360" w:lineRule="auto"/>
        <w:rPr>
          <w:rFonts w:ascii="Times New Roman" w:eastAsia="Times New Roman" w:hAnsi="Times New Roman" w:cs="Times New Roman"/>
          <w:color w:val="000000"/>
          <w:sz w:val="24"/>
          <w:szCs w:val="24"/>
        </w:rPr>
      </w:pPr>
      <w:bookmarkStart w:id="2" w:name="_1fob9te" w:colFirst="0" w:colLast="0"/>
      <w:bookmarkEnd w:id="2"/>
      <w:r>
        <w:rPr>
          <w:rFonts w:ascii="Times New Roman" w:eastAsia="Times New Roman" w:hAnsi="Times New Roman" w:cs="Times New Roman"/>
          <w:color w:val="000000"/>
          <w:sz w:val="24"/>
          <w:szCs w:val="24"/>
        </w:rPr>
        <w:t>Description:</w:t>
      </w:r>
    </w:p>
    <w:p w14:paraId="00000023" w14:textId="77777777" w:rsidR="00C61F8A" w:rsidRDefault="00000000">
      <w:pPr>
        <w:rPr>
          <w:color w:val="000000"/>
        </w:rPr>
      </w:pPr>
      <w:r>
        <w:rPr>
          <w:color w:val="000000"/>
        </w:rPr>
        <w:t>In week 3 and 4 we studied in class about academic writing,finding information skills and paraphrasing skills.</w:t>
      </w:r>
    </w:p>
    <w:p w14:paraId="00000024" w14:textId="77777777" w:rsidR="00C61F8A" w:rsidRDefault="00000000">
      <w:pPr>
        <w:rPr>
          <w:rFonts w:ascii="Arial" w:eastAsia="Arial" w:hAnsi="Arial" w:cs="Arial"/>
          <w:color w:val="000000"/>
        </w:rPr>
      </w:pPr>
      <w:r>
        <w:rPr>
          <w:color w:val="000000"/>
        </w:rPr>
        <w:t xml:space="preserve">Academic writing is one of te fundamental skills </w:t>
      </w:r>
      <w:r>
        <w:rPr>
          <w:rFonts w:ascii="Arial" w:eastAsia="Arial" w:hAnsi="Arial" w:cs="Arial"/>
          <w:color w:val="000000"/>
        </w:rPr>
        <w:t>since writing is the main method of academic communication. It is also the hardest skill to learn for the majority of students.Academic writing is writing that is shared with the broader academic community in order to exchange ideas, information, and research. The capacity to look up information or work through a specific issue by reading through materials and sources is known as research skills. It involves the capacity to compile data, analyze, evaluate, and interpret it in order to come up with a solution. Writing the ideas of other people in your own worlds,changing the structure of the text but sticking to the same meaning it is called paraphrasing.</w:t>
      </w:r>
    </w:p>
    <w:p w14:paraId="00000025" w14:textId="77777777" w:rsidR="00C61F8A" w:rsidRDefault="00000000">
      <w:pPr>
        <w:shd w:val="clear" w:color="auto" w:fill="FFFFFF"/>
        <w:spacing w:line="240" w:lineRule="auto"/>
        <w:rPr>
          <w:rFonts w:ascii="Arial" w:eastAsia="Arial" w:hAnsi="Arial" w:cs="Arial"/>
          <w:i/>
          <w:color w:val="000000"/>
        </w:rPr>
      </w:pPr>
      <w:bookmarkStart w:id="3" w:name="_3znysh7" w:colFirst="0" w:colLast="0"/>
      <w:bookmarkEnd w:id="3"/>
      <w:r>
        <w:rPr>
          <w:rFonts w:ascii="Arial" w:eastAsia="Arial" w:hAnsi="Arial" w:cs="Arial"/>
          <w:highlight w:val="white"/>
        </w:rPr>
        <w:t>In order to support the increasing number of students from diverse backgrounds, academic support is essential as student success and retention in higher education become more and more important. This study examined the potential relationship between student performance, success, GPA, and attrition and attendance at Academic Skills consultations. The University Management Information System matched over 13,000 student consultations with Academic Skills in the years 2017, 2018, and 2019, allowing metrics to be computed. Research revealed that students who participated in Academic Skills sessions outperformed their peers, with the difference being more pronounced for those who attended more consultations.(</w:t>
      </w:r>
      <w:r>
        <w:rPr>
          <w:rFonts w:ascii="Arial" w:eastAsia="Arial" w:hAnsi="Arial" w:cs="Arial"/>
          <w:color w:val="000000"/>
        </w:rPr>
        <w:t xml:space="preserve"> Ashton-Hay,Doncaster</w:t>
      </w:r>
      <w:r>
        <w:rPr>
          <w:rFonts w:ascii="Arial" w:eastAsia="Arial" w:hAnsi="Arial" w:cs="Arial"/>
          <w:i/>
          <w:color w:val="000000"/>
        </w:rPr>
        <w:t>,2021)</w:t>
      </w:r>
    </w:p>
    <w:p w14:paraId="00000026" w14:textId="77777777" w:rsidR="00C61F8A"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Feellings:</w:t>
      </w:r>
    </w:p>
    <w:p w14:paraId="00000027" w14:textId="77777777" w:rsidR="00C61F8A" w:rsidRDefault="00000000">
      <w:pPr>
        <w:pStyle w:val="Titlu3"/>
        <w:shd w:val="clear" w:color="auto" w:fill="FFFFFF"/>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Before we start studying about this skills I thought that I’m in control of them but during the classes,lessening to the lecturer and going through the activities we had such as paraphrasing practice,rewriting texts in a more academic style and also we learned how to find reliable sources for our research skills improvements,I come to realise that mastering this skills is more challenging and more useful then I could imagine.</w:t>
      </w:r>
      <w:r>
        <w:rPr>
          <w:rFonts w:ascii="Arial" w:eastAsia="Arial" w:hAnsi="Arial" w:cs="Arial"/>
          <w:color w:val="000000"/>
          <w:sz w:val="22"/>
          <w:szCs w:val="22"/>
          <w:highlight w:val="white"/>
        </w:rPr>
        <w:t>I think that by using their paraphrasing abilities, students can enhance their comprehension of a text's context, pick up new vocabulary, and write better work overall.</w:t>
      </w:r>
    </w:p>
    <w:p w14:paraId="00000028" w14:textId="77777777" w:rsidR="00C61F8A" w:rsidRDefault="00C61F8A">
      <w:pPr>
        <w:shd w:val="clear" w:color="auto" w:fill="FFFFFF"/>
        <w:spacing w:line="360" w:lineRule="auto"/>
        <w:rPr>
          <w:rFonts w:ascii="Arial" w:eastAsia="Arial" w:hAnsi="Arial" w:cs="Arial"/>
          <w:i/>
          <w:color w:val="000000"/>
        </w:rPr>
      </w:pPr>
    </w:p>
    <w:p w14:paraId="00000029" w14:textId="77777777" w:rsidR="00C61F8A" w:rsidRDefault="00000000">
      <w:pPr>
        <w:shd w:val="clear" w:color="auto" w:fill="FFFFFF"/>
        <w:spacing w:line="360" w:lineRule="auto"/>
        <w:rPr>
          <w:rFonts w:ascii="Arial" w:eastAsia="Arial" w:hAnsi="Arial" w:cs="Arial"/>
          <w:i/>
          <w:color w:val="000000"/>
        </w:rPr>
      </w:pPr>
      <w:r>
        <w:rPr>
          <w:rFonts w:ascii="Arial" w:eastAsia="Arial" w:hAnsi="Arial" w:cs="Arial"/>
        </w:rPr>
        <w:t xml:space="preserve">Proficiency in specific fundamental academic competencies is a crucial pre-college characteristic that dictates university success. </w:t>
      </w:r>
      <w:r>
        <w:rPr>
          <w:rFonts w:ascii="Arial" w:eastAsia="Arial" w:hAnsi="Arial" w:cs="Arial"/>
          <w:color w:val="000000"/>
        </w:rPr>
        <w:t xml:space="preserve">They consist of media literacy, reading, writing, critical thinking, and oral presentations. These abilities are crucial for academic success, but professors hardly ever teach them. Since they usually assume that all students have these skills already, either from their secondary education or from somewhere else in college, they tend to take them for granted. Since reading at the university level differs greatly from reading in high school, most first-year students truly lack strong academic reading skills. As a result, most students use non-university reading strategies when they read academic texts, which results in a superficial reading strategy. In order to encourage students to approach reading deeply, this paper explores various tactics, case studies, and resources. This article's main contention is that students are more likely to approach reading deeply if teachers provide them with ample opportunities for reading activities throughout the term and explicitly teach them how to read academic texts in courses that are aligned. The differences between a surface and a deep approach to reading are covered at the outset. The study's action research project is then presented in order to investigate whether the introduction of teaching and learning activities that encourage students to actively participate in deep reading in courses that are aligned, along with the explicit instruction of academic reading skills, have an impact on students' reading habits. Then, the paper explores the categories of analysis needed to read academic texts and the importance of aligning courses. Lastly, it talks about instructional strategies and learning exercises meant to encourage students to take a close reading approach. </w:t>
      </w:r>
      <w:r>
        <w:rPr>
          <w:rFonts w:ascii="Arial" w:eastAsia="Arial" w:hAnsi="Arial" w:cs="Arial"/>
        </w:rPr>
        <w:t>(</w:t>
      </w:r>
      <w:r>
        <w:rPr>
          <w:rFonts w:ascii="Arial" w:eastAsia="Arial" w:hAnsi="Arial" w:cs="Arial"/>
          <w:color w:val="000000"/>
        </w:rPr>
        <w:t>Hermida</w:t>
      </w:r>
      <w:r>
        <w:rPr>
          <w:rFonts w:ascii="Arial" w:eastAsia="Arial" w:hAnsi="Arial" w:cs="Arial"/>
          <w:i/>
          <w:color w:val="000000"/>
        </w:rPr>
        <w:t>,2009)</w:t>
      </w:r>
    </w:p>
    <w:p w14:paraId="0000002A" w14:textId="77777777" w:rsidR="00C61F8A" w:rsidRDefault="00C61F8A">
      <w:pPr>
        <w:shd w:val="clear" w:color="auto" w:fill="FFFFFF"/>
        <w:spacing w:line="360" w:lineRule="auto"/>
        <w:rPr>
          <w:rFonts w:ascii="Arial" w:eastAsia="Arial" w:hAnsi="Arial" w:cs="Arial"/>
          <w:color w:val="000000"/>
        </w:rPr>
      </w:pPr>
    </w:p>
    <w:p w14:paraId="0000002B" w14:textId="77777777" w:rsidR="00C61F8A" w:rsidRDefault="00C61F8A">
      <w:pPr>
        <w:spacing w:line="360" w:lineRule="auto"/>
        <w:rPr>
          <w:rFonts w:ascii="Arial" w:eastAsia="Arial" w:hAnsi="Arial" w:cs="Arial"/>
          <w:color w:val="000000"/>
        </w:rPr>
      </w:pPr>
    </w:p>
    <w:p w14:paraId="0000002C" w14:textId="77777777" w:rsidR="00C61F8A" w:rsidRDefault="00C61F8A">
      <w:pPr>
        <w:spacing w:line="360" w:lineRule="auto"/>
        <w:rPr>
          <w:rFonts w:ascii="Arial" w:eastAsia="Arial" w:hAnsi="Arial" w:cs="Arial"/>
          <w:color w:val="000000"/>
        </w:rPr>
      </w:pPr>
    </w:p>
    <w:p w14:paraId="0000002D" w14:textId="77777777" w:rsidR="00C61F8A" w:rsidRDefault="00000000">
      <w:pPr>
        <w:pStyle w:val="Titlu2"/>
        <w:spacing w:line="360" w:lineRule="auto"/>
        <w:rPr>
          <w:rFonts w:ascii="Arial" w:eastAsia="Arial" w:hAnsi="Arial" w:cs="Arial"/>
          <w:color w:val="000000"/>
          <w:sz w:val="22"/>
          <w:szCs w:val="22"/>
        </w:rPr>
      </w:pPr>
      <w:bookmarkStart w:id="4" w:name="_2et92p0" w:colFirst="0" w:colLast="0"/>
      <w:bookmarkEnd w:id="4"/>
      <w:r>
        <w:rPr>
          <w:rFonts w:ascii="Arial" w:eastAsia="Arial" w:hAnsi="Arial" w:cs="Arial"/>
          <w:color w:val="000000"/>
          <w:sz w:val="22"/>
          <w:szCs w:val="22"/>
        </w:rPr>
        <w:t>Evaluation:</w:t>
      </w:r>
    </w:p>
    <w:p w14:paraId="0000002E" w14:textId="77777777" w:rsidR="00C61F8A" w:rsidRDefault="00000000">
      <w:pPr>
        <w:pBdr>
          <w:top w:val="nil"/>
          <w:left w:val="nil"/>
          <w:bottom w:val="nil"/>
          <w:right w:val="nil"/>
          <w:between w:val="nil"/>
        </w:pBdr>
        <w:spacing w:after="0" w:line="240" w:lineRule="auto"/>
        <w:rPr>
          <w:color w:val="000000"/>
        </w:rPr>
      </w:pPr>
      <w:r>
        <w:rPr>
          <w:rFonts w:ascii="Arial" w:eastAsia="Arial" w:hAnsi="Arial" w:cs="Arial"/>
          <w:highlight w:val="white"/>
        </w:rPr>
        <w:t xml:space="preserve">Developing these essential academic skills is even more important for students who work and study at the same time. </w:t>
      </w:r>
      <w:r>
        <w:rPr>
          <w:rFonts w:ascii="Arial" w:eastAsia="Arial" w:hAnsi="Arial" w:cs="Arial"/>
          <w:color w:val="000000"/>
          <w:highlight w:val="white"/>
        </w:rPr>
        <w:t>These students must manage their time well because they have to balance their academic . and professional obligations.</w:t>
      </w:r>
      <w:r>
        <w:rPr>
          <w:color w:val="000000"/>
        </w:rPr>
        <w:t xml:space="preserve"> Having effective study skills can increase your confidence, competence, and sense of worth. </w:t>
      </w:r>
      <w:r>
        <w:rPr>
          <w:rFonts w:ascii="Arial" w:eastAsia="Arial" w:hAnsi="Arial" w:cs="Arial"/>
          <w:color w:val="000000"/>
          <w:highlight w:val="white"/>
        </w:rPr>
        <w:t>They can help lessen stress related to deadlines and exams.</w:t>
      </w:r>
      <w:r>
        <w:rPr>
          <w:color w:val="000000"/>
          <w:highlight w:val="white"/>
        </w:rPr>
        <w:t xml:space="preserve"> By developing effective study skills, you may be able to cut down on the amount of time you spend studying and free up more time for other activities.</w:t>
      </w:r>
    </w:p>
    <w:p w14:paraId="0000002F" w14:textId="77777777" w:rsidR="00C61F8A" w:rsidRDefault="00000000">
      <w:pPr>
        <w:pStyle w:val="Titlu2"/>
        <w:spacing w:line="360" w:lineRule="auto"/>
        <w:rPr>
          <w:rFonts w:ascii="Arial" w:eastAsia="Arial" w:hAnsi="Arial" w:cs="Arial"/>
          <w:color w:val="000000"/>
          <w:sz w:val="22"/>
          <w:szCs w:val="22"/>
        </w:rPr>
      </w:pPr>
      <w:bookmarkStart w:id="5" w:name="_tyjcwt" w:colFirst="0" w:colLast="0"/>
      <w:bookmarkEnd w:id="5"/>
      <w:r>
        <w:rPr>
          <w:rFonts w:ascii="Arial" w:eastAsia="Arial" w:hAnsi="Arial" w:cs="Arial"/>
          <w:color w:val="000000"/>
          <w:sz w:val="22"/>
          <w:szCs w:val="22"/>
        </w:rPr>
        <w:t>Analysins:</w:t>
      </w:r>
    </w:p>
    <w:p w14:paraId="00000030" w14:textId="77777777" w:rsidR="00C61F8A" w:rsidRDefault="00000000">
      <w:pPr>
        <w:spacing w:line="360" w:lineRule="auto"/>
        <w:rPr>
          <w:rFonts w:ascii="Arial" w:eastAsia="Arial" w:hAnsi="Arial" w:cs="Arial"/>
          <w:color w:val="000000"/>
          <w:highlight w:val="white"/>
        </w:rPr>
      </w:pPr>
      <w:r>
        <w:rPr>
          <w:rFonts w:ascii="Arial" w:eastAsia="Arial" w:hAnsi="Arial" w:cs="Arial"/>
          <w:color w:val="000000"/>
          <w:highlight w:val="white"/>
        </w:rPr>
        <w:t xml:space="preserve">College students who want to succeed academically must have effective study techniques. In order to remember what they have learned in the present for the benefit of the future, students must acquire these skills. A variety of strategies, such as time management, note-taking, research abilities, and paraphrasing, can be combined to create study skills. Study techniques can be modified to match the needs of specific students and yield the best results because there is no one ideal way to learn. </w:t>
      </w:r>
    </w:p>
    <w:p w14:paraId="00000031" w14:textId="77777777" w:rsidR="00C61F8A" w:rsidRDefault="00000000">
      <w:pPr>
        <w:shd w:val="clear" w:color="auto" w:fill="FFFFFF"/>
        <w:spacing w:line="360" w:lineRule="auto"/>
        <w:rPr>
          <w:rFonts w:ascii="Arial" w:eastAsia="Arial" w:hAnsi="Arial" w:cs="Arial"/>
          <w:i/>
          <w:color w:val="000000"/>
        </w:rPr>
      </w:pPr>
      <w:r>
        <w:rPr>
          <w:rFonts w:ascii="Arial" w:eastAsia="Arial" w:hAnsi="Arial" w:cs="Arial"/>
          <w:highlight w:val="white"/>
        </w:rPr>
        <w:t>"In order to involve students in a meaningful teaching and learning process, it is imperative that critical skills such as writing and reading comprehension be taught effectively. The application of paraphrasing strategy in the classroom is one way to improve students' writing achievement and reading comprehension. Students' reading comprehension achievement increases when the paraphrasing strategy is used because it makes it simple for them to internalize the information from the original source completely. Using the paraphrasing strategy helps students write better because it allows them to rewrite the text in their own style, which is related to improving their reading comprehension achievement. As a result, using the paraphrasing strategy is thought to be one of the best approaches to improve students' writing and reading comprehension skills.</w:t>
      </w:r>
      <w:r>
        <w:rPr>
          <w:rFonts w:ascii="Arial" w:eastAsia="Arial" w:hAnsi="Arial" w:cs="Arial"/>
          <w:color w:val="000000"/>
          <w:highlight w:val="white"/>
        </w:rPr>
        <w:t>(</w:t>
      </w:r>
      <w:r>
        <w:rPr>
          <w:rFonts w:ascii="Arial" w:eastAsia="Arial" w:hAnsi="Arial" w:cs="Arial"/>
          <w:color w:val="000000"/>
        </w:rPr>
        <w:t>Hans</w:t>
      </w:r>
      <w:r>
        <w:rPr>
          <w:rFonts w:ascii="Arial" w:eastAsia="Arial" w:hAnsi="Arial" w:cs="Arial"/>
          <w:i/>
          <w:color w:val="000000"/>
        </w:rPr>
        <w:t>,2017)</w:t>
      </w:r>
    </w:p>
    <w:p w14:paraId="00000032" w14:textId="77777777" w:rsidR="00C61F8A" w:rsidRDefault="00C61F8A">
      <w:pPr>
        <w:spacing w:line="360" w:lineRule="auto"/>
        <w:rPr>
          <w:rFonts w:ascii="Arial" w:eastAsia="Arial" w:hAnsi="Arial" w:cs="Arial"/>
          <w:color w:val="000000"/>
        </w:rPr>
      </w:pPr>
    </w:p>
    <w:p w14:paraId="00000033" w14:textId="77777777" w:rsidR="00C61F8A" w:rsidRDefault="00C61F8A">
      <w:pPr>
        <w:spacing w:line="360" w:lineRule="auto"/>
        <w:rPr>
          <w:rFonts w:ascii="Arial" w:eastAsia="Arial" w:hAnsi="Arial" w:cs="Arial"/>
          <w:color w:val="000000"/>
        </w:rPr>
      </w:pPr>
    </w:p>
    <w:p w14:paraId="00000034" w14:textId="77777777" w:rsidR="00C61F8A" w:rsidRDefault="00000000">
      <w:pPr>
        <w:pStyle w:val="Titlu2"/>
        <w:spacing w:line="360" w:lineRule="auto"/>
        <w:rPr>
          <w:rFonts w:ascii="Arial" w:eastAsia="Arial" w:hAnsi="Arial" w:cs="Arial"/>
          <w:color w:val="000000"/>
          <w:sz w:val="22"/>
          <w:szCs w:val="22"/>
        </w:rPr>
      </w:pPr>
      <w:bookmarkStart w:id="6" w:name="_3dy6vkm" w:colFirst="0" w:colLast="0"/>
      <w:bookmarkEnd w:id="6"/>
      <w:r>
        <w:rPr>
          <w:rFonts w:ascii="Arial" w:eastAsia="Arial" w:hAnsi="Arial" w:cs="Arial"/>
          <w:color w:val="000000"/>
          <w:sz w:val="22"/>
          <w:szCs w:val="22"/>
        </w:rPr>
        <w:t>Conclusion:</w:t>
      </w:r>
    </w:p>
    <w:p w14:paraId="00000035" w14:textId="77777777" w:rsidR="00C61F8A" w:rsidRDefault="00C61F8A">
      <w:pPr>
        <w:spacing w:line="360" w:lineRule="auto"/>
        <w:rPr>
          <w:rFonts w:ascii="Arial" w:eastAsia="Arial" w:hAnsi="Arial" w:cs="Arial"/>
          <w:color w:val="000000"/>
        </w:rPr>
      </w:pPr>
    </w:p>
    <w:p w14:paraId="00000036" w14:textId="77777777" w:rsidR="00C61F8A" w:rsidRDefault="00000000">
      <w:pPr>
        <w:shd w:val="clear" w:color="auto" w:fill="FEFEFE"/>
        <w:spacing w:after="0" w:line="360" w:lineRule="auto"/>
        <w:rPr>
          <w:rFonts w:ascii="Arial" w:eastAsia="Arial" w:hAnsi="Arial" w:cs="Arial"/>
          <w:color w:val="000000"/>
        </w:rPr>
      </w:pPr>
      <w:r>
        <w:rPr>
          <w:rFonts w:ascii="Arial" w:eastAsia="Arial" w:hAnsi="Arial" w:cs="Arial"/>
          <w:color w:val="000000"/>
          <w:highlight w:val="white"/>
        </w:rPr>
        <w:t>The basis for effective learning and intellectual development is a strong foundation in academics. There are many benefits to mastering critical thinking, time management, and taking well-organized notes, among other crucial academic abilities. These abilities improve reading comprehension, solving problems, and general academic achievement. They are also transferable, enhancing decision-making, promoting lifelong learning, and helping both your personal and professional lives.</w:t>
      </w:r>
      <w:r>
        <w:rPr>
          <w:rFonts w:ascii="Arial" w:eastAsia="Arial" w:hAnsi="Arial" w:cs="Arial"/>
          <w:color w:val="000000"/>
        </w:rPr>
        <w:t>Effective study techniques are essential to guarantee success for both first-year students and graduates. It provides students with an opportunity to explore their own talents and capabilities in addition to exchanging ideas and knowledge with others.All students may gain a great deal of desirable time, fight against stress, fatigue, and anxiety, and have more time for leisure while their academic performance improves by putting their best study techniques to use.University study skills are one of the most important areas of academic success that need special attention.</w:t>
      </w:r>
    </w:p>
    <w:p w14:paraId="00000037" w14:textId="77777777" w:rsidR="00C61F8A" w:rsidRDefault="00000000">
      <w:pPr>
        <w:spacing w:line="360" w:lineRule="auto"/>
        <w:rPr>
          <w:rFonts w:ascii="Arial" w:eastAsia="Arial" w:hAnsi="Arial" w:cs="Arial"/>
          <w:color w:val="000000"/>
        </w:rPr>
      </w:pPr>
      <w:r>
        <w:rPr>
          <w:rFonts w:ascii="Arial" w:eastAsia="Arial" w:hAnsi="Arial" w:cs="Arial"/>
          <w:highlight w:val="white"/>
        </w:rPr>
        <w:t xml:space="preserve">Technological advancement has a significant impact on the field of education. The development of technology is one factor that encourages students to plagiarize. </w:t>
      </w:r>
      <w:r>
        <w:rPr>
          <w:rFonts w:ascii="Arial" w:eastAsia="Arial" w:hAnsi="Arial" w:cs="Arial"/>
          <w:color w:val="000000"/>
          <w:highlight w:val="white"/>
        </w:rPr>
        <w:t xml:space="preserve">A technological tool that automates the process of rewriting text is called a paraphrasing tool. Finding out how students perceive paraphrasing tools and how they impact their paraphrasing ability is the aim of this study. The method used to conduct this research was qualitative descriptive. After using the paraphrasing tool to assist with their essay writing, five students were interviewed by the researcher. Based on the findings of the interview, the students felt that the paraphrasing tool was excellent. Students think that using the paraphrasing tool will help them learn new vocabulary, enhance the overall quality of their writing, and better understand the context of a text. The researcher also found that students used paraphrasing tools often, indicating a dependence on their use and the consequences of frequent use. </w:t>
      </w:r>
      <w:r>
        <w:rPr>
          <w:rFonts w:ascii="Arial" w:eastAsia="Arial" w:hAnsi="Arial" w:cs="Arial"/>
        </w:rPr>
        <w:t>(</w:t>
      </w:r>
      <w:r>
        <w:rPr>
          <w:rFonts w:ascii="Arial" w:eastAsia="Arial" w:hAnsi="Arial" w:cs="Arial"/>
          <w:color w:val="000000"/>
        </w:rPr>
        <w:t xml:space="preserve"> Miranda</w:t>
      </w:r>
      <w:r>
        <w:rPr>
          <w:rFonts w:ascii="Arial" w:eastAsia="Arial" w:hAnsi="Arial" w:cs="Arial"/>
          <w:i/>
          <w:color w:val="000000"/>
        </w:rPr>
        <w:t>,2022)</w:t>
      </w:r>
    </w:p>
    <w:p w14:paraId="00000038" w14:textId="77777777" w:rsidR="00C61F8A" w:rsidRDefault="00C61F8A">
      <w:pPr>
        <w:spacing w:line="360" w:lineRule="auto"/>
        <w:rPr>
          <w:rFonts w:ascii="Arial" w:eastAsia="Arial" w:hAnsi="Arial" w:cs="Arial"/>
          <w:color w:val="000000"/>
        </w:rPr>
      </w:pPr>
    </w:p>
    <w:p w14:paraId="00000039" w14:textId="77777777" w:rsidR="00C61F8A" w:rsidRDefault="00C61F8A">
      <w:pPr>
        <w:spacing w:line="360" w:lineRule="auto"/>
        <w:rPr>
          <w:rFonts w:ascii="Arial" w:eastAsia="Arial" w:hAnsi="Arial" w:cs="Arial"/>
          <w:color w:val="000000"/>
        </w:rPr>
      </w:pPr>
    </w:p>
    <w:p w14:paraId="0000003A" w14:textId="77777777" w:rsidR="00C61F8A" w:rsidRDefault="00000000">
      <w:pPr>
        <w:pStyle w:val="Titlu2"/>
        <w:spacing w:line="360" w:lineRule="auto"/>
        <w:rPr>
          <w:rFonts w:ascii="Arial" w:eastAsia="Arial" w:hAnsi="Arial" w:cs="Arial"/>
          <w:color w:val="000000"/>
          <w:sz w:val="22"/>
          <w:szCs w:val="22"/>
        </w:rPr>
      </w:pPr>
      <w:bookmarkStart w:id="7" w:name="_1t3h5sf" w:colFirst="0" w:colLast="0"/>
      <w:bookmarkEnd w:id="7"/>
      <w:r>
        <w:rPr>
          <w:rFonts w:ascii="Arial" w:eastAsia="Arial" w:hAnsi="Arial" w:cs="Arial"/>
          <w:color w:val="000000"/>
          <w:sz w:val="22"/>
          <w:szCs w:val="22"/>
        </w:rPr>
        <w:t>Action plan:</w:t>
      </w:r>
    </w:p>
    <w:p w14:paraId="0000003B" w14:textId="77777777" w:rsidR="00C61F8A" w:rsidRDefault="00C61F8A">
      <w:pPr>
        <w:spacing w:line="360" w:lineRule="auto"/>
        <w:rPr>
          <w:rFonts w:ascii="Arial" w:eastAsia="Arial" w:hAnsi="Arial" w:cs="Arial"/>
          <w:color w:val="000000"/>
        </w:rPr>
      </w:pPr>
    </w:p>
    <w:p w14:paraId="0000003C" w14:textId="77777777" w:rsidR="00C61F8A" w:rsidRDefault="00000000">
      <w:pPr>
        <w:spacing w:line="360" w:lineRule="auto"/>
        <w:rPr>
          <w:rFonts w:ascii="Arial" w:eastAsia="Arial" w:hAnsi="Arial" w:cs="Arial"/>
          <w:color w:val="000000"/>
        </w:rPr>
      </w:pPr>
      <w:r>
        <w:rPr>
          <w:rFonts w:ascii="Arial" w:eastAsia="Arial" w:hAnsi="Arial" w:cs="Arial"/>
          <w:color w:val="000000"/>
        </w:rPr>
        <w:t>I can definitely say that the next time I come across academic knowledge, I will focus more on comprehending and absorbing the material as I come to understand it’s role in improving ourselves in professional</w:t>
      </w:r>
      <w:r>
        <w:rPr>
          <w:rFonts w:ascii="Arial" w:eastAsia="Arial" w:hAnsi="Arial" w:cs="Arial"/>
        </w:rPr>
        <w:t xml:space="preserve"> and academic plan</w:t>
      </w:r>
      <w:r>
        <w:rPr>
          <w:rFonts w:ascii="Arial" w:eastAsia="Arial" w:hAnsi="Arial" w:cs="Arial"/>
          <w:color w:val="000000"/>
        </w:rPr>
        <w:t>.</w:t>
      </w:r>
    </w:p>
    <w:p w14:paraId="0000003D" w14:textId="77777777" w:rsidR="00C61F8A" w:rsidRDefault="00000000">
      <w:pPr>
        <w:spacing w:line="360" w:lineRule="auto"/>
        <w:rPr>
          <w:rFonts w:ascii="Arial" w:eastAsia="Arial" w:hAnsi="Arial" w:cs="Arial"/>
        </w:rPr>
      </w:pPr>
      <w:r>
        <w:rPr>
          <w:rFonts w:ascii="Arial" w:eastAsia="Arial" w:hAnsi="Arial" w:cs="Arial"/>
        </w:rPr>
        <w:t>There are some more academic skills which I will practice such as time management in order to be more efficient organising and scheduling my time. Also,self reflection is a good skill to practice,doing so I can identify my strenghts and weaknesses in any matter and take the appropriate action.The most crucial aspect of development, in my opinion, is identifying your areas for growth and pushing yourself to attempt new and uncomfortable activities.</w:t>
      </w:r>
      <w:r>
        <w:rPr>
          <w:rFonts w:ascii="Arial" w:eastAsia="Arial" w:hAnsi="Arial" w:cs="Arial"/>
          <w:color w:val="444444"/>
          <w:sz w:val="23"/>
          <w:szCs w:val="23"/>
          <w:highlight w:val="white"/>
        </w:rPr>
        <w:t xml:space="preserve"> </w:t>
      </w:r>
    </w:p>
    <w:p w14:paraId="0000003E" w14:textId="77777777" w:rsidR="00C61F8A" w:rsidRDefault="00000000">
      <w:pPr>
        <w:spacing w:line="360" w:lineRule="auto"/>
        <w:rPr>
          <w:rFonts w:ascii="Arial" w:eastAsia="Arial" w:hAnsi="Arial" w:cs="Arial"/>
          <w:color w:val="000000"/>
        </w:rPr>
      </w:pPr>
      <w:r>
        <w:rPr>
          <w:rFonts w:ascii="Arial" w:eastAsia="Arial" w:hAnsi="Arial" w:cs="Arial"/>
        </w:rPr>
        <w:t>To improve my academic writing skills I will focus on using a formal language placed in a clear organization ,always checking that is grannatically corect.</w:t>
      </w:r>
    </w:p>
    <w:p w14:paraId="0000003F" w14:textId="77777777" w:rsidR="00C61F8A" w:rsidRDefault="00C61F8A">
      <w:pPr>
        <w:spacing w:line="360" w:lineRule="auto"/>
        <w:rPr>
          <w:rFonts w:ascii="Arial" w:eastAsia="Arial" w:hAnsi="Arial" w:cs="Arial"/>
          <w:color w:val="000000"/>
        </w:rPr>
      </w:pPr>
    </w:p>
    <w:p w14:paraId="00000040" w14:textId="77777777" w:rsidR="00C61F8A" w:rsidRDefault="00000000">
      <w:pPr>
        <w:spacing w:line="360" w:lineRule="auto"/>
        <w:rPr>
          <w:rFonts w:ascii="Arial" w:eastAsia="Arial" w:hAnsi="Arial" w:cs="Arial"/>
          <w:color w:val="000000"/>
        </w:rPr>
      </w:pPr>
      <w:r>
        <w:rPr>
          <w:rFonts w:ascii="Arial" w:eastAsia="Arial" w:hAnsi="Arial" w:cs="Arial"/>
          <w:color w:val="000000"/>
        </w:rPr>
        <w:t>Reference list:</w:t>
      </w:r>
    </w:p>
    <w:p w14:paraId="00000041" w14:textId="77777777" w:rsidR="00C61F8A" w:rsidRDefault="00000000">
      <w:pPr>
        <w:numPr>
          <w:ilvl w:val="0"/>
          <w:numId w:val="1"/>
        </w:numPr>
        <w:pBdr>
          <w:top w:val="nil"/>
          <w:left w:val="nil"/>
          <w:bottom w:val="nil"/>
          <w:right w:val="nil"/>
          <w:between w:val="nil"/>
        </w:pBdr>
        <w:shd w:val="clear" w:color="auto" w:fill="FFFFFF"/>
        <w:spacing w:before="240" w:after="0" w:line="360" w:lineRule="auto"/>
        <w:rPr>
          <w:i/>
          <w:color w:val="000000"/>
        </w:rPr>
      </w:pPr>
      <w:r>
        <w:rPr>
          <w:rFonts w:ascii="Arial" w:eastAsia="Arial" w:hAnsi="Arial" w:cs="Arial"/>
          <w:color w:val="000000"/>
          <w:highlight w:val="white"/>
        </w:rPr>
        <w:t>Cottrell, S. (2023) </w:t>
      </w:r>
      <w:r>
        <w:rPr>
          <w:rFonts w:ascii="Arial" w:eastAsia="Arial" w:hAnsi="Arial" w:cs="Arial"/>
          <w:i/>
          <w:color w:val="000000"/>
          <w:highlight w:val="white"/>
        </w:rPr>
        <w:t>Critical thinking skills : effective analysis, argument and reflection</w:t>
      </w:r>
      <w:r>
        <w:rPr>
          <w:rFonts w:ascii="Arial" w:eastAsia="Arial" w:hAnsi="Arial" w:cs="Arial"/>
          <w:color w:val="000000"/>
          <w:highlight w:val="white"/>
        </w:rPr>
        <w:t>. 4th edit</w:t>
      </w:r>
      <w:r>
        <w:rPr>
          <w:rFonts w:ascii="Arial" w:eastAsia="Arial" w:hAnsi="Arial" w:cs="Arial"/>
          <w:color w:val="000000"/>
        </w:rPr>
        <w:t>I</w:t>
      </w:r>
      <w:r>
        <w:rPr>
          <w:rFonts w:ascii="Arial" w:eastAsia="Arial" w:hAnsi="Arial" w:cs="Arial"/>
          <w:color w:val="000000"/>
          <w:highlight w:val="white"/>
        </w:rPr>
        <w:t>on. London: Bloomsbury Academ</w:t>
      </w:r>
      <w:r>
        <w:rPr>
          <w:rFonts w:ascii="Arial" w:eastAsia="Arial" w:hAnsi="Arial" w:cs="Arial"/>
          <w:color w:val="000000"/>
        </w:rPr>
        <w:t>I</w:t>
      </w:r>
      <w:r>
        <w:rPr>
          <w:rFonts w:ascii="Arial" w:eastAsia="Arial" w:hAnsi="Arial" w:cs="Arial"/>
          <w:color w:val="000000"/>
          <w:highlight w:val="white"/>
        </w:rPr>
        <w:t>c.</w:t>
      </w:r>
    </w:p>
    <w:p w14:paraId="00000042" w14:textId="77777777" w:rsidR="00C61F8A" w:rsidRDefault="00000000">
      <w:pPr>
        <w:numPr>
          <w:ilvl w:val="0"/>
          <w:numId w:val="1"/>
        </w:numPr>
        <w:pBdr>
          <w:top w:val="nil"/>
          <w:left w:val="nil"/>
          <w:bottom w:val="nil"/>
          <w:right w:val="nil"/>
          <w:between w:val="nil"/>
        </w:pBdr>
        <w:shd w:val="clear" w:color="auto" w:fill="FFFFFF"/>
        <w:spacing w:after="0" w:line="360" w:lineRule="auto"/>
        <w:rPr>
          <w:i/>
          <w:color w:val="000000"/>
        </w:rPr>
      </w:pPr>
      <w:r>
        <w:rPr>
          <w:rFonts w:ascii="Arial" w:eastAsia="Arial" w:hAnsi="Arial" w:cs="Arial"/>
          <w:color w:val="000000"/>
        </w:rPr>
        <w:t>Sally Ann Ashton-Hay, Naomi Doncaster</w:t>
      </w:r>
      <w:r>
        <w:rPr>
          <w:rFonts w:ascii="Arial" w:eastAsia="Arial" w:hAnsi="Arial" w:cs="Arial"/>
          <w:i/>
          <w:color w:val="000000"/>
        </w:rPr>
        <w:t xml:space="preserve">,Journal of Academic Language and Learning 15 (1), 102-116, 2021.   </w:t>
      </w:r>
      <w:hyperlink r:id="rId7" w:anchor="d=gs_qabs&amp;t=1723729008650&amp;u=%23p%3DVJRN6cgRZ4gJ">
        <w:r>
          <w:rPr>
            <w:rFonts w:ascii="Arial" w:eastAsia="Arial" w:hAnsi="Arial" w:cs="Arial"/>
            <w:i/>
            <w:color w:val="000000"/>
            <w:u w:val="single"/>
          </w:rPr>
          <w:t>https://scholar.google.com/scholar?hl=en&amp;as_sdt=0%2C5&amp;q=Importance+of++%22academic+skills%22&amp;oq=#d=gs_qabs&amp;t=1723729008650&amp;u=%23p%3DVJRN6cgRZ4gJ</w:t>
        </w:r>
      </w:hyperlink>
    </w:p>
    <w:p w14:paraId="00000043" w14:textId="77777777" w:rsidR="00C61F8A" w:rsidRDefault="00000000">
      <w:pPr>
        <w:numPr>
          <w:ilvl w:val="0"/>
          <w:numId w:val="1"/>
        </w:numPr>
        <w:pBdr>
          <w:top w:val="nil"/>
          <w:left w:val="nil"/>
          <w:bottom w:val="nil"/>
          <w:right w:val="nil"/>
          <w:between w:val="nil"/>
        </w:pBdr>
        <w:shd w:val="clear" w:color="auto" w:fill="FFFFFF"/>
        <w:spacing w:after="0" w:line="360" w:lineRule="auto"/>
        <w:rPr>
          <w:i/>
          <w:color w:val="000000"/>
        </w:rPr>
      </w:pPr>
      <w:r>
        <w:rPr>
          <w:rFonts w:ascii="Arial" w:eastAsia="Arial" w:hAnsi="Arial" w:cs="Arial"/>
          <w:color w:val="000000"/>
        </w:rPr>
        <w:t>Diah Maulidya Hans</w:t>
      </w:r>
      <w:r>
        <w:rPr>
          <w:rFonts w:ascii="Arial" w:eastAsia="Arial" w:hAnsi="Arial" w:cs="Arial"/>
          <w:i/>
          <w:color w:val="000000"/>
        </w:rPr>
        <w:t xml:space="preserve">,Pedagogy: Journal of English Language Teaching 2 (1), 10-18, 2017. </w:t>
      </w:r>
      <w:hyperlink r:id="rId8" w:anchor="d=gs_qabs&amp;t=1723729553011&amp;u=%23p%3DLXr_MhP8AF8J">
        <w:r>
          <w:rPr>
            <w:rFonts w:ascii="Arial" w:eastAsia="Arial" w:hAnsi="Arial" w:cs="Arial"/>
            <w:i/>
            <w:color w:val="000000"/>
            <w:u w:val="single"/>
          </w:rPr>
          <w:t>https://scholar.google.com/scholar?hl=en&amp;as_sdt=0%2C5&amp;q=Importance+of+paraphrasing&amp;btnG=#d=gs_qabs&amp;t=1723729553011&amp;u=%23p%3DLXr_MhP8AF8J</w:t>
        </w:r>
      </w:hyperlink>
    </w:p>
    <w:p w14:paraId="00000044" w14:textId="77777777" w:rsidR="00C61F8A" w:rsidRDefault="00000000">
      <w:pPr>
        <w:numPr>
          <w:ilvl w:val="0"/>
          <w:numId w:val="1"/>
        </w:numPr>
        <w:pBdr>
          <w:top w:val="nil"/>
          <w:left w:val="nil"/>
          <w:bottom w:val="nil"/>
          <w:right w:val="nil"/>
          <w:between w:val="nil"/>
        </w:pBdr>
        <w:shd w:val="clear" w:color="auto" w:fill="FFFFFF"/>
        <w:spacing w:after="0" w:line="360" w:lineRule="auto"/>
        <w:rPr>
          <w:color w:val="000000"/>
        </w:rPr>
      </w:pPr>
      <w:r>
        <w:rPr>
          <w:rFonts w:ascii="Arial" w:eastAsia="Arial" w:hAnsi="Arial" w:cs="Arial"/>
          <w:color w:val="000000"/>
        </w:rPr>
        <w:t>Desra Miranda</w:t>
      </w:r>
      <w:r>
        <w:rPr>
          <w:rFonts w:ascii="Arial" w:eastAsia="Arial" w:hAnsi="Arial" w:cs="Arial"/>
          <w:i/>
          <w:color w:val="000000"/>
        </w:rPr>
        <w:t xml:space="preserve">,UIn Ar-Raniry,2022 </w:t>
      </w:r>
      <w:hyperlink r:id="rId9" w:anchor="d=gs_qabs&amp;t=1723729836406&amp;u=%23p%3D7cHZRyboI28J">
        <w:r>
          <w:rPr>
            <w:rFonts w:ascii="Arial" w:eastAsia="Arial" w:hAnsi="Arial" w:cs="Arial"/>
            <w:i/>
            <w:color w:val="000000"/>
            <w:u w:val="single"/>
          </w:rPr>
          <w:t>https://scholar.google.com/scholar?hl=en&amp;as_sdt=0%2C5&amp;q=Importance+of+paraphrasing&amp;btnG=#d=gs_qabs&amp;t=1723729836406&amp;u=%23p%3D7cHZRyboI28J</w:t>
        </w:r>
      </w:hyperlink>
    </w:p>
    <w:p w14:paraId="00000045" w14:textId="77777777" w:rsidR="00C61F8A" w:rsidRDefault="00000000">
      <w:pPr>
        <w:numPr>
          <w:ilvl w:val="0"/>
          <w:numId w:val="1"/>
        </w:numPr>
        <w:pBdr>
          <w:top w:val="nil"/>
          <w:left w:val="nil"/>
          <w:bottom w:val="nil"/>
          <w:right w:val="nil"/>
          <w:between w:val="nil"/>
        </w:pBdr>
        <w:shd w:val="clear" w:color="auto" w:fill="FFFFFF"/>
        <w:spacing w:after="0" w:line="360" w:lineRule="auto"/>
        <w:rPr>
          <w:i/>
          <w:color w:val="000000"/>
        </w:rPr>
      </w:pPr>
      <w:r>
        <w:rPr>
          <w:rFonts w:ascii="Arial" w:eastAsia="Arial" w:hAnsi="Arial" w:cs="Arial"/>
          <w:color w:val="000000"/>
        </w:rPr>
        <w:t>Dr Julian Hermida</w:t>
      </w:r>
      <w:r>
        <w:rPr>
          <w:rFonts w:ascii="Arial" w:eastAsia="Arial" w:hAnsi="Arial" w:cs="Arial"/>
          <w:i/>
          <w:color w:val="000000"/>
        </w:rPr>
        <w:t xml:space="preserve">,Available at SSRN 1419247, 2009 </w:t>
      </w:r>
      <w:hyperlink r:id="rId10" w:anchor="d=gs_qabs&amp;t=1723730438174&amp;u=%23p%3DmSLKs72AHUEJ">
        <w:r>
          <w:rPr>
            <w:rFonts w:ascii="Arial" w:eastAsia="Arial" w:hAnsi="Arial" w:cs="Arial"/>
            <w:i/>
            <w:color w:val="000000"/>
            <w:u w:val="single"/>
          </w:rPr>
          <w:t>https://scholar.google.com/scholar?hl=en&amp;as_sdt=0%2C5&amp;q=academic+skills+importance&amp;oq=academic+skills+impo#d=gs_qabs&amp;t=1723730438174&amp;u=%23p%3DmSLKs72AHUEJ</w:t>
        </w:r>
      </w:hyperlink>
    </w:p>
    <w:p w14:paraId="00000046" w14:textId="77777777" w:rsidR="00C61F8A" w:rsidRDefault="00000000">
      <w:pPr>
        <w:numPr>
          <w:ilvl w:val="0"/>
          <w:numId w:val="1"/>
        </w:numPr>
        <w:pBdr>
          <w:top w:val="nil"/>
          <w:left w:val="nil"/>
          <w:bottom w:val="nil"/>
          <w:right w:val="nil"/>
          <w:between w:val="nil"/>
        </w:pBdr>
        <w:shd w:val="clear" w:color="auto" w:fill="FFFFFF"/>
        <w:spacing w:after="0" w:line="360" w:lineRule="auto"/>
        <w:rPr>
          <w:i/>
          <w:color w:val="000000"/>
        </w:rPr>
      </w:pPr>
      <w:r>
        <w:rPr>
          <w:rFonts w:ascii="Arial" w:eastAsia="Arial" w:hAnsi="Arial" w:cs="Arial"/>
          <w:color w:val="000000"/>
        </w:rPr>
        <w:t>Ann Smith</w:t>
      </w:r>
      <w:r>
        <w:rPr>
          <w:rFonts w:ascii="Arial" w:eastAsia="Arial" w:hAnsi="Arial" w:cs="Arial"/>
          <w:i/>
          <w:color w:val="000000"/>
        </w:rPr>
        <w:t xml:space="preserve">,Journal of advanced Nursing 28 (4), 891-898, 1998 </w:t>
      </w:r>
      <w:hyperlink r:id="rId11" w:anchor="d=gs_qabs&amp;t=1723734234782&amp;u=%23p%3Di0qWCK6VHQ0J">
        <w:r>
          <w:rPr>
            <w:rFonts w:ascii="Arial" w:eastAsia="Arial" w:hAnsi="Arial" w:cs="Arial"/>
            <w:i/>
            <w:color w:val="000000"/>
            <w:u w:val="single"/>
          </w:rPr>
          <w:t>https://scholar.google.com/scholar?hl=en&amp;as_sdt=0%2C5&amp;q=importance+reflection+in+learning&amp;oq=Importance+reflection#d=gs_qabs&amp;t=1723734234782&amp;u=%23p%3Di0qWCK6VHQ0J</w:t>
        </w:r>
      </w:hyperlink>
    </w:p>
    <w:p w14:paraId="00000047" w14:textId="77777777" w:rsidR="00C61F8A" w:rsidRDefault="00000000">
      <w:pPr>
        <w:numPr>
          <w:ilvl w:val="0"/>
          <w:numId w:val="1"/>
        </w:numPr>
        <w:pBdr>
          <w:top w:val="nil"/>
          <w:left w:val="nil"/>
          <w:bottom w:val="nil"/>
          <w:right w:val="nil"/>
          <w:between w:val="nil"/>
        </w:pBdr>
        <w:shd w:val="clear" w:color="auto" w:fill="FFFFFF"/>
        <w:spacing w:after="240" w:line="360" w:lineRule="auto"/>
        <w:rPr>
          <w:color w:val="000000"/>
        </w:rPr>
      </w:pPr>
      <w:r>
        <w:rPr>
          <w:rFonts w:ascii="Arial" w:eastAsia="Arial" w:hAnsi="Arial" w:cs="Arial"/>
          <w:color w:val="000000"/>
        </w:rPr>
        <w:t>Steen Høyrup</w:t>
      </w:r>
      <w:r>
        <w:rPr>
          <w:rFonts w:ascii="Arial" w:eastAsia="Arial" w:hAnsi="Arial" w:cs="Arial"/>
          <w:i/>
          <w:color w:val="000000"/>
        </w:rPr>
        <w:t xml:space="preserve">;Learning, working and living: mapping the terrain of working life learning, 85-101, 2006 </w:t>
      </w:r>
      <w:hyperlink r:id="rId12" w:anchor="d=gs_qabs&amp;t=1723734546863&amp;u=%23p%3D3X5K8onLgTAJ">
        <w:r>
          <w:rPr>
            <w:rFonts w:ascii="Arial" w:eastAsia="Arial" w:hAnsi="Arial" w:cs="Arial"/>
            <w:i/>
            <w:color w:val="000000"/>
            <w:u w:val="single"/>
          </w:rPr>
          <w:t>https://scholar.google.com/scholar?hl=en&amp;as_sdt=0%2C5&amp;q=importance+reflection+in+learning&amp;oq=Importance+reflection#d=gs_qabs&amp;t=1723734546863&amp;u=%23p%3D3X5K8onLgTAJ</w:t>
        </w:r>
      </w:hyperlink>
    </w:p>
    <w:sectPr w:rsidR="00C61F8A">
      <w:footerReference w:type="default" r:id="rId13"/>
      <w:pgSz w:w="11906" w:h="16838"/>
      <w:pgMar w:top="1440" w:right="1440"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7AB25" w14:textId="77777777" w:rsidR="0097259F" w:rsidRDefault="0097259F">
      <w:pPr>
        <w:spacing w:after="0" w:line="240" w:lineRule="auto"/>
      </w:pPr>
      <w:r>
        <w:separator/>
      </w:r>
    </w:p>
  </w:endnote>
  <w:endnote w:type="continuationSeparator" w:id="0">
    <w:p w14:paraId="2EE61788" w14:textId="77777777" w:rsidR="0097259F" w:rsidRDefault="00972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Quattrocento Sans">
    <w:panose1 w:val="020B0502050000020003"/>
    <w:charset w:val="00"/>
    <w:family w:val="swiss"/>
    <w:pitch w:val="variable"/>
    <w:sig w:usb0="800000BF" w:usb1="4000005B"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8" w14:textId="5C6B5741" w:rsidR="00C61F8A" w:rsidRDefault="00000000">
    <w:pPr>
      <w:pBdr>
        <w:top w:val="nil"/>
        <w:left w:val="nil"/>
        <w:bottom w:val="nil"/>
        <w:right w:val="nil"/>
        <w:between w:val="nil"/>
      </w:pBdr>
      <w:tabs>
        <w:tab w:val="center" w:pos="4513"/>
        <w:tab w:val="right" w:pos="9026"/>
      </w:tabs>
      <w:spacing w:after="0" w:line="240" w:lineRule="auto"/>
      <w:rPr>
        <w:color w:val="000000"/>
      </w:rPr>
    </w:pPr>
    <w:r>
      <w:rPr>
        <w:color w:val="000000"/>
      </w:rPr>
      <w:t xml:space="preserve">                                                                                                                                                                                </w:t>
    </w:r>
    <w:r>
      <w:rPr>
        <w:color w:val="000000"/>
      </w:rPr>
      <w:fldChar w:fldCharType="begin"/>
    </w:r>
    <w:r>
      <w:rPr>
        <w:color w:val="000000"/>
      </w:rPr>
      <w:instrText>PAGE</w:instrText>
    </w:r>
    <w:r>
      <w:rPr>
        <w:color w:val="000000"/>
      </w:rPr>
      <w:fldChar w:fldCharType="separate"/>
    </w:r>
    <w:r w:rsidR="00CC3412">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1A54B0" w14:textId="77777777" w:rsidR="0097259F" w:rsidRDefault="0097259F">
      <w:pPr>
        <w:spacing w:after="0" w:line="240" w:lineRule="auto"/>
      </w:pPr>
      <w:r>
        <w:separator/>
      </w:r>
    </w:p>
  </w:footnote>
  <w:footnote w:type="continuationSeparator" w:id="0">
    <w:p w14:paraId="4E46EC69" w14:textId="77777777" w:rsidR="0097259F" w:rsidRDefault="00972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FE3A0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49155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F8A"/>
    <w:rsid w:val="00236FC2"/>
    <w:rsid w:val="00384D2B"/>
    <w:rsid w:val="0097259F"/>
    <w:rsid w:val="00A107F3"/>
    <w:rsid w:val="00C61F8A"/>
    <w:rsid w:val="00CC341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5:docId w15:val="{09EBEE67-A756-4548-BC80-3B0650D72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2"/>
        <w:szCs w:val="22"/>
        <w:lang w:val="en-GB"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240" w:after="0"/>
      <w:outlineLvl w:val="0"/>
    </w:pPr>
    <w:rPr>
      <w:rFonts w:ascii="Play" w:eastAsia="Play" w:hAnsi="Play" w:cs="Play"/>
      <w:color w:val="0F4761"/>
      <w:sz w:val="32"/>
      <w:szCs w:val="32"/>
    </w:rPr>
  </w:style>
  <w:style w:type="paragraph" w:styleId="Titlu2">
    <w:name w:val="heading 2"/>
    <w:basedOn w:val="Normal"/>
    <w:next w:val="Normal"/>
    <w:uiPriority w:val="9"/>
    <w:unhideWhenUsed/>
    <w:qFormat/>
    <w:pPr>
      <w:keepNext/>
      <w:keepLines/>
      <w:spacing w:before="40" w:after="0"/>
      <w:outlineLvl w:val="1"/>
    </w:pPr>
    <w:rPr>
      <w:rFonts w:ascii="Play" w:eastAsia="Play" w:hAnsi="Play" w:cs="Play"/>
      <w:color w:val="0F4761"/>
      <w:sz w:val="26"/>
      <w:szCs w:val="26"/>
    </w:rPr>
  </w:style>
  <w:style w:type="paragraph" w:styleId="Titlu3">
    <w:name w:val="heading 3"/>
    <w:basedOn w:val="Normal"/>
    <w:next w:val="Normal"/>
    <w:uiPriority w:val="9"/>
    <w:unhideWhenUsed/>
    <w:qFormat/>
    <w:pPr>
      <w:keepNext/>
      <w:keepLines/>
      <w:spacing w:before="160" w:after="80"/>
      <w:outlineLvl w:val="2"/>
    </w:pPr>
    <w:rPr>
      <w:color w:val="0F4761"/>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480" w:after="120"/>
    </w:pPr>
    <w:rPr>
      <w:b/>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scholar.google.com/scholar?hl=en&amp;as_sdt=0%2C5&amp;q=Importance+of+paraphrasing&amp;btnG=" TargetMode="External"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s://scholar.google.com/scholar?hl=en&amp;as_sdt=0%2C5&amp;q=Importance+of++%22academic+skills%22&amp;oq=" TargetMode="External" /><Relationship Id="rId12" Type="http://schemas.openxmlformats.org/officeDocument/2006/relationships/hyperlink" Target="https://scholar.google.com/scholar?hl=en&amp;as_sdt=0%2C5&amp;q=importance+reflection+in+learning&amp;oq=Importance+reflection"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scholar.google.com/scholar?hl=en&amp;as_sdt=0%2C5&amp;q=importance+reflection+in+learning&amp;oq=Importance+reflection"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scholar.google.com/scholar?hl=en&amp;as_sdt=0%2C5&amp;q=academic+skills+importance&amp;oq=academic+skills+impo" TargetMode="External" /><Relationship Id="rId4" Type="http://schemas.openxmlformats.org/officeDocument/2006/relationships/webSettings" Target="webSettings.xml" /><Relationship Id="rId9" Type="http://schemas.openxmlformats.org/officeDocument/2006/relationships/hyperlink" Target="https://scholar.google.com/scholar?hl=en&amp;as_sdt=0%2C5&amp;q=Importance+of+paraphrasing&amp;btnG="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2147</Words>
  <Characters>12457</Characters>
  <Application>Microsoft Office Word</Application>
  <DocSecurity>0</DocSecurity>
  <Lines>103</Lines>
  <Paragraphs>29</Paragraphs>
  <ScaleCrop>false</ScaleCrop>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Manoila</cp:lastModifiedBy>
  <cp:revision>4</cp:revision>
  <dcterms:created xsi:type="dcterms:W3CDTF">2024-08-20T08:07:00Z</dcterms:created>
  <dcterms:modified xsi:type="dcterms:W3CDTF">2024-08-20T08:09:00Z</dcterms:modified>
</cp:coreProperties>
</file>