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827" w:rsidRPr="000D40DD" w:rsidRDefault="000D40DD" w:rsidP="000D40DD">
      <w:pPr>
        <w:jc w:val="center"/>
        <w:rPr>
          <w:rFonts w:eastAsia="Times New Roman"/>
          <w:b/>
          <w:bCs/>
          <w:sz w:val="36"/>
          <w:szCs w:val="36"/>
        </w:rPr>
      </w:pPr>
      <w:r w:rsidRPr="000D40DD">
        <w:rPr>
          <w:noProof/>
          <w:lang w:val="en-US" w:eastAsia="en-US"/>
        </w:rPr>
        <w:drawing>
          <wp:inline distT="0" distB="0" distL="0" distR="0">
            <wp:extent cx="2903220" cy="1451610"/>
            <wp:effectExtent l="0" t="0" r="0" b="0"/>
            <wp:docPr id="1841675026"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10666" cy="1455333"/>
                    </a:xfrm>
                    <a:prstGeom prst="rect">
                      <a:avLst/>
                    </a:prstGeom>
                    <a:noFill/>
                    <a:ln>
                      <a:noFill/>
                    </a:ln>
                  </pic:spPr>
                </pic:pic>
              </a:graphicData>
            </a:graphic>
          </wp:inline>
        </w:drawing>
      </w:r>
    </w:p>
    <w:p w:rsidR="0091132E" w:rsidRPr="000D40DD" w:rsidRDefault="0091132E" w:rsidP="008E607F">
      <w:pPr>
        <w:jc w:val="center"/>
        <w:rPr>
          <w:rFonts w:eastAsia="Times New Roman"/>
          <w:b/>
          <w:bCs/>
          <w:sz w:val="36"/>
          <w:szCs w:val="36"/>
        </w:rPr>
      </w:pPr>
    </w:p>
    <w:p w:rsidR="001C4827" w:rsidRPr="000D40DD" w:rsidRDefault="001C4827" w:rsidP="001C4827">
      <w:pPr>
        <w:jc w:val="center"/>
        <w:rPr>
          <w:rFonts w:eastAsia="Times New Roman"/>
          <w:b/>
          <w:bCs/>
          <w:sz w:val="32"/>
          <w:szCs w:val="32"/>
        </w:rPr>
      </w:pPr>
      <w:r w:rsidRPr="000D40DD">
        <w:rPr>
          <w:rFonts w:eastAsia="Times New Roman"/>
          <w:b/>
          <w:bCs/>
          <w:sz w:val="32"/>
          <w:szCs w:val="32"/>
        </w:rPr>
        <w:t>Programme: MSc Public Health and Social Care in Practice</w:t>
      </w:r>
    </w:p>
    <w:p w:rsidR="001C4827" w:rsidRPr="000D40DD" w:rsidRDefault="001C4827" w:rsidP="001C4827">
      <w:pPr>
        <w:jc w:val="center"/>
        <w:rPr>
          <w:rFonts w:eastAsia="Times New Roman"/>
          <w:b/>
          <w:bCs/>
          <w:sz w:val="32"/>
          <w:szCs w:val="32"/>
        </w:rPr>
      </w:pPr>
      <w:r w:rsidRPr="000D40DD">
        <w:rPr>
          <w:rFonts w:eastAsia="Times New Roman"/>
          <w:b/>
          <w:bCs/>
          <w:sz w:val="32"/>
          <w:szCs w:val="32"/>
        </w:rPr>
        <w:t>Module: Health Care System Organisation and Leadership</w:t>
      </w:r>
    </w:p>
    <w:p w:rsidR="001C4827" w:rsidRPr="000D40DD" w:rsidRDefault="001C4827" w:rsidP="001C4827">
      <w:pPr>
        <w:jc w:val="center"/>
        <w:rPr>
          <w:rFonts w:eastAsia="Times New Roman"/>
          <w:b/>
          <w:bCs/>
          <w:sz w:val="32"/>
          <w:szCs w:val="32"/>
        </w:rPr>
      </w:pPr>
      <w:r w:rsidRPr="000D40DD">
        <w:rPr>
          <w:rFonts w:eastAsia="Times New Roman"/>
          <w:b/>
          <w:bCs/>
          <w:sz w:val="32"/>
          <w:szCs w:val="32"/>
        </w:rPr>
        <w:t>Module code: LCHS7002</w:t>
      </w:r>
    </w:p>
    <w:p w:rsidR="000D40DD" w:rsidRPr="000D40DD" w:rsidRDefault="000D40DD" w:rsidP="001C4827">
      <w:pPr>
        <w:jc w:val="center"/>
        <w:rPr>
          <w:rFonts w:eastAsia="Times New Roman"/>
          <w:b/>
          <w:bCs/>
          <w:sz w:val="32"/>
          <w:szCs w:val="32"/>
        </w:rPr>
      </w:pPr>
    </w:p>
    <w:p w:rsidR="001C4827" w:rsidRPr="000D40DD" w:rsidRDefault="001C4827" w:rsidP="009D1350">
      <w:pPr>
        <w:jc w:val="center"/>
        <w:rPr>
          <w:rFonts w:eastAsia="Times New Roman"/>
          <w:b/>
          <w:bCs/>
          <w:sz w:val="32"/>
          <w:szCs w:val="32"/>
        </w:rPr>
      </w:pPr>
      <w:r w:rsidRPr="000D40DD">
        <w:rPr>
          <w:rFonts w:eastAsia="Times New Roman"/>
          <w:b/>
          <w:bCs/>
          <w:sz w:val="32"/>
          <w:szCs w:val="32"/>
        </w:rPr>
        <w:t>Lecturer: Dr Fahad Khan</w:t>
      </w:r>
    </w:p>
    <w:p w:rsidR="001C4827" w:rsidRPr="000D40DD" w:rsidRDefault="001C4827" w:rsidP="001C4827">
      <w:pPr>
        <w:jc w:val="center"/>
        <w:rPr>
          <w:rFonts w:eastAsia="Times New Roman"/>
          <w:b/>
          <w:bCs/>
          <w:i/>
          <w:iCs/>
          <w:sz w:val="32"/>
          <w:szCs w:val="32"/>
        </w:rPr>
      </w:pPr>
      <w:r w:rsidRPr="000D40DD">
        <w:rPr>
          <w:rFonts w:eastAsia="Times New Roman"/>
          <w:b/>
          <w:bCs/>
          <w:i/>
          <w:iCs/>
          <w:sz w:val="32"/>
          <w:szCs w:val="32"/>
        </w:rPr>
        <w:t>Assignment Title: Case Study Analysis Report</w:t>
      </w:r>
    </w:p>
    <w:p w:rsidR="001C4827" w:rsidRPr="000D40DD" w:rsidRDefault="001C4827" w:rsidP="009D1350">
      <w:pPr>
        <w:jc w:val="center"/>
        <w:rPr>
          <w:rFonts w:eastAsia="Times New Roman"/>
          <w:b/>
          <w:bCs/>
          <w:sz w:val="32"/>
          <w:szCs w:val="32"/>
        </w:rPr>
      </w:pPr>
      <w:r w:rsidRPr="000D40DD">
        <w:rPr>
          <w:rFonts w:eastAsia="Times New Roman"/>
          <w:b/>
          <w:bCs/>
          <w:i/>
          <w:iCs/>
          <w:sz w:val="32"/>
          <w:szCs w:val="32"/>
        </w:rPr>
        <w:t>Case Study: Study of a Care Home Opioid Overdose</w:t>
      </w:r>
    </w:p>
    <w:p w:rsidR="001C4827" w:rsidRPr="00C41E15" w:rsidRDefault="001C4827" w:rsidP="001C4827">
      <w:pPr>
        <w:jc w:val="center"/>
        <w:rPr>
          <w:rFonts w:eastAsia="Times New Roman"/>
          <w:b/>
          <w:bCs/>
          <w:i/>
          <w:iCs/>
          <w:sz w:val="32"/>
          <w:szCs w:val="32"/>
        </w:rPr>
      </w:pPr>
      <w:r w:rsidRPr="00C41E15">
        <w:rPr>
          <w:rFonts w:eastAsia="Times New Roman"/>
          <w:b/>
          <w:bCs/>
          <w:i/>
          <w:iCs/>
          <w:sz w:val="32"/>
          <w:szCs w:val="32"/>
        </w:rPr>
        <w:t>Student Name:</w:t>
      </w:r>
      <w:r w:rsidR="00C41E15" w:rsidRPr="00C41E15">
        <w:rPr>
          <w:rFonts w:eastAsia="Times New Roman"/>
          <w:b/>
          <w:bCs/>
          <w:i/>
          <w:iCs/>
          <w:sz w:val="32"/>
          <w:szCs w:val="32"/>
        </w:rPr>
        <w:t xml:space="preserve"> Ramani </w:t>
      </w:r>
      <w:r w:rsidR="00C41E15">
        <w:rPr>
          <w:rFonts w:eastAsia="Times New Roman"/>
          <w:b/>
          <w:bCs/>
          <w:i/>
          <w:iCs/>
          <w:sz w:val="32"/>
          <w:szCs w:val="32"/>
        </w:rPr>
        <w:t>K</w:t>
      </w:r>
      <w:r w:rsidR="00C41E15" w:rsidRPr="00C41E15">
        <w:rPr>
          <w:rFonts w:eastAsia="Times New Roman"/>
          <w:b/>
          <w:bCs/>
          <w:i/>
          <w:iCs/>
          <w:sz w:val="32"/>
          <w:szCs w:val="32"/>
        </w:rPr>
        <w:t xml:space="preserve">rupali </w:t>
      </w:r>
      <w:r w:rsidR="00C41E15">
        <w:rPr>
          <w:rFonts w:eastAsia="Times New Roman"/>
          <w:b/>
          <w:bCs/>
          <w:i/>
          <w:iCs/>
          <w:sz w:val="32"/>
          <w:szCs w:val="32"/>
        </w:rPr>
        <w:t>H</w:t>
      </w:r>
      <w:r w:rsidR="00C41E15" w:rsidRPr="00C41E15">
        <w:rPr>
          <w:rFonts w:eastAsia="Times New Roman"/>
          <w:b/>
          <w:bCs/>
          <w:i/>
          <w:iCs/>
          <w:sz w:val="32"/>
          <w:szCs w:val="32"/>
        </w:rPr>
        <w:t>asmukhbhai</w:t>
      </w:r>
    </w:p>
    <w:p w:rsidR="001C4827" w:rsidRPr="00C41E15" w:rsidRDefault="001C4827" w:rsidP="009D1350">
      <w:pPr>
        <w:jc w:val="center"/>
        <w:rPr>
          <w:rFonts w:eastAsia="Times New Roman"/>
          <w:b/>
          <w:bCs/>
          <w:i/>
          <w:iCs/>
          <w:sz w:val="32"/>
          <w:szCs w:val="32"/>
        </w:rPr>
      </w:pPr>
      <w:r w:rsidRPr="00C41E15">
        <w:rPr>
          <w:rFonts w:eastAsia="Times New Roman"/>
          <w:b/>
          <w:bCs/>
          <w:i/>
          <w:iCs/>
          <w:sz w:val="32"/>
          <w:szCs w:val="32"/>
        </w:rPr>
        <w:t>Student ID:</w:t>
      </w:r>
      <w:r w:rsidR="00C41E15" w:rsidRPr="00C41E15">
        <w:rPr>
          <w:rFonts w:eastAsia="Times New Roman"/>
          <w:b/>
          <w:bCs/>
          <w:i/>
          <w:iCs/>
          <w:sz w:val="32"/>
          <w:szCs w:val="32"/>
        </w:rPr>
        <w:t xml:space="preserve"> 2520812</w:t>
      </w:r>
    </w:p>
    <w:p w:rsidR="000D40DD" w:rsidRPr="00C41E15" w:rsidRDefault="001C4827" w:rsidP="009D1350">
      <w:pPr>
        <w:jc w:val="center"/>
        <w:rPr>
          <w:rFonts w:eastAsia="Times New Roman"/>
          <w:b/>
          <w:bCs/>
          <w:i/>
          <w:iCs/>
          <w:sz w:val="32"/>
          <w:szCs w:val="32"/>
        </w:rPr>
      </w:pPr>
      <w:r w:rsidRPr="00C41E15">
        <w:rPr>
          <w:rFonts w:eastAsia="Times New Roman"/>
          <w:b/>
          <w:bCs/>
          <w:i/>
          <w:iCs/>
          <w:sz w:val="32"/>
          <w:szCs w:val="32"/>
        </w:rPr>
        <w:t xml:space="preserve">Word Count: </w:t>
      </w:r>
      <w:r w:rsidR="009D1350" w:rsidRPr="00C41E15">
        <w:rPr>
          <w:rFonts w:eastAsia="Times New Roman"/>
          <w:b/>
          <w:bCs/>
          <w:i/>
          <w:iCs/>
          <w:sz w:val="32"/>
          <w:szCs w:val="32"/>
        </w:rPr>
        <w:t>5212</w:t>
      </w:r>
    </w:p>
    <w:p w:rsidR="001C4827" w:rsidRPr="000D40DD" w:rsidRDefault="000D40DD" w:rsidP="000D40DD">
      <w:pPr>
        <w:spacing w:before="0" w:after="0" w:line="276" w:lineRule="auto"/>
        <w:jc w:val="left"/>
        <w:rPr>
          <w:rFonts w:eastAsia="Times New Roman"/>
          <w:b/>
          <w:bCs/>
          <w:sz w:val="28"/>
          <w:szCs w:val="28"/>
        </w:rPr>
      </w:pPr>
      <w:r w:rsidRPr="000D40DD">
        <w:rPr>
          <w:rFonts w:eastAsia="Times New Roman"/>
          <w:b/>
          <w:bCs/>
          <w:sz w:val="28"/>
          <w:szCs w:val="28"/>
        </w:rPr>
        <w:br w:type="page"/>
      </w:r>
    </w:p>
    <w:sdt>
      <w:sdtPr>
        <w:rPr>
          <w:rFonts w:ascii="Arial" w:eastAsia="Arial" w:hAnsi="Arial" w:cs="Arial"/>
          <w:color w:val="auto"/>
          <w:sz w:val="22"/>
          <w:szCs w:val="22"/>
          <w:lang w:val="en-GB" w:eastAsia="en-GB"/>
        </w:rPr>
        <w:id w:val="692498559"/>
        <w:docPartObj>
          <w:docPartGallery w:val="Table of Contents"/>
          <w:docPartUnique/>
        </w:docPartObj>
      </w:sdtPr>
      <w:sdtEndPr>
        <w:rPr>
          <w:b/>
          <w:bCs/>
          <w:noProof/>
        </w:rPr>
      </w:sdtEndPr>
      <w:sdtContent>
        <w:p w:rsidR="001C4827" w:rsidRPr="000D40DD" w:rsidRDefault="001C4827" w:rsidP="001C4827">
          <w:pPr>
            <w:pStyle w:val="TOCHeading"/>
            <w:jc w:val="center"/>
            <w:rPr>
              <w:rFonts w:ascii="Arial" w:hAnsi="Arial" w:cs="Arial"/>
              <w:b/>
              <w:bCs/>
              <w:color w:val="000000" w:themeColor="text1"/>
              <w:sz w:val="28"/>
              <w:szCs w:val="28"/>
            </w:rPr>
          </w:pPr>
          <w:r w:rsidRPr="000D40DD">
            <w:rPr>
              <w:rFonts w:ascii="Arial" w:hAnsi="Arial" w:cs="Arial"/>
              <w:b/>
              <w:bCs/>
              <w:color w:val="000000" w:themeColor="text1"/>
              <w:sz w:val="28"/>
              <w:szCs w:val="28"/>
            </w:rPr>
            <w:t>Table of Contents</w:t>
          </w:r>
        </w:p>
        <w:p w:rsidR="009D1350" w:rsidRPr="000D40DD" w:rsidRDefault="00685EDE" w:rsidP="009D1350">
          <w:pPr>
            <w:pStyle w:val="TOC1"/>
            <w:rPr>
              <w:rFonts w:eastAsiaTheme="minorEastAsia"/>
              <w:kern w:val="2"/>
              <w:szCs w:val="24"/>
              <w:lang w:val="en-IN" w:eastAsia="en-IN"/>
            </w:rPr>
          </w:pPr>
          <w:r w:rsidRPr="000D40DD">
            <w:rPr>
              <w:noProof w:val="0"/>
            </w:rPr>
            <w:fldChar w:fldCharType="begin"/>
          </w:r>
          <w:r w:rsidR="001C4827" w:rsidRPr="000D40DD">
            <w:instrText xml:space="preserve"> TOC \o "1-3" \h \z \u </w:instrText>
          </w:r>
          <w:r w:rsidRPr="000D40DD">
            <w:rPr>
              <w:noProof w:val="0"/>
            </w:rPr>
            <w:fldChar w:fldCharType="separate"/>
          </w:r>
          <w:hyperlink w:anchor="_Toc224233849" w:history="1">
            <w:r w:rsidR="009D1350" w:rsidRPr="000D40DD">
              <w:rPr>
                <w:rStyle w:val="Hyperlink"/>
              </w:rPr>
              <w:t>1. Introduction</w:t>
            </w:r>
            <w:r w:rsidR="009D1350" w:rsidRPr="000D40DD">
              <w:rPr>
                <w:webHidden/>
              </w:rPr>
              <w:tab/>
            </w:r>
            <w:r w:rsidRPr="000D40DD">
              <w:rPr>
                <w:webHidden/>
              </w:rPr>
              <w:fldChar w:fldCharType="begin"/>
            </w:r>
            <w:r w:rsidR="009D1350" w:rsidRPr="000D40DD">
              <w:rPr>
                <w:webHidden/>
              </w:rPr>
              <w:instrText xml:space="preserve"> PAGEREF _Toc224233849 \h </w:instrText>
            </w:r>
            <w:r w:rsidRPr="000D40DD">
              <w:rPr>
                <w:webHidden/>
              </w:rPr>
            </w:r>
            <w:r w:rsidRPr="000D40DD">
              <w:rPr>
                <w:webHidden/>
              </w:rPr>
              <w:fldChar w:fldCharType="separate"/>
            </w:r>
            <w:r w:rsidR="009D1350" w:rsidRPr="000D40DD">
              <w:rPr>
                <w:webHidden/>
              </w:rPr>
              <w:t>3</w:t>
            </w:r>
            <w:r w:rsidRPr="000D40DD">
              <w:rPr>
                <w:webHidden/>
              </w:rPr>
              <w:fldChar w:fldCharType="end"/>
            </w:r>
          </w:hyperlink>
        </w:p>
        <w:p w:rsidR="009D1350" w:rsidRPr="000D40DD" w:rsidRDefault="00685EDE" w:rsidP="009D1350">
          <w:pPr>
            <w:pStyle w:val="TOC1"/>
            <w:rPr>
              <w:rFonts w:eastAsiaTheme="minorEastAsia"/>
              <w:kern w:val="2"/>
              <w:szCs w:val="24"/>
              <w:lang w:val="en-IN" w:eastAsia="en-IN"/>
            </w:rPr>
          </w:pPr>
          <w:hyperlink w:anchor="_Toc224233850" w:history="1">
            <w:r w:rsidR="009D1350" w:rsidRPr="000D40DD">
              <w:rPr>
                <w:rStyle w:val="Hyperlink"/>
              </w:rPr>
              <w:t>2. Main Body</w:t>
            </w:r>
            <w:r w:rsidR="009D1350" w:rsidRPr="000D40DD">
              <w:rPr>
                <w:webHidden/>
              </w:rPr>
              <w:tab/>
            </w:r>
            <w:r w:rsidRPr="000D40DD">
              <w:rPr>
                <w:webHidden/>
              </w:rPr>
              <w:fldChar w:fldCharType="begin"/>
            </w:r>
            <w:r w:rsidR="009D1350" w:rsidRPr="000D40DD">
              <w:rPr>
                <w:webHidden/>
              </w:rPr>
              <w:instrText xml:space="preserve"> PAGEREF _Toc224233850 \h </w:instrText>
            </w:r>
            <w:r w:rsidRPr="000D40DD">
              <w:rPr>
                <w:webHidden/>
              </w:rPr>
            </w:r>
            <w:r w:rsidRPr="000D40DD">
              <w:rPr>
                <w:webHidden/>
              </w:rPr>
              <w:fldChar w:fldCharType="separate"/>
            </w:r>
            <w:r w:rsidR="009D1350" w:rsidRPr="000D40DD">
              <w:rPr>
                <w:webHidden/>
              </w:rPr>
              <w:t>4</w:t>
            </w:r>
            <w:r w:rsidRPr="000D40DD">
              <w:rPr>
                <w:webHidden/>
              </w:rPr>
              <w:fldChar w:fldCharType="end"/>
            </w:r>
          </w:hyperlink>
        </w:p>
        <w:p w:rsidR="009D1350" w:rsidRPr="000D40DD" w:rsidRDefault="00685EDE">
          <w:pPr>
            <w:pStyle w:val="TOC2"/>
            <w:tabs>
              <w:tab w:val="right" w:leader="dot" w:pos="9350"/>
            </w:tabs>
            <w:rPr>
              <w:rFonts w:eastAsiaTheme="minorEastAsia"/>
              <w:noProof/>
              <w:kern w:val="2"/>
              <w:szCs w:val="24"/>
              <w:lang w:val="en-IN" w:eastAsia="en-IN"/>
            </w:rPr>
          </w:pPr>
          <w:hyperlink w:anchor="_Toc224233851" w:history="1">
            <w:r w:rsidR="009D1350" w:rsidRPr="000D40DD">
              <w:rPr>
                <w:rStyle w:val="Hyperlink"/>
                <w:noProof/>
              </w:rPr>
              <w:t>2.1 Identifying the Problem and Setting the System Context- Applying Systems Thinking and the Rich Picture</w:t>
            </w:r>
            <w:r w:rsidR="009D1350" w:rsidRPr="000D40DD">
              <w:rPr>
                <w:noProof/>
                <w:webHidden/>
              </w:rPr>
              <w:tab/>
            </w:r>
            <w:r w:rsidRPr="000D40DD">
              <w:rPr>
                <w:noProof/>
                <w:webHidden/>
              </w:rPr>
              <w:fldChar w:fldCharType="begin"/>
            </w:r>
            <w:r w:rsidR="009D1350" w:rsidRPr="000D40DD">
              <w:rPr>
                <w:noProof/>
                <w:webHidden/>
              </w:rPr>
              <w:instrText xml:space="preserve"> PAGEREF _Toc224233851 \h </w:instrText>
            </w:r>
            <w:r w:rsidRPr="000D40DD">
              <w:rPr>
                <w:noProof/>
                <w:webHidden/>
              </w:rPr>
            </w:r>
            <w:r w:rsidRPr="000D40DD">
              <w:rPr>
                <w:noProof/>
                <w:webHidden/>
              </w:rPr>
              <w:fldChar w:fldCharType="separate"/>
            </w:r>
            <w:r w:rsidR="009D1350" w:rsidRPr="000D40DD">
              <w:rPr>
                <w:noProof/>
                <w:webHidden/>
              </w:rPr>
              <w:t>4</w:t>
            </w:r>
            <w:r w:rsidRPr="000D40DD">
              <w:rPr>
                <w:noProof/>
                <w:webHidden/>
              </w:rPr>
              <w:fldChar w:fldCharType="end"/>
            </w:r>
          </w:hyperlink>
        </w:p>
        <w:p w:rsidR="009D1350" w:rsidRPr="000D40DD" w:rsidRDefault="00685EDE">
          <w:pPr>
            <w:pStyle w:val="TOC2"/>
            <w:tabs>
              <w:tab w:val="right" w:leader="dot" w:pos="9350"/>
            </w:tabs>
            <w:rPr>
              <w:rFonts w:eastAsiaTheme="minorEastAsia"/>
              <w:noProof/>
              <w:kern w:val="2"/>
              <w:szCs w:val="24"/>
              <w:lang w:val="en-IN" w:eastAsia="en-IN"/>
            </w:rPr>
          </w:pPr>
          <w:hyperlink w:anchor="_Toc224233852" w:history="1">
            <w:r w:rsidR="009D1350" w:rsidRPr="000D40DD">
              <w:rPr>
                <w:rStyle w:val="Hyperlink"/>
                <w:noProof/>
              </w:rPr>
              <w:t>2.2 Centralisation or Decentralisation within the Case Study</w:t>
            </w:r>
            <w:r w:rsidR="009D1350" w:rsidRPr="000D40DD">
              <w:rPr>
                <w:noProof/>
                <w:webHidden/>
              </w:rPr>
              <w:tab/>
            </w:r>
            <w:r w:rsidRPr="000D40DD">
              <w:rPr>
                <w:noProof/>
                <w:webHidden/>
              </w:rPr>
              <w:fldChar w:fldCharType="begin"/>
            </w:r>
            <w:r w:rsidR="009D1350" w:rsidRPr="000D40DD">
              <w:rPr>
                <w:noProof/>
                <w:webHidden/>
              </w:rPr>
              <w:instrText xml:space="preserve"> PAGEREF _Toc224233852 \h </w:instrText>
            </w:r>
            <w:r w:rsidRPr="000D40DD">
              <w:rPr>
                <w:noProof/>
                <w:webHidden/>
              </w:rPr>
            </w:r>
            <w:r w:rsidRPr="000D40DD">
              <w:rPr>
                <w:noProof/>
                <w:webHidden/>
              </w:rPr>
              <w:fldChar w:fldCharType="separate"/>
            </w:r>
            <w:r w:rsidR="009D1350" w:rsidRPr="000D40DD">
              <w:rPr>
                <w:noProof/>
                <w:webHidden/>
              </w:rPr>
              <w:t>8</w:t>
            </w:r>
            <w:r w:rsidRPr="000D40DD">
              <w:rPr>
                <w:noProof/>
                <w:webHidden/>
              </w:rPr>
              <w:fldChar w:fldCharType="end"/>
            </w:r>
          </w:hyperlink>
        </w:p>
        <w:p w:rsidR="009D1350" w:rsidRPr="000D40DD" w:rsidRDefault="00685EDE">
          <w:pPr>
            <w:pStyle w:val="TOC2"/>
            <w:tabs>
              <w:tab w:val="right" w:leader="dot" w:pos="9350"/>
            </w:tabs>
            <w:rPr>
              <w:rFonts w:eastAsiaTheme="minorEastAsia"/>
              <w:noProof/>
              <w:kern w:val="2"/>
              <w:szCs w:val="24"/>
              <w:lang w:val="en-IN" w:eastAsia="en-IN"/>
            </w:rPr>
          </w:pPr>
          <w:hyperlink w:anchor="_Toc224233853" w:history="1">
            <w:r w:rsidR="009D1350" w:rsidRPr="000D40DD">
              <w:rPr>
                <w:rStyle w:val="Hyperlink"/>
                <w:noProof/>
              </w:rPr>
              <w:t>2.3 Leadership Theories and Application to the Case Study</w:t>
            </w:r>
            <w:r w:rsidR="009D1350" w:rsidRPr="000D40DD">
              <w:rPr>
                <w:noProof/>
                <w:webHidden/>
              </w:rPr>
              <w:tab/>
            </w:r>
            <w:r w:rsidRPr="000D40DD">
              <w:rPr>
                <w:noProof/>
                <w:webHidden/>
              </w:rPr>
              <w:fldChar w:fldCharType="begin"/>
            </w:r>
            <w:r w:rsidR="009D1350" w:rsidRPr="000D40DD">
              <w:rPr>
                <w:noProof/>
                <w:webHidden/>
              </w:rPr>
              <w:instrText xml:space="preserve"> PAGEREF _Toc224233853 \h </w:instrText>
            </w:r>
            <w:r w:rsidRPr="000D40DD">
              <w:rPr>
                <w:noProof/>
                <w:webHidden/>
              </w:rPr>
            </w:r>
            <w:r w:rsidRPr="000D40DD">
              <w:rPr>
                <w:noProof/>
                <w:webHidden/>
              </w:rPr>
              <w:fldChar w:fldCharType="separate"/>
            </w:r>
            <w:r w:rsidR="009D1350" w:rsidRPr="000D40DD">
              <w:rPr>
                <w:noProof/>
                <w:webHidden/>
              </w:rPr>
              <w:t>11</w:t>
            </w:r>
            <w:r w:rsidRPr="000D40DD">
              <w:rPr>
                <w:noProof/>
                <w:webHidden/>
              </w:rPr>
              <w:fldChar w:fldCharType="end"/>
            </w:r>
          </w:hyperlink>
        </w:p>
        <w:p w:rsidR="009D1350" w:rsidRPr="000D40DD" w:rsidRDefault="00685EDE">
          <w:pPr>
            <w:pStyle w:val="TOC2"/>
            <w:tabs>
              <w:tab w:val="right" w:leader="dot" w:pos="9350"/>
            </w:tabs>
            <w:rPr>
              <w:rFonts w:eastAsiaTheme="minorEastAsia"/>
              <w:noProof/>
              <w:kern w:val="2"/>
              <w:szCs w:val="24"/>
              <w:lang w:val="en-IN" w:eastAsia="en-IN"/>
            </w:rPr>
          </w:pPr>
          <w:hyperlink w:anchor="_Toc224233854" w:history="1">
            <w:r w:rsidR="009D1350" w:rsidRPr="000D40DD">
              <w:rPr>
                <w:rStyle w:val="Hyperlink"/>
                <w:noProof/>
              </w:rPr>
              <w:t>2.4 Improvement, and Lessons Learned</w:t>
            </w:r>
            <w:r w:rsidR="009D1350" w:rsidRPr="000D40DD">
              <w:rPr>
                <w:noProof/>
                <w:webHidden/>
              </w:rPr>
              <w:tab/>
            </w:r>
            <w:r w:rsidRPr="000D40DD">
              <w:rPr>
                <w:noProof/>
                <w:webHidden/>
              </w:rPr>
              <w:fldChar w:fldCharType="begin"/>
            </w:r>
            <w:r w:rsidR="009D1350" w:rsidRPr="000D40DD">
              <w:rPr>
                <w:noProof/>
                <w:webHidden/>
              </w:rPr>
              <w:instrText xml:space="preserve"> PAGEREF _Toc224233854 \h </w:instrText>
            </w:r>
            <w:r w:rsidRPr="000D40DD">
              <w:rPr>
                <w:noProof/>
                <w:webHidden/>
              </w:rPr>
            </w:r>
            <w:r w:rsidRPr="000D40DD">
              <w:rPr>
                <w:noProof/>
                <w:webHidden/>
              </w:rPr>
              <w:fldChar w:fldCharType="separate"/>
            </w:r>
            <w:r w:rsidR="009D1350" w:rsidRPr="000D40DD">
              <w:rPr>
                <w:noProof/>
                <w:webHidden/>
              </w:rPr>
              <w:t>17</w:t>
            </w:r>
            <w:r w:rsidRPr="000D40DD">
              <w:rPr>
                <w:noProof/>
                <w:webHidden/>
              </w:rPr>
              <w:fldChar w:fldCharType="end"/>
            </w:r>
          </w:hyperlink>
        </w:p>
        <w:p w:rsidR="009D1350" w:rsidRPr="000D40DD" w:rsidRDefault="00685EDE" w:rsidP="009D1350">
          <w:pPr>
            <w:pStyle w:val="TOC1"/>
            <w:rPr>
              <w:rFonts w:eastAsiaTheme="minorEastAsia"/>
              <w:kern w:val="2"/>
              <w:szCs w:val="24"/>
              <w:lang w:val="en-IN" w:eastAsia="en-IN"/>
            </w:rPr>
          </w:pPr>
          <w:hyperlink w:anchor="_Toc224233855" w:history="1">
            <w:r w:rsidR="009D1350" w:rsidRPr="000D40DD">
              <w:rPr>
                <w:rStyle w:val="Hyperlink"/>
              </w:rPr>
              <w:t>3. Recommendation</w:t>
            </w:r>
            <w:r w:rsidR="009D1350" w:rsidRPr="000D40DD">
              <w:rPr>
                <w:webHidden/>
              </w:rPr>
              <w:tab/>
            </w:r>
            <w:r w:rsidRPr="000D40DD">
              <w:rPr>
                <w:webHidden/>
              </w:rPr>
              <w:fldChar w:fldCharType="begin"/>
            </w:r>
            <w:r w:rsidR="009D1350" w:rsidRPr="000D40DD">
              <w:rPr>
                <w:webHidden/>
              </w:rPr>
              <w:instrText xml:space="preserve"> PAGEREF _Toc224233855 \h </w:instrText>
            </w:r>
            <w:r w:rsidRPr="000D40DD">
              <w:rPr>
                <w:webHidden/>
              </w:rPr>
            </w:r>
            <w:r w:rsidRPr="000D40DD">
              <w:rPr>
                <w:webHidden/>
              </w:rPr>
              <w:fldChar w:fldCharType="separate"/>
            </w:r>
            <w:r w:rsidR="009D1350" w:rsidRPr="000D40DD">
              <w:rPr>
                <w:webHidden/>
              </w:rPr>
              <w:t>21</w:t>
            </w:r>
            <w:r w:rsidRPr="000D40DD">
              <w:rPr>
                <w:webHidden/>
              </w:rPr>
              <w:fldChar w:fldCharType="end"/>
            </w:r>
          </w:hyperlink>
        </w:p>
        <w:p w:rsidR="009D1350" w:rsidRPr="000D40DD" w:rsidRDefault="00685EDE" w:rsidP="009D1350">
          <w:pPr>
            <w:pStyle w:val="TOC1"/>
            <w:rPr>
              <w:rFonts w:eastAsiaTheme="minorEastAsia"/>
              <w:kern w:val="2"/>
              <w:szCs w:val="24"/>
              <w:lang w:val="en-IN" w:eastAsia="en-IN"/>
            </w:rPr>
          </w:pPr>
          <w:hyperlink w:anchor="_Toc224233856" w:history="1">
            <w:r w:rsidR="009D1350" w:rsidRPr="000D40DD">
              <w:rPr>
                <w:rStyle w:val="Hyperlink"/>
              </w:rPr>
              <w:t>4. Conclusion</w:t>
            </w:r>
            <w:r w:rsidR="009D1350" w:rsidRPr="000D40DD">
              <w:rPr>
                <w:webHidden/>
              </w:rPr>
              <w:tab/>
            </w:r>
            <w:r w:rsidRPr="000D40DD">
              <w:rPr>
                <w:webHidden/>
              </w:rPr>
              <w:fldChar w:fldCharType="begin"/>
            </w:r>
            <w:r w:rsidR="009D1350" w:rsidRPr="000D40DD">
              <w:rPr>
                <w:webHidden/>
              </w:rPr>
              <w:instrText xml:space="preserve"> PAGEREF _Toc224233856 \h </w:instrText>
            </w:r>
            <w:r w:rsidRPr="000D40DD">
              <w:rPr>
                <w:webHidden/>
              </w:rPr>
            </w:r>
            <w:r w:rsidRPr="000D40DD">
              <w:rPr>
                <w:webHidden/>
              </w:rPr>
              <w:fldChar w:fldCharType="separate"/>
            </w:r>
            <w:r w:rsidR="009D1350" w:rsidRPr="000D40DD">
              <w:rPr>
                <w:webHidden/>
              </w:rPr>
              <w:t>23</w:t>
            </w:r>
            <w:r w:rsidRPr="000D40DD">
              <w:rPr>
                <w:webHidden/>
              </w:rPr>
              <w:fldChar w:fldCharType="end"/>
            </w:r>
          </w:hyperlink>
        </w:p>
        <w:p w:rsidR="009D1350" w:rsidRPr="000D40DD" w:rsidRDefault="00685EDE" w:rsidP="009D1350">
          <w:pPr>
            <w:pStyle w:val="TOC1"/>
            <w:rPr>
              <w:rFonts w:eastAsiaTheme="minorEastAsia"/>
              <w:kern w:val="2"/>
              <w:szCs w:val="24"/>
              <w:lang w:val="en-IN" w:eastAsia="en-IN"/>
            </w:rPr>
          </w:pPr>
          <w:hyperlink w:anchor="_Toc224233857" w:history="1">
            <w:r w:rsidR="009D1350" w:rsidRPr="000D40DD">
              <w:rPr>
                <w:rStyle w:val="Hyperlink"/>
              </w:rPr>
              <w:t>Reference list</w:t>
            </w:r>
            <w:r w:rsidR="009D1350" w:rsidRPr="000D40DD">
              <w:rPr>
                <w:webHidden/>
              </w:rPr>
              <w:tab/>
            </w:r>
            <w:r w:rsidRPr="000D40DD">
              <w:rPr>
                <w:webHidden/>
              </w:rPr>
              <w:fldChar w:fldCharType="begin"/>
            </w:r>
            <w:r w:rsidR="009D1350" w:rsidRPr="000D40DD">
              <w:rPr>
                <w:webHidden/>
              </w:rPr>
              <w:instrText xml:space="preserve"> PAGEREF _Toc224233857 \h </w:instrText>
            </w:r>
            <w:r w:rsidRPr="000D40DD">
              <w:rPr>
                <w:webHidden/>
              </w:rPr>
            </w:r>
            <w:r w:rsidRPr="000D40DD">
              <w:rPr>
                <w:webHidden/>
              </w:rPr>
              <w:fldChar w:fldCharType="separate"/>
            </w:r>
            <w:r w:rsidR="009D1350" w:rsidRPr="000D40DD">
              <w:rPr>
                <w:webHidden/>
              </w:rPr>
              <w:t>25</w:t>
            </w:r>
            <w:r w:rsidRPr="000D40DD">
              <w:rPr>
                <w:webHidden/>
              </w:rPr>
              <w:fldChar w:fldCharType="end"/>
            </w:r>
          </w:hyperlink>
        </w:p>
        <w:p w:rsidR="001C4827" w:rsidRPr="000D40DD" w:rsidRDefault="00685EDE">
          <w:r w:rsidRPr="000D40DD">
            <w:rPr>
              <w:b/>
              <w:bCs/>
              <w:noProof/>
            </w:rPr>
            <w:fldChar w:fldCharType="end"/>
          </w:r>
        </w:p>
      </w:sdtContent>
    </w:sdt>
    <w:p w:rsidR="001C4827" w:rsidRPr="000D40DD" w:rsidRDefault="001C4827">
      <w:pPr>
        <w:rPr>
          <w:rFonts w:eastAsia="Times New Roman"/>
          <w:b/>
          <w:bCs/>
          <w:szCs w:val="24"/>
        </w:rPr>
      </w:pPr>
      <w:r w:rsidRPr="000D40DD">
        <w:rPr>
          <w:rFonts w:eastAsia="Times New Roman"/>
          <w:b/>
          <w:bCs/>
          <w:szCs w:val="24"/>
        </w:rPr>
        <w:br w:type="page"/>
      </w:r>
    </w:p>
    <w:p w:rsidR="005C28A6" w:rsidRPr="000D40DD" w:rsidRDefault="00F76CF0" w:rsidP="001C4827">
      <w:pPr>
        <w:pStyle w:val="Heading1"/>
        <w:rPr>
          <w:b w:val="0"/>
        </w:rPr>
      </w:pPr>
      <w:bookmarkStart w:id="0" w:name="_Toc224233849"/>
      <w:r w:rsidRPr="000D40DD">
        <w:lastRenderedPageBreak/>
        <w:t>1. Introduction</w:t>
      </w:r>
      <w:bookmarkEnd w:id="0"/>
    </w:p>
    <w:p w:rsidR="005C28A6" w:rsidRPr="000D40DD" w:rsidRDefault="00F76CF0">
      <w:pPr>
        <w:rPr>
          <w:rFonts w:eastAsia="Times New Roman"/>
          <w:szCs w:val="24"/>
        </w:rPr>
      </w:pPr>
      <w:r w:rsidRPr="000D40DD">
        <w:rPr>
          <w:rFonts w:eastAsia="Times New Roman"/>
          <w:szCs w:val="24"/>
        </w:rPr>
        <w:t xml:space="preserve">Patient safety is one of the central concerns of health and social care systems, especially when the patients are in the care home setting and are usually quite vulnerable to the risks associated with medications. The chosen case study analyses a critical </w:t>
      </w:r>
      <w:r w:rsidRPr="000D40DD">
        <w:rPr>
          <w:rFonts w:eastAsia="Times New Roman"/>
          <w:szCs w:val="24"/>
        </w:rPr>
        <w:t>event that involved one of the care home residents who had an opioid overdose because of misunderstanding medication after leaving hospital care. The resident was also given discontinued and replacement medication since the new prescription was not clearly</w:t>
      </w:r>
      <w:r w:rsidRPr="000D40DD">
        <w:rPr>
          <w:rFonts w:eastAsia="Times New Roman"/>
          <w:szCs w:val="24"/>
        </w:rPr>
        <w:t xml:space="preserve"> documented in the electronic medication system and the staff never discussed the change with healthcare professionals. Despite the treatment of the overdose, the incident showed that the organisation had serious leadership, communication, and governance f</w:t>
      </w:r>
      <w:r w:rsidRPr="000D40DD">
        <w:rPr>
          <w:rFonts w:eastAsia="Times New Roman"/>
          <w:szCs w:val="24"/>
        </w:rPr>
        <w:t xml:space="preserve">laws. </w:t>
      </w:r>
    </w:p>
    <w:p w:rsidR="005C28A6" w:rsidRPr="000D40DD" w:rsidRDefault="00F76CF0">
      <w:pPr>
        <w:rPr>
          <w:rFonts w:eastAsia="Times New Roman"/>
          <w:szCs w:val="24"/>
        </w:rPr>
      </w:pPr>
      <w:r w:rsidRPr="000D40DD">
        <w:rPr>
          <w:rFonts w:eastAsia="Times New Roman"/>
          <w:szCs w:val="24"/>
        </w:rPr>
        <w:t xml:space="preserve">Health and social care leadership can be described as the capability to influence individuals and teams to cooperate and achieve the same objectives aimed at enhancing patient safety, service quality, and organisational performance (Vahedi </w:t>
      </w:r>
      <w:r w:rsidRPr="000D40DD">
        <w:rPr>
          <w:rFonts w:eastAsia="Times New Roman"/>
          <w:i/>
          <w:iCs/>
          <w:szCs w:val="24"/>
        </w:rPr>
        <w:t>et al.,</w:t>
      </w:r>
      <w:r w:rsidRPr="000D40DD">
        <w:rPr>
          <w:rFonts w:eastAsia="Times New Roman"/>
          <w:szCs w:val="24"/>
        </w:rPr>
        <w:t xml:space="preserve"> 2</w:t>
      </w:r>
      <w:r w:rsidRPr="000D40DD">
        <w:rPr>
          <w:rFonts w:eastAsia="Times New Roman"/>
          <w:szCs w:val="24"/>
        </w:rPr>
        <w:t>024). Good leadership entails trying to direct the behaviour of staff, promote team work, foster open communication, and promote the adherence to policies and procedures. Leaders in complex healthcare environments are driven to create organisational cultur</w:t>
      </w:r>
      <w:r w:rsidRPr="000D40DD">
        <w:rPr>
          <w:rFonts w:eastAsia="Times New Roman"/>
          <w:szCs w:val="24"/>
        </w:rPr>
        <w:t xml:space="preserve">e and make sure that employees feel at ease to voice their issues or escalate their risks (Vehvilainen </w:t>
      </w:r>
      <w:r w:rsidRPr="000D40DD">
        <w:rPr>
          <w:rFonts w:eastAsia="Times New Roman"/>
          <w:i/>
          <w:iCs/>
          <w:szCs w:val="24"/>
        </w:rPr>
        <w:t>et al.,</w:t>
      </w:r>
      <w:r w:rsidRPr="000D40DD">
        <w:rPr>
          <w:rFonts w:eastAsia="Times New Roman"/>
          <w:szCs w:val="24"/>
        </w:rPr>
        <w:t xml:space="preserve"> 2024). </w:t>
      </w:r>
    </w:p>
    <w:p w:rsidR="005C28A6" w:rsidRPr="000D40DD" w:rsidRDefault="00F76CF0">
      <w:pPr>
        <w:rPr>
          <w:rFonts w:eastAsia="Times New Roman"/>
          <w:szCs w:val="24"/>
        </w:rPr>
      </w:pPr>
      <w:r w:rsidRPr="000D40DD">
        <w:rPr>
          <w:rFonts w:eastAsia="Times New Roman"/>
          <w:szCs w:val="24"/>
        </w:rPr>
        <w:t>The structures of organisational decision making also affect the response of the healthcare systems to risks and challenges. Centralisati</w:t>
      </w:r>
      <w:r w:rsidRPr="000D40DD">
        <w:rPr>
          <w:rFonts w:eastAsia="Times New Roman"/>
          <w:szCs w:val="24"/>
        </w:rPr>
        <w:t>on is where the decision making power is centralized to the high levels of management where the policies and the procedures are formulated and regulated by the top leaders. By contrast, decentralisation spreads power to frontline employees and enables them</w:t>
      </w:r>
      <w:r w:rsidRPr="000D40DD">
        <w:rPr>
          <w:rFonts w:eastAsia="Times New Roman"/>
          <w:szCs w:val="24"/>
        </w:rPr>
        <w:t xml:space="preserve"> to be more flexible in dealing with operational issues. Each method possesses both the strengths and weaknesses. Centralised systems have the ability to offer consistency and control whereas decentralised offer quicker decision-making and solving of the p</w:t>
      </w:r>
      <w:r w:rsidRPr="000D40DD">
        <w:rPr>
          <w:rFonts w:eastAsia="Times New Roman"/>
          <w:szCs w:val="24"/>
        </w:rPr>
        <w:t>roblems on a local scale.</w:t>
      </w:r>
    </w:p>
    <w:p w:rsidR="005C28A6" w:rsidRPr="000D40DD" w:rsidRDefault="00F76CF0">
      <w:pPr>
        <w:rPr>
          <w:rFonts w:eastAsia="Times New Roman"/>
          <w:szCs w:val="24"/>
        </w:rPr>
      </w:pPr>
      <w:r w:rsidRPr="000D40DD">
        <w:rPr>
          <w:rFonts w:eastAsia="Times New Roman"/>
          <w:szCs w:val="24"/>
        </w:rPr>
        <w:t xml:space="preserve">There are various leadership theories that can be used to explain the way leaders can influence organisational results. Transformational leadership is </w:t>
      </w:r>
      <w:r w:rsidR="001C4827" w:rsidRPr="000D40DD">
        <w:rPr>
          <w:rFonts w:eastAsia="Times New Roman"/>
          <w:szCs w:val="24"/>
        </w:rPr>
        <w:t>cantered</w:t>
      </w:r>
      <w:r w:rsidRPr="000D40DD">
        <w:rPr>
          <w:rFonts w:eastAsia="Times New Roman"/>
          <w:szCs w:val="24"/>
        </w:rPr>
        <w:t xml:space="preserve"> on inspiring and encouraging employees to enhance systems as well as e</w:t>
      </w:r>
      <w:r w:rsidRPr="000D40DD">
        <w:rPr>
          <w:rFonts w:eastAsia="Times New Roman"/>
          <w:szCs w:val="24"/>
        </w:rPr>
        <w:t xml:space="preserve">stablishing a safety culture (Ystaas </w:t>
      </w:r>
      <w:r w:rsidRPr="000D40DD">
        <w:rPr>
          <w:rFonts w:eastAsia="Times New Roman"/>
          <w:i/>
          <w:iCs/>
          <w:szCs w:val="24"/>
        </w:rPr>
        <w:t>et al.,</w:t>
      </w:r>
      <w:r w:rsidRPr="000D40DD">
        <w:rPr>
          <w:rFonts w:eastAsia="Times New Roman"/>
          <w:szCs w:val="24"/>
        </w:rPr>
        <w:t xml:space="preserve"> 2023). Transactional leadership focuses on a systematic procedure, control and adherence to </w:t>
      </w:r>
      <w:r w:rsidRPr="000D40DD">
        <w:rPr>
          <w:rFonts w:eastAsia="Times New Roman"/>
          <w:szCs w:val="24"/>
        </w:rPr>
        <w:lastRenderedPageBreak/>
        <w:t>organisational regulations. Situational leadership emphasizes the need to change the leadership styles based on the sit</w:t>
      </w:r>
      <w:r w:rsidRPr="000D40DD">
        <w:rPr>
          <w:rFonts w:eastAsia="Times New Roman"/>
          <w:szCs w:val="24"/>
        </w:rPr>
        <w:t>uation and requirements of the team.</w:t>
      </w:r>
    </w:p>
    <w:p w:rsidR="005C28A6" w:rsidRPr="000D40DD" w:rsidRDefault="00F76CF0">
      <w:pPr>
        <w:rPr>
          <w:rFonts w:eastAsia="Times New Roman"/>
          <w:szCs w:val="24"/>
        </w:rPr>
      </w:pPr>
      <w:r w:rsidRPr="000D40DD">
        <w:rPr>
          <w:rFonts w:eastAsia="Times New Roman"/>
          <w:szCs w:val="24"/>
        </w:rPr>
        <w:t>The present report will thus evaluate the case through a systems thinking approach in order to determine the weaknesses of the organisation. It will also look at the centralisation and decentralisation, leadership style</w:t>
      </w:r>
      <w:r w:rsidRPr="000D40DD">
        <w:rPr>
          <w:rFonts w:eastAsia="Times New Roman"/>
          <w:szCs w:val="24"/>
        </w:rPr>
        <w:t>s applied in the case, and lessons learned to enhance healthcare leadership, governance, and patient safety.</w:t>
      </w:r>
    </w:p>
    <w:p w:rsidR="005C28A6" w:rsidRPr="000D40DD" w:rsidRDefault="00F76CF0" w:rsidP="00DA70E8">
      <w:pPr>
        <w:pStyle w:val="Heading1"/>
      </w:pPr>
      <w:bookmarkStart w:id="1" w:name="_Toc224233850"/>
      <w:r w:rsidRPr="000D40DD">
        <w:t>2. Main Body</w:t>
      </w:r>
      <w:bookmarkEnd w:id="1"/>
    </w:p>
    <w:p w:rsidR="00C83573" w:rsidRPr="000D40DD" w:rsidRDefault="00C83573" w:rsidP="00DA70E8">
      <w:pPr>
        <w:pStyle w:val="Heading2"/>
      </w:pPr>
      <w:bookmarkStart w:id="2" w:name="_umi60eky5pqd" w:colFirst="0" w:colLast="0"/>
      <w:bookmarkStart w:id="3" w:name="_bbalabkg5w3j" w:colFirst="0" w:colLast="0"/>
      <w:bookmarkStart w:id="4" w:name="_Toc224233851"/>
      <w:bookmarkEnd w:id="2"/>
      <w:bookmarkEnd w:id="3"/>
      <w:r w:rsidRPr="000D40DD">
        <w:t>2.1 Identifying the Problem and Setting the System Context- Applying Systems Thinking and the Rich Picture</w:t>
      </w:r>
      <w:bookmarkEnd w:id="4"/>
      <w:r w:rsidR="000D40DD" w:rsidRPr="000D40DD">
        <w:t xml:space="preserve">(a) </w:t>
      </w:r>
    </w:p>
    <w:p w:rsidR="00C83573" w:rsidRPr="000D40DD" w:rsidRDefault="00C83573" w:rsidP="00C83573">
      <w:pPr>
        <w:rPr>
          <w:b/>
          <w:bCs/>
        </w:rPr>
      </w:pPr>
      <w:r w:rsidRPr="000D40DD">
        <w:rPr>
          <w:b/>
          <w:bCs/>
        </w:rPr>
        <w:t xml:space="preserve">2.1.1 Defining the Central Problem </w:t>
      </w:r>
    </w:p>
    <w:p w:rsidR="00C83573" w:rsidRPr="000D40DD" w:rsidRDefault="00C83573" w:rsidP="00C83573">
      <w:r w:rsidRPr="000D40DD">
        <w:t>The Sunderland care home opioid overdose incidence is one of the critical patient safety failures due to vulnerabilities in medicine administration and health care organisation communication systems. The case of an elderly patient who recently left a hospital after undergoing treatment against pain was witnessed (Bilalova, 2025). As the patient was admitted to the hospital, clinicians switched his opioid morphine to oxycodone due to the negative impact of morphine on kidney function. However, on the patient returning to the care home, the updated medication instructions on the issue, written by the hospital discharge letter, could not be found (Bilalova, 2025). As a result, staff members of care homes failed to understand whether the new prescription was a replacement for the former drug or whether they could use it concomitantly with the former one. The new drug received a wrong entry as a supplementary medication instead of a substitution therapy. This led to an unsafe overdose of both opioids given to the patient, which necessitated an emergency hospital admission (Macintyre, 2022). The patient passed away later after the complication related to the overdose, which is a key indicator of significant gaps in the medication safety systems.</w:t>
      </w:r>
    </w:p>
    <w:p w:rsidR="00C83573" w:rsidRPr="000D40DD" w:rsidRDefault="00C83573" w:rsidP="00C83573">
      <w:pPr>
        <w:rPr>
          <w:b/>
          <w:bCs/>
        </w:rPr>
      </w:pPr>
      <w:r w:rsidRPr="000D40DD">
        <w:rPr>
          <w:b/>
          <w:bCs/>
        </w:rPr>
        <w:t xml:space="preserve">2.1.2 Global and National Context of Medication Safety </w:t>
      </w:r>
    </w:p>
    <w:p w:rsidR="00C83573" w:rsidRPr="000D40DD" w:rsidRDefault="00C83573" w:rsidP="00C83573">
      <w:r w:rsidRPr="000D40DD">
        <w:t xml:space="preserve">Medication errors are a significant issue in the public health of the modern world, having been identified as one of the main causes of avoidable patient injury in healthcare systems (Khatun </w:t>
      </w:r>
      <w:r w:rsidRPr="000D40DD">
        <w:rPr>
          <w:i/>
          <w:iCs/>
        </w:rPr>
        <w:t xml:space="preserve">et al., </w:t>
      </w:r>
      <w:r w:rsidRPr="000D40DD">
        <w:t xml:space="preserve">2024). Medication safety is another priority area presented by the World Health Organisation </w:t>
      </w:r>
      <w:r w:rsidRPr="000D40DD">
        <w:lastRenderedPageBreak/>
        <w:t xml:space="preserve">(WHO), and the program in question is called Medication Without Harm, the purpose of which is to minimise severe medication-related harm on the global level. The medication errors may happen during different phases such as prescriptions, dispensing, administration and control (Chen </w:t>
      </w:r>
      <w:r w:rsidRPr="000D40DD">
        <w:rPr>
          <w:i/>
          <w:iCs/>
        </w:rPr>
        <w:t xml:space="preserve">et al., </w:t>
      </w:r>
      <w:r w:rsidRPr="000D40DD">
        <w:t>2022). These errors are most prevalent with the elderly patients who tend to be on numerous medications in order to treat their complex chronic conditions.</w:t>
      </w:r>
    </w:p>
    <w:p w:rsidR="00C83573" w:rsidRPr="000D40DD" w:rsidRDefault="00C83573" w:rsidP="00C83573">
      <w:r w:rsidRPr="000D40DD">
        <w:t xml:space="preserve">In England, prescription errors have continued to be a major problem within the NHS and social care in general. According to research published in BMJ Quality and Safety, the annual rates of medication errors throughout the English healthcare system amount to some 237 million (BMJ, 2020). A study conducted in England demonstrated that 54% of errors occur during administration, and 21% at the time of prescribing (Pharmaceutical Press, 2024). </w:t>
      </w:r>
    </w:p>
    <w:p w:rsidR="00C83573" w:rsidRPr="000D40DD" w:rsidRDefault="00C83573" w:rsidP="00DA70E8">
      <w:pPr>
        <w:jc w:val="center"/>
      </w:pPr>
      <w:r w:rsidRPr="000D40DD">
        <w:rPr>
          <w:noProof/>
          <w:lang w:val="en-US" w:eastAsia="en-US"/>
        </w:rPr>
        <w:drawing>
          <wp:inline distT="114300" distB="114300" distL="114300" distR="114300">
            <wp:extent cx="5943600" cy="2387600"/>
            <wp:effectExtent l="0" t="0" r="0" b="0"/>
            <wp:docPr id="70317355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2387600"/>
                    </a:xfrm>
                    <a:prstGeom prst="rect">
                      <a:avLst/>
                    </a:prstGeom>
                  </pic:spPr>
                </pic:pic>
              </a:graphicData>
            </a:graphic>
          </wp:inline>
        </w:drawing>
      </w:r>
    </w:p>
    <w:p w:rsidR="00C83573" w:rsidRPr="000D40DD" w:rsidRDefault="00C83573" w:rsidP="00DA70E8">
      <w:pPr>
        <w:jc w:val="center"/>
        <w:rPr>
          <w:b/>
          <w:bCs/>
        </w:rPr>
      </w:pPr>
      <w:r w:rsidRPr="000D40DD">
        <w:rPr>
          <w:b/>
          <w:bCs/>
        </w:rPr>
        <w:t>Figure</w:t>
      </w:r>
      <w:r w:rsidR="00DA70E8" w:rsidRPr="000D40DD">
        <w:rPr>
          <w:b/>
          <w:bCs/>
        </w:rPr>
        <w:t xml:space="preserve"> 1</w:t>
      </w:r>
      <w:r w:rsidRPr="000D40DD">
        <w:rPr>
          <w:b/>
          <w:bCs/>
        </w:rPr>
        <w:t>: Common types of medication errors</w:t>
      </w:r>
    </w:p>
    <w:p w:rsidR="00C83573" w:rsidRPr="000D40DD" w:rsidRDefault="00C83573" w:rsidP="00DA70E8">
      <w:pPr>
        <w:jc w:val="center"/>
      </w:pPr>
      <w:r w:rsidRPr="000D40DD">
        <w:t>(Source: Pharmaceutical Press, 2024)</w:t>
      </w:r>
    </w:p>
    <w:p w:rsidR="00C83573" w:rsidRPr="000D40DD" w:rsidRDefault="00C83573" w:rsidP="00C83573">
      <w:r w:rsidRPr="000D40DD">
        <w:t xml:space="preserve">The mistakes have high clinical and financial costs, with an estimated £98 million per annum to the NHS and a total of about 1,700 deaths annually. Care homes can be considered rather high-risk units for medication errors, as inhabitants are often on several drugs that need regular supervision. Research studies by Pepple and Boumechache (2022) suggested that about 42% of medication errors are found in care home facilities, despite the fact that the percentage of the population that receives care at home is smaller. These numbers must show that the Sunderland opioid overdose case indicates a problem in the wider system of issues relating to </w:t>
      </w:r>
      <w:r w:rsidRPr="000D40DD">
        <w:lastRenderedPageBreak/>
        <w:t>medication safety and highlight the need to prioritise the proper medication control in healthcare systems.</w:t>
      </w:r>
    </w:p>
    <w:p w:rsidR="00C83573" w:rsidRPr="000D40DD" w:rsidRDefault="00C83573" w:rsidP="00C83573">
      <w:pPr>
        <w:rPr>
          <w:b/>
          <w:bCs/>
        </w:rPr>
      </w:pPr>
      <w:r w:rsidRPr="000D40DD">
        <w:rPr>
          <w:b/>
          <w:bCs/>
        </w:rPr>
        <w:t xml:space="preserve">2.1.3 Systemic Weaknesses Revealed by the Case </w:t>
      </w:r>
    </w:p>
    <w:p w:rsidR="00C83573" w:rsidRPr="000D40DD" w:rsidRDefault="00C83573" w:rsidP="00C83573">
      <w:r w:rsidRPr="000D40DD">
        <w:t>The systems thinking approach shows that the Sunderland opioid overdose incident was caused by multiple failures, which were interrelated, and not one individual failure (Bilalova, 2025). The operation of healthcare delivery implies the existence of complex interactions involving organisational processes, human factors and technological systems. It has been shown that when multiple weaknesses co-occur, there are high chance of the patient being harmed.</w:t>
      </w:r>
    </w:p>
    <w:p w:rsidR="00C83573" w:rsidRPr="000D40DD" w:rsidRDefault="00C83573" w:rsidP="00C83573">
      <w:r w:rsidRPr="000D40DD">
        <w:t>The initial systemic failure of this case was associated with the communication gap in the shift between the hospital and the care home (Sturmberg</w:t>
      </w:r>
      <w:r w:rsidRPr="000D40DD">
        <w:rPr>
          <w:i/>
          <w:iCs/>
        </w:rPr>
        <w:t xml:space="preserve">et al., </w:t>
      </w:r>
      <w:r w:rsidRPr="000D40DD">
        <w:t xml:space="preserve">2024). Hospital discharge records are also important in continuity of care, especially where a change of medication is involved. Nevertheless, due to the lack of a discharge letter that would allow confirming the medication change, the staff in the care home did not have credible information regarding the new treatment plan of the patient (Wallis </w:t>
      </w:r>
      <w:r w:rsidRPr="000D40DD">
        <w:rPr>
          <w:i/>
          <w:iCs/>
        </w:rPr>
        <w:t xml:space="preserve">et al., </w:t>
      </w:r>
      <w:r w:rsidRPr="000D40DD">
        <w:t>2024).</w:t>
      </w:r>
    </w:p>
    <w:p w:rsidR="00C83573" w:rsidRPr="000D40DD" w:rsidRDefault="00C83573" w:rsidP="00C83573">
      <w:r w:rsidRPr="000D40DD">
        <w:t>Apart from that, a weakness in the system was identified as inaccurate medication entries into the care home system. The newly prescribed opioid was registered in the record of medication administration as another medication rather than a replacement treatment. This mistake formed a deceptive piece of information, which affected the decision-making associated with the administration of medications and led to the administration of two drugs (Sturmberg</w:t>
      </w:r>
      <w:r w:rsidRPr="000D40DD">
        <w:rPr>
          <w:i/>
          <w:iCs/>
        </w:rPr>
        <w:t xml:space="preserve">et al., </w:t>
      </w:r>
      <w:r w:rsidRPr="000D40DD">
        <w:t xml:space="preserve">2024). Another weakness was related to ineffective verification procedures. Although the change in medication was not clear, the staff still proceeded to administer medication without the successful confirmation of its prescription to hospital clinicians or the general practitioner of the patient; the possibility of causing harm increased (Smith </w:t>
      </w:r>
      <w:r w:rsidRPr="000D40DD">
        <w:rPr>
          <w:i/>
          <w:iCs/>
        </w:rPr>
        <w:t xml:space="preserve">et al., </w:t>
      </w:r>
      <w:r w:rsidRPr="000D40DD">
        <w:t>2022).</w:t>
      </w:r>
    </w:p>
    <w:p w:rsidR="00C83573" w:rsidRPr="000D40DD" w:rsidRDefault="00C83573" w:rsidP="00C83573">
      <w:r w:rsidRPr="000D40DD">
        <w:rPr>
          <w:b/>
          <w:bCs/>
        </w:rPr>
        <w:t xml:space="preserve">2.1.4 Governance Context and System Responsibilities </w:t>
      </w:r>
    </w:p>
    <w:p w:rsidR="00C83573" w:rsidRPr="000D40DD" w:rsidRDefault="00C83573" w:rsidP="00C83573">
      <w:r w:rsidRPr="000D40DD">
        <w:t xml:space="preserve">In the Sunderland case, another issue is the poor governance in health and social care systems. The care homes are known to be working in a network of hospitals, general practitioners, pharmacists and regulatory bodies like the Care Quality Commission (CQC) (Lewis, 2022). There are clinical governance structures and national medication safety policies, </w:t>
      </w:r>
      <w:r w:rsidRPr="000D40DD">
        <w:lastRenderedPageBreak/>
        <w:t>which are used to practice safe prescribing and administration. The success of these structures, however, is determined by proper communication and coordination among organisations. Clinical decisions can be made with incomplete information because discharge documentation is absent or medication records do not include accurate information (Ganzinger</w:t>
      </w:r>
      <w:r w:rsidRPr="000D40DD">
        <w:rPr>
          <w:i/>
          <w:iCs/>
        </w:rPr>
        <w:t xml:space="preserve">et al., </w:t>
      </w:r>
      <w:r w:rsidRPr="000D40DD">
        <w:t>2025). This case thus illustrates how a poor governance structure, accountability systems and coordination of organisations can undermine patient safety within the integrated healthcare services.</w:t>
      </w:r>
    </w:p>
    <w:p w:rsidR="00C83573" w:rsidRPr="000D40DD" w:rsidRDefault="00C83573" w:rsidP="00C83573">
      <w:pPr>
        <w:rPr>
          <w:b/>
          <w:bCs/>
        </w:rPr>
      </w:pPr>
      <w:r w:rsidRPr="000D40DD">
        <w:rPr>
          <w:b/>
          <w:bCs/>
        </w:rPr>
        <w:t xml:space="preserve">2.1.5 Applying Systems Thinking and the Rich Picture </w:t>
      </w:r>
    </w:p>
    <w:p w:rsidR="00C83573" w:rsidRPr="000D40DD" w:rsidRDefault="00C83573" w:rsidP="00C83573">
      <w:r w:rsidRPr="000D40DD">
        <w:t xml:space="preserve">Systems thinking focuses on the analysis of healthcare incidents in terms of interactions between people, processes and organisational structures as opposed to individual errors (Bowditch </w:t>
      </w:r>
      <w:r w:rsidRPr="000D40DD">
        <w:rPr>
          <w:i/>
          <w:iCs/>
        </w:rPr>
        <w:t>et al.,</w:t>
      </w:r>
      <w:r w:rsidRPr="000D40DD">
        <w:t xml:space="preserve"> 2025). These complex relationships are modelled through a Rich Picture, which is a systems thinking tool. The key actors that fall within the Rich Picture in the Sunderland case would involve the hospital clinicians, carers and nurses at the care home, pharmacists, general practitioners and regulatory agencies. The processes are communication of hospital discharge, medication documentation, prescription verification and routine medication administration are important. </w:t>
      </w:r>
    </w:p>
    <w:p w:rsidR="00C83573" w:rsidRPr="000D40DD" w:rsidRDefault="00BE1C6F" w:rsidP="00BE1C6F">
      <w:r w:rsidRPr="000D40DD">
        <w:rPr>
          <w:noProof/>
          <w:lang w:val="en-US" w:eastAsia="en-US"/>
        </w:rPr>
        <w:drawing>
          <wp:inline distT="0" distB="0" distL="0" distR="0">
            <wp:extent cx="6082765" cy="3190875"/>
            <wp:effectExtent l="0" t="0" r="0" b="0"/>
            <wp:docPr id="183953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31241" name=""/>
                    <pic:cNvPicPr/>
                  </pic:nvPicPr>
                  <pic:blipFill>
                    <a:blip r:embed="rId10"/>
                    <a:stretch>
                      <a:fillRect/>
                    </a:stretch>
                  </pic:blipFill>
                  <pic:spPr>
                    <a:xfrm>
                      <a:off x="0" y="0"/>
                      <a:ext cx="6103623" cy="3201817"/>
                    </a:xfrm>
                    <a:prstGeom prst="rect">
                      <a:avLst/>
                    </a:prstGeom>
                  </pic:spPr>
                </pic:pic>
              </a:graphicData>
            </a:graphic>
          </wp:inline>
        </w:drawing>
      </w:r>
    </w:p>
    <w:p w:rsidR="00C83573" w:rsidRPr="000D40DD" w:rsidRDefault="00C83573" w:rsidP="002F5D8C">
      <w:pPr>
        <w:jc w:val="center"/>
        <w:rPr>
          <w:b/>
          <w:bCs/>
        </w:rPr>
      </w:pPr>
      <w:r w:rsidRPr="000D40DD">
        <w:rPr>
          <w:b/>
          <w:bCs/>
        </w:rPr>
        <w:lastRenderedPageBreak/>
        <w:t>Figure</w:t>
      </w:r>
      <w:r w:rsidR="002F5D8C" w:rsidRPr="000D40DD">
        <w:rPr>
          <w:b/>
          <w:bCs/>
        </w:rPr>
        <w:t xml:space="preserve"> 2</w:t>
      </w:r>
      <w:r w:rsidRPr="000D40DD">
        <w:rPr>
          <w:b/>
          <w:bCs/>
        </w:rPr>
        <w:t>: Use Case Diagram of Care Home Medication Management System (Sunderland Opioid Overdose Case)</w:t>
      </w:r>
    </w:p>
    <w:p w:rsidR="00C83573" w:rsidRPr="000D40DD" w:rsidRDefault="00C83573" w:rsidP="002F5D8C">
      <w:pPr>
        <w:jc w:val="center"/>
      </w:pPr>
      <w:r w:rsidRPr="000D40DD">
        <w:t>(Source: Self-</w:t>
      </w:r>
      <w:r w:rsidR="002F5D8C" w:rsidRPr="000D40DD">
        <w:t>developed</w:t>
      </w:r>
      <w:r w:rsidRPr="000D40DD">
        <w:t>)</w:t>
      </w:r>
    </w:p>
    <w:p w:rsidR="00C83573" w:rsidRPr="000D40DD" w:rsidRDefault="00C83573" w:rsidP="00C83573">
      <w:r w:rsidRPr="000D40DD">
        <w:t>The diagram would also indicate issues in healthcare organisations' communication, improper recording of medication by the electronic system and uncertainty experienced by staff who work with incomplete information, how information failure interconnected and even facilitated the overdose incident.</w:t>
      </w:r>
    </w:p>
    <w:p w:rsidR="00C83573" w:rsidRPr="000D40DD" w:rsidRDefault="00C83573" w:rsidP="00012366">
      <w:pPr>
        <w:pStyle w:val="Heading2"/>
      </w:pPr>
      <w:bookmarkStart w:id="5" w:name="_ywlchunjad66" w:colFirst="0" w:colLast="0"/>
      <w:bookmarkStart w:id="6" w:name="_Toc224233852"/>
      <w:bookmarkEnd w:id="5"/>
      <w:r w:rsidRPr="000D40DD">
        <w:t>2.2 Centralisation or Decentralisation within the Case Study</w:t>
      </w:r>
      <w:bookmarkEnd w:id="6"/>
      <w:r w:rsidR="000D40DD" w:rsidRPr="000D40DD">
        <w:t>(b)</w:t>
      </w:r>
    </w:p>
    <w:p w:rsidR="00C83573" w:rsidRPr="000D40DD" w:rsidRDefault="00C83573" w:rsidP="00C83573">
      <w:pPr>
        <w:rPr>
          <w:b/>
          <w:bCs/>
        </w:rPr>
      </w:pPr>
      <w:r w:rsidRPr="000D40DD">
        <w:rPr>
          <w:b/>
          <w:bCs/>
        </w:rPr>
        <w:t xml:space="preserve">2.2.1 Understanding centralisation and decentralisation in healthcare systems </w:t>
      </w:r>
    </w:p>
    <w:p w:rsidR="00C83573" w:rsidRPr="000D40DD" w:rsidRDefault="00C83573" w:rsidP="00C83573">
      <w:r w:rsidRPr="000D40DD">
        <w:t xml:space="preserve">Centralisation and decentralisation forms of governance are issues in which the power of authority, decision-making and accountability is spread out in a healthcare system. In centralised medicine, policy formulation, allocation of funds and clinical policy control decisions are dominated by the national government or headquarters (Hu </w:t>
      </w:r>
      <w:r w:rsidRPr="000D40DD">
        <w:rPr>
          <w:i/>
          <w:iCs/>
        </w:rPr>
        <w:t xml:space="preserve">et al., </w:t>
      </w:r>
      <w:r w:rsidRPr="000D40DD">
        <w:t xml:space="preserve">2025). Centralisation is focused on achieving similar standards of healthcare, uniformity of service provision and an effective level of control by the rules in the organisations. It also enables governments to introduce national safety models and performance monitoring systems that will enhance patient outcomes (Bowditch </w:t>
      </w:r>
      <w:r w:rsidRPr="000D40DD">
        <w:rPr>
          <w:i/>
          <w:iCs/>
        </w:rPr>
        <w:t>et al.,</w:t>
      </w:r>
      <w:r w:rsidRPr="000D40DD">
        <w:t xml:space="preserve"> 2025).</w:t>
      </w:r>
    </w:p>
    <w:p w:rsidR="00C83573" w:rsidRPr="000D40DD" w:rsidRDefault="00C83573" w:rsidP="00C83573">
      <w:r w:rsidRPr="000D40DD">
        <w:t>Decentralisation, on the other hand, is the process of transferring the regulating power and the working responsibility to the regional or local healthcare organisations like hospitals, community health services and care homes. The frontline managers and professionals have the autonomy of making decisions that are informed by the patient needs and service conditions on the ground because of decentralised governance (Åhlin, 2026). On the one hand, this model could introduce greater flexibility and responsiveness in it; on the other hand, it could also result in variability of the quality of care provided, when the local institutions do not have enough resources, leadership capacity or responsibility systems in place to execute national healthcare policies at the required level.</w:t>
      </w:r>
    </w:p>
    <w:p w:rsidR="00C83573" w:rsidRPr="000D40DD" w:rsidRDefault="00C83573" w:rsidP="00C83573">
      <w:pPr>
        <w:rPr>
          <w:b/>
          <w:bCs/>
        </w:rPr>
      </w:pPr>
      <w:r w:rsidRPr="000D40DD">
        <w:rPr>
          <w:b/>
          <w:bCs/>
        </w:rPr>
        <w:t xml:space="preserve">2.2.2 Centralised </w:t>
      </w:r>
      <w:r w:rsidR="00012366" w:rsidRPr="000D40DD">
        <w:rPr>
          <w:b/>
          <w:bCs/>
        </w:rPr>
        <w:t>g</w:t>
      </w:r>
      <w:r w:rsidRPr="000D40DD">
        <w:rPr>
          <w:b/>
          <w:bCs/>
        </w:rPr>
        <w:t xml:space="preserve">overnance within the </w:t>
      </w:r>
      <w:r w:rsidR="00012366" w:rsidRPr="000D40DD">
        <w:rPr>
          <w:b/>
          <w:bCs/>
        </w:rPr>
        <w:t>E</w:t>
      </w:r>
      <w:r w:rsidRPr="000D40DD">
        <w:rPr>
          <w:b/>
          <w:bCs/>
        </w:rPr>
        <w:t xml:space="preserve">nglish </w:t>
      </w:r>
      <w:r w:rsidR="00012366" w:rsidRPr="000D40DD">
        <w:rPr>
          <w:b/>
          <w:bCs/>
        </w:rPr>
        <w:t>he</w:t>
      </w:r>
      <w:r w:rsidRPr="000D40DD">
        <w:rPr>
          <w:b/>
          <w:bCs/>
        </w:rPr>
        <w:t xml:space="preserve">althcare </w:t>
      </w:r>
      <w:r w:rsidR="00012366" w:rsidRPr="000D40DD">
        <w:rPr>
          <w:b/>
          <w:bCs/>
        </w:rPr>
        <w:t>syst</w:t>
      </w:r>
      <w:r w:rsidRPr="000D40DD">
        <w:rPr>
          <w:b/>
          <w:bCs/>
        </w:rPr>
        <w:t xml:space="preserve">em </w:t>
      </w:r>
    </w:p>
    <w:p w:rsidR="00C83573" w:rsidRPr="000D40DD" w:rsidRDefault="00C83573" w:rsidP="00C83573">
      <w:r w:rsidRPr="000D40DD">
        <w:lastRenderedPageBreak/>
        <w:t xml:space="preserve">The English healthcare system exhibits a number of aspects of the centralised governance aiming at standardisation of healthcare and patient safety. The National Health Service (NHS) is a national system based on publicly-funded strategies that define strategic priorities, clinical guidelines and regulations frameworks within organisations involved in healthcare fields (Bhat </w:t>
      </w:r>
      <w:r w:rsidRPr="000D40DD">
        <w:rPr>
          <w:i/>
          <w:iCs/>
        </w:rPr>
        <w:t xml:space="preserve">et al., </w:t>
      </w:r>
      <w:r w:rsidRPr="000D40DD">
        <w:t>2022). The NHS England and the Department of Health and Social Care, as national institutions, have the responsibility of establishing a healthcare policy, allocation of resources and monitoring performance throughout the system.</w:t>
      </w:r>
    </w:p>
    <w:p w:rsidR="00C83573" w:rsidRPr="000D40DD" w:rsidRDefault="00C83573" w:rsidP="00C83573">
      <w:r w:rsidRPr="000D40DD">
        <w:t>Control by the regulatory authorities is also a key component of centralised governance. Care Quality Commission (CQC) is a regulator of health and social care services in England, which operates independently (Ganzinger</w:t>
      </w:r>
      <w:r w:rsidRPr="000D40DD">
        <w:rPr>
          <w:i/>
          <w:iCs/>
        </w:rPr>
        <w:t xml:space="preserve">et al., </w:t>
      </w:r>
      <w:r w:rsidRPr="000D40DD">
        <w:t xml:space="preserve">2025). It carries out the inspection and quality testing to verify that the healthcare organisations comply with the national safety and quality requirements. The need for centralisation can also be seen in the domain of national patient safety programs and medication safety policies, where prescribing and administration practices are standardised (Hu </w:t>
      </w:r>
      <w:r w:rsidRPr="000D40DD">
        <w:rPr>
          <w:i/>
          <w:iCs/>
        </w:rPr>
        <w:t xml:space="preserve">et al., </w:t>
      </w:r>
      <w:r w:rsidRPr="000D40DD">
        <w:t>2025). These frameworks will minimise disparity in the provision of healthcare as well as enhance accountability among organisations that provide health and social care services.</w:t>
      </w:r>
    </w:p>
    <w:p w:rsidR="00C83573" w:rsidRPr="000D40DD" w:rsidRDefault="00C83573" w:rsidP="00C83573">
      <w:pPr>
        <w:rPr>
          <w:b/>
          <w:bCs/>
        </w:rPr>
      </w:pPr>
      <w:r w:rsidRPr="000D40DD">
        <w:rPr>
          <w:b/>
          <w:bCs/>
        </w:rPr>
        <w:t xml:space="preserve">2.2.3 Decentralised decision-making in care home services </w:t>
      </w:r>
    </w:p>
    <w:p w:rsidR="00C83573" w:rsidRPr="000D40DD" w:rsidRDefault="00C83573" w:rsidP="00C83573">
      <w:r w:rsidRPr="000D40DD">
        <w:t xml:space="preserve">Even though national regulatory mechanisms exist, operational decision-making in the care homes is highly decentralised (Åhlin, 2026). The managers, nurses and carers of the care homes have the obligation of putting into practice policies related to healthcare choices at the national level, administration of medications, and daily provision of care to residents. This decentralised form enables organisations to vary care provision based on individual health requirements of the residents and to respond promptly to dynamic clinical conditions (Sapkota </w:t>
      </w:r>
      <w:r w:rsidRPr="000D40DD">
        <w:rPr>
          <w:i/>
          <w:iCs/>
        </w:rPr>
        <w:t xml:space="preserve">et al., </w:t>
      </w:r>
      <w:r w:rsidRPr="000D40DD">
        <w:t>2023).</w:t>
      </w:r>
    </w:p>
    <w:p w:rsidR="00C83573" w:rsidRPr="000D40DD" w:rsidRDefault="00C83573" w:rsidP="00C83573">
      <w:r w:rsidRPr="000D40DD">
        <w:t>Nevertheless, decentralised governance also needs to have a leader, good communication channels and staff training so as to have safe care delivery. In care homes, individuals usually suffering several chronic illnesses and must undergo complex medication schedules, which can be prone to medication errors if procedures are not followed appropriately (Heydarikhayat, Ghanbarzehi and Sabagh, 2024).</w:t>
      </w:r>
    </w:p>
    <w:p w:rsidR="00C83573" w:rsidRPr="000D40DD" w:rsidRDefault="00C83573" w:rsidP="00C83573">
      <w:r w:rsidRPr="000D40DD">
        <w:lastRenderedPageBreak/>
        <w:t xml:space="preserve">The staff at the Sunderland opioid overdose case were to update medication records and give medication to the resident once he came back to the care home. As the documentation of discharge, which confirmed a change of medication was not provided, the staff needed to guess what was not fully provided, and this is what led to the overdosing incident (Sapkota </w:t>
      </w:r>
      <w:r w:rsidRPr="000D40DD">
        <w:rPr>
          <w:i/>
          <w:iCs/>
        </w:rPr>
        <w:t xml:space="preserve">et al., </w:t>
      </w:r>
      <w:r w:rsidRPr="000D40DD">
        <w:t>2023).</w:t>
      </w:r>
    </w:p>
    <w:p w:rsidR="00C83573" w:rsidRPr="000D40DD" w:rsidRDefault="00C83573" w:rsidP="00C83573">
      <w:pPr>
        <w:rPr>
          <w:b/>
          <w:bCs/>
        </w:rPr>
      </w:pPr>
      <w:r w:rsidRPr="000D40DD">
        <w:rPr>
          <w:b/>
          <w:bCs/>
        </w:rPr>
        <w:t xml:space="preserve">2.2.4 Interaction between centralised policies and local implementation </w:t>
      </w:r>
    </w:p>
    <w:p w:rsidR="00C83573" w:rsidRPr="000D40DD" w:rsidRDefault="00C83573" w:rsidP="00C83573">
      <w:r w:rsidRPr="000D40DD">
        <w:t>The Sunderland case has shown the interaction between centralised healthcare policies and decentralised service delivery in the healthcare system. Centralised administration establishes standards, health and safety stipulations and regulatory control that should assure the uniformity of quality of healthcare within organisations (Makrani, Goyal and Sayeed, 2025). However, the enactment of these policies at the local level by the healthcare providers, like hospitals, care homes and community health services, should be implemented effectively.</w:t>
      </w:r>
    </w:p>
    <w:p w:rsidR="00C83573" w:rsidRPr="000D40DD" w:rsidRDefault="00C83573" w:rsidP="00C83573">
      <w:pPr>
        <w:rPr>
          <w:b/>
          <w:bCs/>
        </w:rPr>
      </w:pPr>
      <w:r w:rsidRPr="000D40DD">
        <w:t xml:space="preserve">The centralised governance may be undermined when communication and information exchange between organisations is not successful (Hu </w:t>
      </w:r>
      <w:r w:rsidRPr="000D40DD">
        <w:rPr>
          <w:i/>
          <w:iCs/>
        </w:rPr>
        <w:t xml:space="preserve">et al., </w:t>
      </w:r>
      <w:r w:rsidRPr="000D40DD">
        <w:t xml:space="preserve">2025). The key element of centralisation of healthcare by monitoring the process of securing discharge was the Sunderland incident, in which the discharge documentation that includes medication change was not provided, and thus the hospital discharge process failed. In the absence of this information, the care home staff who had the role of carrying out medication instructions were left with incomplete records (Sapkota </w:t>
      </w:r>
      <w:r w:rsidRPr="000D40DD">
        <w:rPr>
          <w:i/>
          <w:iCs/>
        </w:rPr>
        <w:t xml:space="preserve">et al., </w:t>
      </w:r>
      <w:r w:rsidRPr="000D40DD">
        <w:t>2023).</w:t>
      </w:r>
    </w:p>
    <w:p w:rsidR="005C28A6" w:rsidRPr="000D40DD" w:rsidRDefault="00F76CF0" w:rsidP="001C4827">
      <w:pPr>
        <w:pStyle w:val="Heading2"/>
      </w:pPr>
      <w:bookmarkStart w:id="7" w:name="_Toc224233853"/>
      <w:r w:rsidRPr="000D40DD">
        <w:t>2.3 Leadership Theories and Application to the Case Study</w:t>
      </w:r>
      <w:bookmarkEnd w:id="7"/>
      <w:r w:rsidR="000D40DD" w:rsidRPr="000D40DD">
        <w:t xml:space="preserve">(C) </w:t>
      </w:r>
    </w:p>
    <w:p w:rsidR="005C28A6" w:rsidRPr="000D40DD" w:rsidRDefault="00F76CF0">
      <w:pPr>
        <w:spacing w:before="280"/>
        <w:rPr>
          <w:rFonts w:eastAsia="Times New Roman"/>
          <w:b/>
          <w:bCs/>
          <w:szCs w:val="24"/>
        </w:rPr>
      </w:pPr>
      <w:r w:rsidRPr="000D40DD">
        <w:rPr>
          <w:rFonts w:eastAsia="Times New Roman"/>
          <w:b/>
          <w:bCs/>
          <w:szCs w:val="24"/>
        </w:rPr>
        <w:t>Introduction to Leadership in Healthcare Safety</w:t>
      </w:r>
    </w:p>
    <w:p w:rsidR="005C28A6" w:rsidRPr="000D40DD" w:rsidRDefault="00F76CF0">
      <w:pPr>
        <w:rPr>
          <w:rFonts w:eastAsia="Times New Roman"/>
          <w:szCs w:val="24"/>
        </w:rPr>
      </w:pPr>
      <w:r w:rsidRPr="000D40DD">
        <w:rPr>
          <w:rFonts w:eastAsia="Times New Roman"/>
          <w:szCs w:val="24"/>
        </w:rPr>
        <w:t>Organisational accountability and patient safety is an important role of leadership in the healthcare system (Brittain and Carrington, 2021). The care home medication error, in which an elderly resident received discontinued and substitute opioid medicati</w:t>
      </w:r>
      <w:r w:rsidRPr="000D40DD">
        <w:rPr>
          <w:rFonts w:eastAsia="Times New Roman"/>
          <w:szCs w:val="24"/>
        </w:rPr>
        <w:t>on, shows that there were major leadership and governance failures. The incident shows that there were failures in decision making, communication, and procedural clarity between the care home staff and the management. Leadership in healthcare should not on</w:t>
      </w:r>
      <w:r w:rsidRPr="000D40DD">
        <w:rPr>
          <w:rFonts w:eastAsia="Times New Roman"/>
          <w:szCs w:val="24"/>
        </w:rPr>
        <w:t xml:space="preserve">ly be effective in its operational management but also in its proactive safety management, communication, and a culture that places the wellbeing of the patient, first and foremost (van Kraaij </w:t>
      </w:r>
      <w:r w:rsidRPr="000D40DD">
        <w:rPr>
          <w:rFonts w:eastAsia="Times New Roman"/>
          <w:i/>
          <w:iCs/>
          <w:szCs w:val="24"/>
        </w:rPr>
        <w:t>et al.,</w:t>
      </w:r>
      <w:r w:rsidRPr="000D40DD">
        <w:rPr>
          <w:rFonts w:eastAsia="Times New Roman"/>
          <w:szCs w:val="24"/>
        </w:rPr>
        <w:t xml:space="preserve"> 2020).</w:t>
      </w:r>
    </w:p>
    <w:p w:rsidR="005C28A6" w:rsidRPr="000D40DD" w:rsidRDefault="00F76CF0">
      <w:pPr>
        <w:spacing w:before="280"/>
        <w:rPr>
          <w:rFonts w:eastAsia="Times New Roman"/>
          <w:b/>
          <w:bCs/>
          <w:szCs w:val="24"/>
        </w:rPr>
      </w:pPr>
      <w:r w:rsidRPr="000D40DD">
        <w:rPr>
          <w:rFonts w:eastAsia="Times New Roman"/>
          <w:b/>
          <w:bCs/>
          <w:szCs w:val="24"/>
        </w:rPr>
        <w:lastRenderedPageBreak/>
        <w:t>Great Man Theory and Leadership Authority</w:t>
      </w:r>
    </w:p>
    <w:p w:rsidR="005C28A6" w:rsidRPr="000D40DD" w:rsidRDefault="00F76CF0">
      <w:pPr>
        <w:rPr>
          <w:rFonts w:eastAsia="Times New Roman"/>
          <w:szCs w:val="24"/>
        </w:rPr>
      </w:pPr>
      <w:r w:rsidRPr="000D40DD">
        <w:rPr>
          <w:rFonts w:eastAsia="Times New Roman"/>
          <w:szCs w:val="24"/>
        </w:rPr>
        <w:t>According to the Great Man Theory, leadership performance depends on the power, charisma, and persuasion of an individual who has the ability to lead the other people through a complex or crisis situation (Peters, 2023). This is a role taken by senior clin</w:t>
      </w:r>
      <w:r w:rsidRPr="000D40DD">
        <w:rPr>
          <w:rFonts w:eastAsia="Times New Roman"/>
          <w:szCs w:val="24"/>
        </w:rPr>
        <w:t xml:space="preserve">icians or managers in healthcare organisations in cases of emergencies. The case in the care home however has little evidence of a strong central leader coming in and offering a clear direction when there was a confusion on how to administer medication to </w:t>
      </w:r>
      <w:r w:rsidRPr="000D40DD">
        <w:rPr>
          <w:rFonts w:eastAsia="Times New Roman"/>
          <w:szCs w:val="24"/>
        </w:rPr>
        <w:t>the resident. Employees maintained medication when they were unsure whether the hospital had re-filled the same prescription or it had stopped.</w:t>
      </w:r>
    </w:p>
    <w:p w:rsidR="005C28A6" w:rsidRPr="000D40DD" w:rsidRDefault="00F76CF0" w:rsidP="00CB1454">
      <w:pPr>
        <w:jc w:val="center"/>
        <w:rPr>
          <w:rFonts w:eastAsia="Times New Roman"/>
          <w:szCs w:val="24"/>
        </w:rPr>
      </w:pPr>
      <w:r w:rsidRPr="000D40DD">
        <w:rPr>
          <w:rFonts w:eastAsia="Times New Roman"/>
          <w:noProof/>
          <w:szCs w:val="24"/>
          <w:lang w:val="en-US" w:eastAsia="en-US"/>
        </w:rPr>
        <w:drawing>
          <wp:inline distT="114300" distB="114300" distL="114300" distR="114300">
            <wp:extent cx="4857750" cy="2743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857750" cy="2743200"/>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Figure</w:t>
      </w:r>
      <w:r w:rsidR="00012366" w:rsidRPr="000D40DD">
        <w:rPr>
          <w:rFonts w:eastAsia="Times New Roman"/>
          <w:b/>
          <w:bCs/>
          <w:szCs w:val="24"/>
        </w:rPr>
        <w:t xml:space="preserve"> 3</w:t>
      </w:r>
      <w:r w:rsidRPr="000D40DD">
        <w:rPr>
          <w:rFonts w:eastAsia="Times New Roman"/>
          <w:b/>
          <w:bCs/>
          <w:szCs w:val="24"/>
        </w:rPr>
        <w:t>: Great Man Theory</w:t>
      </w:r>
    </w:p>
    <w:p w:rsidR="005C28A6" w:rsidRPr="000D40DD" w:rsidRDefault="00F76CF0">
      <w:pPr>
        <w:jc w:val="center"/>
        <w:rPr>
          <w:rFonts w:eastAsia="Times New Roman"/>
          <w:szCs w:val="24"/>
        </w:rPr>
      </w:pPr>
      <w:r w:rsidRPr="000D40DD">
        <w:rPr>
          <w:rFonts w:eastAsia="Times New Roman"/>
          <w:szCs w:val="24"/>
        </w:rPr>
        <w:t>(Source: collidu.com. 2026)</w:t>
      </w:r>
    </w:p>
    <w:p w:rsidR="005C28A6" w:rsidRPr="000D40DD" w:rsidRDefault="00F76CF0">
      <w:pPr>
        <w:rPr>
          <w:rFonts w:eastAsia="Times New Roman"/>
          <w:b/>
          <w:bCs/>
          <w:szCs w:val="24"/>
        </w:rPr>
      </w:pPr>
      <w:r w:rsidRPr="000D40DD">
        <w:rPr>
          <w:rFonts w:eastAsia="Times New Roman"/>
          <w:b/>
          <w:bCs/>
          <w:szCs w:val="24"/>
        </w:rPr>
        <w:t>Trait Theory and Leadership Characteristics</w:t>
      </w:r>
    </w:p>
    <w:p w:rsidR="005C28A6" w:rsidRPr="000D40DD" w:rsidRDefault="00F76CF0">
      <w:pPr>
        <w:rPr>
          <w:rFonts w:eastAsia="Times New Roman"/>
          <w:szCs w:val="24"/>
        </w:rPr>
      </w:pPr>
      <w:r w:rsidRPr="000D40DD">
        <w:rPr>
          <w:rFonts w:eastAsia="Times New Roman"/>
          <w:szCs w:val="24"/>
        </w:rPr>
        <w:t xml:space="preserve">Trait theory looks at personal attributes that contribute to individuals becoming good leaders including confidence, decisiveness, empathy, and communication (Sarun </w:t>
      </w:r>
      <w:r w:rsidRPr="000D40DD">
        <w:rPr>
          <w:rFonts w:eastAsia="Times New Roman"/>
          <w:i/>
          <w:iCs/>
          <w:szCs w:val="24"/>
        </w:rPr>
        <w:t>et al.,</w:t>
      </w:r>
      <w:r w:rsidRPr="000D40DD">
        <w:rPr>
          <w:rFonts w:eastAsia="Times New Roman"/>
          <w:szCs w:val="24"/>
        </w:rPr>
        <w:t xml:space="preserve"> 2026). Leaders who have high emotional intelligence and interpersonal skills are mo</w:t>
      </w:r>
      <w:r w:rsidRPr="000D40DD">
        <w:rPr>
          <w:rFonts w:eastAsia="Times New Roman"/>
          <w:szCs w:val="24"/>
        </w:rPr>
        <w:t xml:space="preserve">re likely to create a better teamwork and safe decision-making in a healthcare setting. The behaviour of employees and managers in the case indicates that the main leadership qualities can have been wanting at the </w:t>
      </w:r>
      <w:r w:rsidRPr="000D40DD">
        <w:rPr>
          <w:rFonts w:eastAsia="Times New Roman"/>
          <w:szCs w:val="24"/>
        </w:rPr>
        <w:lastRenderedPageBreak/>
        <w:t>operational level. Employees lacked decisi</w:t>
      </w:r>
      <w:r w:rsidRPr="000D40DD">
        <w:rPr>
          <w:rFonts w:eastAsia="Times New Roman"/>
          <w:szCs w:val="24"/>
        </w:rPr>
        <w:t>veness and accountability when it came to solving the confusion about the medication of the resident (Dinibutun, 2020). The medication was still given without confirmation as opposed to proactively reaching out to the GP or emergency advice services.</w:t>
      </w:r>
    </w:p>
    <w:p w:rsidR="005C28A6" w:rsidRPr="000D40DD" w:rsidRDefault="00F76CF0">
      <w:pPr>
        <w:jc w:val="center"/>
        <w:rPr>
          <w:rFonts w:eastAsia="Times New Roman"/>
          <w:szCs w:val="24"/>
        </w:rPr>
      </w:pPr>
      <w:r w:rsidRPr="000D40DD">
        <w:rPr>
          <w:rFonts w:eastAsia="Times New Roman"/>
          <w:noProof/>
          <w:szCs w:val="24"/>
          <w:lang w:val="en-US" w:eastAsia="en-US"/>
        </w:rPr>
        <w:drawing>
          <wp:inline distT="114300" distB="114300" distL="114300" distR="114300">
            <wp:extent cx="3652520" cy="3200400"/>
            <wp:effectExtent l="0" t="0" r="508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652798" cy="3200644"/>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Fig</w:t>
      </w:r>
      <w:r w:rsidRPr="000D40DD">
        <w:rPr>
          <w:rFonts w:eastAsia="Times New Roman"/>
          <w:b/>
          <w:bCs/>
          <w:szCs w:val="24"/>
        </w:rPr>
        <w:t>ure</w:t>
      </w:r>
      <w:r w:rsidR="00012366" w:rsidRPr="000D40DD">
        <w:rPr>
          <w:rFonts w:eastAsia="Times New Roman"/>
          <w:b/>
          <w:bCs/>
          <w:szCs w:val="24"/>
        </w:rPr>
        <w:t>4</w:t>
      </w:r>
      <w:r w:rsidRPr="000D40DD">
        <w:rPr>
          <w:rFonts w:eastAsia="Times New Roman"/>
          <w:b/>
          <w:bCs/>
          <w:szCs w:val="24"/>
        </w:rPr>
        <w:t>: Trait Theory</w:t>
      </w:r>
    </w:p>
    <w:p w:rsidR="005C28A6" w:rsidRPr="000D40DD" w:rsidRDefault="00F76CF0">
      <w:pPr>
        <w:jc w:val="center"/>
        <w:rPr>
          <w:rFonts w:eastAsia="Times New Roman"/>
          <w:szCs w:val="24"/>
        </w:rPr>
      </w:pPr>
      <w:r w:rsidRPr="000D40DD">
        <w:rPr>
          <w:rFonts w:eastAsia="Times New Roman"/>
          <w:szCs w:val="24"/>
        </w:rPr>
        <w:t>(Source: LifeDev,. 2023)</w:t>
      </w:r>
    </w:p>
    <w:p w:rsidR="005C28A6" w:rsidRPr="000D40DD" w:rsidRDefault="00F76CF0">
      <w:pPr>
        <w:spacing w:before="280"/>
        <w:rPr>
          <w:rFonts w:eastAsia="Times New Roman"/>
          <w:b/>
          <w:bCs/>
          <w:szCs w:val="24"/>
        </w:rPr>
      </w:pPr>
      <w:r w:rsidRPr="000D40DD">
        <w:rPr>
          <w:rFonts w:eastAsia="Times New Roman"/>
          <w:b/>
          <w:bCs/>
          <w:szCs w:val="24"/>
        </w:rPr>
        <w:t>Behavioural Leadership Theories and Management Priorities</w:t>
      </w:r>
    </w:p>
    <w:p w:rsidR="005C28A6" w:rsidRPr="000D40DD" w:rsidRDefault="00F76CF0">
      <w:pPr>
        <w:rPr>
          <w:rFonts w:eastAsia="Times New Roman"/>
          <w:szCs w:val="24"/>
        </w:rPr>
      </w:pPr>
      <w:r w:rsidRPr="000D40DD">
        <w:rPr>
          <w:rFonts w:eastAsia="Times New Roman"/>
          <w:szCs w:val="24"/>
        </w:rPr>
        <w:t>The behavioural theories of leadership focus on the behaviour and actions of leaders and especially the level of balance between task-oriented and people-</w:t>
      </w:r>
      <w:r w:rsidRPr="000D40DD">
        <w:rPr>
          <w:rFonts w:eastAsia="Times New Roman"/>
          <w:szCs w:val="24"/>
        </w:rPr>
        <w:t>oriented leadership. Task-oriented leadership is a concept that gives priority to the efficiency, procedures, as well as the operational goals whereas people oriented leadership focuses on communication, staff support and joint decisions (Tortorella, van D</w:t>
      </w:r>
      <w:r w:rsidRPr="000D40DD">
        <w:rPr>
          <w:rFonts w:eastAsia="Times New Roman"/>
          <w:szCs w:val="24"/>
        </w:rPr>
        <w:t>un and de Almeida, 2020). The actions of the management at the care home in the case involving opioid overdose seem to be task-oriented in nature. Indicatively, hospitals with combined task-based observation and people-based leadership behaviours have repo</w:t>
      </w:r>
      <w:r w:rsidRPr="000D40DD">
        <w:rPr>
          <w:rFonts w:eastAsia="Times New Roman"/>
          <w:szCs w:val="24"/>
        </w:rPr>
        <w:t>rted about 30 percent reduction in clinical safety incidents as opposed to organisations that have weaker communication.</w:t>
      </w:r>
    </w:p>
    <w:p w:rsidR="005C28A6" w:rsidRPr="000D40DD" w:rsidRDefault="00F76CF0">
      <w:pPr>
        <w:rPr>
          <w:rFonts w:eastAsia="Times New Roman"/>
          <w:b/>
          <w:bCs/>
          <w:szCs w:val="24"/>
        </w:rPr>
      </w:pPr>
      <w:r w:rsidRPr="000D40DD">
        <w:rPr>
          <w:rFonts w:eastAsia="Times New Roman"/>
          <w:b/>
          <w:bCs/>
          <w:szCs w:val="24"/>
        </w:rPr>
        <w:lastRenderedPageBreak/>
        <w:t>Situational and Contingency Leadership</w:t>
      </w:r>
    </w:p>
    <w:p w:rsidR="005C28A6" w:rsidRPr="000D40DD" w:rsidRDefault="00F76CF0">
      <w:pPr>
        <w:rPr>
          <w:rFonts w:eastAsia="Times New Roman"/>
          <w:szCs w:val="24"/>
        </w:rPr>
      </w:pPr>
      <w:r w:rsidRPr="000D40DD">
        <w:rPr>
          <w:rFonts w:eastAsia="Times New Roman"/>
          <w:szCs w:val="24"/>
        </w:rPr>
        <w:t xml:space="preserve">Contingency and situational theories of leadership presume that good leaders would change their </w:t>
      </w:r>
      <w:r w:rsidRPr="000D40DD">
        <w:rPr>
          <w:rFonts w:eastAsia="Times New Roman"/>
          <w:szCs w:val="24"/>
        </w:rPr>
        <w:t>leadership style based on the situation, team competency and the urgency of the situation (Ungar-Sargon, 2025). The healthcare settings often demand dynamic leadership styles since the circumstances to do with patient care evolve quickly. The leadership re</w:t>
      </w:r>
      <w:r w:rsidRPr="000D40DD">
        <w:rPr>
          <w:rFonts w:eastAsia="Times New Roman"/>
          <w:szCs w:val="24"/>
        </w:rPr>
        <w:t>action to the confusion with medication in this instance did not seem to be adaptive and responsive to the severity of the scenario. Rather, the medication was still administered despite the fact that there was a lack of clarity in the clinical instruction</w:t>
      </w:r>
      <w:r w:rsidRPr="000D40DD">
        <w:rPr>
          <w:rFonts w:eastAsia="Times New Roman"/>
          <w:szCs w:val="24"/>
        </w:rPr>
        <w:t xml:space="preserve">s. </w:t>
      </w:r>
    </w:p>
    <w:p w:rsidR="005C28A6" w:rsidRPr="000D40DD" w:rsidRDefault="00F76CF0">
      <w:pPr>
        <w:spacing w:before="280"/>
        <w:rPr>
          <w:rFonts w:eastAsia="Times New Roman"/>
          <w:b/>
          <w:bCs/>
          <w:szCs w:val="24"/>
        </w:rPr>
      </w:pPr>
      <w:r w:rsidRPr="000D40DD">
        <w:rPr>
          <w:rFonts w:eastAsia="Times New Roman"/>
          <w:b/>
          <w:bCs/>
          <w:szCs w:val="24"/>
        </w:rPr>
        <w:t>Tannenbaum and Schmidt Leadership Continuum</w:t>
      </w:r>
    </w:p>
    <w:p w:rsidR="005C28A6" w:rsidRPr="000D40DD" w:rsidRDefault="00F76CF0">
      <w:pPr>
        <w:rPr>
          <w:rFonts w:eastAsia="Times New Roman"/>
          <w:szCs w:val="24"/>
        </w:rPr>
      </w:pPr>
      <w:r w:rsidRPr="000D40DD">
        <w:rPr>
          <w:rFonts w:eastAsia="Times New Roman"/>
          <w:szCs w:val="24"/>
        </w:rPr>
        <w:t>Tannenbaum and Schmidt leadership continuum emphasise the spectrum of the leadership styles, between the highly autocratic decision-making on the one hand, and completely participatory leadership, on the othe</w:t>
      </w:r>
      <w:r w:rsidRPr="000D40DD">
        <w:rPr>
          <w:rFonts w:eastAsia="Times New Roman"/>
          <w:szCs w:val="24"/>
        </w:rPr>
        <w:t xml:space="preserve">r hand (Endre, 2021). Best healthcare organisations tend to mix the two strategies with some circumstances. In such critical contexts as medication administration, participatory yet structured style of leadership can help to motivate the staff to speak up </w:t>
      </w:r>
      <w:r w:rsidRPr="000D40DD">
        <w:rPr>
          <w:rFonts w:eastAsia="Times New Roman"/>
          <w:szCs w:val="24"/>
        </w:rPr>
        <w:t xml:space="preserve">without losing its authoritative position. The leadership style used in the care home instance seems to have not been characterised by decisive power as well as participation (Kiwanuka </w:t>
      </w:r>
      <w:r w:rsidRPr="000D40DD">
        <w:rPr>
          <w:rFonts w:eastAsia="Times New Roman"/>
          <w:i/>
          <w:iCs/>
          <w:szCs w:val="24"/>
        </w:rPr>
        <w:t>et al.,</w:t>
      </w:r>
      <w:r w:rsidRPr="000D40DD">
        <w:rPr>
          <w:rFonts w:eastAsia="Times New Roman"/>
          <w:szCs w:val="24"/>
        </w:rPr>
        <w:t xml:space="preserve"> 2021). Employees were not certain about the right prescribed me</w:t>
      </w:r>
      <w:r w:rsidRPr="000D40DD">
        <w:rPr>
          <w:rFonts w:eastAsia="Times New Roman"/>
          <w:szCs w:val="24"/>
        </w:rPr>
        <w:t>dication directions, but no evident team consultation between senior management, medical practitioners nor any outside consultants. Workforce research indicates that companies that shift to more participative leadership practises are less likely to have st</w:t>
      </w:r>
      <w:r w:rsidRPr="000D40DD">
        <w:rPr>
          <w:rFonts w:eastAsia="Times New Roman"/>
          <w:szCs w:val="24"/>
        </w:rPr>
        <w:t>aff turnover and are more likely to have a well-established culture of communication.</w:t>
      </w:r>
    </w:p>
    <w:p w:rsidR="005C28A6" w:rsidRPr="000D40DD" w:rsidRDefault="00F76CF0">
      <w:pPr>
        <w:jc w:val="center"/>
        <w:rPr>
          <w:rFonts w:eastAsia="Times New Roman"/>
          <w:szCs w:val="24"/>
        </w:rPr>
      </w:pPr>
      <w:r w:rsidRPr="000D40DD">
        <w:rPr>
          <w:rFonts w:eastAsia="Times New Roman"/>
          <w:noProof/>
          <w:szCs w:val="24"/>
          <w:lang w:val="en-US" w:eastAsia="en-US"/>
        </w:rPr>
        <w:lastRenderedPageBreak/>
        <w:drawing>
          <wp:inline distT="114300" distB="114300" distL="114300" distR="114300">
            <wp:extent cx="5057775" cy="2676525"/>
            <wp:effectExtent l="0" t="0" r="9525" b="952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057775" cy="2676525"/>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 xml:space="preserve">Figure </w:t>
      </w:r>
      <w:r w:rsidR="00012366" w:rsidRPr="000D40DD">
        <w:rPr>
          <w:rFonts w:eastAsia="Times New Roman"/>
          <w:b/>
          <w:bCs/>
          <w:szCs w:val="24"/>
        </w:rPr>
        <w:t>5</w:t>
      </w:r>
      <w:r w:rsidRPr="000D40DD">
        <w:rPr>
          <w:rFonts w:eastAsia="Times New Roman"/>
          <w:b/>
          <w:bCs/>
          <w:szCs w:val="24"/>
        </w:rPr>
        <w:t>: Tannenbaum and Schmidt Leadership Continuum</w:t>
      </w:r>
    </w:p>
    <w:p w:rsidR="005C28A6" w:rsidRPr="000D40DD" w:rsidRDefault="00F76CF0">
      <w:pPr>
        <w:jc w:val="center"/>
        <w:rPr>
          <w:rFonts w:eastAsia="Times New Roman"/>
          <w:szCs w:val="24"/>
        </w:rPr>
      </w:pPr>
      <w:r w:rsidRPr="000D40DD">
        <w:rPr>
          <w:rFonts w:eastAsia="Times New Roman"/>
          <w:szCs w:val="24"/>
        </w:rPr>
        <w:t>(Source: Parsons, 2025)</w:t>
      </w:r>
    </w:p>
    <w:p w:rsidR="005C28A6" w:rsidRPr="000D40DD" w:rsidRDefault="00F76CF0">
      <w:pPr>
        <w:rPr>
          <w:rFonts w:eastAsia="Times New Roman"/>
          <w:b/>
          <w:bCs/>
          <w:szCs w:val="24"/>
        </w:rPr>
      </w:pPr>
      <w:r w:rsidRPr="000D40DD">
        <w:rPr>
          <w:rFonts w:eastAsia="Times New Roman"/>
          <w:b/>
          <w:bCs/>
          <w:szCs w:val="24"/>
        </w:rPr>
        <w:t>Transformational and Purpose-Driven Leadership</w:t>
      </w:r>
    </w:p>
    <w:p w:rsidR="005C28A6" w:rsidRPr="000D40DD" w:rsidRDefault="00F76CF0">
      <w:pPr>
        <w:rPr>
          <w:rFonts w:eastAsia="Times New Roman"/>
          <w:szCs w:val="24"/>
        </w:rPr>
      </w:pPr>
      <w:r w:rsidRPr="000D40DD">
        <w:rPr>
          <w:rFonts w:eastAsia="Times New Roman"/>
          <w:szCs w:val="24"/>
        </w:rPr>
        <w:t>Transformational leadership is aimed at mot</w:t>
      </w:r>
      <w:r w:rsidRPr="000D40DD">
        <w:rPr>
          <w:rFonts w:eastAsia="Times New Roman"/>
          <w:szCs w:val="24"/>
        </w:rPr>
        <w:t>ivating the organisational change, developing the shared vision and inspiring the staff to enhance the safety and quality outcomes. Transformational leaders in the healthcare environment focus on patient safety, continuous improvement and staff empowerment</w:t>
      </w:r>
      <w:r w:rsidRPr="000D40DD">
        <w:rPr>
          <w:rFonts w:eastAsia="Times New Roman"/>
          <w:szCs w:val="24"/>
        </w:rPr>
        <w:t xml:space="preserve"> (Ystaas </w:t>
      </w:r>
      <w:r w:rsidRPr="000D40DD">
        <w:rPr>
          <w:rFonts w:eastAsia="Times New Roman"/>
          <w:i/>
          <w:iCs/>
          <w:szCs w:val="24"/>
        </w:rPr>
        <w:t>et al.,</w:t>
      </w:r>
      <w:r w:rsidRPr="000D40DD">
        <w:rPr>
          <w:rFonts w:eastAsia="Times New Roman"/>
          <w:szCs w:val="24"/>
        </w:rPr>
        <w:t xml:space="preserve"> 2023). After the incident, the care provider stated that he has introduced new medication procedures and staff education. Such actions demonstrate aspects of transformational leadership since it is a desire to make systems better but not m</w:t>
      </w:r>
      <w:r w:rsidRPr="000D40DD">
        <w:rPr>
          <w:rFonts w:eastAsia="Times New Roman"/>
          <w:szCs w:val="24"/>
        </w:rPr>
        <w:t>erely pinpointing blame on people. Research of healthcare organisations has demonstrated that transformational leadership is connected with the better results in safety and a greater staff morale (Ree, 2020). In organisations where leaders are highly invol</w:t>
      </w:r>
      <w:r w:rsidRPr="000D40DD">
        <w:rPr>
          <w:rFonts w:eastAsia="Times New Roman"/>
          <w:szCs w:val="24"/>
        </w:rPr>
        <w:t>ved in encouraging learning and a system improvement, an almost 20 percent improvement in patient safety has been reported as compared to organisations that only use compliance-based management.</w:t>
      </w:r>
    </w:p>
    <w:p w:rsidR="005C28A6" w:rsidRPr="000D40DD" w:rsidRDefault="00F76CF0">
      <w:pPr>
        <w:jc w:val="center"/>
        <w:rPr>
          <w:rFonts w:eastAsia="Times New Roman"/>
          <w:szCs w:val="24"/>
        </w:rPr>
      </w:pPr>
      <w:r w:rsidRPr="000D40DD">
        <w:rPr>
          <w:rFonts w:eastAsia="Times New Roman"/>
          <w:noProof/>
          <w:szCs w:val="24"/>
          <w:lang w:val="en-US" w:eastAsia="en-US"/>
        </w:rPr>
        <w:lastRenderedPageBreak/>
        <w:drawing>
          <wp:inline distT="114300" distB="114300" distL="114300" distR="114300">
            <wp:extent cx="4409564" cy="36004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cstate="print"/>
                    <a:srcRect/>
                    <a:stretch>
                      <a:fillRect/>
                    </a:stretch>
                  </pic:blipFill>
                  <pic:spPr>
                    <a:xfrm>
                      <a:off x="0" y="0"/>
                      <a:ext cx="4410699" cy="3601377"/>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Figure</w:t>
      </w:r>
      <w:r w:rsidR="00012366" w:rsidRPr="000D40DD">
        <w:rPr>
          <w:rFonts w:eastAsia="Times New Roman"/>
          <w:b/>
          <w:bCs/>
          <w:szCs w:val="24"/>
        </w:rPr>
        <w:t xml:space="preserve"> 6</w:t>
      </w:r>
      <w:r w:rsidRPr="000D40DD">
        <w:rPr>
          <w:rFonts w:eastAsia="Times New Roman"/>
          <w:b/>
          <w:bCs/>
          <w:szCs w:val="24"/>
        </w:rPr>
        <w:t>: Transformational and Purpose-Driven Leadership</w:t>
      </w:r>
    </w:p>
    <w:p w:rsidR="005C28A6" w:rsidRPr="000D40DD" w:rsidRDefault="00F76CF0">
      <w:pPr>
        <w:jc w:val="center"/>
        <w:rPr>
          <w:rFonts w:eastAsia="Times New Roman"/>
          <w:szCs w:val="24"/>
        </w:rPr>
      </w:pPr>
      <w:r w:rsidRPr="000D40DD">
        <w:rPr>
          <w:rFonts w:eastAsia="Times New Roman"/>
          <w:szCs w:val="24"/>
        </w:rPr>
        <w:t>(S</w:t>
      </w:r>
      <w:r w:rsidRPr="000D40DD">
        <w:rPr>
          <w:rFonts w:eastAsia="Times New Roman"/>
          <w:szCs w:val="24"/>
        </w:rPr>
        <w:t>ource: Amelia, 2026)</w:t>
      </w:r>
    </w:p>
    <w:p w:rsidR="005C28A6" w:rsidRPr="000D40DD" w:rsidRDefault="00F76CF0">
      <w:pPr>
        <w:rPr>
          <w:rFonts w:eastAsia="Times New Roman"/>
          <w:b/>
          <w:bCs/>
          <w:szCs w:val="24"/>
        </w:rPr>
      </w:pPr>
      <w:r w:rsidRPr="000D40DD">
        <w:rPr>
          <w:rFonts w:eastAsia="Times New Roman"/>
          <w:b/>
          <w:bCs/>
          <w:szCs w:val="24"/>
        </w:rPr>
        <w:t>Critical Evaluation of Leadership Effectiveness</w:t>
      </w:r>
    </w:p>
    <w:p w:rsidR="005C28A6" w:rsidRPr="000D40DD" w:rsidRDefault="00F76CF0">
      <w:pPr>
        <w:rPr>
          <w:rFonts w:eastAsia="Times New Roman"/>
          <w:szCs w:val="24"/>
        </w:rPr>
      </w:pPr>
      <w:r w:rsidRPr="000D40DD">
        <w:rPr>
          <w:rFonts w:eastAsia="Times New Roman"/>
          <w:szCs w:val="24"/>
        </w:rPr>
        <w:t>On the one hand, the leadership reaction in the care home before the overdose seems to be inadequate to the intricacy of medication management in healthcare. The absence of clear guidelin</w:t>
      </w:r>
      <w:r w:rsidRPr="000D40DD">
        <w:rPr>
          <w:rFonts w:eastAsia="Times New Roman"/>
          <w:szCs w:val="24"/>
        </w:rPr>
        <w:t xml:space="preserve">es, inability to obtain medical clarification in time, and persistence in taking medication regardless of their uncertainty are the weaknesses in leadership control and safety culture (Mcleod </w:t>
      </w:r>
      <w:r w:rsidRPr="000D40DD">
        <w:rPr>
          <w:rFonts w:eastAsia="Times New Roman"/>
          <w:i/>
          <w:iCs/>
          <w:szCs w:val="24"/>
        </w:rPr>
        <w:t>et al.,</w:t>
      </w:r>
      <w:r w:rsidRPr="000D40DD">
        <w:rPr>
          <w:rFonts w:eastAsia="Times New Roman"/>
          <w:szCs w:val="24"/>
        </w:rPr>
        <w:t xml:space="preserve"> 2024). Leaders were seen as reactive instead of proactiv</w:t>
      </w:r>
      <w:r w:rsidRPr="000D40DD">
        <w:rPr>
          <w:rFonts w:eastAsia="Times New Roman"/>
          <w:szCs w:val="24"/>
        </w:rPr>
        <w:t xml:space="preserve">e and responded to the incident when it happened instead of a clear guidance and communication system preventing the occurrence. </w:t>
      </w:r>
    </w:p>
    <w:p w:rsidR="005C28A6" w:rsidRPr="000D40DD" w:rsidRDefault="00F76CF0" w:rsidP="001C4827">
      <w:pPr>
        <w:pStyle w:val="Heading2"/>
      </w:pPr>
      <w:bookmarkStart w:id="8" w:name="_Toc224233854"/>
      <w:r w:rsidRPr="000D40DD">
        <w:t>2.4 Improvement, and Lessons Learned</w:t>
      </w:r>
      <w:bookmarkEnd w:id="8"/>
      <w:r w:rsidR="000D40DD" w:rsidRPr="000D40DD">
        <w:t xml:space="preserve">(d) </w:t>
      </w:r>
    </w:p>
    <w:p w:rsidR="005C28A6" w:rsidRPr="000D40DD" w:rsidRDefault="00F76CF0">
      <w:pPr>
        <w:spacing w:before="280"/>
        <w:rPr>
          <w:rFonts w:eastAsia="Times New Roman"/>
          <w:b/>
          <w:bCs/>
          <w:szCs w:val="24"/>
        </w:rPr>
      </w:pPr>
      <w:r w:rsidRPr="000D40DD">
        <w:rPr>
          <w:rFonts w:eastAsia="Times New Roman"/>
          <w:b/>
          <w:bCs/>
          <w:szCs w:val="24"/>
        </w:rPr>
        <w:t>Interaction Between Leadership and Governance in the Incident</w:t>
      </w:r>
    </w:p>
    <w:p w:rsidR="005C28A6" w:rsidRPr="000D40DD" w:rsidRDefault="00F76CF0">
      <w:pPr>
        <w:rPr>
          <w:rFonts w:eastAsia="Times New Roman"/>
          <w:szCs w:val="24"/>
        </w:rPr>
      </w:pPr>
      <w:r w:rsidRPr="000D40DD">
        <w:rPr>
          <w:rFonts w:eastAsia="Times New Roman"/>
          <w:szCs w:val="24"/>
        </w:rPr>
        <w:lastRenderedPageBreak/>
        <w:t xml:space="preserve">The care facility </w:t>
      </w:r>
      <w:r w:rsidRPr="000D40DD">
        <w:rPr>
          <w:rFonts w:eastAsia="Times New Roman"/>
          <w:szCs w:val="24"/>
        </w:rPr>
        <w:t xml:space="preserve">overdose case involving opioids demonstrates a multifaceted correlation between leadership flaws and defective governance measures. Healthcare organisational leadership has a role of leading the staff behaviour, decision making and patient safety culture, </w:t>
      </w:r>
      <w:r w:rsidRPr="000D40DD">
        <w:rPr>
          <w:rFonts w:eastAsia="Times New Roman"/>
          <w:szCs w:val="24"/>
        </w:rPr>
        <w:t>whereas governance upholds that the policies, accountability structures and oversight mechanisms are operational (</w:t>
      </w:r>
      <w:r w:rsidRPr="000D40DD">
        <w:rPr>
          <w:rFonts w:eastAsia="Times New Roman"/>
          <w:color w:val="222222"/>
          <w:szCs w:val="24"/>
          <w:highlight w:val="white"/>
        </w:rPr>
        <w:t xml:space="preserve">Huang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2024)</w:t>
      </w:r>
      <w:r w:rsidRPr="000D40DD">
        <w:rPr>
          <w:rFonts w:eastAsia="Times New Roman"/>
          <w:szCs w:val="24"/>
        </w:rPr>
        <w:t>. In the case, the leadership and governance did not offer clear direction upon confusion when it came to the medication of</w:t>
      </w:r>
      <w:r w:rsidRPr="000D40DD">
        <w:rPr>
          <w:rFonts w:eastAsia="Times New Roman"/>
          <w:szCs w:val="24"/>
        </w:rPr>
        <w:t xml:space="preserve"> the resident upon discharge to hospital. The lack of an effective guideline to deal with such cases evidences the gaps in governance, whereas the inability of the staff and supervisors to address the matter shows </w:t>
      </w:r>
      <w:r w:rsidR="001C4827" w:rsidRPr="000D40DD">
        <w:rPr>
          <w:rFonts w:eastAsia="Times New Roman"/>
          <w:szCs w:val="24"/>
        </w:rPr>
        <w:t>poor</w:t>
      </w:r>
      <w:r w:rsidRPr="000D40DD">
        <w:rPr>
          <w:rFonts w:eastAsia="Times New Roman"/>
          <w:szCs w:val="24"/>
        </w:rPr>
        <w:t xml:space="preserve"> leadership control.</w:t>
      </w:r>
    </w:p>
    <w:p w:rsidR="005C28A6" w:rsidRPr="000D40DD" w:rsidRDefault="00F76CF0">
      <w:pPr>
        <w:rPr>
          <w:rFonts w:eastAsia="Times New Roman"/>
          <w:b/>
          <w:bCs/>
          <w:szCs w:val="24"/>
        </w:rPr>
      </w:pPr>
      <w:r w:rsidRPr="000D40DD">
        <w:rPr>
          <w:rFonts w:eastAsia="Times New Roman"/>
          <w:b/>
          <w:bCs/>
          <w:szCs w:val="24"/>
        </w:rPr>
        <w:t>Problem 1: Poor E</w:t>
      </w:r>
      <w:r w:rsidRPr="000D40DD">
        <w:rPr>
          <w:rFonts w:eastAsia="Times New Roman"/>
          <w:b/>
          <w:bCs/>
          <w:szCs w:val="24"/>
        </w:rPr>
        <w:t>scalation and Weak Psychological Safety</w:t>
      </w:r>
    </w:p>
    <w:p w:rsidR="005C28A6" w:rsidRPr="000D40DD" w:rsidRDefault="00F76CF0">
      <w:pPr>
        <w:rPr>
          <w:rFonts w:eastAsia="Times New Roman"/>
          <w:szCs w:val="24"/>
        </w:rPr>
      </w:pPr>
      <w:r w:rsidRPr="000D40DD">
        <w:rPr>
          <w:rFonts w:eastAsia="Times New Roman"/>
          <w:szCs w:val="24"/>
        </w:rPr>
        <w:t>Among the key issues that could be observed in the case was the inability to report the medication uncertainty to the external healthcare professionals. Employees did not seek to communicate with the general doctor o</w:t>
      </w:r>
      <w:r w:rsidRPr="000D40DD">
        <w:rPr>
          <w:rFonts w:eastAsia="Times New Roman"/>
          <w:szCs w:val="24"/>
        </w:rPr>
        <w:t>f the resident, emergency care services, and hospital staff as soon as they identified the difference in the medication order (</w:t>
      </w:r>
      <w:r w:rsidRPr="000D40DD">
        <w:rPr>
          <w:rFonts w:eastAsia="Times New Roman"/>
          <w:color w:val="222222"/>
          <w:szCs w:val="24"/>
          <w:highlight w:val="white"/>
        </w:rPr>
        <w:t xml:space="preserve">Price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2024)</w:t>
      </w:r>
      <w:r w:rsidRPr="000D40DD">
        <w:rPr>
          <w:rFonts w:eastAsia="Times New Roman"/>
          <w:szCs w:val="24"/>
        </w:rPr>
        <w:t xml:space="preserve">. Rather, the drug was still used on the basis of partial information. Healthcare workforce </w:t>
      </w:r>
      <w:r w:rsidR="001C4827" w:rsidRPr="000D40DD">
        <w:rPr>
          <w:rFonts w:eastAsia="Times New Roman"/>
          <w:szCs w:val="24"/>
        </w:rPr>
        <w:t>research</w:t>
      </w:r>
      <w:r w:rsidRPr="000D40DD">
        <w:rPr>
          <w:rFonts w:eastAsia="Times New Roman"/>
          <w:szCs w:val="24"/>
        </w:rPr>
        <w:t xml:space="preserve"> shows tha</w:t>
      </w:r>
      <w:r w:rsidRPr="000D40DD">
        <w:rPr>
          <w:rFonts w:eastAsia="Times New Roman"/>
          <w:szCs w:val="24"/>
        </w:rPr>
        <w:t>t a high percentage of frontline employees are reluctant to report safety concerns because they believe that the management will not accept them (</w:t>
      </w:r>
      <w:r w:rsidRPr="000D40DD">
        <w:rPr>
          <w:rFonts w:eastAsia="Times New Roman"/>
          <w:color w:val="222222"/>
          <w:szCs w:val="24"/>
          <w:highlight w:val="white"/>
        </w:rPr>
        <w:t>Johnston</w:t>
      </w:r>
      <w:r w:rsidRPr="000D40DD">
        <w:rPr>
          <w:rFonts w:eastAsia="Times New Roman"/>
          <w:i/>
          <w:iCs/>
          <w:color w:val="222222"/>
          <w:szCs w:val="24"/>
          <w:highlight w:val="white"/>
        </w:rPr>
        <w:t xml:space="preserve"> et al.,</w:t>
      </w:r>
      <w:r w:rsidRPr="000D40DD">
        <w:rPr>
          <w:rFonts w:eastAsia="Times New Roman"/>
          <w:color w:val="222222"/>
          <w:szCs w:val="24"/>
          <w:highlight w:val="white"/>
        </w:rPr>
        <w:t xml:space="preserve"> 2022)</w:t>
      </w:r>
      <w:r w:rsidRPr="000D40DD">
        <w:rPr>
          <w:rFonts w:eastAsia="Times New Roman"/>
          <w:szCs w:val="24"/>
        </w:rPr>
        <w:t>. Polls through health systems have revealed that over fifty percent of the healthcare w</w:t>
      </w:r>
      <w:r w:rsidRPr="000D40DD">
        <w:rPr>
          <w:rFonts w:eastAsia="Times New Roman"/>
          <w:szCs w:val="24"/>
        </w:rPr>
        <w:t>orkers complain that they feel uncomfortable to raise concerns about a possible clinical error because they fear censure, or because they believe that the managers do not back them. The lack of psychological security leads to the fact that personnel can be</w:t>
      </w:r>
      <w:r w:rsidRPr="000D40DD">
        <w:rPr>
          <w:rFonts w:eastAsia="Times New Roman"/>
          <w:szCs w:val="24"/>
        </w:rPr>
        <w:t xml:space="preserve"> reluctant to challenge decisions and raise concerns, exposing patients to greater risks.</w:t>
      </w:r>
    </w:p>
    <w:p w:rsidR="005C28A6" w:rsidRPr="000D40DD" w:rsidRDefault="00F76CF0">
      <w:pPr>
        <w:rPr>
          <w:rFonts w:eastAsia="Times New Roman"/>
          <w:szCs w:val="24"/>
        </w:rPr>
      </w:pPr>
      <w:r w:rsidRPr="000D40DD">
        <w:rPr>
          <w:rFonts w:eastAsia="Times New Roman"/>
          <w:noProof/>
          <w:szCs w:val="24"/>
          <w:lang w:val="en-US" w:eastAsia="en-US"/>
        </w:rPr>
        <w:lastRenderedPageBreak/>
        <w:drawing>
          <wp:inline distT="114300" distB="114300" distL="114300" distR="114300">
            <wp:extent cx="5943600" cy="2771775"/>
            <wp:effectExtent l="0" t="0" r="0" b="952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cstate="print"/>
                    <a:srcRect/>
                    <a:stretch>
                      <a:fillRect/>
                    </a:stretch>
                  </pic:blipFill>
                  <pic:spPr>
                    <a:xfrm>
                      <a:off x="0" y="0"/>
                      <a:ext cx="5943600" cy="2771775"/>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Figure</w:t>
      </w:r>
      <w:r w:rsidR="00012366" w:rsidRPr="000D40DD">
        <w:rPr>
          <w:rFonts w:eastAsia="Times New Roman"/>
          <w:b/>
          <w:bCs/>
          <w:szCs w:val="24"/>
        </w:rPr>
        <w:t xml:space="preserve"> 7</w:t>
      </w:r>
      <w:r w:rsidRPr="000D40DD">
        <w:rPr>
          <w:rFonts w:eastAsia="Times New Roman"/>
          <w:b/>
          <w:bCs/>
          <w:szCs w:val="24"/>
        </w:rPr>
        <w:t>: Poor escalation of care home bed types in the UK</w:t>
      </w:r>
    </w:p>
    <w:p w:rsidR="005C28A6" w:rsidRPr="000D40DD" w:rsidRDefault="00F76CF0">
      <w:pPr>
        <w:jc w:val="center"/>
        <w:rPr>
          <w:rFonts w:eastAsia="Times New Roman"/>
          <w:szCs w:val="24"/>
        </w:rPr>
      </w:pPr>
      <w:r w:rsidRPr="000D40DD">
        <w:rPr>
          <w:rFonts w:eastAsia="Times New Roman"/>
          <w:szCs w:val="24"/>
        </w:rPr>
        <w:t>(Source: gov.uk, 2025)</w:t>
      </w:r>
    </w:p>
    <w:p w:rsidR="005C28A6" w:rsidRPr="000D40DD" w:rsidRDefault="00F76CF0">
      <w:pPr>
        <w:spacing w:before="280"/>
        <w:rPr>
          <w:rFonts w:eastAsia="Times New Roman"/>
          <w:b/>
          <w:bCs/>
          <w:szCs w:val="24"/>
        </w:rPr>
      </w:pPr>
      <w:r w:rsidRPr="000D40DD">
        <w:rPr>
          <w:rFonts w:eastAsia="Times New Roman"/>
          <w:b/>
          <w:bCs/>
          <w:szCs w:val="24"/>
        </w:rPr>
        <w:t>Problem 2: Delayed Clarification and Inadequate Reporting Systems</w:t>
      </w:r>
    </w:p>
    <w:p w:rsidR="005C28A6" w:rsidRPr="000D40DD" w:rsidRDefault="00F76CF0">
      <w:pPr>
        <w:rPr>
          <w:rFonts w:eastAsia="Times New Roman"/>
          <w:szCs w:val="24"/>
        </w:rPr>
      </w:pPr>
      <w:r w:rsidRPr="000D40DD">
        <w:rPr>
          <w:rFonts w:eastAsia="Times New Roman"/>
          <w:szCs w:val="24"/>
        </w:rPr>
        <w:t>The next serious</w:t>
      </w:r>
      <w:r w:rsidRPr="000D40DD">
        <w:rPr>
          <w:rFonts w:eastAsia="Times New Roman"/>
          <w:szCs w:val="24"/>
        </w:rPr>
        <w:t xml:space="preserve"> issue in the case was the lack of clear instructions on medication that was supposed to be provided to the </w:t>
      </w:r>
      <w:r w:rsidR="001C4827" w:rsidRPr="000D40DD">
        <w:rPr>
          <w:rFonts w:eastAsia="Times New Roman"/>
          <w:szCs w:val="24"/>
        </w:rPr>
        <w:t>residents</w:t>
      </w:r>
      <w:r w:rsidRPr="000D40DD">
        <w:rPr>
          <w:rFonts w:eastAsia="Times New Roman"/>
          <w:szCs w:val="24"/>
        </w:rPr>
        <w:t>. Though employees knew that the new medication was not appropriately included in the electronic medication administration record, they did</w:t>
      </w:r>
      <w:r w:rsidRPr="000D40DD">
        <w:rPr>
          <w:rFonts w:eastAsia="Times New Roman"/>
          <w:szCs w:val="24"/>
        </w:rPr>
        <w:t xml:space="preserve"> not make an instant effort to confirm the order with medical staff. Rather, the medication was kept in a cupboard pending clarification with the former prescription being administered (</w:t>
      </w:r>
      <w:r w:rsidRPr="000D40DD">
        <w:rPr>
          <w:rFonts w:eastAsia="Times New Roman"/>
          <w:color w:val="222222"/>
          <w:szCs w:val="24"/>
          <w:highlight w:val="white"/>
        </w:rPr>
        <w:t>Chance, Florence and Abdoul, 2024)</w:t>
      </w:r>
      <w:r w:rsidRPr="000D40DD">
        <w:rPr>
          <w:rFonts w:eastAsia="Times New Roman"/>
          <w:szCs w:val="24"/>
        </w:rPr>
        <w:t>. This latency was ultimately a caus</w:t>
      </w:r>
      <w:r w:rsidRPr="000D40DD">
        <w:rPr>
          <w:rFonts w:eastAsia="Times New Roman"/>
          <w:szCs w:val="24"/>
        </w:rPr>
        <w:t>e of time lag of the two drugs leading to the overdose of opioids. The data on healthcare incident reporting reveals that the delay in reporting medication errors or uncertainty leads to the growing chances of adverse incidents. The absence of a well-organ</w:t>
      </w:r>
      <w:r w:rsidRPr="000D40DD">
        <w:rPr>
          <w:rFonts w:eastAsia="Times New Roman"/>
          <w:szCs w:val="24"/>
        </w:rPr>
        <w:t>ised reporting/verification system in the case of the care home implied that employees had to make decisions informally instead of using the systematic approach to safety measures (</w:t>
      </w:r>
      <w:r w:rsidRPr="000D40DD">
        <w:rPr>
          <w:rFonts w:eastAsia="Times New Roman"/>
          <w:color w:val="222222"/>
          <w:szCs w:val="24"/>
          <w:highlight w:val="white"/>
        </w:rPr>
        <w:t xml:space="preserve">Payne </w:t>
      </w:r>
      <w:r w:rsidRPr="000D40DD">
        <w:rPr>
          <w:rFonts w:eastAsia="Times New Roman"/>
          <w:i/>
          <w:iCs/>
          <w:color w:val="222222"/>
          <w:szCs w:val="24"/>
          <w:highlight w:val="white"/>
        </w:rPr>
        <w:t xml:space="preserve">et al., </w:t>
      </w:r>
      <w:r w:rsidRPr="000D40DD">
        <w:rPr>
          <w:rFonts w:eastAsia="Times New Roman"/>
          <w:color w:val="222222"/>
          <w:szCs w:val="24"/>
          <w:highlight w:val="white"/>
        </w:rPr>
        <w:t>2024)</w:t>
      </w:r>
      <w:r w:rsidRPr="000D40DD">
        <w:rPr>
          <w:rFonts w:eastAsia="Times New Roman"/>
          <w:szCs w:val="24"/>
        </w:rPr>
        <w:t>. Automatic alerts may be provided in electronic medicat</w:t>
      </w:r>
      <w:r w:rsidRPr="000D40DD">
        <w:rPr>
          <w:rFonts w:eastAsia="Times New Roman"/>
          <w:szCs w:val="24"/>
        </w:rPr>
        <w:t>ion administration systems when a change of medication takes place after a hospital discharge. The risk of providing the wrong medication or duplicate medications could be minimised with the help of barcode scanning systems and integrated health records, t</w:t>
      </w:r>
      <w:r w:rsidRPr="000D40DD">
        <w:rPr>
          <w:rFonts w:eastAsia="Times New Roman"/>
          <w:szCs w:val="24"/>
        </w:rPr>
        <w:t>oo.</w:t>
      </w:r>
    </w:p>
    <w:p w:rsidR="005C28A6" w:rsidRPr="000D40DD" w:rsidRDefault="00F76CF0">
      <w:pPr>
        <w:rPr>
          <w:rFonts w:eastAsia="Times New Roman"/>
          <w:b/>
          <w:bCs/>
          <w:szCs w:val="24"/>
        </w:rPr>
      </w:pPr>
      <w:r w:rsidRPr="000D40DD">
        <w:rPr>
          <w:rFonts w:eastAsia="Times New Roman"/>
          <w:b/>
          <w:bCs/>
          <w:szCs w:val="24"/>
        </w:rPr>
        <w:t>Problem 3: Confusing Medication Management Processes</w:t>
      </w:r>
    </w:p>
    <w:p w:rsidR="005C28A6" w:rsidRPr="000D40DD" w:rsidRDefault="00F76CF0">
      <w:pPr>
        <w:rPr>
          <w:rFonts w:eastAsia="Times New Roman"/>
          <w:szCs w:val="24"/>
        </w:rPr>
      </w:pPr>
      <w:r w:rsidRPr="000D40DD">
        <w:rPr>
          <w:rFonts w:eastAsia="Times New Roman"/>
          <w:szCs w:val="24"/>
        </w:rPr>
        <w:lastRenderedPageBreak/>
        <w:t xml:space="preserve">The event also demonstrated that medication management procedures used in the care home were weak. The new drug was not registered as a replacement but rather as an extra prescription and therefore </w:t>
      </w:r>
      <w:r w:rsidRPr="000D40DD">
        <w:rPr>
          <w:rFonts w:eastAsia="Times New Roman"/>
          <w:szCs w:val="24"/>
        </w:rPr>
        <w:t>both drugs were taken at the same time (</w:t>
      </w:r>
      <w:r w:rsidRPr="000D40DD">
        <w:rPr>
          <w:rFonts w:eastAsia="Times New Roman"/>
          <w:color w:val="222222"/>
          <w:szCs w:val="24"/>
          <w:highlight w:val="white"/>
        </w:rPr>
        <w:t xml:space="preserve">Dijkstra </w:t>
      </w:r>
      <w:r w:rsidRPr="000D40DD">
        <w:rPr>
          <w:rFonts w:eastAsia="Times New Roman"/>
          <w:i/>
          <w:iCs/>
          <w:color w:val="222222"/>
          <w:szCs w:val="24"/>
          <w:highlight w:val="white"/>
        </w:rPr>
        <w:t>et al.</w:t>
      </w:r>
      <w:r w:rsidRPr="000D40DD">
        <w:rPr>
          <w:rFonts w:eastAsia="Times New Roman"/>
          <w:color w:val="222222"/>
          <w:szCs w:val="24"/>
          <w:highlight w:val="white"/>
        </w:rPr>
        <w:t>, 2022)</w:t>
      </w:r>
      <w:r w:rsidRPr="000D40DD">
        <w:rPr>
          <w:rFonts w:eastAsia="Times New Roman"/>
          <w:szCs w:val="24"/>
        </w:rPr>
        <w:t>. This shows that the medication reconciliation process after hospital discharge was not well defined and monitored. One of the frequent patient safety events within the healthcare systems is me</w:t>
      </w:r>
      <w:r w:rsidRPr="000D40DD">
        <w:rPr>
          <w:rFonts w:eastAsia="Times New Roman"/>
          <w:szCs w:val="24"/>
        </w:rPr>
        <w:t>dication errors. Long-term care research has discovered that a considerable amount of medication-related incidents take place at care transfer periods, including the discharge of patients leaving the hospital and the alteration of their treatment plan (</w:t>
      </w:r>
      <w:r w:rsidRPr="000D40DD">
        <w:rPr>
          <w:rFonts w:eastAsia="Times New Roman"/>
          <w:color w:val="222222"/>
          <w:szCs w:val="24"/>
          <w:highlight w:val="white"/>
        </w:rPr>
        <w:t>Mul</w:t>
      </w:r>
      <w:r w:rsidRPr="000D40DD">
        <w:rPr>
          <w:rFonts w:eastAsia="Times New Roman"/>
          <w:color w:val="222222"/>
          <w:szCs w:val="24"/>
          <w:highlight w:val="white"/>
        </w:rPr>
        <w:t>ac, Hagesaether and Granas, 2022)</w:t>
      </w:r>
      <w:r w:rsidRPr="000D40DD">
        <w:rPr>
          <w:rFonts w:eastAsia="Times New Roman"/>
          <w:szCs w:val="24"/>
        </w:rPr>
        <w:t>. The threat of wrong medication being given to a patient could also be minimised by the availability of barcode scanning technology in dispensing of medications.</w:t>
      </w:r>
    </w:p>
    <w:p w:rsidR="005C28A6" w:rsidRPr="000D40DD" w:rsidRDefault="00F76CF0">
      <w:pPr>
        <w:jc w:val="center"/>
        <w:rPr>
          <w:rFonts w:eastAsia="Times New Roman"/>
          <w:szCs w:val="24"/>
        </w:rPr>
      </w:pPr>
      <w:r w:rsidRPr="000D40DD">
        <w:rPr>
          <w:rFonts w:eastAsia="Times New Roman"/>
          <w:noProof/>
          <w:szCs w:val="24"/>
          <w:lang w:val="en-US" w:eastAsia="en-US"/>
        </w:rPr>
        <w:drawing>
          <wp:inline distT="114300" distB="114300" distL="114300" distR="114300">
            <wp:extent cx="4596765" cy="3476625"/>
            <wp:effectExtent l="0" t="0" r="0" b="9525"/>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596765" cy="3476625"/>
                    </a:xfrm>
                    <a:prstGeom prst="rect">
                      <a:avLst/>
                    </a:prstGeom>
                    <a:ln/>
                  </pic:spPr>
                </pic:pic>
              </a:graphicData>
            </a:graphic>
          </wp:inline>
        </w:drawing>
      </w:r>
    </w:p>
    <w:p w:rsidR="005C28A6" w:rsidRPr="000D40DD" w:rsidRDefault="00F76CF0">
      <w:pPr>
        <w:jc w:val="center"/>
        <w:rPr>
          <w:rFonts w:eastAsia="Times New Roman"/>
          <w:b/>
          <w:bCs/>
          <w:szCs w:val="24"/>
        </w:rPr>
      </w:pPr>
      <w:r w:rsidRPr="000D40DD">
        <w:rPr>
          <w:rFonts w:eastAsia="Times New Roman"/>
          <w:b/>
          <w:bCs/>
          <w:szCs w:val="24"/>
        </w:rPr>
        <w:t>Figure</w:t>
      </w:r>
      <w:r w:rsidR="00012366" w:rsidRPr="000D40DD">
        <w:rPr>
          <w:rFonts w:eastAsia="Times New Roman"/>
          <w:b/>
          <w:bCs/>
          <w:szCs w:val="24"/>
        </w:rPr>
        <w:t xml:space="preserve"> 8</w:t>
      </w:r>
      <w:r w:rsidRPr="000D40DD">
        <w:rPr>
          <w:rFonts w:eastAsia="Times New Roman"/>
          <w:b/>
          <w:bCs/>
          <w:szCs w:val="24"/>
        </w:rPr>
        <w:t>: Aspects of proper medication management</w:t>
      </w:r>
    </w:p>
    <w:p w:rsidR="005C28A6" w:rsidRPr="000D40DD" w:rsidRDefault="00F76CF0">
      <w:pPr>
        <w:jc w:val="center"/>
        <w:rPr>
          <w:rFonts w:eastAsia="Times New Roman"/>
          <w:szCs w:val="24"/>
        </w:rPr>
      </w:pPr>
      <w:r w:rsidRPr="000D40DD">
        <w:rPr>
          <w:rFonts w:eastAsia="Times New Roman"/>
          <w:szCs w:val="24"/>
        </w:rPr>
        <w:t>(Source:</w:t>
      </w:r>
      <w:r w:rsidRPr="000D40DD">
        <w:rPr>
          <w:rFonts w:eastAsia="Times New Roman"/>
          <w:szCs w:val="24"/>
        </w:rPr>
        <w:t xml:space="preserve"> </w:t>
      </w:r>
      <w:r w:rsidRPr="000D40DD">
        <w:rPr>
          <w:rFonts w:eastAsia="Times New Roman"/>
          <w:szCs w:val="24"/>
          <w:highlight w:val="white"/>
        </w:rPr>
        <w:t>Winter, 2023)</w:t>
      </w:r>
    </w:p>
    <w:p w:rsidR="005C28A6" w:rsidRPr="000D40DD" w:rsidRDefault="00F76CF0">
      <w:pPr>
        <w:rPr>
          <w:rFonts w:eastAsia="Times New Roman"/>
          <w:b/>
          <w:bCs/>
          <w:szCs w:val="24"/>
        </w:rPr>
      </w:pPr>
      <w:r w:rsidRPr="000D40DD">
        <w:rPr>
          <w:rFonts w:eastAsia="Times New Roman"/>
          <w:b/>
          <w:bCs/>
          <w:szCs w:val="24"/>
        </w:rPr>
        <w:t>Problem 4: Weak Governance and Accountability Structures</w:t>
      </w:r>
    </w:p>
    <w:p w:rsidR="005C28A6" w:rsidRPr="000D40DD" w:rsidRDefault="00F76CF0">
      <w:pPr>
        <w:rPr>
          <w:rFonts w:eastAsia="Times New Roman"/>
          <w:szCs w:val="24"/>
        </w:rPr>
      </w:pPr>
      <w:r w:rsidRPr="000D40DD">
        <w:rPr>
          <w:rFonts w:eastAsia="Times New Roman"/>
          <w:szCs w:val="24"/>
        </w:rPr>
        <w:t xml:space="preserve">One last concern that has been found in the case is that there are no effective governance structures to oversee medication safety and accountability. According to the report of the </w:t>
      </w:r>
      <w:r w:rsidRPr="000D40DD">
        <w:rPr>
          <w:rFonts w:eastAsia="Times New Roman"/>
          <w:szCs w:val="24"/>
        </w:rPr>
        <w:lastRenderedPageBreak/>
        <w:t>co</w:t>
      </w:r>
      <w:r w:rsidRPr="000D40DD">
        <w:rPr>
          <w:rFonts w:eastAsia="Times New Roman"/>
          <w:szCs w:val="24"/>
        </w:rPr>
        <w:t>roner, the care home had no clear policy on how the staff should act in cases where instructions on the use of medication given by hospitals were ambiguous. This gap in governance enabled the lack of consistency in decision-making between the staff and sup</w:t>
      </w:r>
      <w:r w:rsidRPr="000D40DD">
        <w:rPr>
          <w:rFonts w:eastAsia="Times New Roman"/>
          <w:szCs w:val="24"/>
        </w:rPr>
        <w:t>ervisors (</w:t>
      </w:r>
      <w:r w:rsidRPr="000D40DD">
        <w:rPr>
          <w:rFonts w:eastAsia="Times New Roman"/>
          <w:color w:val="222222"/>
          <w:szCs w:val="24"/>
          <w:highlight w:val="white"/>
        </w:rPr>
        <w:t>Teggi and Woodthorpe, 2024)</w:t>
      </w:r>
      <w:r w:rsidRPr="000D40DD">
        <w:rPr>
          <w:rFonts w:eastAsia="Times New Roman"/>
          <w:szCs w:val="24"/>
        </w:rPr>
        <w:t xml:space="preserve">. Good healthcare governance is defined by a powerful oversight system, such as audit </w:t>
      </w:r>
      <w:r w:rsidR="001C4827" w:rsidRPr="000D40DD">
        <w:rPr>
          <w:rFonts w:eastAsia="Times New Roman"/>
          <w:szCs w:val="24"/>
        </w:rPr>
        <w:t>trial</w:t>
      </w:r>
      <w:r w:rsidRPr="000D40DD">
        <w:rPr>
          <w:rFonts w:eastAsia="Times New Roman"/>
          <w:szCs w:val="24"/>
        </w:rPr>
        <w:t>, incident monitoring systems, and well-spelled out medication management responsibilities. The healthcare safety studies have a</w:t>
      </w:r>
      <w:r w:rsidRPr="000D40DD">
        <w:rPr>
          <w:rFonts w:eastAsia="Times New Roman"/>
          <w:szCs w:val="24"/>
        </w:rPr>
        <w:t>lso indicated that organisations that have strong governance systems record a very minimal number of clinical errors due to well-defined and monitored responsibilities (</w:t>
      </w:r>
      <w:r w:rsidRPr="000D40DD">
        <w:rPr>
          <w:rFonts w:eastAsia="Times New Roman"/>
          <w:color w:val="222222"/>
          <w:szCs w:val="24"/>
          <w:highlight w:val="white"/>
        </w:rPr>
        <w:t>Elliott, Williamson  and Endacott, 2024)</w:t>
      </w:r>
      <w:r w:rsidRPr="000D40DD">
        <w:rPr>
          <w:rFonts w:eastAsia="Times New Roman"/>
          <w:szCs w:val="24"/>
        </w:rPr>
        <w:t>. Stronger governance in the care home environm</w:t>
      </w:r>
      <w:r w:rsidRPr="000D40DD">
        <w:rPr>
          <w:rFonts w:eastAsia="Times New Roman"/>
          <w:szCs w:val="24"/>
        </w:rPr>
        <w:t>ent would need the implementation of formal medication escalation procedures, periodic safety audits, and shared governance models, which would entail the clinicians, care home managers, and external healthcare providers.</w:t>
      </w:r>
    </w:p>
    <w:p w:rsidR="005C28A6" w:rsidRPr="000D40DD" w:rsidRDefault="00F76CF0">
      <w:pPr>
        <w:rPr>
          <w:rFonts w:eastAsia="Times New Roman"/>
          <w:b/>
          <w:bCs/>
          <w:szCs w:val="24"/>
        </w:rPr>
      </w:pPr>
      <w:r w:rsidRPr="000D40DD">
        <w:rPr>
          <w:rFonts w:eastAsia="Times New Roman"/>
          <w:b/>
          <w:bCs/>
          <w:szCs w:val="24"/>
        </w:rPr>
        <w:t>Lessons for Healthcare Organisatio</w:t>
      </w:r>
      <w:r w:rsidRPr="000D40DD">
        <w:rPr>
          <w:rFonts w:eastAsia="Times New Roman"/>
          <w:b/>
          <w:bCs/>
          <w:szCs w:val="24"/>
        </w:rPr>
        <w:t>ns</w:t>
      </w:r>
    </w:p>
    <w:p w:rsidR="005C28A6" w:rsidRPr="000D40DD" w:rsidRDefault="00F76CF0">
      <w:pPr>
        <w:rPr>
          <w:rFonts w:eastAsia="Times New Roman"/>
          <w:szCs w:val="24"/>
        </w:rPr>
      </w:pPr>
      <w:r w:rsidRPr="000D40DD">
        <w:rPr>
          <w:rFonts w:eastAsia="Times New Roman"/>
          <w:szCs w:val="24"/>
        </w:rPr>
        <w:t>The case suggests a number of key lessons that can be learnt by healthcare organisations interested in enhancing patient safety and accountability. To begin with, healthcare systems cannot enlist the help of individual initiative or heroic leadership to</w:t>
      </w:r>
      <w:r w:rsidRPr="000D40DD">
        <w:rPr>
          <w:rFonts w:eastAsia="Times New Roman"/>
          <w:szCs w:val="24"/>
        </w:rPr>
        <w:t xml:space="preserve"> avoid clinical errors (</w:t>
      </w:r>
      <w:r w:rsidRPr="000D40DD">
        <w:rPr>
          <w:rFonts w:eastAsia="Times New Roman"/>
          <w:color w:val="222222"/>
          <w:szCs w:val="24"/>
          <w:highlight w:val="white"/>
        </w:rPr>
        <w:t>Adams, 2022)</w:t>
      </w:r>
      <w:r w:rsidRPr="000D40DD">
        <w:rPr>
          <w:rFonts w:eastAsia="Times New Roman"/>
          <w:szCs w:val="24"/>
        </w:rPr>
        <w:t xml:space="preserve">. Rather, strong systems and well laid down procedures should be used to guide staff to make safe decisions. Second, accountability gaps must be prevented by having strong governance structures. Procedures of medication </w:t>
      </w:r>
      <w:r w:rsidRPr="000D40DD">
        <w:rPr>
          <w:rFonts w:eastAsia="Times New Roman"/>
          <w:szCs w:val="24"/>
        </w:rPr>
        <w:t>administration, escalation, and verification should be clearly defined, and the personnel should be guided in such complicated clinical cases. The data on incident reporting, the surveys of the staff feedback, and safety audits may be useful sources to gat</w:t>
      </w:r>
      <w:r w:rsidRPr="000D40DD">
        <w:rPr>
          <w:rFonts w:eastAsia="Times New Roman"/>
          <w:szCs w:val="24"/>
        </w:rPr>
        <w:t>her information on the weaknesses of the system.</w:t>
      </w:r>
    </w:p>
    <w:p w:rsidR="000D40DD" w:rsidRPr="000D40DD" w:rsidRDefault="000D40DD">
      <w:pPr>
        <w:spacing w:before="0" w:after="0" w:line="276" w:lineRule="auto"/>
        <w:jc w:val="left"/>
        <w:rPr>
          <w:b/>
          <w:sz w:val="28"/>
          <w:szCs w:val="40"/>
        </w:rPr>
      </w:pPr>
      <w:bookmarkStart w:id="9" w:name="_Toc224233855"/>
      <w:r w:rsidRPr="000D40DD">
        <w:br w:type="page"/>
      </w:r>
    </w:p>
    <w:p w:rsidR="005C28A6" w:rsidRPr="000D40DD" w:rsidRDefault="00F76CF0" w:rsidP="001C4827">
      <w:pPr>
        <w:pStyle w:val="Heading1"/>
      </w:pPr>
      <w:r w:rsidRPr="000D40DD">
        <w:lastRenderedPageBreak/>
        <w:t>3. Recommendation</w:t>
      </w:r>
      <w:bookmarkEnd w:id="9"/>
    </w:p>
    <w:p w:rsidR="005C28A6" w:rsidRPr="000D40DD" w:rsidRDefault="00F76CF0">
      <w:pPr>
        <w:rPr>
          <w:rFonts w:eastAsia="Times New Roman"/>
          <w:b/>
          <w:bCs/>
          <w:i/>
          <w:iCs/>
          <w:szCs w:val="24"/>
        </w:rPr>
      </w:pPr>
      <w:r w:rsidRPr="000D40DD">
        <w:rPr>
          <w:rFonts w:eastAsia="Times New Roman"/>
          <w:b/>
          <w:bCs/>
          <w:i/>
          <w:iCs/>
          <w:szCs w:val="24"/>
        </w:rPr>
        <w:t>1. Adopting Transformational Leadership to Strengthen Safety Culture</w:t>
      </w:r>
    </w:p>
    <w:p w:rsidR="005C28A6" w:rsidRPr="000D40DD" w:rsidRDefault="00F76CF0">
      <w:pPr>
        <w:rPr>
          <w:rFonts w:eastAsia="Times New Roman"/>
          <w:szCs w:val="24"/>
        </w:rPr>
      </w:pPr>
      <w:r w:rsidRPr="000D40DD">
        <w:rPr>
          <w:rFonts w:eastAsia="Times New Roman"/>
          <w:szCs w:val="24"/>
        </w:rPr>
        <w:t xml:space="preserve">Among the recommendations that should be highly adopted in the organisation is the transformational leadership </w:t>
      </w:r>
      <w:r w:rsidRPr="000D40DD">
        <w:rPr>
          <w:rFonts w:eastAsia="Times New Roman"/>
          <w:szCs w:val="24"/>
        </w:rPr>
        <w:t>approach that can enhance the safety culture in the care home. Transformational leadership is based on the ability to inspire employees, foster open communication, and shared responsibility on patient safety (</w:t>
      </w:r>
      <w:r w:rsidRPr="000D40DD">
        <w:rPr>
          <w:rFonts w:eastAsia="Times New Roman"/>
          <w:color w:val="222222"/>
          <w:szCs w:val="24"/>
          <w:highlight w:val="white"/>
        </w:rPr>
        <w:t xml:space="preserve">Petros Ouzounakis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2025)</w:t>
      </w:r>
      <w:r w:rsidRPr="000D40DD">
        <w:rPr>
          <w:rFonts w:eastAsia="Times New Roman"/>
          <w:szCs w:val="24"/>
        </w:rPr>
        <w:t>. The case study</w:t>
      </w:r>
      <w:r w:rsidRPr="000D40DD">
        <w:rPr>
          <w:rFonts w:eastAsia="Times New Roman"/>
          <w:szCs w:val="24"/>
        </w:rPr>
        <w:t xml:space="preserve"> indicates that, the staff seems to have been reluctant to raise issues regarding ambiguous medication prescriptions, as it indicates that there was no sense of psychological safety and conducive leadership. The leaders in the care home should thus focus o</w:t>
      </w:r>
      <w:r w:rsidRPr="000D40DD">
        <w:rPr>
          <w:rFonts w:eastAsia="Times New Roman"/>
          <w:szCs w:val="24"/>
        </w:rPr>
        <w:t>n establishing a culture that enables the employees to feel free to report possible risks without the fear of being blamed.</w:t>
      </w:r>
    </w:p>
    <w:p w:rsidR="005C28A6" w:rsidRPr="000D40DD" w:rsidRDefault="00F76CF0">
      <w:pPr>
        <w:rPr>
          <w:rFonts w:eastAsia="Times New Roman"/>
          <w:b/>
          <w:bCs/>
          <w:i/>
          <w:iCs/>
          <w:szCs w:val="24"/>
        </w:rPr>
      </w:pPr>
      <w:r w:rsidRPr="000D40DD">
        <w:rPr>
          <w:rFonts w:eastAsia="Times New Roman"/>
          <w:b/>
          <w:bCs/>
          <w:i/>
          <w:iCs/>
          <w:szCs w:val="24"/>
        </w:rPr>
        <w:t>2. Strengthening Governance and Accountability Structures</w:t>
      </w:r>
    </w:p>
    <w:p w:rsidR="005C28A6" w:rsidRPr="000D40DD" w:rsidRDefault="00F76CF0">
      <w:pPr>
        <w:rPr>
          <w:rFonts w:eastAsia="Times New Roman"/>
          <w:szCs w:val="24"/>
        </w:rPr>
      </w:pPr>
      <w:r w:rsidRPr="000D40DD">
        <w:rPr>
          <w:rFonts w:eastAsia="Times New Roman"/>
          <w:szCs w:val="24"/>
        </w:rPr>
        <w:t>To avoid future occurrence of such medication errors, it is important to i</w:t>
      </w:r>
      <w:r w:rsidRPr="000D40DD">
        <w:rPr>
          <w:rFonts w:eastAsia="Times New Roman"/>
          <w:szCs w:val="24"/>
        </w:rPr>
        <w:t>mprove the governance systems. The case has indicated the lack of clear policies that the staff should follow when instructions on medications given by hospitals are not clear. The organisation needs to implement formal governance structures, which would e</w:t>
      </w:r>
      <w:r w:rsidRPr="000D40DD">
        <w:rPr>
          <w:rFonts w:eastAsia="Times New Roman"/>
          <w:szCs w:val="24"/>
        </w:rPr>
        <w:t>xplicitly define roles, duties and procedures of escalation in the context of medication management (</w:t>
      </w:r>
      <w:r w:rsidRPr="000D40DD">
        <w:rPr>
          <w:rFonts w:eastAsia="Times New Roman"/>
          <w:color w:val="222222"/>
          <w:szCs w:val="24"/>
          <w:highlight w:val="white"/>
        </w:rPr>
        <w:t xml:space="preserve">Dziruni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2024)</w:t>
      </w:r>
      <w:r w:rsidRPr="000D40DD">
        <w:rPr>
          <w:rFonts w:eastAsia="Times New Roman"/>
          <w:szCs w:val="24"/>
        </w:rPr>
        <w:t>. Effective medication reconciliation policy must be adopted towards all hospitalized residents returning to guarantee that any medica</w:t>
      </w:r>
      <w:r w:rsidRPr="000D40DD">
        <w:rPr>
          <w:rFonts w:eastAsia="Times New Roman"/>
          <w:szCs w:val="24"/>
        </w:rPr>
        <w:t xml:space="preserve">tion change request is confirmed prior to the provision of medicine. Internal audits should as well be carried out frequently to oversee the medication practices and in order to determine some possible risks. </w:t>
      </w:r>
    </w:p>
    <w:p w:rsidR="005C28A6" w:rsidRPr="000D40DD" w:rsidRDefault="00F76CF0">
      <w:pPr>
        <w:rPr>
          <w:rFonts w:eastAsia="Times New Roman"/>
          <w:b/>
          <w:bCs/>
          <w:i/>
          <w:iCs/>
          <w:szCs w:val="24"/>
        </w:rPr>
      </w:pPr>
      <w:r w:rsidRPr="000D40DD">
        <w:rPr>
          <w:rFonts w:eastAsia="Times New Roman"/>
          <w:b/>
          <w:bCs/>
          <w:i/>
          <w:iCs/>
          <w:szCs w:val="24"/>
        </w:rPr>
        <w:t>3. Enhancing Communication and Integrated Care</w:t>
      </w:r>
      <w:r w:rsidRPr="000D40DD">
        <w:rPr>
          <w:rFonts w:eastAsia="Times New Roman"/>
          <w:b/>
          <w:bCs/>
          <w:i/>
          <w:iCs/>
          <w:szCs w:val="24"/>
        </w:rPr>
        <w:t xml:space="preserve"> Systems</w:t>
      </w:r>
    </w:p>
    <w:p w:rsidR="005C28A6" w:rsidRPr="000D40DD" w:rsidRDefault="00F76CF0">
      <w:pPr>
        <w:rPr>
          <w:rFonts w:eastAsia="Times New Roman"/>
          <w:szCs w:val="24"/>
        </w:rPr>
      </w:pPr>
      <w:r w:rsidRPr="000D40DD">
        <w:rPr>
          <w:rFonts w:eastAsia="Times New Roman"/>
          <w:szCs w:val="24"/>
        </w:rPr>
        <w:t>The other major recommendation should be enhanced communication between the care home and hospitals and the primary care providers. One of the reasons why the medication error took place was the fact that hospital discharge information was not com</w:t>
      </w:r>
      <w:r w:rsidRPr="000D40DD">
        <w:rPr>
          <w:rFonts w:eastAsia="Times New Roman"/>
          <w:szCs w:val="24"/>
        </w:rPr>
        <w:t>municated and verified clearly. To mitigate this challenge, the organisation ought to come up with more integrated communication channels with external healthcare providers (</w:t>
      </w:r>
      <w:r w:rsidRPr="000D40DD">
        <w:rPr>
          <w:rFonts w:eastAsia="Times New Roman"/>
          <w:color w:val="222222"/>
          <w:szCs w:val="24"/>
          <w:highlight w:val="white"/>
        </w:rPr>
        <w:t xml:space="preserve">Alrahbi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2022)</w:t>
      </w:r>
      <w:r w:rsidRPr="000D40DD">
        <w:rPr>
          <w:rFonts w:eastAsia="Times New Roman"/>
          <w:szCs w:val="24"/>
        </w:rPr>
        <w:t>. The digital health records that would enable real-time exch</w:t>
      </w:r>
      <w:r w:rsidRPr="000D40DD">
        <w:rPr>
          <w:rFonts w:eastAsia="Times New Roman"/>
          <w:szCs w:val="24"/>
        </w:rPr>
        <w:t xml:space="preserve">ange of medication updates between hospitals, general practitioners and the care home would go a long way in minimizing the likelihood of </w:t>
      </w:r>
      <w:r w:rsidRPr="000D40DD">
        <w:rPr>
          <w:rFonts w:eastAsia="Times New Roman"/>
          <w:szCs w:val="24"/>
        </w:rPr>
        <w:lastRenderedPageBreak/>
        <w:t>misinterpretation. Moreover, the implementation of daily safety huddles in the care home should be proposed to the sta</w:t>
      </w:r>
      <w:r w:rsidRPr="000D40DD">
        <w:rPr>
          <w:rFonts w:eastAsia="Times New Roman"/>
          <w:szCs w:val="24"/>
        </w:rPr>
        <w:t>ff so that they could elaborate on the concerns about the care of the residents, updates on medications, and risk factors.</w:t>
      </w:r>
    </w:p>
    <w:p w:rsidR="005C28A6" w:rsidRPr="000D40DD" w:rsidRDefault="00F76CF0">
      <w:pPr>
        <w:rPr>
          <w:rFonts w:eastAsia="Times New Roman"/>
          <w:b/>
          <w:bCs/>
          <w:i/>
          <w:iCs/>
          <w:szCs w:val="24"/>
        </w:rPr>
      </w:pPr>
      <w:r w:rsidRPr="000D40DD">
        <w:rPr>
          <w:rFonts w:eastAsia="Times New Roman"/>
          <w:b/>
          <w:bCs/>
          <w:i/>
          <w:iCs/>
          <w:szCs w:val="24"/>
        </w:rPr>
        <w:t>4. Improving Technical and Allocative Efficiency in Medication Management</w:t>
      </w:r>
    </w:p>
    <w:p w:rsidR="005C28A6" w:rsidRPr="000D40DD" w:rsidRDefault="00F76CF0">
      <w:pPr>
        <w:rPr>
          <w:rFonts w:eastAsia="Times New Roman"/>
          <w:szCs w:val="24"/>
        </w:rPr>
      </w:pPr>
      <w:r w:rsidRPr="000D40DD">
        <w:rPr>
          <w:rFonts w:eastAsia="Times New Roman"/>
          <w:szCs w:val="24"/>
        </w:rPr>
        <w:t>The organisation should also invest in technology solutions</w:t>
      </w:r>
      <w:r w:rsidRPr="000D40DD">
        <w:rPr>
          <w:rFonts w:eastAsia="Times New Roman"/>
          <w:szCs w:val="24"/>
        </w:rPr>
        <w:t xml:space="preserve"> that increase efficiency of the technical aspect and minimise chances of human error in administering medication. Barcode medication administration systems may be automated to help guarantee that the right medicine is administered to the right resident at</w:t>
      </w:r>
      <w:r w:rsidRPr="000D40DD">
        <w:rPr>
          <w:rFonts w:eastAsia="Times New Roman"/>
          <w:szCs w:val="24"/>
        </w:rPr>
        <w:t xml:space="preserve"> the correct time. Barcode scanning could compare prescriptions with electronic records and help to avoid receipt of duplicate or counterfeit medication (</w:t>
      </w:r>
      <w:r w:rsidRPr="000D40DD">
        <w:rPr>
          <w:rFonts w:eastAsia="Times New Roman"/>
          <w:color w:val="222222"/>
          <w:szCs w:val="24"/>
          <w:highlight w:val="white"/>
        </w:rPr>
        <w:t>Heikkinen, 2022)</w:t>
      </w:r>
      <w:r w:rsidRPr="000D40DD">
        <w:rPr>
          <w:rFonts w:eastAsia="Times New Roman"/>
          <w:szCs w:val="24"/>
        </w:rPr>
        <w:t>. Alerts in cases of prescription change after discharge of the hospital should also b</w:t>
      </w:r>
      <w:r w:rsidRPr="000D40DD">
        <w:rPr>
          <w:rFonts w:eastAsia="Times New Roman"/>
          <w:szCs w:val="24"/>
        </w:rPr>
        <w:t>e automated in the electronic medication administration records. Such systems have the ability to greatly minimize mistakes in documentation done manually and give a clear audit trail of medication administration controlled by them.</w:t>
      </w:r>
    </w:p>
    <w:p w:rsidR="005C28A6" w:rsidRPr="000D40DD" w:rsidRDefault="00F76CF0">
      <w:pPr>
        <w:rPr>
          <w:rFonts w:eastAsia="Times New Roman"/>
          <w:b/>
          <w:bCs/>
          <w:i/>
          <w:iCs/>
          <w:szCs w:val="24"/>
        </w:rPr>
      </w:pPr>
      <w:r w:rsidRPr="000D40DD">
        <w:rPr>
          <w:rFonts w:eastAsia="Times New Roman"/>
          <w:b/>
          <w:bCs/>
          <w:i/>
          <w:iCs/>
          <w:szCs w:val="24"/>
        </w:rPr>
        <w:t>5. Promoting Continuous</w:t>
      </w:r>
      <w:r w:rsidRPr="000D40DD">
        <w:rPr>
          <w:rFonts w:eastAsia="Times New Roman"/>
          <w:b/>
          <w:bCs/>
          <w:i/>
          <w:iCs/>
          <w:szCs w:val="24"/>
        </w:rPr>
        <w:t xml:space="preserve"> Learning, Stakeholder Engagement, and Co-production</w:t>
      </w:r>
    </w:p>
    <w:p w:rsidR="005C28A6" w:rsidRPr="000D40DD" w:rsidRDefault="00F76CF0">
      <w:pPr>
        <w:rPr>
          <w:rFonts w:eastAsia="Times New Roman"/>
          <w:szCs w:val="24"/>
        </w:rPr>
      </w:pPr>
      <w:r w:rsidRPr="000D40DD">
        <w:rPr>
          <w:rFonts w:eastAsia="Times New Roman"/>
          <w:szCs w:val="24"/>
        </w:rPr>
        <w:t>Lastly, the organisation must introduce systems of lifelong learning and involvement of the stakeholders to make sure that the improvements are incorporated in the long run. Incident learning is an impor</w:t>
      </w:r>
      <w:r w:rsidRPr="000D40DD">
        <w:rPr>
          <w:rFonts w:eastAsia="Times New Roman"/>
          <w:szCs w:val="24"/>
        </w:rPr>
        <w:t>tant component of healthcare safety management (</w:t>
      </w:r>
      <w:r w:rsidRPr="000D40DD">
        <w:rPr>
          <w:rFonts w:eastAsia="Times New Roman"/>
          <w:color w:val="222222"/>
          <w:szCs w:val="24"/>
          <w:highlight w:val="white"/>
        </w:rPr>
        <w:t xml:space="preserve">Chan </w:t>
      </w:r>
      <w:r w:rsidRPr="000D40DD">
        <w:rPr>
          <w:rFonts w:eastAsia="Times New Roman"/>
          <w:i/>
          <w:iCs/>
          <w:color w:val="222222"/>
          <w:szCs w:val="24"/>
          <w:highlight w:val="white"/>
        </w:rPr>
        <w:t>et al.,</w:t>
      </w:r>
      <w:r w:rsidRPr="000D40DD">
        <w:rPr>
          <w:rFonts w:eastAsia="Times New Roman"/>
          <w:color w:val="222222"/>
          <w:szCs w:val="24"/>
          <w:highlight w:val="white"/>
        </w:rPr>
        <w:t xml:space="preserve"> 2023)</w:t>
      </w:r>
      <w:r w:rsidRPr="000D40DD">
        <w:rPr>
          <w:rFonts w:eastAsia="Times New Roman"/>
          <w:szCs w:val="24"/>
        </w:rPr>
        <w:t>. A structured incident review method should be introduced to the care home in which the staff members are able to evaluate the safety incidences, discover the flaws of the systems, and crea</w:t>
      </w:r>
      <w:r w:rsidRPr="000D40DD">
        <w:rPr>
          <w:rFonts w:eastAsia="Times New Roman"/>
          <w:szCs w:val="24"/>
        </w:rPr>
        <w:t xml:space="preserve">te the enhancing plans. The families of residents and outsourced healthcare professionals should also join in safety discourses to facilitate transparency and collective accountability. </w:t>
      </w:r>
    </w:p>
    <w:p w:rsidR="005C28A6" w:rsidRPr="000D40DD" w:rsidRDefault="00F76CF0" w:rsidP="001C4827">
      <w:pPr>
        <w:pStyle w:val="Heading1"/>
      </w:pPr>
      <w:bookmarkStart w:id="10" w:name="_Toc224233856"/>
      <w:r w:rsidRPr="000D40DD">
        <w:t>4. Conclusion</w:t>
      </w:r>
      <w:bookmarkEnd w:id="10"/>
    </w:p>
    <w:p w:rsidR="005C28A6" w:rsidRPr="000D40DD" w:rsidRDefault="00F76CF0">
      <w:pPr>
        <w:rPr>
          <w:rFonts w:eastAsia="Times New Roman"/>
          <w:szCs w:val="24"/>
        </w:rPr>
      </w:pPr>
      <w:r w:rsidRPr="000D40DD">
        <w:rPr>
          <w:rFonts w:eastAsia="Times New Roman"/>
          <w:szCs w:val="24"/>
        </w:rPr>
        <w:t>The example of the opioid overdose in the care home rev</w:t>
      </w:r>
      <w:r w:rsidRPr="000D40DD">
        <w:rPr>
          <w:rFonts w:eastAsia="Times New Roman"/>
          <w:szCs w:val="24"/>
        </w:rPr>
        <w:t>eals the problem of interaction among leadership, governance, and system design failures to form severe patient safety risks. A primary leadership weakness that was determined during the analysis was the lack of active decision-making and appropriate staff</w:t>
      </w:r>
      <w:r w:rsidRPr="000D40DD">
        <w:rPr>
          <w:rFonts w:eastAsia="Times New Roman"/>
          <w:szCs w:val="24"/>
        </w:rPr>
        <w:t xml:space="preserve"> and supervisor escalation when there was confusion about the medication of the resident. The leadership was found to be very reactive and not proactive as the staff would keep administering medication even when they were not given clear directives by the </w:t>
      </w:r>
      <w:r w:rsidRPr="000D40DD">
        <w:rPr>
          <w:rFonts w:eastAsia="Times New Roman"/>
          <w:szCs w:val="24"/>
        </w:rPr>
        <w:t xml:space="preserve">hospital. The absence of mental comfort and a supportive management could </w:t>
      </w:r>
      <w:r w:rsidRPr="000D40DD">
        <w:rPr>
          <w:rFonts w:eastAsia="Times New Roman"/>
          <w:szCs w:val="24"/>
        </w:rPr>
        <w:lastRenderedPageBreak/>
        <w:t>have led to the staff not wanting to investigate the situation or consult external medical treatment in a timely manner either.</w:t>
      </w:r>
    </w:p>
    <w:p w:rsidR="005C28A6" w:rsidRPr="000D40DD" w:rsidRDefault="00F76CF0">
      <w:pPr>
        <w:rPr>
          <w:rFonts w:eastAsia="Times New Roman"/>
          <w:szCs w:val="24"/>
        </w:rPr>
      </w:pPr>
      <w:r w:rsidRPr="000D40DD">
        <w:rPr>
          <w:rFonts w:eastAsia="Times New Roman"/>
          <w:szCs w:val="24"/>
        </w:rPr>
        <w:t>Under the systems thinking approach, a number of struc</w:t>
      </w:r>
      <w:r w:rsidRPr="000D40DD">
        <w:rPr>
          <w:rFonts w:eastAsia="Times New Roman"/>
          <w:szCs w:val="24"/>
        </w:rPr>
        <w:t>tural weaknesses were found in the organisation. They were the lack of transparent medication discrepancy management protocols after discharge, weak communication between the care home and external healthcare workers, and the ability of the electronic medi</w:t>
      </w:r>
      <w:r w:rsidRPr="000D40DD">
        <w:rPr>
          <w:rFonts w:eastAsia="Times New Roman"/>
          <w:szCs w:val="24"/>
        </w:rPr>
        <w:t>cation administration system to allow incorrect medication recording. The absence of unified digital mechanisms and medication checks procedures further aggravated the risk of the human error. Such weaknesses of the system prove that the incident was not m</w:t>
      </w:r>
      <w:r w:rsidRPr="000D40DD">
        <w:rPr>
          <w:rFonts w:eastAsia="Times New Roman"/>
          <w:szCs w:val="24"/>
        </w:rPr>
        <w:t>erely caused by a single mistake made by an individual but it was a mix of organisational and procedural errors. The government systems were also instrumental in shaping the fate of things. The lack of strict supervision, poorly defined accountabilities, a</w:t>
      </w:r>
      <w:r w:rsidRPr="000D40DD">
        <w:rPr>
          <w:rFonts w:eastAsia="Times New Roman"/>
          <w:szCs w:val="24"/>
        </w:rPr>
        <w:t>nd no official procedures of escalation resulted in a setting in which there was inconsistent decision-making. In the absence of well-defined governance structures to guide the behaviour of staff, medication safety was a matter of personal choice. System t</w:t>
      </w:r>
      <w:r w:rsidRPr="000D40DD">
        <w:rPr>
          <w:rFonts w:eastAsia="Times New Roman"/>
          <w:szCs w:val="24"/>
        </w:rPr>
        <w:t>hinking thus offers a more sustainable way of improvement since it examines the organisational processes as an element of the whole as opposed to individuals.</w:t>
      </w:r>
    </w:p>
    <w:p w:rsidR="005C28A6" w:rsidRPr="000D40DD" w:rsidRDefault="005C28A6">
      <w:pPr>
        <w:rPr>
          <w:rFonts w:eastAsia="Times New Roman"/>
          <w:b/>
          <w:bCs/>
          <w:szCs w:val="24"/>
        </w:rPr>
      </w:pPr>
    </w:p>
    <w:p w:rsidR="005C28A6" w:rsidRPr="000D40DD" w:rsidRDefault="00F76CF0">
      <w:pPr>
        <w:rPr>
          <w:rFonts w:eastAsia="Times New Roman"/>
          <w:szCs w:val="24"/>
        </w:rPr>
      </w:pPr>
      <w:r w:rsidRPr="000D40DD">
        <w:br w:type="page"/>
      </w:r>
    </w:p>
    <w:p w:rsidR="005C28A6" w:rsidRPr="000D40DD" w:rsidRDefault="00F76CF0" w:rsidP="001C4827">
      <w:pPr>
        <w:pStyle w:val="Heading1"/>
      </w:pPr>
      <w:bookmarkStart w:id="11" w:name="_Toc224233857"/>
      <w:r w:rsidRPr="000D40DD">
        <w:lastRenderedPageBreak/>
        <w:t>Reference list</w:t>
      </w:r>
      <w:bookmarkEnd w:id="11"/>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Adams, D.E., (2022). Leadership for reducing medical errors via organizational culture: a literature review. </w:t>
      </w:r>
      <w:r w:rsidRPr="000D40DD">
        <w:rPr>
          <w:rFonts w:eastAsia="Times New Roman"/>
          <w:i/>
          <w:iCs/>
          <w:color w:val="222222"/>
          <w:szCs w:val="24"/>
          <w:highlight w:val="white"/>
        </w:rPr>
        <w:t>Measuring Business Excellence</w:t>
      </w:r>
      <w:r w:rsidRPr="000D40DD">
        <w:rPr>
          <w:rFonts w:eastAsia="Times New Roman"/>
          <w:color w:val="222222"/>
          <w:szCs w:val="24"/>
          <w:highlight w:val="white"/>
        </w:rPr>
        <w:t xml:space="preserve">, </w:t>
      </w:r>
      <w:r w:rsidRPr="000D40DD">
        <w:rPr>
          <w:rFonts w:eastAsia="Times New Roman"/>
          <w:i/>
          <w:iCs/>
          <w:color w:val="222222"/>
          <w:szCs w:val="24"/>
          <w:highlight w:val="white"/>
        </w:rPr>
        <w:t>26</w:t>
      </w:r>
      <w:r w:rsidRPr="000D40DD">
        <w:rPr>
          <w:rFonts w:eastAsia="Times New Roman"/>
          <w:color w:val="222222"/>
          <w:szCs w:val="24"/>
          <w:highlight w:val="white"/>
        </w:rPr>
        <w:t xml:space="preserve">(2), pp.143-162. </w:t>
      </w:r>
      <w:hyperlink r:id="rId17">
        <w:r w:rsidRPr="000D40DD">
          <w:rPr>
            <w:rFonts w:eastAsia="Times New Roman"/>
            <w:color w:val="1155CC"/>
            <w:szCs w:val="24"/>
            <w:highlight w:val="white"/>
            <w:u w:val="single"/>
          </w:rPr>
          <w:t>https://www.emerald.com/mbe/article-pdf/26/2/143/1905805/mbe-06-2021-0079.pdf</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Åhlin, P., (2026). Bottom-up perspectives on hospital-wide patient flow–a multi-site qualitative study of solutions to organisational paradoxes. </w:t>
      </w:r>
      <w:r w:rsidRPr="000D40DD">
        <w:rPr>
          <w:rFonts w:eastAsia="Times New Roman"/>
          <w:i/>
          <w:iCs/>
          <w:color w:val="222222"/>
          <w:szCs w:val="24"/>
          <w:highlight w:val="white"/>
        </w:rPr>
        <w:t>BMC Health Services Research</w:t>
      </w:r>
      <w:r w:rsidRPr="000D40DD">
        <w:rPr>
          <w:rFonts w:eastAsia="Times New Roman"/>
          <w:color w:val="222222"/>
          <w:szCs w:val="24"/>
          <w:highlight w:val="white"/>
        </w:rPr>
        <w:t>, </w:t>
      </w:r>
      <w:r w:rsidRPr="000D40DD">
        <w:rPr>
          <w:rFonts w:eastAsia="Times New Roman"/>
          <w:i/>
          <w:iCs/>
          <w:color w:val="222222"/>
          <w:szCs w:val="24"/>
          <w:highlight w:val="white"/>
        </w:rPr>
        <w:t>26</w:t>
      </w:r>
      <w:r w:rsidRPr="000D40DD">
        <w:rPr>
          <w:rFonts w:eastAsia="Times New Roman"/>
          <w:color w:val="222222"/>
          <w:szCs w:val="24"/>
          <w:highlight w:val="white"/>
        </w:rPr>
        <w:t>, p.306.</w:t>
      </w:r>
      <w:hyperlink r:id="rId18" w:history="1">
        <w:r w:rsidRPr="000D40DD">
          <w:rPr>
            <w:rStyle w:val="Hyperlink"/>
            <w:rFonts w:eastAsia="Times New Roman"/>
            <w:szCs w:val="24"/>
          </w:rPr>
          <w:t>https://pmc.ncbi.nlm.nih.gov/articles/PMC12937565/</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Alrahbi, D.A., Khan, M., Gupta, S., Modgil, S. and Chiappetta Jabbour, C.J., (2022). Challenges for developing health-care knowledge in the digital age. </w:t>
      </w:r>
      <w:r w:rsidRPr="000D40DD">
        <w:rPr>
          <w:rFonts w:eastAsia="Times New Roman"/>
          <w:i/>
          <w:iCs/>
          <w:color w:val="222222"/>
          <w:szCs w:val="24"/>
          <w:highlight w:val="white"/>
        </w:rPr>
        <w:t>Journal of Knowledge Management</w:t>
      </w:r>
      <w:r w:rsidRPr="000D40DD">
        <w:rPr>
          <w:rFonts w:eastAsia="Times New Roman"/>
          <w:color w:val="222222"/>
          <w:szCs w:val="24"/>
          <w:highlight w:val="white"/>
        </w:rPr>
        <w:t xml:space="preserve">, </w:t>
      </w:r>
      <w:r w:rsidRPr="000D40DD">
        <w:rPr>
          <w:rFonts w:eastAsia="Times New Roman"/>
          <w:i/>
          <w:iCs/>
          <w:color w:val="222222"/>
          <w:szCs w:val="24"/>
          <w:highlight w:val="white"/>
        </w:rPr>
        <w:t>26</w:t>
      </w:r>
      <w:r w:rsidRPr="000D40DD">
        <w:rPr>
          <w:rFonts w:eastAsia="Times New Roman"/>
          <w:color w:val="222222"/>
          <w:szCs w:val="24"/>
          <w:highlight w:val="white"/>
        </w:rPr>
        <w:t xml:space="preserve">(4), pp.824-853. </w:t>
      </w:r>
      <w:hyperlink r:id="rId19">
        <w:r w:rsidRPr="000D40DD">
          <w:rPr>
            <w:rFonts w:eastAsia="Times New Roman"/>
            <w:color w:val="1155CC"/>
            <w:szCs w:val="24"/>
            <w:highlight w:val="white"/>
            <w:u w:val="single"/>
          </w:rPr>
          <w:t>https://www.emerald.com/jkm/article-pdf/26/4/824/1795093/jkm-03-2020-0224.pdf</w:t>
        </w:r>
      </w:hyperlink>
    </w:p>
    <w:p w:rsidR="00012366" w:rsidRPr="000D40DD" w:rsidRDefault="00012366" w:rsidP="00012366">
      <w:pPr>
        <w:rPr>
          <w:rFonts w:eastAsia="Times New Roman"/>
          <w:szCs w:val="24"/>
        </w:rPr>
      </w:pPr>
      <w:r w:rsidRPr="000D40DD">
        <w:rPr>
          <w:rFonts w:eastAsia="Times New Roman"/>
          <w:szCs w:val="24"/>
        </w:rPr>
        <w:t xml:space="preserve">Amelia, N. (2026) </w:t>
      </w:r>
      <w:r w:rsidRPr="000D40DD">
        <w:rPr>
          <w:rFonts w:eastAsia="Times New Roman"/>
          <w:i/>
          <w:iCs/>
          <w:szCs w:val="24"/>
        </w:rPr>
        <w:t>6 Effective Leadership Strategies for Healthcare</w:t>
      </w:r>
      <w:r w:rsidRPr="000D40DD">
        <w:rPr>
          <w:rFonts w:eastAsia="Times New Roman"/>
          <w:szCs w:val="24"/>
        </w:rPr>
        <w:t xml:space="preserve">, </w:t>
      </w:r>
      <w:r w:rsidRPr="000D40DD">
        <w:rPr>
          <w:rFonts w:eastAsia="Times New Roman"/>
          <w:i/>
          <w:iCs/>
          <w:szCs w:val="24"/>
        </w:rPr>
        <w:t>Edstellar</w:t>
      </w:r>
      <w:r w:rsidRPr="000D40DD">
        <w:rPr>
          <w:rFonts w:eastAsia="Times New Roman"/>
          <w:szCs w:val="24"/>
        </w:rPr>
        <w:t xml:space="preserve">. Edstellar. Available at: </w:t>
      </w:r>
      <w:hyperlink r:id="rId20">
        <w:r w:rsidRPr="000D40DD">
          <w:rPr>
            <w:rFonts w:eastAsia="Times New Roman"/>
            <w:color w:val="1155CC"/>
            <w:szCs w:val="24"/>
            <w:u w:val="single"/>
          </w:rPr>
          <w:t>https://www.edstellar.com/blog/leadership-strategies-in-healthcare</w:t>
        </w:r>
      </w:hyperlink>
      <w:r w:rsidRPr="000D40DD">
        <w:rPr>
          <w:rFonts w:eastAsia="Times New Roman"/>
          <w:szCs w:val="24"/>
        </w:rPr>
        <w:t xml:space="preserve"> (Accessed: 12 March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Bhat, K., Easwarathasan, R., Jacob, M., Poole, W., Sapaetharan, V., Sidhu, M. and Thomas, A., (2022). Identifying and understanding the factors that influence the functioning of integrated healthcare systems in the NHS: a systematic literature review. </w:t>
      </w:r>
      <w:r w:rsidRPr="000D40DD">
        <w:rPr>
          <w:rFonts w:eastAsia="Times New Roman"/>
          <w:i/>
          <w:iCs/>
          <w:color w:val="222222"/>
          <w:szCs w:val="24"/>
          <w:highlight w:val="white"/>
        </w:rPr>
        <w:t>BMJ open</w:t>
      </w:r>
      <w:r w:rsidRPr="000D40DD">
        <w:rPr>
          <w:rFonts w:eastAsia="Times New Roman"/>
          <w:color w:val="222222"/>
          <w:szCs w:val="24"/>
          <w:highlight w:val="white"/>
        </w:rPr>
        <w:t>, </w:t>
      </w:r>
      <w:r w:rsidRPr="000D40DD">
        <w:rPr>
          <w:rFonts w:eastAsia="Times New Roman"/>
          <w:i/>
          <w:iCs/>
          <w:color w:val="222222"/>
          <w:szCs w:val="24"/>
          <w:highlight w:val="white"/>
        </w:rPr>
        <w:t>12</w:t>
      </w:r>
      <w:r w:rsidRPr="000D40DD">
        <w:rPr>
          <w:rFonts w:eastAsia="Times New Roman"/>
          <w:color w:val="222222"/>
          <w:szCs w:val="24"/>
          <w:highlight w:val="white"/>
        </w:rPr>
        <w:t xml:space="preserve">(4), p.e049296. </w:t>
      </w:r>
      <w:hyperlink r:id="rId21" w:history="1">
        <w:r w:rsidRPr="000D40DD">
          <w:rPr>
            <w:rStyle w:val="Hyperlink"/>
            <w:rFonts w:eastAsia="Times New Roman"/>
            <w:szCs w:val="24"/>
          </w:rPr>
          <w:t>https://bmjopen.bmj.com/content/12/4/e049296.abstract</w:t>
        </w:r>
      </w:hyperlink>
    </w:p>
    <w:p w:rsidR="00012366" w:rsidRPr="000D40DD" w:rsidRDefault="00012366" w:rsidP="00012366">
      <w:pPr>
        <w:pStyle w:val="NormalWeb"/>
        <w:spacing w:before="0" w:beforeAutospacing="0" w:after="240" w:afterAutospacing="0" w:line="360" w:lineRule="auto"/>
        <w:rPr>
          <w:rFonts w:cs="Arial"/>
        </w:rPr>
      </w:pPr>
      <w:r w:rsidRPr="000D40DD">
        <w:rPr>
          <w:rFonts w:cs="Arial"/>
        </w:rPr>
        <w:t xml:space="preserve">Bilalova, P. (2025). Houghton-le-Spring care home medication error led to overdose - coroner. </w:t>
      </w:r>
      <w:r w:rsidRPr="000D40DD">
        <w:rPr>
          <w:rFonts w:cs="Arial"/>
          <w:i/>
          <w:iCs/>
        </w:rPr>
        <w:t>BBC</w:t>
      </w:r>
      <w:r w:rsidRPr="000D40DD">
        <w:rPr>
          <w:rFonts w:cs="Arial"/>
        </w:rPr>
        <w:t>. [online] 22 Oct. Available at: https://www.bbc.com/news/articles/cq50zg1n4leo [Accessed 12 Mar. 2026].</w:t>
      </w:r>
    </w:p>
    <w:p w:rsidR="00012366" w:rsidRPr="000D40DD" w:rsidRDefault="00012366" w:rsidP="00012366">
      <w:pPr>
        <w:pStyle w:val="NormalWeb"/>
        <w:spacing w:before="0" w:beforeAutospacing="0" w:after="240" w:afterAutospacing="0" w:line="360" w:lineRule="auto"/>
        <w:rPr>
          <w:rFonts w:cs="Arial"/>
        </w:rPr>
      </w:pPr>
      <w:r w:rsidRPr="000D40DD">
        <w:rPr>
          <w:rFonts w:cs="Arial"/>
        </w:rPr>
        <w:t xml:space="preserve">BMJ, (2020). </w:t>
      </w:r>
      <w:r w:rsidRPr="000D40DD">
        <w:rPr>
          <w:rFonts w:cs="Arial"/>
          <w:i/>
          <w:iCs/>
        </w:rPr>
        <w:t>237+ million medication errors made every year in England: Avoidable consequences cost NHS upwards of £98 million and 1700+ lives every year</w:t>
      </w:r>
      <w:r w:rsidRPr="000D40DD">
        <w:rPr>
          <w:rFonts w:cs="Arial"/>
        </w:rPr>
        <w:t xml:space="preserve">. [online] ScienceDaily. Available at: </w:t>
      </w:r>
      <w:hyperlink r:id="rId22" w:history="1">
        <w:r w:rsidRPr="000D40DD">
          <w:rPr>
            <w:rStyle w:val="Hyperlink"/>
            <w:rFonts w:cs="Arial"/>
          </w:rPr>
          <w:t>https://www.sciencedaily.com/releases/2020/06/200611183921.htm</w:t>
        </w:r>
      </w:hyperlink>
      <w:r w:rsidRPr="000D40DD">
        <w:rPr>
          <w:rFonts w:cs="Arial"/>
        </w:rPr>
        <w:t xml:space="preserve"> [Accessed 12 Mar.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Bowditch, L., Molloy, C., King, B., Abedi, M., Jackson, S., Bierbaum, M., Yu, Y., Raggett, L., Salmon, P., Braithwaite, J. and Westbrook, J.I., (2025). Do patient safety incident investigations </w:t>
      </w:r>
      <w:r w:rsidRPr="000D40DD">
        <w:rPr>
          <w:rFonts w:eastAsia="Times New Roman"/>
          <w:color w:val="222222"/>
          <w:szCs w:val="24"/>
          <w:highlight w:val="white"/>
        </w:rPr>
        <w:lastRenderedPageBreak/>
        <w:t>align with systems thinking? An analysis of contributing factors and recommendations. </w:t>
      </w:r>
      <w:r w:rsidRPr="000D40DD">
        <w:rPr>
          <w:rFonts w:eastAsia="Times New Roman"/>
          <w:i/>
          <w:iCs/>
          <w:color w:val="222222"/>
          <w:szCs w:val="24"/>
          <w:highlight w:val="white"/>
        </w:rPr>
        <w:t>BMJ Quality &amp; Safety</w:t>
      </w:r>
      <w:r w:rsidRPr="000D40DD">
        <w:rPr>
          <w:rFonts w:eastAsia="Times New Roman"/>
          <w:color w:val="222222"/>
          <w:szCs w:val="24"/>
          <w:highlight w:val="white"/>
        </w:rPr>
        <w:t xml:space="preserve">. </w:t>
      </w:r>
      <w:hyperlink r:id="rId23" w:history="1">
        <w:r w:rsidRPr="000D40DD">
          <w:rPr>
            <w:rStyle w:val="Hyperlink"/>
            <w:rFonts w:eastAsia="Times New Roman"/>
            <w:szCs w:val="24"/>
          </w:rPr>
          <w:t>https://qualitysafety.bmj.com/content/early/2025/09/11/bmjqs-2025-019063.abstract</w:t>
        </w:r>
      </w:hyperlink>
    </w:p>
    <w:p w:rsidR="00012366" w:rsidRPr="000D40DD" w:rsidRDefault="00012366" w:rsidP="00012366">
      <w:pPr>
        <w:rPr>
          <w:rFonts w:eastAsia="Times New Roman"/>
          <w:szCs w:val="24"/>
        </w:rPr>
      </w:pPr>
      <w:r w:rsidRPr="000D40DD">
        <w:rPr>
          <w:rFonts w:eastAsia="Times New Roman"/>
          <w:szCs w:val="24"/>
        </w:rPr>
        <w:t>Brittain, A.C. and Carrington, J.M., (2021). Organizational health and patient safety: A systematic review. Journal of hospital management and health policy, 5.</w:t>
      </w:r>
      <w:hyperlink r:id="rId24">
        <w:r w:rsidRPr="000D40DD">
          <w:rPr>
            <w:rFonts w:eastAsia="Times New Roman"/>
            <w:color w:val="1155CC"/>
            <w:szCs w:val="24"/>
            <w:u w:val="single"/>
          </w:rPr>
          <w:t>https://jhmhp.amegroups.org/article/view/6544/html</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Chan, A.P., Guan, J., Choi, T.N., Yang, Y., Wu, G. and Lam, E., (2023). Improving safety performance of construction workers through learning from incidents. </w:t>
      </w:r>
      <w:r w:rsidRPr="000D40DD">
        <w:rPr>
          <w:rFonts w:eastAsia="Times New Roman"/>
          <w:i/>
          <w:iCs/>
          <w:color w:val="222222"/>
          <w:szCs w:val="24"/>
          <w:highlight w:val="white"/>
        </w:rPr>
        <w:t>International journal of environmental research and public health</w:t>
      </w:r>
      <w:r w:rsidRPr="000D40DD">
        <w:rPr>
          <w:rFonts w:eastAsia="Times New Roman"/>
          <w:color w:val="222222"/>
          <w:szCs w:val="24"/>
          <w:highlight w:val="white"/>
        </w:rPr>
        <w:t xml:space="preserve">, </w:t>
      </w:r>
      <w:r w:rsidRPr="000D40DD">
        <w:rPr>
          <w:rFonts w:eastAsia="Times New Roman"/>
          <w:i/>
          <w:iCs/>
          <w:color w:val="222222"/>
          <w:szCs w:val="24"/>
          <w:highlight w:val="white"/>
        </w:rPr>
        <w:t>20</w:t>
      </w:r>
      <w:r w:rsidRPr="000D40DD">
        <w:rPr>
          <w:rFonts w:eastAsia="Times New Roman"/>
          <w:color w:val="222222"/>
          <w:szCs w:val="24"/>
          <w:highlight w:val="white"/>
        </w:rPr>
        <w:t xml:space="preserve">(5), p.4570. </w:t>
      </w:r>
      <w:hyperlink r:id="rId25">
        <w:r w:rsidRPr="000D40DD">
          <w:rPr>
            <w:rFonts w:eastAsia="Times New Roman"/>
            <w:color w:val="1155CC"/>
            <w:szCs w:val="24"/>
            <w:highlight w:val="white"/>
            <w:u w:val="single"/>
          </w:rPr>
          <w:t>https://www.mdpi.com/1660-4601/20/5/4570</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Chance, E.A., Florence, D. and Abdoul, I.S., (2024). The effectiveness of checklists and error reporting systems in enhancing patient safety and reducing medical errors in hospital settings: A narrative review. </w:t>
      </w:r>
      <w:r w:rsidRPr="000D40DD">
        <w:rPr>
          <w:rFonts w:eastAsia="Times New Roman"/>
          <w:i/>
          <w:iCs/>
          <w:color w:val="222222"/>
          <w:szCs w:val="24"/>
          <w:highlight w:val="white"/>
        </w:rPr>
        <w:t>International journal of nursing sciences</w:t>
      </w:r>
      <w:r w:rsidRPr="000D40DD">
        <w:rPr>
          <w:rFonts w:eastAsia="Times New Roman"/>
          <w:color w:val="222222"/>
          <w:szCs w:val="24"/>
          <w:highlight w:val="white"/>
        </w:rPr>
        <w:t xml:space="preserve">, </w:t>
      </w:r>
      <w:r w:rsidRPr="000D40DD">
        <w:rPr>
          <w:rFonts w:eastAsia="Times New Roman"/>
          <w:i/>
          <w:iCs/>
          <w:color w:val="222222"/>
          <w:szCs w:val="24"/>
          <w:highlight w:val="white"/>
        </w:rPr>
        <w:t>11</w:t>
      </w:r>
      <w:r w:rsidRPr="000D40DD">
        <w:rPr>
          <w:rFonts w:eastAsia="Times New Roman"/>
          <w:color w:val="222222"/>
          <w:szCs w:val="24"/>
          <w:highlight w:val="white"/>
        </w:rPr>
        <w:t xml:space="preserve">(3), pp.387-398. </w:t>
      </w:r>
      <w:hyperlink r:id="rId26">
        <w:r w:rsidRPr="000D40DD">
          <w:rPr>
            <w:rFonts w:eastAsia="Times New Roman"/>
            <w:color w:val="1155CC"/>
            <w:szCs w:val="24"/>
            <w:highlight w:val="white"/>
            <w:u w:val="single"/>
          </w:rPr>
          <w:t>https://www.sciencedirect.com/science/article/pii/S2352013224000577</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Chen, J., Ghardallou, W., Comite, U., Ahmad, N., Ryu, H.B., Ariza-Montes, A. and Han, H., (2022). Managing hospital employees’ burnout through transformational leadership: the role of resilience, role clarity, and intrinsic motivation. </w:t>
      </w:r>
      <w:r w:rsidRPr="000D40DD">
        <w:rPr>
          <w:rFonts w:eastAsia="Times New Roman"/>
          <w:i/>
          <w:iCs/>
          <w:color w:val="222222"/>
          <w:szCs w:val="24"/>
          <w:highlight w:val="white"/>
        </w:rPr>
        <w:t>International journal of environmental research and public health</w:t>
      </w:r>
      <w:r w:rsidRPr="000D40DD">
        <w:rPr>
          <w:rFonts w:eastAsia="Times New Roman"/>
          <w:color w:val="222222"/>
          <w:szCs w:val="24"/>
          <w:highlight w:val="white"/>
        </w:rPr>
        <w:t>, </w:t>
      </w:r>
      <w:r w:rsidRPr="000D40DD">
        <w:rPr>
          <w:rFonts w:eastAsia="Times New Roman"/>
          <w:i/>
          <w:iCs/>
          <w:color w:val="222222"/>
          <w:szCs w:val="24"/>
          <w:highlight w:val="white"/>
        </w:rPr>
        <w:t>19</w:t>
      </w:r>
      <w:r w:rsidRPr="000D40DD">
        <w:rPr>
          <w:rFonts w:eastAsia="Times New Roman"/>
          <w:color w:val="222222"/>
          <w:szCs w:val="24"/>
          <w:highlight w:val="white"/>
        </w:rPr>
        <w:t xml:space="preserve">(17), p.10941. </w:t>
      </w:r>
      <w:hyperlink r:id="rId27" w:history="1">
        <w:r w:rsidRPr="000D40DD">
          <w:rPr>
            <w:rStyle w:val="Hyperlink"/>
            <w:rFonts w:eastAsia="Times New Roman"/>
            <w:szCs w:val="24"/>
          </w:rPr>
          <w:t>https://www.mdpi.com/1660-4601/19/17/10941</w:t>
        </w:r>
      </w:hyperlink>
    </w:p>
    <w:p w:rsidR="00012366" w:rsidRPr="000D40DD" w:rsidRDefault="00012366" w:rsidP="00012366">
      <w:pPr>
        <w:rPr>
          <w:rFonts w:eastAsia="Times New Roman"/>
          <w:szCs w:val="24"/>
        </w:rPr>
      </w:pPr>
      <w:r w:rsidRPr="000D40DD">
        <w:rPr>
          <w:rFonts w:eastAsia="Times New Roman"/>
          <w:szCs w:val="24"/>
        </w:rPr>
        <w:t xml:space="preserve">collidu.com. (2026). Available at: </w:t>
      </w:r>
      <w:hyperlink r:id="rId28">
        <w:r w:rsidRPr="000D40DD">
          <w:rPr>
            <w:rFonts w:eastAsia="Times New Roman"/>
            <w:color w:val="1155CC"/>
            <w:szCs w:val="24"/>
            <w:u w:val="single"/>
          </w:rPr>
          <w:t>https://www.collidu.com/presentation-great-man-theory</w:t>
        </w:r>
      </w:hyperlink>
      <w:r w:rsidRPr="000D40DD">
        <w:rPr>
          <w:rFonts w:eastAsia="Times New Roman"/>
          <w:szCs w:val="24"/>
        </w:rPr>
        <w:t xml:space="preserve">  (Accessed: 12 March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Dijkstra, N.E., Sino, C.G., Schuurmans, M.J., Schoonhoven, L. and Heerdink, E.R., (2022). Medication self-management: Considerations and decisions by older people living at home. </w:t>
      </w:r>
      <w:r w:rsidRPr="000D40DD">
        <w:rPr>
          <w:rFonts w:eastAsia="Times New Roman"/>
          <w:i/>
          <w:iCs/>
          <w:color w:val="222222"/>
          <w:szCs w:val="24"/>
          <w:highlight w:val="white"/>
        </w:rPr>
        <w:t>Research in Social and Administrative Pharmacy</w:t>
      </w:r>
      <w:r w:rsidRPr="000D40DD">
        <w:rPr>
          <w:rFonts w:eastAsia="Times New Roman"/>
          <w:color w:val="222222"/>
          <w:szCs w:val="24"/>
          <w:highlight w:val="white"/>
        </w:rPr>
        <w:t xml:space="preserve">, </w:t>
      </w:r>
      <w:r w:rsidRPr="000D40DD">
        <w:rPr>
          <w:rFonts w:eastAsia="Times New Roman"/>
          <w:i/>
          <w:iCs/>
          <w:color w:val="222222"/>
          <w:szCs w:val="24"/>
          <w:highlight w:val="white"/>
        </w:rPr>
        <w:t>18</w:t>
      </w:r>
      <w:r w:rsidRPr="000D40DD">
        <w:rPr>
          <w:rFonts w:eastAsia="Times New Roman"/>
          <w:color w:val="222222"/>
          <w:szCs w:val="24"/>
          <w:highlight w:val="white"/>
        </w:rPr>
        <w:t xml:space="preserve">(3), pp.2410-2423. </w:t>
      </w:r>
      <w:hyperlink r:id="rId29">
        <w:r w:rsidRPr="000D40DD">
          <w:rPr>
            <w:rFonts w:eastAsia="Times New Roman"/>
            <w:color w:val="1155CC"/>
            <w:szCs w:val="24"/>
            <w:highlight w:val="white"/>
            <w:u w:val="single"/>
          </w:rPr>
          <w:t>https://www.sciencedirect.com/science/article/pii/S1551741120300085</w:t>
        </w:r>
      </w:hyperlink>
    </w:p>
    <w:p w:rsidR="00012366" w:rsidRPr="000D40DD" w:rsidRDefault="00012366" w:rsidP="00012366">
      <w:pPr>
        <w:rPr>
          <w:rFonts w:eastAsia="Times New Roman"/>
          <w:szCs w:val="24"/>
        </w:rPr>
      </w:pPr>
      <w:r w:rsidRPr="000D40DD">
        <w:rPr>
          <w:rFonts w:eastAsia="Times New Roman"/>
          <w:szCs w:val="24"/>
        </w:rPr>
        <w:t xml:space="preserve">Dinibutun, S.R., (2020). Leadership: A comprehensive review of literature, research and theoretical framework. </w:t>
      </w:r>
      <w:r w:rsidRPr="000D40DD">
        <w:rPr>
          <w:rFonts w:eastAsia="Times New Roman"/>
          <w:i/>
          <w:iCs/>
          <w:szCs w:val="24"/>
        </w:rPr>
        <w:t xml:space="preserve">Research and Theoretical Framework </w:t>
      </w:r>
      <w:r w:rsidRPr="000D40DD">
        <w:rPr>
          <w:rFonts w:eastAsia="Times New Roman"/>
          <w:szCs w:val="24"/>
        </w:rPr>
        <w:t>(January 17, 2020).</w:t>
      </w:r>
      <w:hyperlink r:id="rId30">
        <w:r w:rsidRPr="000D40DD">
          <w:rPr>
            <w:rFonts w:eastAsia="Times New Roman"/>
            <w:color w:val="1155CC"/>
            <w:szCs w:val="24"/>
            <w:u w:val="single"/>
          </w:rPr>
          <w:t>https://papers.ssrn.com/sol3/Delivery.cfm?abstractid=3521205</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lastRenderedPageBreak/>
        <w:t>Dziruni, T.B., Hutchinson, A.M., Coomer, J., Keppich</w:t>
      </w:r>
      <w:r w:rsidRPr="000D40DD">
        <w:rPr>
          <w:rFonts w:ascii="Cambria Math" w:eastAsia="Times New Roman" w:hAnsi="Cambria Math" w:cs="Cambria Math"/>
          <w:color w:val="222222"/>
          <w:szCs w:val="24"/>
          <w:highlight w:val="white"/>
        </w:rPr>
        <w:t>‐</w:t>
      </w:r>
      <w:r w:rsidRPr="000D40DD">
        <w:rPr>
          <w:rFonts w:eastAsia="Times New Roman"/>
          <w:color w:val="222222"/>
          <w:szCs w:val="24"/>
          <w:highlight w:val="white"/>
        </w:rPr>
        <w:t xml:space="preserve">Arnold, S. and Bucknall, T., (2024). Realist synthesis of a rapid response system in managing mental state deterioration in acute hospital settings. </w:t>
      </w:r>
      <w:r w:rsidRPr="000D40DD">
        <w:rPr>
          <w:rFonts w:eastAsia="Times New Roman"/>
          <w:i/>
          <w:iCs/>
          <w:color w:val="222222"/>
          <w:szCs w:val="24"/>
          <w:highlight w:val="white"/>
        </w:rPr>
        <w:t>International Journal of Mental Health Nursing</w:t>
      </w:r>
      <w:r w:rsidRPr="000D40DD">
        <w:rPr>
          <w:rFonts w:eastAsia="Times New Roman"/>
          <w:color w:val="222222"/>
          <w:szCs w:val="24"/>
          <w:highlight w:val="white"/>
        </w:rPr>
        <w:t xml:space="preserve">, </w:t>
      </w:r>
      <w:r w:rsidRPr="000D40DD">
        <w:rPr>
          <w:rFonts w:eastAsia="Times New Roman"/>
          <w:i/>
          <w:iCs/>
          <w:color w:val="222222"/>
          <w:szCs w:val="24"/>
          <w:highlight w:val="white"/>
        </w:rPr>
        <w:t>33</w:t>
      </w:r>
      <w:r w:rsidRPr="000D40DD">
        <w:rPr>
          <w:rFonts w:eastAsia="Times New Roman"/>
          <w:color w:val="222222"/>
          <w:szCs w:val="24"/>
          <w:highlight w:val="white"/>
        </w:rPr>
        <w:t xml:space="preserve">(5), pp.1493-1531. </w:t>
      </w:r>
      <w:hyperlink r:id="rId31">
        <w:r w:rsidRPr="000D40DD">
          <w:rPr>
            <w:rFonts w:eastAsia="Times New Roman"/>
            <w:color w:val="1155CC"/>
            <w:szCs w:val="24"/>
            <w:highlight w:val="white"/>
            <w:u w:val="single"/>
          </w:rPr>
          <w:t>https://onlinelibrary.wiley.com/doi/pdf/10.1111/inm.13347</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Elliott, M., Williamson, R. and Endacott, R., (2024). Patient mortality and the neglect of vital signs' assessment: An audit of a national coronial database. </w:t>
      </w:r>
      <w:r w:rsidRPr="000D40DD">
        <w:rPr>
          <w:rFonts w:eastAsia="Times New Roman"/>
          <w:i/>
          <w:iCs/>
          <w:color w:val="222222"/>
          <w:szCs w:val="24"/>
          <w:highlight w:val="white"/>
        </w:rPr>
        <w:t>Nursing in Critical Care</w:t>
      </w:r>
      <w:r w:rsidRPr="000D40DD">
        <w:rPr>
          <w:rFonts w:eastAsia="Times New Roman"/>
          <w:color w:val="222222"/>
          <w:szCs w:val="24"/>
          <w:highlight w:val="white"/>
        </w:rPr>
        <w:t xml:space="preserve">, </w:t>
      </w:r>
      <w:r w:rsidRPr="000D40DD">
        <w:rPr>
          <w:rFonts w:eastAsia="Times New Roman"/>
          <w:i/>
          <w:iCs/>
          <w:color w:val="222222"/>
          <w:szCs w:val="24"/>
          <w:highlight w:val="white"/>
        </w:rPr>
        <w:t>29</w:t>
      </w:r>
      <w:r w:rsidRPr="000D40DD">
        <w:rPr>
          <w:rFonts w:eastAsia="Times New Roman"/>
          <w:color w:val="222222"/>
          <w:szCs w:val="24"/>
          <w:highlight w:val="white"/>
        </w:rPr>
        <w:t xml:space="preserve">(6), pp.1636-1642. </w:t>
      </w:r>
      <w:hyperlink r:id="rId32">
        <w:r w:rsidRPr="000D40DD">
          <w:rPr>
            <w:rFonts w:eastAsia="Times New Roman"/>
            <w:color w:val="1155CC"/>
            <w:szCs w:val="24"/>
            <w:highlight w:val="white"/>
            <w:u w:val="single"/>
          </w:rPr>
          <w:t>https://onlinelibrary.wiley.com/doi/pdf/10.1111/nicc.13037</w:t>
        </w:r>
      </w:hyperlink>
    </w:p>
    <w:p w:rsidR="00012366" w:rsidRPr="000D40DD" w:rsidRDefault="00012366" w:rsidP="00012366">
      <w:pPr>
        <w:rPr>
          <w:rFonts w:eastAsia="Times New Roman"/>
          <w:szCs w:val="24"/>
        </w:rPr>
      </w:pPr>
      <w:r w:rsidRPr="000D40DD">
        <w:rPr>
          <w:rFonts w:eastAsia="Times New Roman"/>
          <w:szCs w:val="24"/>
        </w:rPr>
        <w:t>Endre, G., (2021). Managing Service Delivery in Health and Social Care.</w:t>
      </w:r>
      <w:hyperlink r:id="rId33">
        <w:r w:rsidRPr="000D40DD">
          <w:rPr>
            <w:rFonts w:eastAsia="Times New Roman"/>
            <w:color w:val="1155CC"/>
            <w:szCs w:val="24"/>
            <w:u w:val="single"/>
          </w:rPr>
          <w:t>https://andrewsnotes.com/wp-content/uploads/2021/12/01-Managing-Service-Delivery-in-Health-and-Social-Care.pdf</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Ganzinger, M., Kunz, N., Fuchs, P., Lyu, C.K., Loos, M., Dugas, M. and Pausch, T.M., (2025). Automated generation of discharge summaries: leveraging large language models with clinical data. </w:t>
      </w:r>
      <w:r w:rsidRPr="000D40DD">
        <w:rPr>
          <w:rFonts w:eastAsia="Times New Roman"/>
          <w:i/>
          <w:iCs/>
          <w:color w:val="222222"/>
          <w:szCs w:val="24"/>
          <w:highlight w:val="white"/>
        </w:rPr>
        <w:t>Scientific reports</w:t>
      </w:r>
      <w:r w:rsidRPr="000D40DD">
        <w:rPr>
          <w:rFonts w:eastAsia="Times New Roman"/>
          <w:color w:val="222222"/>
          <w:szCs w:val="24"/>
          <w:highlight w:val="white"/>
        </w:rPr>
        <w:t>, </w:t>
      </w:r>
      <w:r w:rsidRPr="000D40DD">
        <w:rPr>
          <w:rFonts w:eastAsia="Times New Roman"/>
          <w:i/>
          <w:iCs/>
          <w:color w:val="222222"/>
          <w:szCs w:val="24"/>
          <w:highlight w:val="white"/>
        </w:rPr>
        <w:t>15</w:t>
      </w:r>
      <w:r w:rsidRPr="000D40DD">
        <w:rPr>
          <w:rFonts w:eastAsia="Times New Roman"/>
          <w:color w:val="222222"/>
          <w:szCs w:val="24"/>
          <w:highlight w:val="white"/>
        </w:rPr>
        <w:t xml:space="preserve">(1), p.16466. </w:t>
      </w:r>
      <w:hyperlink r:id="rId34" w:history="1">
        <w:r w:rsidRPr="000D40DD">
          <w:rPr>
            <w:rStyle w:val="Hyperlink"/>
            <w:rFonts w:eastAsia="Times New Roman"/>
            <w:szCs w:val="24"/>
          </w:rPr>
          <w:t>https://www.nature.com/articles/s41598-025-01618-7</w:t>
        </w:r>
      </w:hyperlink>
    </w:p>
    <w:p w:rsidR="00012366" w:rsidRPr="000D40DD" w:rsidRDefault="00012366" w:rsidP="00012366">
      <w:pPr>
        <w:rPr>
          <w:rFonts w:eastAsia="Times New Roman"/>
          <w:szCs w:val="24"/>
        </w:rPr>
      </w:pPr>
      <w:r w:rsidRPr="000D40DD">
        <w:rPr>
          <w:rFonts w:eastAsia="Times New Roman"/>
          <w:szCs w:val="24"/>
        </w:rPr>
        <w:t xml:space="preserve">gov.uk (2025) </w:t>
      </w:r>
      <w:r w:rsidRPr="000D40DD">
        <w:rPr>
          <w:rFonts w:eastAsia="Times New Roman"/>
          <w:i/>
          <w:iCs/>
          <w:szCs w:val="24"/>
        </w:rPr>
        <w:t>GOV.UK</w:t>
      </w:r>
      <w:r w:rsidRPr="000D40DD">
        <w:rPr>
          <w:rFonts w:eastAsia="Times New Roman"/>
          <w:szCs w:val="24"/>
        </w:rPr>
        <w:t xml:space="preserve">. Available at: </w:t>
      </w:r>
      <w:hyperlink r:id="rId35">
        <w:r w:rsidRPr="000D40DD">
          <w:rPr>
            <w:rFonts w:eastAsia="Times New Roman"/>
            <w:color w:val="1155CC"/>
            <w:szCs w:val="24"/>
            <w:u w:val="single"/>
          </w:rPr>
          <w:t>https://www.gov.uk/government/statistics/adult-social-care-in-england-monthly-statistics-november-2025/adult-social-care-in-england-monthly-statistics-november-2025</w:t>
        </w:r>
      </w:hyperlink>
      <w:r w:rsidRPr="000D40DD">
        <w:rPr>
          <w:rFonts w:eastAsia="Times New Roman"/>
          <w:szCs w:val="24"/>
        </w:rPr>
        <w:t xml:space="preserve"> (Accessed: 12 March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Heikkinen, I., (2022). Barcode medication administration and patient safety: A narrative literature review. </w:t>
      </w:r>
      <w:hyperlink r:id="rId36">
        <w:r w:rsidRPr="000D40DD">
          <w:rPr>
            <w:rFonts w:eastAsia="Times New Roman"/>
            <w:color w:val="1155CC"/>
            <w:szCs w:val="24"/>
            <w:highlight w:val="white"/>
            <w:u w:val="single"/>
          </w:rPr>
          <w:t>https://www.theseus.fi/bitstream/handle/10024/745259/Heikkinen_Irina.pdf?sequence=3</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Heydarikhayat, N., Ghanbarzehi, N. and Sabagh, K., (2024). Strategies to prevent medical errors by nursing interns: a qualitative content analysis. </w:t>
      </w:r>
      <w:r w:rsidRPr="000D40DD">
        <w:rPr>
          <w:rFonts w:eastAsia="Times New Roman"/>
          <w:i/>
          <w:iCs/>
          <w:color w:val="222222"/>
          <w:szCs w:val="24"/>
          <w:highlight w:val="white"/>
        </w:rPr>
        <w:t>BMC nursing</w:t>
      </w:r>
      <w:r w:rsidRPr="000D40DD">
        <w:rPr>
          <w:rFonts w:eastAsia="Times New Roman"/>
          <w:color w:val="222222"/>
          <w:szCs w:val="24"/>
          <w:highlight w:val="white"/>
        </w:rPr>
        <w:t>, </w:t>
      </w:r>
      <w:r w:rsidRPr="000D40DD">
        <w:rPr>
          <w:rFonts w:eastAsia="Times New Roman"/>
          <w:i/>
          <w:iCs/>
          <w:color w:val="222222"/>
          <w:szCs w:val="24"/>
          <w:highlight w:val="white"/>
        </w:rPr>
        <w:t>23</w:t>
      </w:r>
      <w:r w:rsidRPr="000D40DD">
        <w:rPr>
          <w:rFonts w:eastAsia="Times New Roman"/>
          <w:color w:val="222222"/>
          <w:szCs w:val="24"/>
          <w:highlight w:val="white"/>
        </w:rPr>
        <w:t xml:space="preserve">(1), p.48. </w:t>
      </w:r>
      <w:hyperlink r:id="rId37" w:history="1">
        <w:r w:rsidRPr="000D40DD">
          <w:rPr>
            <w:rStyle w:val="Hyperlink"/>
            <w:rFonts w:eastAsia="Times New Roman"/>
            <w:szCs w:val="24"/>
          </w:rPr>
          <w:t>https://link.springer.com/article/10.1186/s12912-024-01726-1</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Hu, F., Yang, H., Qiu, L., Wang, X., Ren, Z., Wei, S., Zhou, H., Chen, Y. and Hu, H., (2025). Innovation networks in the advanced medical equipment industry: supporting regional digital health systems from a local–national perspective. </w:t>
      </w:r>
      <w:r w:rsidRPr="000D40DD">
        <w:rPr>
          <w:rFonts w:eastAsia="Times New Roman"/>
          <w:i/>
          <w:iCs/>
          <w:color w:val="222222"/>
          <w:szCs w:val="24"/>
          <w:highlight w:val="white"/>
        </w:rPr>
        <w:t>Frontiers in public health</w:t>
      </w:r>
      <w:r w:rsidRPr="000D40DD">
        <w:rPr>
          <w:rFonts w:eastAsia="Times New Roman"/>
          <w:color w:val="222222"/>
          <w:szCs w:val="24"/>
          <w:highlight w:val="white"/>
        </w:rPr>
        <w:t>, </w:t>
      </w:r>
      <w:r w:rsidRPr="000D40DD">
        <w:rPr>
          <w:rFonts w:eastAsia="Times New Roman"/>
          <w:i/>
          <w:iCs/>
          <w:color w:val="222222"/>
          <w:szCs w:val="24"/>
          <w:highlight w:val="white"/>
        </w:rPr>
        <w:t>13</w:t>
      </w:r>
      <w:r w:rsidRPr="000D40DD">
        <w:rPr>
          <w:rFonts w:eastAsia="Times New Roman"/>
          <w:color w:val="222222"/>
          <w:szCs w:val="24"/>
          <w:highlight w:val="white"/>
        </w:rPr>
        <w:t xml:space="preserve">, p.1635475. </w:t>
      </w:r>
      <w:hyperlink r:id="rId38" w:history="1">
        <w:r w:rsidRPr="000D40DD">
          <w:rPr>
            <w:rStyle w:val="Hyperlink"/>
            <w:rFonts w:eastAsia="Times New Roman"/>
            <w:szCs w:val="24"/>
          </w:rPr>
          <w:t>https://www.frontiersin.org/journals/public-health/articles/10.3389/fpubh.2025.1635475/full</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Huang, C.H., Wu, H.H., Lee, Y.C. and Li, X., (2024). The critical role of leadership in patient safety culture: a mediation analysis of management influence on safety factors. </w:t>
      </w:r>
      <w:r w:rsidRPr="000D40DD">
        <w:rPr>
          <w:rFonts w:eastAsia="Times New Roman"/>
          <w:i/>
          <w:iCs/>
          <w:color w:val="222222"/>
          <w:szCs w:val="24"/>
          <w:highlight w:val="white"/>
        </w:rPr>
        <w:t xml:space="preserve">Risk </w:t>
      </w:r>
      <w:r w:rsidRPr="000D40DD">
        <w:rPr>
          <w:rFonts w:eastAsia="Times New Roman"/>
          <w:i/>
          <w:iCs/>
          <w:color w:val="222222"/>
          <w:szCs w:val="24"/>
          <w:highlight w:val="white"/>
        </w:rPr>
        <w:lastRenderedPageBreak/>
        <w:t>management and healthcare policy</w:t>
      </w:r>
      <w:r w:rsidRPr="000D40DD">
        <w:rPr>
          <w:rFonts w:eastAsia="Times New Roman"/>
          <w:color w:val="222222"/>
          <w:szCs w:val="24"/>
          <w:highlight w:val="white"/>
        </w:rPr>
        <w:t xml:space="preserve">, pp.513-523. </w:t>
      </w:r>
      <w:hyperlink r:id="rId39">
        <w:r w:rsidRPr="000D40DD">
          <w:rPr>
            <w:rFonts w:eastAsia="Times New Roman"/>
            <w:color w:val="1155CC"/>
            <w:szCs w:val="24"/>
            <w:highlight w:val="white"/>
            <w:u w:val="single"/>
          </w:rPr>
          <w:t>https://www.tandfonline.com/doi/pdf/10.2147/RMHP.S446651%4010.1080/tfocoll.2024.0.issue-Advancing_Patient</w:t>
        </w:r>
      </w:hyperlink>
    </w:p>
    <w:p w:rsidR="00012366" w:rsidRPr="000D40DD" w:rsidRDefault="00012366" w:rsidP="00012366">
      <w:pPr>
        <w:rPr>
          <w:szCs w:val="24"/>
        </w:rPr>
      </w:pPr>
      <w:r w:rsidRPr="000D40DD">
        <w:rPr>
          <w:rFonts w:eastAsia="Times New Roman"/>
          <w:color w:val="222222"/>
          <w:szCs w:val="24"/>
          <w:highlight w:val="white"/>
        </w:rPr>
        <w:t xml:space="preserve">Johnston, I., Price, O., McPherson, P., Armitage, C.J., Brooks, H., Bee, P., Lovell, K. and Brooks, C.P., (2022). De-escalation of conflict in forensic mental health inpatient settings: a Theoretical Domains Framework-informed qualitative investigation of staff and patient perspectives. </w:t>
      </w:r>
      <w:r w:rsidRPr="000D40DD">
        <w:rPr>
          <w:rFonts w:eastAsia="Times New Roman"/>
          <w:i/>
          <w:iCs/>
          <w:color w:val="222222"/>
          <w:szCs w:val="24"/>
          <w:highlight w:val="white"/>
        </w:rPr>
        <w:t>BMC psychology</w:t>
      </w:r>
      <w:r w:rsidRPr="000D40DD">
        <w:rPr>
          <w:rFonts w:eastAsia="Times New Roman"/>
          <w:color w:val="222222"/>
          <w:szCs w:val="24"/>
          <w:highlight w:val="white"/>
        </w:rPr>
        <w:t xml:space="preserve">, </w:t>
      </w:r>
      <w:r w:rsidRPr="000D40DD">
        <w:rPr>
          <w:rFonts w:eastAsia="Times New Roman"/>
          <w:i/>
          <w:iCs/>
          <w:color w:val="222222"/>
          <w:szCs w:val="24"/>
          <w:highlight w:val="white"/>
        </w:rPr>
        <w:t>10</w:t>
      </w:r>
      <w:r w:rsidRPr="000D40DD">
        <w:rPr>
          <w:rFonts w:eastAsia="Times New Roman"/>
          <w:color w:val="222222"/>
          <w:szCs w:val="24"/>
          <w:highlight w:val="white"/>
        </w:rPr>
        <w:t xml:space="preserve">(1), p.30. </w:t>
      </w:r>
      <w:hyperlink r:id="rId40">
        <w:r w:rsidRPr="000D40DD">
          <w:rPr>
            <w:rFonts w:eastAsia="Times New Roman"/>
            <w:color w:val="1155CC"/>
            <w:szCs w:val="24"/>
            <w:highlight w:val="white"/>
            <w:u w:val="single"/>
          </w:rPr>
          <w:t>https://link.springer.com/content/pdf/10.1186/s40359-022-00735-6.pdf</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Khatun, M., Riya, A.A., Alam, M.M., Hossain, S., Hira, T. and Chowdhury, I.H., (2024). Medication error in the provision of healthcare services: A Serious Public Health Concern. </w:t>
      </w:r>
      <w:r w:rsidRPr="000D40DD">
        <w:rPr>
          <w:rFonts w:eastAsia="Times New Roman"/>
          <w:i/>
          <w:iCs/>
          <w:color w:val="222222"/>
          <w:szCs w:val="24"/>
          <w:highlight w:val="white"/>
        </w:rPr>
        <w:t>Modern Health Science</w:t>
      </w:r>
      <w:r w:rsidRPr="000D40DD">
        <w:rPr>
          <w:rFonts w:eastAsia="Times New Roman"/>
          <w:color w:val="222222"/>
          <w:szCs w:val="24"/>
          <w:highlight w:val="white"/>
        </w:rPr>
        <w:t>, </w:t>
      </w:r>
      <w:r w:rsidRPr="000D40DD">
        <w:rPr>
          <w:rFonts w:eastAsia="Times New Roman"/>
          <w:i/>
          <w:iCs/>
          <w:color w:val="222222"/>
          <w:szCs w:val="24"/>
          <w:highlight w:val="white"/>
        </w:rPr>
        <w:t>7</w:t>
      </w:r>
      <w:r w:rsidRPr="000D40DD">
        <w:rPr>
          <w:rFonts w:eastAsia="Times New Roman"/>
          <w:color w:val="222222"/>
          <w:szCs w:val="24"/>
          <w:highlight w:val="white"/>
        </w:rPr>
        <w:t xml:space="preserve">(1), pp.p1-p1. </w:t>
      </w:r>
      <w:hyperlink r:id="rId41" w:history="1">
        <w:r w:rsidRPr="000D40DD">
          <w:rPr>
            <w:rStyle w:val="Hyperlink"/>
            <w:rFonts w:eastAsia="Times New Roman"/>
            <w:szCs w:val="24"/>
          </w:rPr>
          <w:t>https://j.ideasspread.org/mhs/article/view/1258</w:t>
        </w:r>
      </w:hyperlink>
    </w:p>
    <w:p w:rsidR="00012366" w:rsidRPr="000D40DD" w:rsidRDefault="00012366" w:rsidP="00012366">
      <w:pPr>
        <w:rPr>
          <w:rFonts w:eastAsia="Times New Roman"/>
          <w:szCs w:val="24"/>
        </w:rPr>
      </w:pPr>
      <w:r w:rsidRPr="000D40DD">
        <w:rPr>
          <w:rFonts w:eastAsia="Times New Roman"/>
          <w:szCs w:val="24"/>
        </w:rPr>
        <w:t>Kiwanuka, F., Nanyonga, R.C., Sak</w:t>
      </w:r>
      <w:r w:rsidRPr="000D40DD">
        <w:rPr>
          <w:rFonts w:ascii="Cambria Math" w:eastAsia="Times New Roman" w:hAnsi="Cambria Math" w:cs="Cambria Math"/>
          <w:szCs w:val="24"/>
        </w:rPr>
        <w:t>‐</w:t>
      </w:r>
      <w:r w:rsidRPr="000D40DD">
        <w:rPr>
          <w:rFonts w:eastAsia="Times New Roman"/>
          <w:szCs w:val="24"/>
        </w:rPr>
        <w:t xml:space="preserve">Dankosky, N., Muwanguzi, P.A. and Kvist, T., (2021). Nursing leadership styles and their impact on intensive care unit quality measures: An integrative review. </w:t>
      </w:r>
      <w:r w:rsidRPr="000D40DD">
        <w:rPr>
          <w:rFonts w:eastAsia="Times New Roman"/>
          <w:i/>
          <w:iCs/>
          <w:szCs w:val="24"/>
        </w:rPr>
        <w:t>Journal of Nursing Management, 29</w:t>
      </w:r>
      <w:r w:rsidRPr="000D40DD">
        <w:rPr>
          <w:rFonts w:eastAsia="Times New Roman"/>
          <w:szCs w:val="24"/>
        </w:rPr>
        <w:t>(2), pp.133-142.</w:t>
      </w:r>
      <w:hyperlink r:id="rId42">
        <w:r w:rsidRPr="000D40DD">
          <w:rPr>
            <w:rFonts w:eastAsia="Times New Roman"/>
            <w:color w:val="1155CC"/>
            <w:szCs w:val="24"/>
            <w:u w:val="single"/>
          </w:rPr>
          <w:t>https://erepo.uef.fi/bitstreams/60f2e850-8d9d-4098-9979-c3a2929a50c0/download</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Lewis, J., (2022). The problems of social care in English nursing and residential homes for older people and the role of state regulation. </w:t>
      </w:r>
      <w:r w:rsidRPr="000D40DD">
        <w:rPr>
          <w:rFonts w:eastAsia="Times New Roman"/>
          <w:i/>
          <w:iCs/>
          <w:color w:val="222222"/>
          <w:szCs w:val="24"/>
          <w:highlight w:val="white"/>
        </w:rPr>
        <w:t>Journal of Social Welfare and Family Law</w:t>
      </w:r>
      <w:r w:rsidRPr="000D40DD">
        <w:rPr>
          <w:rFonts w:eastAsia="Times New Roman"/>
          <w:color w:val="222222"/>
          <w:szCs w:val="24"/>
          <w:highlight w:val="white"/>
        </w:rPr>
        <w:t>, </w:t>
      </w:r>
      <w:r w:rsidRPr="000D40DD">
        <w:rPr>
          <w:rFonts w:eastAsia="Times New Roman"/>
          <w:i/>
          <w:iCs/>
          <w:color w:val="222222"/>
          <w:szCs w:val="24"/>
          <w:highlight w:val="white"/>
        </w:rPr>
        <w:t>44</w:t>
      </w:r>
      <w:r w:rsidRPr="000D40DD">
        <w:rPr>
          <w:rFonts w:eastAsia="Times New Roman"/>
          <w:color w:val="222222"/>
          <w:szCs w:val="24"/>
          <w:highlight w:val="white"/>
        </w:rPr>
        <w:t xml:space="preserve">(2), pp.185-204. </w:t>
      </w:r>
      <w:hyperlink r:id="rId43" w:history="1">
        <w:r w:rsidRPr="000D40DD">
          <w:rPr>
            <w:rStyle w:val="Hyperlink"/>
            <w:rFonts w:eastAsia="Times New Roman"/>
            <w:szCs w:val="24"/>
          </w:rPr>
          <w:t>https://www.tandfonline.com/doi/abs/10.1080/09649069.2022.2067650</w:t>
        </w:r>
      </w:hyperlink>
    </w:p>
    <w:p w:rsidR="00012366" w:rsidRPr="000D40DD" w:rsidRDefault="00012366" w:rsidP="00012366">
      <w:pPr>
        <w:rPr>
          <w:rFonts w:eastAsia="Times New Roman"/>
          <w:szCs w:val="24"/>
        </w:rPr>
      </w:pPr>
      <w:r w:rsidRPr="000D40DD">
        <w:rPr>
          <w:rFonts w:eastAsia="Times New Roman"/>
          <w:szCs w:val="24"/>
        </w:rPr>
        <w:t xml:space="preserve">LifeDev, P. (2023) What Conclusions Can We Draw From Trait Theory: 5 Key Ones, LifeDev.net. Available at: </w:t>
      </w:r>
      <w:hyperlink r:id="rId44">
        <w:r w:rsidRPr="000D40DD">
          <w:rPr>
            <w:rFonts w:eastAsia="Times New Roman"/>
            <w:color w:val="1155CC"/>
            <w:szCs w:val="24"/>
            <w:u w:val="single"/>
          </w:rPr>
          <w:t>https://lifedev.net/2023/08/what-conclusions-can-we-draw-from-trait-theory/</w:t>
        </w:r>
      </w:hyperlink>
      <w:r w:rsidRPr="000D40DD">
        <w:rPr>
          <w:rFonts w:eastAsia="Times New Roman"/>
          <w:szCs w:val="24"/>
        </w:rPr>
        <w:t xml:space="preserve">  (Accessed: 12 March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Macintyre, P.E., (2022). The opioid epidemic from the acute care hospital front line. </w:t>
      </w:r>
      <w:r w:rsidRPr="000D40DD">
        <w:rPr>
          <w:rFonts w:eastAsia="Times New Roman"/>
          <w:i/>
          <w:iCs/>
          <w:color w:val="222222"/>
          <w:szCs w:val="24"/>
          <w:highlight w:val="white"/>
        </w:rPr>
        <w:t>Anaesthesia and Intensive Care</w:t>
      </w:r>
      <w:r w:rsidRPr="000D40DD">
        <w:rPr>
          <w:rFonts w:eastAsia="Times New Roman"/>
          <w:color w:val="222222"/>
          <w:szCs w:val="24"/>
          <w:highlight w:val="white"/>
        </w:rPr>
        <w:t>, </w:t>
      </w:r>
      <w:r w:rsidRPr="000D40DD">
        <w:rPr>
          <w:rFonts w:eastAsia="Times New Roman"/>
          <w:i/>
          <w:iCs/>
          <w:color w:val="222222"/>
          <w:szCs w:val="24"/>
          <w:highlight w:val="white"/>
        </w:rPr>
        <w:t>50</w:t>
      </w:r>
      <w:r w:rsidRPr="000D40DD">
        <w:rPr>
          <w:rFonts w:eastAsia="Times New Roman"/>
          <w:color w:val="222222"/>
          <w:szCs w:val="24"/>
          <w:highlight w:val="white"/>
        </w:rPr>
        <w:t>(1-2), pp.29-43.</w:t>
      </w:r>
      <w:hyperlink r:id="rId45" w:history="1">
        <w:r w:rsidRPr="000D40DD">
          <w:rPr>
            <w:rStyle w:val="Hyperlink"/>
            <w:rFonts w:eastAsia="Times New Roman"/>
            <w:szCs w:val="24"/>
          </w:rPr>
          <w:t>https://journals.sagepub.com/doi/abs/10.1177/0310057X211018211</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Makrani, M.F., Goyal, A. and Sayeed, S.Y., (2025). A comparative overview of global regulatory authorities: Ensuring quality, safety, and efficacy in medicines. </w:t>
      </w:r>
      <w:r w:rsidRPr="000D40DD">
        <w:rPr>
          <w:rFonts w:eastAsia="Times New Roman"/>
          <w:i/>
          <w:iCs/>
          <w:color w:val="222222"/>
          <w:szCs w:val="24"/>
          <w:highlight w:val="white"/>
        </w:rPr>
        <w:t xml:space="preserve">International Research Journal of </w:t>
      </w:r>
      <w:r w:rsidRPr="000D40DD">
        <w:rPr>
          <w:rFonts w:eastAsia="Times New Roman"/>
          <w:i/>
          <w:iCs/>
          <w:color w:val="222222"/>
          <w:szCs w:val="24"/>
          <w:highlight w:val="white"/>
        </w:rPr>
        <w:lastRenderedPageBreak/>
        <w:t>Pharmacy and Medical Sciences</w:t>
      </w:r>
      <w:r w:rsidRPr="000D40DD">
        <w:rPr>
          <w:rFonts w:eastAsia="Times New Roman"/>
          <w:color w:val="222222"/>
          <w:szCs w:val="24"/>
          <w:highlight w:val="white"/>
        </w:rPr>
        <w:t>, </w:t>
      </w:r>
      <w:r w:rsidRPr="000D40DD">
        <w:rPr>
          <w:rFonts w:eastAsia="Times New Roman"/>
          <w:i/>
          <w:iCs/>
          <w:color w:val="222222"/>
          <w:szCs w:val="24"/>
          <w:highlight w:val="white"/>
        </w:rPr>
        <w:t>8</w:t>
      </w:r>
      <w:r w:rsidRPr="000D40DD">
        <w:rPr>
          <w:rFonts w:eastAsia="Times New Roman"/>
          <w:color w:val="222222"/>
          <w:szCs w:val="24"/>
          <w:highlight w:val="white"/>
        </w:rPr>
        <w:t xml:space="preserve">(2), pp.93-99. </w:t>
      </w:r>
      <w:hyperlink r:id="rId46" w:history="1">
        <w:r w:rsidRPr="000D40DD">
          <w:rPr>
            <w:rStyle w:val="Hyperlink"/>
            <w:rFonts w:eastAsia="Times New Roman"/>
            <w:szCs w:val="24"/>
          </w:rPr>
          <w:t>http://irjpms.com/wp-content/uploads/2025/03/IRJPMS-V8N2P150Y25.pdf</w:t>
        </w:r>
      </w:hyperlink>
    </w:p>
    <w:p w:rsidR="00012366" w:rsidRPr="000D40DD" w:rsidRDefault="00012366" w:rsidP="00012366">
      <w:pPr>
        <w:rPr>
          <w:rFonts w:eastAsia="Times New Roman"/>
          <w:szCs w:val="24"/>
        </w:rPr>
      </w:pPr>
      <w:r w:rsidRPr="000D40DD">
        <w:rPr>
          <w:rFonts w:eastAsia="Times New Roman"/>
          <w:szCs w:val="24"/>
        </w:rPr>
        <w:t xml:space="preserve">Mcleod, M., Campbell, A., Hayhoe, B., Borek, A.J., Tonkin-Crine, S., Moore, M.V., Butler, C.C., Walker, A.S., Holmes, A., Wong, G. and STEP-UP study team Anyanwu Philip E Bright Nicole Buchanan James Costelloe Ceire Hopkins Susan Majeed Azeem Morrell Liz Pouwels Koen B Robotham Julie V Roope Laurence SJ Wordsworth Sarah Wright Carla Yadav Sara Zalevski Anna, (2024). How, why and when are delayed (back-up) antibiotic prescriptions used in primary care? A realist review integrating concepts of uncertainty in healthcare. </w:t>
      </w:r>
      <w:r w:rsidRPr="000D40DD">
        <w:rPr>
          <w:rFonts w:eastAsia="Times New Roman"/>
          <w:i/>
          <w:iCs/>
          <w:szCs w:val="24"/>
        </w:rPr>
        <w:t>BMC public health, 24</w:t>
      </w:r>
      <w:r w:rsidRPr="000D40DD">
        <w:rPr>
          <w:rFonts w:eastAsia="Times New Roman"/>
          <w:szCs w:val="24"/>
        </w:rPr>
        <w:t>(1), p.2820.</w:t>
      </w:r>
      <w:hyperlink r:id="rId47">
        <w:r w:rsidRPr="000D40DD">
          <w:rPr>
            <w:rFonts w:eastAsia="Times New Roman"/>
            <w:color w:val="1155CC"/>
            <w:szCs w:val="24"/>
            <w:u w:val="single"/>
          </w:rPr>
          <w:t>https://link.springer.com/content/pdf/10.1186/s12889-024-20248-8.pdf</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Mulac, A., Hagesaether, E. and Granas, A.G., (2022). Medication dose calculation errors and other numeracy mishaps in hospitals: analysis of the nature and enablers of incident reports. </w:t>
      </w:r>
      <w:r w:rsidRPr="000D40DD">
        <w:rPr>
          <w:rFonts w:eastAsia="Times New Roman"/>
          <w:i/>
          <w:iCs/>
          <w:color w:val="222222"/>
          <w:szCs w:val="24"/>
          <w:highlight w:val="white"/>
        </w:rPr>
        <w:t>Journal of Advanced Nursing</w:t>
      </w:r>
      <w:r w:rsidRPr="000D40DD">
        <w:rPr>
          <w:rFonts w:eastAsia="Times New Roman"/>
          <w:color w:val="222222"/>
          <w:szCs w:val="24"/>
          <w:highlight w:val="white"/>
        </w:rPr>
        <w:t xml:space="preserve">, </w:t>
      </w:r>
      <w:r w:rsidRPr="000D40DD">
        <w:rPr>
          <w:rFonts w:eastAsia="Times New Roman"/>
          <w:i/>
          <w:iCs/>
          <w:color w:val="222222"/>
          <w:szCs w:val="24"/>
          <w:highlight w:val="white"/>
        </w:rPr>
        <w:t>78</w:t>
      </w:r>
      <w:r w:rsidRPr="000D40DD">
        <w:rPr>
          <w:rFonts w:eastAsia="Times New Roman"/>
          <w:color w:val="222222"/>
          <w:szCs w:val="24"/>
          <w:highlight w:val="white"/>
        </w:rPr>
        <w:t xml:space="preserve">(1), pp.224-238. </w:t>
      </w:r>
      <w:hyperlink r:id="rId48">
        <w:r w:rsidRPr="000D40DD">
          <w:rPr>
            <w:rFonts w:eastAsia="Times New Roman"/>
            <w:color w:val="1155CC"/>
            <w:szCs w:val="24"/>
            <w:highlight w:val="white"/>
            <w:u w:val="single"/>
          </w:rPr>
          <w:t>https://onlinelibrary.wiley.com/doi/pdfdirect/10.1111/jan.15072</w:t>
        </w:r>
      </w:hyperlink>
    </w:p>
    <w:p w:rsidR="00012366" w:rsidRPr="000D40DD" w:rsidRDefault="00012366" w:rsidP="00012366">
      <w:pPr>
        <w:rPr>
          <w:rFonts w:eastAsia="Times New Roman"/>
          <w:szCs w:val="24"/>
        </w:rPr>
      </w:pPr>
      <w:r w:rsidRPr="000D40DD">
        <w:rPr>
          <w:rFonts w:eastAsia="Times New Roman"/>
          <w:szCs w:val="24"/>
        </w:rPr>
        <w:t xml:space="preserve">Parsons, G. (2025) Tannenbaum-Schmidt Continuum: from autocratic leadership to democratic delegating [full diagram], BiteSize Learning. BiteSize Learning. Available at: </w:t>
      </w:r>
      <w:hyperlink r:id="rId49">
        <w:r w:rsidRPr="000D40DD">
          <w:rPr>
            <w:rFonts w:eastAsia="Times New Roman"/>
            <w:color w:val="1155CC"/>
            <w:szCs w:val="24"/>
            <w:u w:val="single"/>
          </w:rPr>
          <w:t>https://www.bitesizelearning.co.uk/resources/tannenbaum-schmidt-continuum-managers</w:t>
        </w:r>
      </w:hyperlink>
      <w:r w:rsidRPr="000D40DD">
        <w:rPr>
          <w:rFonts w:eastAsia="Times New Roman"/>
          <w:szCs w:val="24"/>
        </w:rPr>
        <w:t xml:space="preserve">  (Accessed: 12 March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Payne, R., Clarke, A., Swann, N., van Dael, J., Brenman, N., Rosen, R., Mackridge, A., Moore, L., Kalin, A., Ladds, E. and Hemmings, N., (2024). Patient safety in remote primary care encounters: multimethod qualitative study combining Safety I and Safety II analysis. </w:t>
      </w:r>
      <w:r w:rsidRPr="000D40DD">
        <w:rPr>
          <w:rFonts w:eastAsia="Times New Roman"/>
          <w:i/>
          <w:iCs/>
          <w:color w:val="222222"/>
          <w:szCs w:val="24"/>
          <w:highlight w:val="white"/>
        </w:rPr>
        <w:t>BMJ quality &amp; safety</w:t>
      </w:r>
      <w:r w:rsidRPr="000D40DD">
        <w:rPr>
          <w:rFonts w:eastAsia="Times New Roman"/>
          <w:color w:val="222222"/>
          <w:szCs w:val="24"/>
          <w:highlight w:val="white"/>
        </w:rPr>
        <w:t xml:space="preserve">, </w:t>
      </w:r>
      <w:r w:rsidRPr="000D40DD">
        <w:rPr>
          <w:rFonts w:eastAsia="Times New Roman"/>
          <w:i/>
          <w:iCs/>
          <w:color w:val="222222"/>
          <w:szCs w:val="24"/>
          <w:highlight w:val="white"/>
        </w:rPr>
        <w:t>33</w:t>
      </w:r>
      <w:r w:rsidRPr="000D40DD">
        <w:rPr>
          <w:rFonts w:eastAsia="Times New Roman"/>
          <w:color w:val="222222"/>
          <w:szCs w:val="24"/>
          <w:highlight w:val="white"/>
        </w:rPr>
        <w:t xml:space="preserve">(9), pp.573-586. </w:t>
      </w:r>
      <w:hyperlink r:id="rId50">
        <w:r w:rsidRPr="000D40DD">
          <w:rPr>
            <w:rFonts w:eastAsia="Times New Roman"/>
            <w:color w:val="1155CC"/>
            <w:szCs w:val="24"/>
            <w:highlight w:val="white"/>
            <w:u w:val="single"/>
          </w:rPr>
          <w:t>https://qualitysafety.bmj.com/content/qhc/33/9/573.full.pdf</w:t>
        </w:r>
      </w:hyperlink>
    </w:p>
    <w:p w:rsidR="00012366" w:rsidRPr="000D40DD" w:rsidRDefault="00012366" w:rsidP="00012366">
      <w:pPr>
        <w:pStyle w:val="NormalWeb"/>
        <w:spacing w:before="0" w:beforeAutospacing="0" w:after="240" w:afterAutospacing="0" w:line="360" w:lineRule="auto"/>
        <w:rPr>
          <w:rFonts w:cs="Arial"/>
        </w:rPr>
      </w:pPr>
      <w:r w:rsidRPr="000D40DD">
        <w:rPr>
          <w:rFonts w:cs="Arial"/>
        </w:rPr>
        <w:t xml:space="preserve">Pepple, H. and Boumechache, M. (2022). </w:t>
      </w:r>
      <w:r w:rsidRPr="000D40DD">
        <w:rPr>
          <w:rFonts w:cs="Arial"/>
          <w:i/>
          <w:iCs/>
        </w:rPr>
        <w:t>Errors and the inappropriate use of medicines in UK care homes</w:t>
      </w:r>
      <w:r w:rsidRPr="000D40DD">
        <w:rPr>
          <w:rFonts w:cs="Arial"/>
        </w:rPr>
        <w:t xml:space="preserve">. [online] The Pharmaceutical Journal. Available at: </w:t>
      </w:r>
      <w:hyperlink r:id="rId51" w:history="1">
        <w:r w:rsidRPr="000D40DD">
          <w:rPr>
            <w:rStyle w:val="Hyperlink"/>
            <w:rFonts w:cs="Arial"/>
          </w:rPr>
          <w:t>https://pharmaceutical-journal.com/article/research/errors-and-the-inappropriate-use-of-medicines-in-uk-care-homes</w:t>
        </w:r>
      </w:hyperlink>
      <w:r w:rsidRPr="000D40DD">
        <w:rPr>
          <w:rFonts w:cs="Arial"/>
        </w:rPr>
        <w:t xml:space="preserve"> [Accessed 12 Mar. 2026].</w:t>
      </w:r>
    </w:p>
    <w:p w:rsidR="00012366" w:rsidRPr="000D40DD" w:rsidRDefault="00012366" w:rsidP="00012366">
      <w:pPr>
        <w:rPr>
          <w:rFonts w:eastAsia="Times New Roman"/>
          <w:szCs w:val="24"/>
        </w:rPr>
      </w:pPr>
      <w:r w:rsidRPr="000D40DD">
        <w:rPr>
          <w:rFonts w:eastAsia="Times New Roman"/>
          <w:szCs w:val="24"/>
        </w:rPr>
        <w:t>Peters, M.A., (2023). Who Leads, Who Follows? Critical Review of the Field of Leadership Studies: From the ‘Great Man’&amp; Trait Theory to Equity &amp; Diversity Leadership in the Biodigital Era.</w:t>
      </w:r>
      <w:r w:rsidRPr="000D40DD">
        <w:rPr>
          <w:rFonts w:eastAsia="Times New Roman"/>
          <w:i/>
          <w:iCs/>
          <w:szCs w:val="24"/>
        </w:rPr>
        <w:t xml:space="preserve"> Beijing International Review of Education, 5</w:t>
      </w:r>
      <w:r w:rsidRPr="000D40DD">
        <w:rPr>
          <w:rFonts w:eastAsia="Times New Roman"/>
          <w:szCs w:val="24"/>
        </w:rPr>
        <w:t>(1-2), pp.25-50.</w:t>
      </w:r>
      <w:hyperlink r:id="rId52">
        <w:r w:rsidRPr="000D40DD">
          <w:rPr>
            <w:rFonts w:eastAsia="Times New Roman"/>
            <w:color w:val="1155CC"/>
            <w:szCs w:val="24"/>
            <w:u w:val="single"/>
          </w:rPr>
          <w:t>https://journals.sagepub.com/doi/pdf/10.1163/25902539-05010009</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lastRenderedPageBreak/>
        <w:t xml:space="preserve">Petros Ouzounakis, R.N., Aikaterini Frantzana, R.N., Christos Iliadis, R.N. and Vassiliki Diamantidou, M.D., (2025). Implementation of Transformational Leadership in the Hospital. </w:t>
      </w:r>
      <w:r w:rsidRPr="000D40DD">
        <w:rPr>
          <w:rFonts w:eastAsia="Times New Roman"/>
          <w:i/>
          <w:iCs/>
          <w:color w:val="222222"/>
          <w:szCs w:val="24"/>
          <w:highlight w:val="white"/>
        </w:rPr>
        <w:t>International Journal of Caring Sciences</w:t>
      </w:r>
      <w:r w:rsidRPr="000D40DD">
        <w:rPr>
          <w:rFonts w:eastAsia="Times New Roman"/>
          <w:color w:val="222222"/>
          <w:szCs w:val="24"/>
          <w:highlight w:val="white"/>
        </w:rPr>
        <w:t xml:space="preserve">, </w:t>
      </w:r>
      <w:r w:rsidRPr="000D40DD">
        <w:rPr>
          <w:rFonts w:eastAsia="Times New Roman"/>
          <w:i/>
          <w:iCs/>
          <w:color w:val="222222"/>
          <w:szCs w:val="24"/>
          <w:highlight w:val="white"/>
        </w:rPr>
        <w:t>18</w:t>
      </w:r>
      <w:r w:rsidRPr="000D40DD">
        <w:rPr>
          <w:rFonts w:eastAsia="Times New Roman"/>
          <w:color w:val="222222"/>
          <w:szCs w:val="24"/>
          <w:highlight w:val="white"/>
        </w:rPr>
        <w:t xml:space="preserve">(3), pp.1658-1665. </w:t>
      </w:r>
      <w:hyperlink r:id="rId53">
        <w:r w:rsidRPr="000D40DD">
          <w:rPr>
            <w:rFonts w:eastAsia="Times New Roman"/>
            <w:color w:val="1155CC"/>
            <w:szCs w:val="24"/>
            <w:highlight w:val="white"/>
            <w:u w:val="single"/>
          </w:rPr>
          <w:t>https://www.internationaljournalofcaringsciences.org/docs/44.ouzounakis.pdf</w:t>
        </w:r>
      </w:hyperlink>
    </w:p>
    <w:p w:rsidR="00012366" w:rsidRPr="000D40DD" w:rsidRDefault="00012366" w:rsidP="00012366">
      <w:pPr>
        <w:pStyle w:val="NormalWeb"/>
        <w:spacing w:before="0" w:beforeAutospacing="0" w:after="240" w:afterAutospacing="0" w:line="360" w:lineRule="auto"/>
        <w:rPr>
          <w:rFonts w:cs="Arial"/>
        </w:rPr>
      </w:pPr>
      <w:r w:rsidRPr="000D40DD">
        <w:rPr>
          <w:rFonts w:cs="Arial"/>
        </w:rPr>
        <w:t xml:space="preserve">Pharmaceutical press (2024). </w:t>
      </w:r>
      <w:r w:rsidRPr="000D40DD">
        <w:rPr>
          <w:rFonts w:cs="Arial"/>
          <w:i/>
          <w:iCs/>
        </w:rPr>
        <w:t>What are the most common types of medication errors?</w:t>
      </w:r>
      <w:r w:rsidRPr="000D40DD">
        <w:rPr>
          <w:rFonts w:cs="Arial"/>
        </w:rPr>
        <w:t xml:space="preserve"> [online] Pharmaceutical Press. Available at: </w:t>
      </w:r>
      <w:hyperlink r:id="rId54" w:history="1">
        <w:r w:rsidRPr="000D40DD">
          <w:rPr>
            <w:rStyle w:val="Hyperlink"/>
            <w:rFonts w:cs="Arial"/>
          </w:rPr>
          <w:t>https://www.pharmaceuticalpress.com/resources/article/what-are-the-most-common-types-of-medication-errors/</w:t>
        </w:r>
      </w:hyperlink>
      <w:r w:rsidRPr="000D40DD">
        <w:rPr>
          <w:rFonts w:cs="Arial"/>
        </w:rPr>
        <w:t xml:space="preserve"> [Accessed 12 Mar. 2026].</w:t>
      </w:r>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Price, O., Armitage, C.J., Bee, P., Brooks, H., Lovell, K., Butler, D., Cree, L., Fishwick, P., Grundy, A., Johnston, I. and Mcpherson, P., (2024). De-escalating aggression in acute inpatient mental health settings: a behaviour change theory-informed, secondary qualitative analysis of staff and patient perspectives. </w:t>
      </w:r>
      <w:r w:rsidRPr="000D40DD">
        <w:rPr>
          <w:rFonts w:eastAsia="Times New Roman"/>
          <w:i/>
          <w:iCs/>
          <w:color w:val="222222"/>
          <w:szCs w:val="24"/>
          <w:highlight w:val="white"/>
        </w:rPr>
        <w:t>BMC psychiatry</w:t>
      </w:r>
      <w:r w:rsidRPr="000D40DD">
        <w:rPr>
          <w:rFonts w:eastAsia="Times New Roman"/>
          <w:color w:val="222222"/>
          <w:szCs w:val="24"/>
          <w:highlight w:val="white"/>
        </w:rPr>
        <w:t xml:space="preserve">, </w:t>
      </w:r>
      <w:r w:rsidRPr="000D40DD">
        <w:rPr>
          <w:rFonts w:eastAsia="Times New Roman"/>
          <w:i/>
          <w:iCs/>
          <w:color w:val="222222"/>
          <w:szCs w:val="24"/>
          <w:highlight w:val="white"/>
        </w:rPr>
        <w:t>24</w:t>
      </w:r>
      <w:r w:rsidRPr="000D40DD">
        <w:rPr>
          <w:rFonts w:eastAsia="Times New Roman"/>
          <w:color w:val="222222"/>
          <w:szCs w:val="24"/>
          <w:highlight w:val="white"/>
        </w:rPr>
        <w:t xml:space="preserve">(1), p.548. </w:t>
      </w:r>
      <w:hyperlink r:id="rId55">
        <w:r w:rsidRPr="000D40DD">
          <w:rPr>
            <w:rFonts w:eastAsia="Times New Roman"/>
            <w:color w:val="1155CC"/>
            <w:szCs w:val="24"/>
            <w:highlight w:val="white"/>
            <w:u w:val="single"/>
          </w:rPr>
          <w:t>https://link.springer.com/content/pdf/10.1186/s12888-024-05920-y.pdf</w:t>
        </w:r>
      </w:hyperlink>
    </w:p>
    <w:p w:rsidR="00012366" w:rsidRPr="000D40DD" w:rsidRDefault="00012366" w:rsidP="00012366">
      <w:pPr>
        <w:rPr>
          <w:rFonts w:eastAsia="Times New Roman"/>
          <w:szCs w:val="24"/>
        </w:rPr>
      </w:pPr>
      <w:r w:rsidRPr="000D40DD">
        <w:rPr>
          <w:rFonts w:eastAsia="Times New Roman"/>
          <w:szCs w:val="24"/>
        </w:rPr>
        <w:t>Ree, E., (2020). What is the role of transformational leadership, work environment and patient safety culture for person</w:t>
      </w:r>
      <w:r w:rsidRPr="000D40DD">
        <w:rPr>
          <w:rFonts w:ascii="Cambria Math" w:eastAsia="Times New Roman" w:hAnsi="Cambria Math" w:cs="Cambria Math"/>
          <w:szCs w:val="24"/>
        </w:rPr>
        <w:t>‐</w:t>
      </w:r>
      <w:r w:rsidRPr="000D40DD">
        <w:rPr>
          <w:rFonts w:eastAsia="Times New Roman"/>
          <w:szCs w:val="24"/>
        </w:rPr>
        <w:t>centred care? A cross</w:t>
      </w:r>
      <w:r w:rsidRPr="000D40DD">
        <w:rPr>
          <w:rFonts w:ascii="Cambria Math" w:eastAsia="Times New Roman" w:hAnsi="Cambria Math" w:cs="Cambria Math"/>
          <w:szCs w:val="24"/>
        </w:rPr>
        <w:t>‐</w:t>
      </w:r>
      <w:r w:rsidRPr="000D40DD">
        <w:rPr>
          <w:rFonts w:eastAsia="Times New Roman"/>
          <w:szCs w:val="24"/>
        </w:rPr>
        <w:t>sectional study in Norwegian nursing homes and home care services.</w:t>
      </w:r>
      <w:r w:rsidRPr="000D40DD">
        <w:rPr>
          <w:rFonts w:eastAsia="Times New Roman"/>
          <w:i/>
          <w:iCs/>
          <w:szCs w:val="24"/>
        </w:rPr>
        <w:t xml:space="preserve"> Nursing Open, 7</w:t>
      </w:r>
      <w:r w:rsidRPr="000D40DD">
        <w:rPr>
          <w:rFonts w:eastAsia="Times New Roman"/>
          <w:szCs w:val="24"/>
        </w:rPr>
        <w:t>(6), pp.1988-1996.</w:t>
      </w:r>
      <w:hyperlink r:id="rId56">
        <w:r w:rsidRPr="000D40DD">
          <w:rPr>
            <w:rFonts w:eastAsia="Times New Roman"/>
            <w:color w:val="1155CC"/>
            <w:szCs w:val="24"/>
            <w:u w:val="single"/>
          </w:rPr>
          <w:t>https://onlinelibrary.wiley.com/doi/pdf/10.1002/nop2.592</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Sapkota, S., Dhakal, A., Rushton, S., van Teijlingen, E., Marahatta, S.B., Balen, J. and Lee, A.C., (2023). The impact of decentralisation on health systems: a systematic review of reviews. </w:t>
      </w:r>
      <w:r w:rsidRPr="000D40DD">
        <w:rPr>
          <w:rFonts w:eastAsia="Times New Roman"/>
          <w:i/>
          <w:iCs/>
          <w:color w:val="222222"/>
          <w:szCs w:val="24"/>
          <w:highlight w:val="white"/>
        </w:rPr>
        <w:t>BMJ Global Health</w:t>
      </w:r>
      <w:r w:rsidRPr="000D40DD">
        <w:rPr>
          <w:rFonts w:eastAsia="Times New Roman"/>
          <w:color w:val="222222"/>
          <w:szCs w:val="24"/>
          <w:highlight w:val="white"/>
        </w:rPr>
        <w:t>, </w:t>
      </w:r>
      <w:r w:rsidRPr="000D40DD">
        <w:rPr>
          <w:rFonts w:eastAsia="Times New Roman"/>
          <w:i/>
          <w:iCs/>
          <w:color w:val="222222"/>
          <w:szCs w:val="24"/>
          <w:highlight w:val="white"/>
        </w:rPr>
        <w:t>8</w:t>
      </w:r>
      <w:r w:rsidRPr="000D40DD">
        <w:rPr>
          <w:rFonts w:eastAsia="Times New Roman"/>
          <w:color w:val="222222"/>
          <w:szCs w:val="24"/>
          <w:highlight w:val="white"/>
        </w:rPr>
        <w:t xml:space="preserve">(12). </w:t>
      </w:r>
      <w:hyperlink r:id="rId57" w:history="1">
        <w:r w:rsidRPr="000D40DD">
          <w:rPr>
            <w:rStyle w:val="Hyperlink"/>
            <w:rFonts w:eastAsia="Times New Roman"/>
            <w:szCs w:val="24"/>
          </w:rPr>
          <w:t>https://gh.bmj.com/content/8/12/e013317</w:t>
        </w:r>
      </w:hyperlink>
    </w:p>
    <w:p w:rsidR="00012366" w:rsidRPr="000D40DD" w:rsidRDefault="00012366" w:rsidP="00012366">
      <w:pPr>
        <w:rPr>
          <w:rFonts w:eastAsia="Times New Roman"/>
          <w:szCs w:val="24"/>
        </w:rPr>
      </w:pPr>
      <w:r w:rsidRPr="000D40DD">
        <w:rPr>
          <w:rFonts w:eastAsia="Times New Roman"/>
          <w:szCs w:val="24"/>
        </w:rPr>
        <w:t>Sarun, H., Nara, I., Rotana, S. and Vichet, T., (2026). Becoming a Leader: Essential Foundations of Effective Leadership for Beginners</w:t>
      </w:r>
      <w:r w:rsidRPr="000D40DD">
        <w:rPr>
          <w:rFonts w:eastAsia="Times New Roman"/>
          <w:i/>
          <w:iCs/>
          <w:szCs w:val="24"/>
        </w:rPr>
        <w:t>. Journal of Agriculture and Environment, 3</w:t>
      </w:r>
      <w:r w:rsidRPr="000D40DD">
        <w:rPr>
          <w:rFonts w:eastAsia="Times New Roman"/>
          <w:szCs w:val="24"/>
        </w:rPr>
        <w:t>(1), pp.41-54.</w:t>
      </w:r>
      <w:hyperlink r:id="rId58">
        <w:r w:rsidRPr="000D40DD">
          <w:rPr>
            <w:rFonts w:eastAsia="Times New Roman"/>
            <w:color w:val="1155CC"/>
            <w:szCs w:val="24"/>
            <w:u w:val="single"/>
          </w:rPr>
          <w:t>https://www.academia.edu/download/125950168/JAE_Vol3_6_Becoming_a_Leader.pdf</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Smith, H., Grindey, C., Hague, I., Newbould, L., Brown, L., Clegg, A., Thompson, C. and Lawton, R., (2022). Reducing delayed transfer of care in older people: A qualitative study of barriers and facilitators to shorter hospital stays. </w:t>
      </w:r>
      <w:r w:rsidRPr="000D40DD">
        <w:rPr>
          <w:rFonts w:eastAsia="Times New Roman"/>
          <w:i/>
          <w:iCs/>
          <w:color w:val="222222"/>
          <w:szCs w:val="24"/>
          <w:highlight w:val="white"/>
        </w:rPr>
        <w:t>Health Expectations</w:t>
      </w:r>
      <w:r w:rsidRPr="000D40DD">
        <w:rPr>
          <w:rFonts w:eastAsia="Times New Roman"/>
          <w:color w:val="222222"/>
          <w:szCs w:val="24"/>
          <w:highlight w:val="white"/>
        </w:rPr>
        <w:t>, </w:t>
      </w:r>
      <w:r w:rsidRPr="000D40DD">
        <w:rPr>
          <w:rFonts w:eastAsia="Times New Roman"/>
          <w:i/>
          <w:iCs/>
          <w:color w:val="222222"/>
          <w:szCs w:val="24"/>
          <w:highlight w:val="white"/>
        </w:rPr>
        <w:t>25</w:t>
      </w:r>
      <w:r w:rsidRPr="000D40DD">
        <w:rPr>
          <w:rFonts w:eastAsia="Times New Roman"/>
          <w:color w:val="222222"/>
          <w:szCs w:val="24"/>
          <w:highlight w:val="white"/>
        </w:rPr>
        <w:t xml:space="preserve">(6), pp.2628-2644. </w:t>
      </w:r>
      <w:hyperlink r:id="rId59" w:history="1">
        <w:r w:rsidRPr="000D40DD">
          <w:rPr>
            <w:rStyle w:val="Hyperlink"/>
            <w:rFonts w:eastAsia="Times New Roman"/>
            <w:szCs w:val="24"/>
          </w:rPr>
          <w:t>https://onlinelibrary.wiley.com/doi/abs/10.1111/hex.13588</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lastRenderedPageBreak/>
        <w:t>Sturmberg, J.P., Gainsford, L., Goodwin, N. and Pond, D., (2024). Systemic failures in nursing home care—A scoping study. </w:t>
      </w:r>
      <w:r w:rsidRPr="000D40DD">
        <w:rPr>
          <w:rFonts w:eastAsia="Times New Roman"/>
          <w:i/>
          <w:iCs/>
          <w:color w:val="222222"/>
          <w:szCs w:val="24"/>
          <w:highlight w:val="white"/>
        </w:rPr>
        <w:t>Journal of Evaluation in Clinical Practice</w:t>
      </w:r>
      <w:r w:rsidRPr="000D40DD">
        <w:rPr>
          <w:rFonts w:eastAsia="Times New Roman"/>
          <w:color w:val="222222"/>
          <w:szCs w:val="24"/>
          <w:highlight w:val="white"/>
        </w:rPr>
        <w:t>, </w:t>
      </w:r>
      <w:r w:rsidRPr="000D40DD">
        <w:rPr>
          <w:rFonts w:eastAsia="Times New Roman"/>
          <w:i/>
          <w:iCs/>
          <w:color w:val="222222"/>
          <w:szCs w:val="24"/>
          <w:highlight w:val="white"/>
        </w:rPr>
        <w:t>30</w:t>
      </w:r>
      <w:r w:rsidRPr="000D40DD">
        <w:rPr>
          <w:rFonts w:eastAsia="Times New Roman"/>
          <w:color w:val="222222"/>
          <w:szCs w:val="24"/>
          <w:highlight w:val="white"/>
        </w:rPr>
        <w:t xml:space="preserve">(3), pp.484-496.  </w:t>
      </w:r>
      <w:hyperlink r:id="rId60" w:history="1">
        <w:r w:rsidRPr="000D40DD">
          <w:rPr>
            <w:rStyle w:val="Hyperlink"/>
            <w:rFonts w:eastAsia="Times New Roman"/>
            <w:szCs w:val="24"/>
          </w:rPr>
          <w:t>https://onlinelibrary.wiley.com/doi/abs/10.1111/jep.13961</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t xml:space="preserve">Teggi, D. and Woodthorpe, K., (2024). Anticipatory prescribing of injectable controlled drugs (ICDs) in care homes: a qualitative observational study of staff role, uncertain dying and hospital transfer at the end-of-life. </w:t>
      </w:r>
      <w:r w:rsidRPr="000D40DD">
        <w:rPr>
          <w:rFonts w:eastAsia="Times New Roman"/>
          <w:i/>
          <w:iCs/>
          <w:color w:val="222222"/>
          <w:szCs w:val="24"/>
          <w:highlight w:val="white"/>
        </w:rPr>
        <w:t>BMC geriatrics</w:t>
      </w:r>
      <w:r w:rsidRPr="000D40DD">
        <w:rPr>
          <w:rFonts w:eastAsia="Times New Roman"/>
          <w:color w:val="222222"/>
          <w:szCs w:val="24"/>
          <w:highlight w:val="white"/>
        </w:rPr>
        <w:t xml:space="preserve">, </w:t>
      </w:r>
      <w:r w:rsidRPr="000D40DD">
        <w:rPr>
          <w:rFonts w:eastAsia="Times New Roman"/>
          <w:i/>
          <w:iCs/>
          <w:color w:val="222222"/>
          <w:szCs w:val="24"/>
          <w:highlight w:val="white"/>
        </w:rPr>
        <w:t>24</w:t>
      </w:r>
      <w:r w:rsidRPr="000D40DD">
        <w:rPr>
          <w:rFonts w:eastAsia="Times New Roman"/>
          <w:color w:val="222222"/>
          <w:szCs w:val="24"/>
          <w:highlight w:val="white"/>
        </w:rPr>
        <w:t xml:space="preserve">(1), p.310. </w:t>
      </w:r>
      <w:hyperlink r:id="rId61">
        <w:r w:rsidRPr="000D40DD">
          <w:rPr>
            <w:rFonts w:eastAsia="Times New Roman"/>
            <w:color w:val="1155CC"/>
            <w:szCs w:val="24"/>
            <w:highlight w:val="white"/>
            <w:u w:val="single"/>
          </w:rPr>
          <w:t>https://link.springer.com/content/pdf/10.1186/s12877-024-04801-z.pdf</w:t>
        </w:r>
      </w:hyperlink>
    </w:p>
    <w:p w:rsidR="00012366" w:rsidRPr="000D40DD" w:rsidRDefault="00012366" w:rsidP="00012366">
      <w:pPr>
        <w:rPr>
          <w:rFonts w:eastAsia="Times New Roman"/>
          <w:szCs w:val="24"/>
        </w:rPr>
      </w:pPr>
      <w:r w:rsidRPr="000D40DD">
        <w:rPr>
          <w:rFonts w:eastAsia="Times New Roman"/>
          <w:szCs w:val="24"/>
          <w:lang w:val="it-IT"/>
        </w:rPr>
        <w:t xml:space="preserve">Tortorella, G., van Dun, D.H. and de Almeida, A.G., (2020). </w:t>
      </w:r>
      <w:r w:rsidRPr="000D40DD">
        <w:rPr>
          <w:rFonts w:eastAsia="Times New Roman"/>
          <w:szCs w:val="24"/>
        </w:rPr>
        <w:t xml:space="preserve">Leadership behaviors during lean healthcare implementation: a review and longitudinal study. </w:t>
      </w:r>
      <w:r w:rsidRPr="000D40DD">
        <w:rPr>
          <w:rFonts w:eastAsia="Times New Roman"/>
          <w:i/>
          <w:iCs/>
          <w:szCs w:val="24"/>
        </w:rPr>
        <w:t>Journal of manufacturing technology management, 31</w:t>
      </w:r>
      <w:r w:rsidRPr="000D40DD">
        <w:rPr>
          <w:rFonts w:eastAsia="Times New Roman"/>
          <w:szCs w:val="24"/>
        </w:rPr>
        <w:t>(1), pp.193-215.</w:t>
      </w:r>
      <w:hyperlink r:id="rId62">
        <w:r w:rsidRPr="000D40DD">
          <w:rPr>
            <w:rFonts w:eastAsia="Times New Roman"/>
            <w:color w:val="1155CC"/>
            <w:szCs w:val="24"/>
            <w:u w:val="single"/>
          </w:rPr>
          <w:t>https://www.emerald.com/jmtm/article-pdf/31/1/193/1563060/jmtm-02-2019-0070.pdf</w:t>
        </w:r>
      </w:hyperlink>
    </w:p>
    <w:p w:rsidR="00012366" w:rsidRPr="000D40DD" w:rsidRDefault="00012366" w:rsidP="00012366">
      <w:pPr>
        <w:rPr>
          <w:rFonts w:eastAsia="Times New Roman"/>
          <w:szCs w:val="24"/>
        </w:rPr>
      </w:pPr>
      <w:r w:rsidRPr="000D40DD">
        <w:rPr>
          <w:rFonts w:eastAsia="Times New Roman"/>
          <w:szCs w:val="24"/>
        </w:rPr>
        <w:t xml:space="preserve">Ungar-Sargon, J., (2025). The Situational Physician: Adaptive Leadership Styles in Clinical Practice. </w:t>
      </w:r>
      <w:r w:rsidRPr="000D40DD">
        <w:rPr>
          <w:rFonts w:eastAsia="Times New Roman"/>
          <w:i/>
          <w:iCs/>
          <w:szCs w:val="24"/>
        </w:rPr>
        <w:t>Med Clin Res, 10</w:t>
      </w:r>
      <w:r w:rsidRPr="000D40DD">
        <w:rPr>
          <w:rFonts w:eastAsia="Times New Roman"/>
          <w:szCs w:val="24"/>
        </w:rPr>
        <w:t>(6), pp.01-09.</w:t>
      </w:r>
      <w:hyperlink r:id="rId63">
        <w:r w:rsidRPr="000D40DD">
          <w:rPr>
            <w:rFonts w:eastAsia="Times New Roman"/>
            <w:color w:val="1155CC"/>
            <w:szCs w:val="24"/>
            <w:u w:val="single"/>
          </w:rPr>
          <w:t>https://www.jyungar.com/s/the-situational-physician-adaptive-leadership-styles-in-clinical-practice.pdf</w:t>
        </w:r>
      </w:hyperlink>
    </w:p>
    <w:p w:rsidR="00012366" w:rsidRPr="000D40DD" w:rsidRDefault="00012366" w:rsidP="00012366">
      <w:pPr>
        <w:rPr>
          <w:rFonts w:eastAsia="Times New Roman"/>
          <w:szCs w:val="24"/>
        </w:rPr>
      </w:pPr>
      <w:r w:rsidRPr="000D40DD">
        <w:rPr>
          <w:rFonts w:eastAsia="Times New Roman"/>
          <w:szCs w:val="24"/>
        </w:rPr>
        <w:t xml:space="preserve">Vahedi, H., Shivyari, S.R., Soltanmohamadi, S. and Babakhanian, F., (2024). The role of leadership competence and organizational culture in enhancing healthcare service quality. </w:t>
      </w:r>
      <w:r w:rsidRPr="000D40DD">
        <w:rPr>
          <w:rFonts w:eastAsia="Times New Roman"/>
          <w:i/>
          <w:iCs/>
          <w:szCs w:val="24"/>
        </w:rPr>
        <w:t>Journal of Archives in Military Medicine, 12</w:t>
      </w:r>
      <w:r w:rsidRPr="000D40DD">
        <w:rPr>
          <w:rFonts w:eastAsia="Times New Roman"/>
          <w:szCs w:val="24"/>
        </w:rPr>
        <w:t>(12), p.e156498.</w:t>
      </w:r>
      <w:hyperlink r:id="rId64">
        <w:r w:rsidRPr="000D40DD">
          <w:rPr>
            <w:rFonts w:eastAsia="Times New Roman"/>
            <w:color w:val="1155CC"/>
            <w:szCs w:val="24"/>
            <w:u w:val="single"/>
          </w:rPr>
          <w:t>https://brieflands.com/articles/jamm-156498</w:t>
        </w:r>
      </w:hyperlink>
    </w:p>
    <w:p w:rsidR="00012366" w:rsidRPr="000D40DD" w:rsidRDefault="00012366" w:rsidP="00012366">
      <w:pPr>
        <w:rPr>
          <w:rFonts w:eastAsia="Times New Roman"/>
          <w:szCs w:val="24"/>
        </w:rPr>
      </w:pPr>
      <w:r w:rsidRPr="000D40DD">
        <w:rPr>
          <w:rFonts w:eastAsia="Times New Roman"/>
          <w:szCs w:val="24"/>
        </w:rPr>
        <w:t xml:space="preserve">van Kraaij, J., van Oostveen, C., Vermeulen, H., Heinen, M., Huis, A., Adriaansen, M. and Peters, J., (2020). Nurse practitioners’ perceptions of their ability to enact leadership in hospital care. </w:t>
      </w:r>
      <w:r w:rsidRPr="000D40DD">
        <w:rPr>
          <w:rFonts w:eastAsia="Times New Roman"/>
          <w:i/>
          <w:iCs/>
          <w:szCs w:val="24"/>
        </w:rPr>
        <w:t>Journal of clinical nursing, 29</w:t>
      </w:r>
      <w:r w:rsidRPr="000D40DD">
        <w:rPr>
          <w:rFonts w:eastAsia="Times New Roman"/>
          <w:szCs w:val="24"/>
        </w:rPr>
        <w:t>(3-4), pp.447-458.</w:t>
      </w:r>
      <w:hyperlink r:id="rId65">
        <w:r w:rsidRPr="000D40DD">
          <w:rPr>
            <w:rFonts w:eastAsia="Times New Roman"/>
            <w:color w:val="1155CC"/>
            <w:szCs w:val="24"/>
            <w:u w:val="single"/>
          </w:rPr>
          <w:t>https://pure.eur.nl/files/48271637/Repub_122677.pdf</w:t>
        </w:r>
      </w:hyperlink>
    </w:p>
    <w:p w:rsidR="00012366" w:rsidRPr="000D40DD" w:rsidRDefault="00012366" w:rsidP="00012366">
      <w:pPr>
        <w:rPr>
          <w:rFonts w:eastAsia="Times New Roman"/>
          <w:szCs w:val="24"/>
        </w:rPr>
      </w:pPr>
      <w:r w:rsidRPr="000D40DD">
        <w:rPr>
          <w:rFonts w:eastAsia="Times New Roman"/>
          <w:szCs w:val="24"/>
        </w:rPr>
        <w:t xml:space="preserve">Vehvilainen, E., Charles, A., Sainsbury, J., Stacey, G., Field-Richards, S.E. and Westwood, G., (2024). Influences of leadership, organizational culture, and hierarchy on raising concerns about patient deterioration: a qualitative study. </w:t>
      </w:r>
      <w:r w:rsidRPr="000D40DD">
        <w:rPr>
          <w:rFonts w:eastAsia="Times New Roman"/>
          <w:i/>
          <w:iCs/>
          <w:szCs w:val="24"/>
        </w:rPr>
        <w:t>Journal of patient safety, 20</w:t>
      </w:r>
      <w:r w:rsidRPr="000D40DD">
        <w:rPr>
          <w:rFonts w:eastAsia="Times New Roman"/>
          <w:szCs w:val="24"/>
        </w:rPr>
        <w:t>(5), pp.e73-e77.</w:t>
      </w:r>
      <w:hyperlink r:id="rId66">
        <w:r w:rsidRPr="000D40DD">
          <w:rPr>
            <w:rFonts w:eastAsia="Times New Roman"/>
            <w:color w:val="1155CC"/>
            <w:szCs w:val="24"/>
            <w:u w:val="single"/>
          </w:rPr>
          <w:t>https://journals.lww.com/journalpatientsafety/fulltext/2024/08000/influences_of_leadership,_organizational_culture,.14.aspx/</w:t>
        </w:r>
      </w:hyperlink>
    </w:p>
    <w:p w:rsidR="00012366" w:rsidRPr="000D40DD" w:rsidRDefault="00012366" w:rsidP="00012366">
      <w:pPr>
        <w:rPr>
          <w:rFonts w:eastAsia="Times New Roman"/>
          <w:color w:val="222222"/>
          <w:szCs w:val="24"/>
          <w:highlight w:val="white"/>
        </w:rPr>
      </w:pPr>
      <w:r w:rsidRPr="000D40DD">
        <w:rPr>
          <w:rFonts w:eastAsia="Times New Roman"/>
          <w:color w:val="222222"/>
          <w:szCs w:val="24"/>
          <w:highlight w:val="white"/>
        </w:rPr>
        <w:lastRenderedPageBreak/>
        <w:t>Wallis, J.A., Shepperd, S., Makela, P., Han, J.X., Tripp, E.M., Gearon, E., Disher, G., Buchbinder, R. and O'Connor, D., (2024). Factors influencing the implementation of early discharge hospital at home and admission avoidance hospital at home: a qualitative evidence synthesis. </w:t>
      </w:r>
      <w:r w:rsidRPr="000D40DD">
        <w:rPr>
          <w:rFonts w:eastAsia="Times New Roman"/>
          <w:i/>
          <w:iCs/>
          <w:color w:val="222222"/>
          <w:szCs w:val="24"/>
          <w:highlight w:val="white"/>
        </w:rPr>
        <w:t>Cochrane Database of Systematic Reviews</w:t>
      </w:r>
      <w:r w:rsidRPr="000D40DD">
        <w:rPr>
          <w:rFonts w:eastAsia="Times New Roman"/>
          <w:color w:val="222222"/>
          <w:szCs w:val="24"/>
          <w:highlight w:val="white"/>
        </w:rPr>
        <w:t xml:space="preserve">, (3). </w:t>
      </w:r>
      <w:hyperlink r:id="rId67" w:history="1">
        <w:r w:rsidRPr="000D40DD">
          <w:rPr>
            <w:rStyle w:val="Hyperlink"/>
            <w:rFonts w:eastAsia="Times New Roman"/>
            <w:szCs w:val="24"/>
          </w:rPr>
          <w:t>https://www.cochranelibrary.com/cdsr/doi/10.1002/14651858.CD014765.pub2/abstract</w:t>
        </w:r>
      </w:hyperlink>
    </w:p>
    <w:p w:rsidR="00012366" w:rsidRPr="000D40DD" w:rsidRDefault="00012366" w:rsidP="00012366">
      <w:pPr>
        <w:rPr>
          <w:rFonts w:eastAsia="Times New Roman"/>
          <w:szCs w:val="24"/>
          <w:highlight w:val="white"/>
        </w:rPr>
      </w:pPr>
      <w:r w:rsidRPr="000D40DD">
        <w:rPr>
          <w:rFonts w:eastAsia="Times New Roman"/>
          <w:szCs w:val="24"/>
          <w:highlight w:val="white"/>
        </w:rPr>
        <w:t xml:space="preserve">Winter, J. (2023). </w:t>
      </w:r>
      <w:r w:rsidRPr="000D40DD">
        <w:rPr>
          <w:rFonts w:eastAsia="Times New Roman"/>
          <w:i/>
          <w:iCs/>
          <w:szCs w:val="24"/>
          <w:highlight w:val="white"/>
        </w:rPr>
        <w:t>The Essential Guide to the 10 Rights of Medication Administration</w:t>
      </w:r>
      <w:r w:rsidRPr="000D40DD">
        <w:rPr>
          <w:rFonts w:eastAsia="Times New Roman"/>
          <w:szCs w:val="24"/>
          <w:highlight w:val="white"/>
        </w:rPr>
        <w:t xml:space="preserve">. [online] www.advancedclinicalsolution.co.uk. Available at: </w:t>
      </w:r>
      <w:hyperlink r:id="rId68">
        <w:r w:rsidRPr="000D40DD">
          <w:rPr>
            <w:rFonts w:eastAsia="Times New Roman"/>
            <w:color w:val="1155CC"/>
            <w:szCs w:val="24"/>
            <w:highlight w:val="white"/>
            <w:u w:val="single"/>
          </w:rPr>
          <w:t>https://www.advancedclinicalsolution.co.uk/the-10-rights-of-medication-administration</w:t>
        </w:r>
      </w:hyperlink>
      <w:r w:rsidRPr="000D40DD">
        <w:rPr>
          <w:rFonts w:eastAsia="Times New Roman"/>
          <w:szCs w:val="24"/>
          <w:highlight w:val="white"/>
        </w:rPr>
        <w:t xml:space="preserve"> [Accessed 12 Mar. 2026]</w:t>
      </w:r>
    </w:p>
    <w:p w:rsidR="00012366" w:rsidRPr="000D40DD" w:rsidRDefault="00012366" w:rsidP="00012366">
      <w:pPr>
        <w:rPr>
          <w:rFonts w:eastAsia="Times New Roman"/>
          <w:szCs w:val="24"/>
        </w:rPr>
      </w:pPr>
      <w:r w:rsidRPr="000D40DD">
        <w:rPr>
          <w:rFonts w:eastAsia="Times New Roman"/>
          <w:szCs w:val="24"/>
        </w:rPr>
        <w:t xml:space="preserve">Ystaas, L.M.K., Nikitara, M., Ghobrial, S., Latzourakis, E., Polychronis, G. and Constantinou, C.S., (2023). The impact of transformational leadership in the nursing work environment and patients’ outcomes: a systematic review. </w:t>
      </w:r>
      <w:r w:rsidRPr="000D40DD">
        <w:rPr>
          <w:rFonts w:eastAsia="Times New Roman"/>
          <w:i/>
          <w:iCs/>
          <w:szCs w:val="24"/>
        </w:rPr>
        <w:t>Nursing Reports, 13</w:t>
      </w:r>
      <w:r w:rsidRPr="000D40DD">
        <w:rPr>
          <w:rFonts w:eastAsia="Times New Roman"/>
          <w:szCs w:val="24"/>
        </w:rPr>
        <w:t>(3), pp.1271-1290.</w:t>
      </w:r>
      <w:hyperlink r:id="rId69">
        <w:r w:rsidRPr="000D40DD">
          <w:rPr>
            <w:rFonts w:eastAsia="Times New Roman"/>
            <w:color w:val="1155CC"/>
            <w:szCs w:val="24"/>
            <w:u w:val="single"/>
          </w:rPr>
          <w:t>https://www.mdpi.com/2039-4403/13/3/108</w:t>
        </w:r>
      </w:hyperlink>
    </w:p>
    <w:p w:rsidR="00012366" w:rsidRPr="000D40DD" w:rsidRDefault="00012366" w:rsidP="00012366">
      <w:pPr>
        <w:rPr>
          <w:rFonts w:eastAsia="Times New Roman"/>
          <w:szCs w:val="24"/>
        </w:rPr>
      </w:pPr>
      <w:r w:rsidRPr="000D40DD">
        <w:rPr>
          <w:rFonts w:eastAsia="Times New Roman"/>
          <w:szCs w:val="24"/>
        </w:rPr>
        <w:t xml:space="preserve">Ystaas, L.M.K., Nikitara, M., Ghobrial, S., Latzourakis, E., Polychronis, G. and Constantinou, C.S., (2023). The impact of transformational leadership in the nursing work environment and patients’ outcomes: a systematic review. </w:t>
      </w:r>
      <w:r w:rsidRPr="000D40DD">
        <w:rPr>
          <w:rFonts w:eastAsia="Times New Roman"/>
          <w:i/>
          <w:iCs/>
          <w:szCs w:val="24"/>
        </w:rPr>
        <w:t>Nursing Reports, 13</w:t>
      </w:r>
      <w:r w:rsidRPr="000D40DD">
        <w:rPr>
          <w:rFonts w:eastAsia="Times New Roman"/>
          <w:szCs w:val="24"/>
        </w:rPr>
        <w:t>(3), pp.1271-1290.</w:t>
      </w:r>
      <w:hyperlink r:id="rId70">
        <w:r w:rsidRPr="000D40DD">
          <w:rPr>
            <w:rFonts w:eastAsia="Times New Roman"/>
            <w:color w:val="1155CC"/>
            <w:szCs w:val="24"/>
            <w:u w:val="single"/>
          </w:rPr>
          <w:t>https://www.mdpi.com/2039-4403/13/3/108</w:t>
        </w:r>
      </w:hyperlink>
    </w:p>
    <w:p w:rsidR="005C28A6" w:rsidRPr="000D40DD" w:rsidRDefault="005C28A6" w:rsidP="00012366">
      <w:pPr>
        <w:rPr>
          <w:color w:val="222222"/>
          <w:szCs w:val="24"/>
          <w:highlight w:val="white"/>
        </w:rPr>
      </w:pPr>
    </w:p>
    <w:p w:rsidR="005C28A6" w:rsidRPr="000D40DD" w:rsidRDefault="005C28A6">
      <w:pPr>
        <w:rPr>
          <w:rFonts w:eastAsia="Times New Roman"/>
          <w:szCs w:val="24"/>
        </w:rPr>
      </w:pPr>
    </w:p>
    <w:sectPr w:rsidR="005C28A6" w:rsidRPr="000D40DD" w:rsidSect="00012366">
      <w:footerReference w:type="default" r:id="rId7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6CF0" w:rsidRDefault="00F76CF0" w:rsidP="001C4827">
      <w:pPr>
        <w:spacing w:line="240" w:lineRule="auto"/>
      </w:pPr>
      <w:r>
        <w:separator/>
      </w:r>
    </w:p>
  </w:endnote>
  <w:endnote w:type="continuationSeparator" w:id="1">
    <w:p w:rsidR="00F76CF0" w:rsidRDefault="00F76CF0" w:rsidP="001C482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722B009-0644-40A3-ACFF-18B6C9C0ACA7}"/>
  </w:font>
  <w:font w:name="Tahoma">
    <w:panose1 w:val="020B0604030504040204"/>
    <w:charset w:val="00"/>
    <w:family w:val="swiss"/>
    <w:pitch w:val="variable"/>
    <w:sig w:usb0="E1002EFF" w:usb1="C000605B" w:usb2="00000029" w:usb3="00000000" w:csb0="000101FF" w:csb1="00000000"/>
    <w:embedRegular r:id="rId2" w:fontKey="{76748C96-310B-4754-B74B-D64BF62F4D57}"/>
  </w:font>
  <w:font w:name="Cambria Math">
    <w:panose1 w:val="02040503050406030204"/>
    <w:charset w:val="00"/>
    <w:family w:val="roman"/>
    <w:pitch w:val="variable"/>
    <w:sig w:usb0="E00006FF" w:usb1="420024FF" w:usb2="02000000" w:usb3="00000000" w:csb0="0000019F" w:csb1="00000000"/>
    <w:embedRegular r:id="rId3" w:fontKey="{56ED8170-3E1C-4BDD-B818-2C9BA4E8D562}"/>
  </w:font>
  <w:font w:name="Cambria">
    <w:panose1 w:val="02040503050406030204"/>
    <w:charset w:val="00"/>
    <w:family w:val="roman"/>
    <w:pitch w:val="variable"/>
    <w:sig w:usb0="E00006FF" w:usb1="420024FF" w:usb2="02000000" w:usb3="00000000" w:csb0="0000019F" w:csb1="00000000"/>
    <w:embedRegular r:id="rId4" w:fontKey="{625B0A9D-6F8F-457D-B3E4-2D54DF6E6C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2055244"/>
      <w:docPartObj>
        <w:docPartGallery w:val="Page Numbers (Bottom of Page)"/>
        <w:docPartUnique/>
      </w:docPartObj>
    </w:sdtPr>
    <w:sdtEndPr>
      <w:rPr>
        <w:noProof/>
      </w:rPr>
    </w:sdtEndPr>
    <w:sdtContent>
      <w:p w:rsidR="001C4827" w:rsidRDefault="00685EDE">
        <w:pPr>
          <w:pStyle w:val="Footer"/>
          <w:jc w:val="right"/>
        </w:pPr>
        <w:r>
          <w:fldChar w:fldCharType="begin"/>
        </w:r>
        <w:r w:rsidR="001C4827">
          <w:instrText xml:space="preserve"> PAGE   \* MERGEFORMAT </w:instrText>
        </w:r>
        <w:r>
          <w:fldChar w:fldCharType="separate"/>
        </w:r>
        <w:r w:rsidR="00C41E15">
          <w:rPr>
            <w:noProof/>
          </w:rPr>
          <w:t>1</w:t>
        </w:r>
        <w:r>
          <w:rPr>
            <w:noProof/>
          </w:rPr>
          <w:fldChar w:fldCharType="end"/>
        </w:r>
      </w:p>
    </w:sdtContent>
  </w:sdt>
  <w:p w:rsidR="001C4827" w:rsidRDefault="001C48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6CF0" w:rsidRDefault="00F76CF0" w:rsidP="001C4827">
      <w:pPr>
        <w:spacing w:line="240" w:lineRule="auto"/>
      </w:pPr>
      <w:r>
        <w:separator/>
      </w:r>
    </w:p>
  </w:footnote>
  <w:footnote w:type="continuationSeparator" w:id="1">
    <w:p w:rsidR="00F76CF0" w:rsidRDefault="00F76CF0" w:rsidP="001C482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112EE9"/>
    <w:multiLevelType w:val="hybridMultilevel"/>
    <w:tmpl w:val="A0D0C3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42E5184D"/>
    <w:multiLevelType w:val="hybridMultilevel"/>
    <w:tmpl w:val="0F7423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TrueTypeFonts/>
  <w:defaultTabStop w:val="720"/>
  <w:characterSpacingControl w:val="doNotCompress"/>
  <w:footnotePr>
    <w:footnote w:id="0"/>
    <w:footnote w:id="1"/>
  </w:footnotePr>
  <w:endnotePr>
    <w:endnote w:id="0"/>
    <w:endnote w:id="1"/>
  </w:endnotePr>
  <w:compat/>
  <w:rsids>
    <w:rsidRoot w:val="005C28A6"/>
    <w:rsid w:val="00012366"/>
    <w:rsid w:val="00055F9F"/>
    <w:rsid w:val="000D40DD"/>
    <w:rsid w:val="001C4827"/>
    <w:rsid w:val="001D341E"/>
    <w:rsid w:val="002A5D90"/>
    <w:rsid w:val="002D5D1A"/>
    <w:rsid w:val="002F5D8C"/>
    <w:rsid w:val="00386382"/>
    <w:rsid w:val="003A2456"/>
    <w:rsid w:val="004A1BEE"/>
    <w:rsid w:val="004B0327"/>
    <w:rsid w:val="00552748"/>
    <w:rsid w:val="005C28A6"/>
    <w:rsid w:val="00642F8D"/>
    <w:rsid w:val="00685EDE"/>
    <w:rsid w:val="006C3794"/>
    <w:rsid w:val="006D19F2"/>
    <w:rsid w:val="006E43A0"/>
    <w:rsid w:val="00742D3C"/>
    <w:rsid w:val="00764C55"/>
    <w:rsid w:val="008C0D73"/>
    <w:rsid w:val="008E607F"/>
    <w:rsid w:val="008E643B"/>
    <w:rsid w:val="0091132E"/>
    <w:rsid w:val="0099109B"/>
    <w:rsid w:val="009B2955"/>
    <w:rsid w:val="009D1350"/>
    <w:rsid w:val="009E0E1E"/>
    <w:rsid w:val="00B75C83"/>
    <w:rsid w:val="00BE1C6F"/>
    <w:rsid w:val="00C17CEC"/>
    <w:rsid w:val="00C37D08"/>
    <w:rsid w:val="00C41E15"/>
    <w:rsid w:val="00C83573"/>
    <w:rsid w:val="00CB1454"/>
    <w:rsid w:val="00D734F9"/>
    <w:rsid w:val="00DA70E8"/>
    <w:rsid w:val="00DD251B"/>
    <w:rsid w:val="00E41FB8"/>
    <w:rsid w:val="00E8380C"/>
    <w:rsid w:val="00E907BB"/>
    <w:rsid w:val="00EF7609"/>
    <w:rsid w:val="00F76CF0"/>
    <w:rsid w:val="00F93B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7D08"/>
    <w:pPr>
      <w:spacing w:before="240" w:after="240" w:line="360" w:lineRule="auto"/>
      <w:jc w:val="both"/>
    </w:pPr>
    <w:rPr>
      <w:lang w:val="en-GB"/>
    </w:rPr>
  </w:style>
  <w:style w:type="paragraph" w:styleId="Heading1">
    <w:name w:val="heading 1"/>
    <w:basedOn w:val="Normal"/>
    <w:next w:val="Normal"/>
    <w:uiPriority w:val="9"/>
    <w:qFormat/>
    <w:rsid w:val="00DA70E8"/>
    <w:pPr>
      <w:keepNext/>
      <w:keepLines/>
      <w:outlineLvl w:val="0"/>
    </w:pPr>
    <w:rPr>
      <w:b/>
      <w:sz w:val="28"/>
      <w:szCs w:val="40"/>
    </w:rPr>
  </w:style>
  <w:style w:type="paragraph" w:styleId="Heading2">
    <w:name w:val="heading 2"/>
    <w:basedOn w:val="Normal"/>
    <w:next w:val="Normal"/>
    <w:uiPriority w:val="9"/>
    <w:unhideWhenUsed/>
    <w:qFormat/>
    <w:rsid w:val="00DA70E8"/>
    <w:pPr>
      <w:keepNext/>
      <w:keepLines/>
      <w:outlineLvl w:val="1"/>
    </w:pPr>
    <w:rPr>
      <w:b/>
      <w:sz w:val="26"/>
      <w:szCs w:val="32"/>
    </w:rPr>
  </w:style>
  <w:style w:type="paragraph" w:styleId="Heading3">
    <w:name w:val="heading 3"/>
    <w:basedOn w:val="Normal"/>
    <w:next w:val="Normal"/>
    <w:uiPriority w:val="9"/>
    <w:semiHidden/>
    <w:unhideWhenUsed/>
    <w:qFormat/>
    <w:rsid w:val="00685ED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85EDE"/>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685EDE"/>
    <w:pPr>
      <w:keepNext/>
      <w:keepLines/>
      <w:spacing w:after="80"/>
      <w:outlineLvl w:val="4"/>
    </w:pPr>
    <w:rPr>
      <w:color w:val="666666"/>
    </w:rPr>
  </w:style>
  <w:style w:type="paragraph" w:styleId="Heading6">
    <w:name w:val="heading 6"/>
    <w:basedOn w:val="Normal"/>
    <w:next w:val="Normal"/>
    <w:uiPriority w:val="9"/>
    <w:semiHidden/>
    <w:unhideWhenUsed/>
    <w:qFormat/>
    <w:rsid w:val="00685EDE"/>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85EDE"/>
    <w:tblPr>
      <w:tblCellMar>
        <w:top w:w="100" w:type="dxa"/>
        <w:left w:w="100" w:type="dxa"/>
        <w:bottom w:w="100" w:type="dxa"/>
        <w:right w:w="100" w:type="dxa"/>
      </w:tblCellMar>
    </w:tblPr>
  </w:style>
  <w:style w:type="paragraph" w:styleId="Title">
    <w:name w:val="Title"/>
    <w:basedOn w:val="Normal"/>
    <w:next w:val="Normal"/>
    <w:uiPriority w:val="10"/>
    <w:qFormat/>
    <w:rsid w:val="00685EDE"/>
    <w:pPr>
      <w:keepNext/>
      <w:keepLines/>
      <w:spacing w:after="60"/>
    </w:pPr>
    <w:rPr>
      <w:sz w:val="52"/>
      <w:szCs w:val="52"/>
    </w:rPr>
  </w:style>
  <w:style w:type="paragraph" w:styleId="Subtitle">
    <w:name w:val="Subtitle"/>
    <w:basedOn w:val="Normal"/>
    <w:next w:val="Normal"/>
    <w:uiPriority w:val="11"/>
    <w:qFormat/>
    <w:rsid w:val="00685EDE"/>
    <w:pPr>
      <w:keepNext/>
      <w:keepLines/>
      <w:spacing w:after="320"/>
    </w:pPr>
    <w:rPr>
      <w:color w:val="666666"/>
      <w:sz w:val="30"/>
      <w:szCs w:val="30"/>
    </w:rPr>
  </w:style>
  <w:style w:type="paragraph" w:styleId="TOCHeading">
    <w:name w:val="TOC Heading"/>
    <w:basedOn w:val="Heading1"/>
    <w:next w:val="Normal"/>
    <w:uiPriority w:val="39"/>
    <w:unhideWhenUsed/>
    <w:qFormat/>
    <w:rsid w:val="001C4827"/>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1350"/>
    <w:pPr>
      <w:tabs>
        <w:tab w:val="right" w:leader="dot" w:pos="9350"/>
      </w:tabs>
      <w:spacing w:after="100"/>
    </w:pPr>
    <w:rPr>
      <w:b/>
      <w:bCs/>
      <w:noProof/>
    </w:rPr>
  </w:style>
  <w:style w:type="paragraph" w:styleId="TOC2">
    <w:name w:val="toc 2"/>
    <w:basedOn w:val="Normal"/>
    <w:next w:val="Normal"/>
    <w:autoRedefine/>
    <w:uiPriority w:val="39"/>
    <w:unhideWhenUsed/>
    <w:rsid w:val="001C4827"/>
    <w:pPr>
      <w:spacing w:after="100"/>
      <w:ind w:left="220"/>
    </w:pPr>
  </w:style>
  <w:style w:type="character" w:styleId="Hyperlink">
    <w:name w:val="Hyperlink"/>
    <w:basedOn w:val="DefaultParagraphFont"/>
    <w:uiPriority w:val="99"/>
    <w:unhideWhenUsed/>
    <w:rsid w:val="001C4827"/>
    <w:rPr>
      <w:color w:val="0000FF" w:themeColor="hyperlink"/>
      <w:u w:val="single"/>
    </w:rPr>
  </w:style>
  <w:style w:type="paragraph" w:styleId="Header">
    <w:name w:val="header"/>
    <w:basedOn w:val="Normal"/>
    <w:link w:val="HeaderChar"/>
    <w:uiPriority w:val="99"/>
    <w:unhideWhenUsed/>
    <w:rsid w:val="001C4827"/>
    <w:pPr>
      <w:tabs>
        <w:tab w:val="center" w:pos="4680"/>
        <w:tab w:val="right" w:pos="9360"/>
      </w:tabs>
      <w:spacing w:line="240" w:lineRule="auto"/>
    </w:pPr>
  </w:style>
  <w:style w:type="character" w:customStyle="1" w:styleId="HeaderChar">
    <w:name w:val="Header Char"/>
    <w:basedOn w:val="DefaultParagraphFont"/>
    <w:link w:val="Header"/>
    <w:uiPriority w:val="99"/>
    <w:rsid w:val="001C4827"/>
    <w:rPr>
      <w:lang w:val="en-GB"/>
    </w:rPr>
  </w:style>
  <w:style w:type="paragraph" w:styleId="Footer">
    <w:name w:val="footer"/>
    <w:basedOn w:val="Normal"/>
    <w:link w:val="FooterChar"/>
    <w:uiPriority w:val="99"/>
    <w:unhideWhenUsed/>
    <w:rsid w:val="001C4827"/>
    <w:pPr>
      <w:tabs>
        <w:tab w:val="center" w:pos="4680"/>
        <w:tab w:val="right" w:pos="9360"/>
      </w:tabs>
      <w:spacing w:line="240" w:lineRule="auto"/>
    </w:pPr>
  </w:style>
  <w:style w:type="character" w:customStyle="1" w:styleId="FooterChar">
    <w:name w:val="Footer Char"/>
    <w:basedOn w:val="DefaultParagraphFont"/>
    <w:link w:val="Footer"/>
    <w:uiPriority w:val="99"/>
    <w:rsid w:val="001C4827"/>
    <w:rPr>
      <w:lang w:val="en-GB"/>
    </w:rPr>
  </w:style>
  <w:style w:type="paragraph" w:styleId="ListParagraph">
    <w:name w:val="List Paragraph"/>
    <w:basedOn w:val="Normal"/>
    <w:uiPriority w:val="34"/>
    <w:qFormat/>
    <w:rsid w:val="001D341E"/>
    <w:pPr>
      <w:ind w:left="720"/>
      <w:contextualSpacing/>
    </w:pPr>
  </w:style>
  <w:style w:type="paragraph" w:styleId="NormalWeb">
    <w:name w:val="Normal (Web)"/>
    <w:basedOn w:val="Normal"/>
    <w:uiPriority w:val="99"/>
    <w:semiHidden/>
    <w:unhideWhenUsed/>
    <w:rsid w:val="00B75C83"/>
    <w:pPr>
      <w:spacing w:before="100" w:beforeAutospacing="1" w:after="100" w:afterAutospacing="1" w:line="240" w:lineRule="auto"/>
    </w:pPr>
    <w:rPr>
      <w:rFonts w:eastAsia="Times New Roman" w:cs="Times New Roman"/>
      <w:szCs w:val="24"/>
      <w:lang w:val="en-IN" w:eastAsia="en-IN"/>
    </w:rPr>
  </w:style>
  <w:style w:type="character" w:customStyle="1" w:styleId="UnresolvedMention">
    <w:name w:val="Unresolved Mention"/>
    <w:basedOn w:val="DefaultParagraphFont"/>
    <w:uiPriority w:val="99"/>
    <w:semiHidden/>
    <w:unhideWhenUsed/>
    <w:rsid w:val="00D734F9"/>
    <w:rPr>
      <w:color w:val="605E5C"/>
      <w:shd w:val="clear" w:color="auto" w:fill="E1DFDD"/>
    </w:rPr>
  </w:style>
  <w:style w:type="paragraph" w:styleId="BalloonText">
    <w:name w:val="Balloon Text"/>
    <w:basedOn w:val="Normal"/>
    <w:link w:val="BalloonTextChar"/>
    <w:uiPriority w:val="99"/>
    <w:semiHidden/>
    <w:unhideWhenUsed/>
    <w:rsid w:val="00C41E1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1E1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mc.ncbi.nlm.nih.gov/articles/PMC12937565/" TargetMode="External"/><Relationship Id="rId26" Type="http://schemas.openxmlformats.org/officeDocument/2006/relationships/hyperlink" Target="https://www.sciencedirect.com/science/article/pii/S2352013224000577" TargetMode="External"/><Relationship Id="rId39" Type="http://schemas.openxmlformats.org/officeDocument/2006/relationships/hyperlink" Target="https://www.tandfonline.com/doi/pdf/10.2147/RMHP.S446651%4010.1080/tfocoll.2024.0.issue-Advancing_Patient" TargetMode="External"/><Relationship Id="rId21" Type="http://schemas.openxmlformats.org/officeDocument/2006/relationships/hyperlink" Target="https://bmjopen.bmj.com/content/12/4/e049296.abstract" TargetMode="External"/><Relationship Id="rId34" Type="http://schemas.openxmlformats.org/officeDocument/2006/relationships/hyperlink" Target="https://www.nature.com/articles/s41598-025-01618-7" TargetMode="External"/><Relationship Id="rId42" Type="http://schemas.openxmlformats.org/officeDocument/2006/relationships/hyperlink" Target="https://erepo.uef.fi/bitstreams/60f2e850-8d9d-4098-9979-c3a2929a50c0/download" TargetMode="External"/><Relationship Id="rId47" Type="http://schemas.openxmlformats.org/officeDocument/2006/relationships/hyperlink" Target="https://link.springer.com/content/pdf/10.1186/s12889-024-20248-8.pdf" TargetMode="External"/><Relationship Id="rId50" Type="http://schemas.openxmlformats.org/officeDocument/2006/relationships/hyperlink" Target="https://qualitysafety.bmj.com/content/qhc/33/9/573.full.pdf" TargetMode="External"/><Relationship Id="rId55" Type="http://schemas.openxmlformats.org/officeDocument/2006/relationships/hyperlink" Target="https://link.springer.com/content/pdf/10.1186/s12888-024-05920-y.pdf" TargetMode="External"/><Relationship Id="rId63" Type="http://schemas.openxmlformats.org/officeDocument/2006/relationships/hyperlink" Target="https://www.jyungar.com/s/the-situational-physician-adaptive-leadership-styles-in-clinical-practice.pdf" TargetMode="External"/><Relationship Id="rId68" Type="http://schemas.openxmlformats.org/officeDocument/2006/relationships/hyperlink" Target="https://www.advancedclinicalsolution.co.uk/the-10-rights-of-medication-administration" TargetMode="External"/><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ciencedirect.com/science/article/pii/S1551741120300085" TargetMode="External"/><Relationship Id="rId11" Type="http://schemas.openxmlformats.org/officeDocument/2006/relationships/image" Target="media/image4.png"/><Relationship Id="rId24" Type="http://schemas.openxmlformats.org/officeDocument/2006/relationships/hyperlink" Target="https://jhmhp.amegroups.org/article/view/6544/html" TargetMode="External"/><Relationship Id="rId32" Type="http://schemas.openxmlformats.org/officeDocument/2006/relationships/hyperlink" Target="https://onlinelibrary.wiley.com/doi/pdf/10.1111/nicc.13037" TargetMode="External"/><Relationship Id="rId37" Type="http://schemas.openxmlformats.org/officeDocument/2006/relationships/hyperlink" Target="https://link.springer.com/article/10.1186/s12912-024-01726-1" TargetMode="External"/><Relationship Id="rId40" Type="http://schemas.openxmlformats.org/officeDocument/2006/relationships/hyperlink" Target="https://link.springer.com/content/pdf/10.1186/s40359-022-00735-6.pdf" TargetMode="External"/><Relationship Id="rId45" Type="http://schemas.openxmlformats.org/officeDocument/2006/relationships/hyperlink" Target="https://journals.sagepub.com/doi/abs/10.1177/0310057X211018211" TargetMode="External"/><Relationship Id="rId53" Type="http://schemas.openxmlformats.org/officeDocument/2006/relationships/hyperlink" Target="https://www.internationaljournalofcaringsciences.org/docs/44.ouzounakis.pdf" TargetMode="External"/><Relationship Id="rId58" Type="http://schemas.openxmlformats.org/officeDocument/2006/relationships/hyperlink" Target="https://www.academia.edu/download/125950168/JAE_Vol3_6_Becoming_a_Leader.pdf" TargetMode="External"/><Relationship Id="rId66" Type="http://schemas.openxmlformats.org/officeDocument/2006/relationships/hyperlink" Target="https://journals.lww.com/journalpatientsafety/fulltext/2024/08000/influences_of_leadership,_organizational_culture,.14.asp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qualitysafety.bmj.com/content/early/2025/09/11/bmjqs-2025-019063.abstract" TargetMode="External"/><Relationship Id="rId28" Type="http://schemas.openxmlformats.org/officeDocument/2006/relationships/hyperlink" Target="https://www.collidu.com/presentation-great-man-theory" TargetMode="External"/><Relationship Id="rId36" Type="http://schemas.openxmlformats.org/officeDocument/2006/relationships/hyperlink" Target="https://www.theseus.fi/bitstream/handle/10024/745259/Heikkinen_Irina.pdf?sequence=3" TargetMode="External"/><Relationship Id="rId49" Type="http://schemas.openxmlformats.org/officeDocument/2006/relationships/hyperlink" Target="https://www.bitesizelearning.co.uk/resources/tannenbaum-schmidt-continuum-managers" TargetMode="External"/><Relationship Id="rId57" Type="http://schemas.openxmlformats.org/officeDocument/2006/relationships/hyperlink" Target="https://gh.bmj.com/content/8/12/e013317" TargetMode="External"/><Relationship Id="rId61" Type="http://schemas.openxmlformats.org/officeDocument/2006/relationships/hyperlink" Target="https://link.springer.com/content/pdf/10.1186/s12877-024-04801-z.pdf" TargetMode="External"/><Relationship Id="rId10" Type="http://schemas.openxmlformats.org/officeDocument/2006/relationships/image" Target="media/image3.png"/><Relationship Id="rId19" Type="http://schemas.openxmlformats.org/officeDocument/2006/relationships/hyperlink" Target="https://www.emerald.com/jkm/article-pdf/26/4/824/1795093/jkm-03-2020-0224.pdf" TargetMode="External"/><Relationship Id="rId31" Type="http://schemas.openxmlformats.org/officeDocument/2006/relationships/hyperlink" Target="https://onlinelibrary.wiley.com/doi/pdf/10.1111/inm.13347" TargetMode="External"/><Relationship Id="rId44" Type="http://schemas.openxmlformats.org/officeDocument/2006/relationships/hyperlink" Target="https://lifedev.net/2023/08/what-conclusions-can-we-draw-from-trait-theory/" TargetMode="External"/><Relationship Id="rId52" Type="http://schemas.openxmlformats.org/officeDocument/2006/relationships/hyperlink" Target="https://journals.sagepub.com/doi/pdf/10.1163/25902539-05010009" TargetMode="External"/><Relationship Id="rId60" Type="http://schemas.openxmlformats.org/officeDocument/2006/relationships/hyperlink" Target="https://onlinelibrary.wiley.com/doi/abs/10.1111/jep.13961" TargetMode="External"/><Relationship Id="rId65" Type="http://schemas.openxmlformats.org/officeDocument/2006/relationships/hyperlink" Target="https://pure.eur.nl/files/48271637/Repub_122677.pdf"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aily.com/releases/2020/06/200611183921.htm" TargetMode="External"/><Relationship Id="rId27" Type="http://schemas.openxmlformats.org/officeDocument/2006/relationships/hyperlink" Target="https://www.mdpi.com/1660-4601/19/17/10941" TargetMode="External"/><Relationship Id="rId30" Type="http://schemas.openxmlformats.org/officeDocument/2006/relationships/hyperlink" Target="https://papers.ssrn.com/sol3/Delivery.cfm?abstractid=3521205" TargetMode="External"/><Relationship Id="rId35" Type="http://schemas.openxmlformats.org/officeDocument/2006/relationships/hyperlink" Target="https://www.gov.uk/government/statistics/adult-social-care-in-england-monthly-statistics-november-2025/adult-social-care-in-england-monthly-statistics-november-2025" TargetMode="External"/><Relationship Id="rId43" Type="http://schemas.openxmlformats.org/officeDocument/2006/relationships/hyperlink" Target="https://www.tandfonline.com/doi/abs/10.1080/09649069.2022.2067650" TargetMode="External"/><Relationship Id="rId48" Type="http://schemas.openxmlformats.org/officeDocument/2006/relationships/hyperlink" Target="https://onlinelibrary.wiley.com/doi/pdfdirect/10.1111/jan.15072" TargetMode="External"/><Relationship Id="rId56" Type="http://schemas.openxmlformats.org/officeDocument/2006/relationships/hyperlink" Target="https://onlinelibrary.wiley.com/doi/pdf/10.1002/nop2.592" TargetMode="External"/><Relationship Id="rId64" Type="http://schemas.openxmlformats.org/officeDocument/2006/relationships/hyperlink" Target="https://brieflands.com/articles/jamm-156498" TargetMode="External"/><Relationship Id="rId69" Type="http://schemas.openxmlformats.org/officeDocument/2006/relationships/hyperlink" Target="https://www.mdpi.com/2039-4403/13/3/108" TargetMode="External"/><Relationship Id="rId8" Type="http://schemas.openxmlformats.org/officeDocument/2006/relationships/image" Target="media/image1.jpeg"/><Relationship Id="rId51" Type="http://schemas.openxmlformats.org/officeDocument/2006/relationships/hyperlink" Target="https://pharmaceutical-journal.com/article/research/errors-and-the-inappropriate-use-of-medicines-in-uk-care-homes"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merald.com/mbe/article-pdf/26/2/143/1905805/mbe-06-2021-0079.pdf" TargetMode="External"/><Relationship Id="rId25" Type="http://schemas.openxmlformats.org/officeDocument/2006/relationships/hyperlink" Target="https://www.mdpi.com/1660-4601/20/5/4570" TargetMode="External"/><Relationship Id="rId33" Type="http://schemas.openxmlformats.org/officeDocument/2006/relationships/hyperlink" Target="https://andrewsnotes.com/wp-content/uploads/2021/12/01-Managing-Service-Delivery-in-Health-and-Social-Care.pdf" TargetMode="External"/><Relationship Id="rId38" Type="http://schemas.openxmlformats.org/officeDocument/2006/relationships/hyperlink" Target="https://www.frontiersin.org/journals/public-health/articles/10.3389/fpubh.2025.1635475/full" TargetMode="External"/><Relationship Id="rId46" Type="http://schemas.openxmlformats.org/officeDocument/2006/relationships/hyperlink" Target="http://irjpms.com/wp-content/uploads/2025/03/IRJPMS-V8N2P150Y25.pdf" TargetMode="External"/><Relationship Id="rId59" Type="http://schemas.openxmlformats.org/officeDocument/2006/relationships/hyperlink" Target="https://onlinelibrary.wiley.com/doi/abs/10.1111/hex.13588" TargetMode="External"/><Relationship Id="rId67" Type="http://schemas.openxmlformats.org/officeDocument/2006/relationships/hyperlink" Target="https://www.cochranelibrary.com/cdsr/doi/10.1002/14651858.CD014765.pub2/abstract" TargetMode="External"/><Relationship Id="rId20" Type="http://schemas.openxmlformats.org/officeDocument/2006/relationships/hyperlink" Target="https://www.edstellar.com/blog/leadership-strategies-in-healthcare" TargetMode="External"/><Relationship Id="rId41" Type="http://schemas.openxmlformats.org/officeDocument/2006/relationships/hyperlink" Target="https://j.ideasspread.org/mhs/article/view/1258" TargetMode="External"/><Relationship Id="rId54" Type="http://schemas.openxmlformats.org/officeDocument/2006/relationships/hyperlink" Target="https://www.pharmaceuticalpress.com/resources/article/what-are-the-most-common-types-of-medication-errors/" TargetMode="External"/><Relationship Id="rId62" Type="http://schemas.openxmlformats.org/officeDocument/2006/relationships/hyperlink" Target="https://www.emerald.com/jmtm/article-pdf/31/1/193/1563060/jmtm-02-2019-0070.pdf" TargetMode="External"/><Relationship Id="rId70" Type="http://schemas.openxmlformats.org/officeDocument/2006/relationships/hyperlink" Target="https://www.mdpi.com/2039-4403/13/3/108"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99051-BC8E-4467-9367-CD428FBB4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30</Pages>
  <Words>8634</Words>
  <Characters>49219</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44</cp:revision>
  <dcterms:created xsi:type="dcterms:W3CDTF">2026-03-12T10:28:00Z</dcterms:created>
  <dcterms:modified xsi:type="dcterms:W3CDTF">2026-03-17T10:48:00Z</dcterms:modified>
</cp:coreProperties>
</file>