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glossary/_rels/document.xml.rels" ContentType="application/vnd.openxmlformats-package.relationships+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webSettings.xml" ContentType="application/vnd.openxmlformats-officedocument.wordprocessingml.webSettings+xml"/>
  <Override PartName="/word/glossary/settings.xml" ContentType="application/vnd.openxmlformats-officedocument.wordprocessingml.settings+xml"/>
  <Override PartName="/word/glossary/fontTable.xml" ContentType="application/vnd.openxmlformats-officedocument.wordprocessingml.fontTable+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sdt>
      <w:sdtPr>
        <w:docPartObj>
          <w:docPartGallery w:val="Cover Pages"/>
          <w:docPartUnique w:val="true"/>
        </w:docPartObj>
        <w:id w:val="323420378"/>
      </w:sdtPr>
      <w:sdtContent>
        <w:p>
          <w:pPr>
            <w:pStyle w:val="NoSpacing"/>
            <w:rPr>
              <w:rFonts w:ascii="Cambria" w:hAnsi="Cambria" w:eastAsia="" w:cs="" w:asciiTheme="majorHAnsi" w:cstheme="majorBidi" w:eastAsiaTheme="majorEastAsia" w:hAnsiTheme="majorHAnsi"/>
              <w:sz w:val="72"/>
              <w:szCs w:val="72"/>
            </w:rPr>
          </w:pPr>
          <w:r>
            <w:rPr>
              <w:rFonts w:eastAsia="" w:cs="" w:cstheme="majorBidi" w:eastAsiaTheme="majorEastAsia" w:ascii="Cambria" w:hAnsi="Cambria"/>
              <w:sz w:val="72"/>
              <w:szCs w:val="72"/>
            </w:rPr>
            <mc:AlternateContent>
              <mc:Choice Requires="wps">
                <w:drawing>
                  <wp:anchor behindDoc="1" distT="0" distB="0" distL="114300" distR="114300" simplePos="0" locked="0" layoutInCell="1" allowOverlap="1" relativeHeight="2">
                    <wp:simplePos x="0" y="0"/>
                    <wp:positionH relativeFrom="page">
                      <wp:align>center</wp:align>
                    </wp:positionH>
                    <wp:positionV relativeFrom="page">
                      <wp:align>bottom</wp:align>
                    </wp:positionV>
                    <wp:extent cx="8357235" cy="813435"/>
                    <wp:effectExtent l="0" t="0" r="0" b="0"/>
                    <wp:wrapNone/>
                    <wp:docPr id="1" name=""/>
                    <a:graphic xmlns:a="http://schemas.openxmlformats.org/drawingml/2006/main">
                      <a:graphicData uri="http://schemas.microsoft.com/office/word/2010/wordprocessingShape">
                        <wps:wsp>
                          <wps:cNvSpPr/>
                          <wps:nvSpPr>
                            <wps:cNvPr id="0" name="Rectangle 1"/>
                            <wps:cNvSpPr/>
                          </wps:nvSpPr>
                          <wps:spPr>
                            <a:xfrm>
                              <a:off x="0" y="0"/>
                              <a:ext cx="8356680" cy="812880"/>
                            </a:xfrm>
                            <a:prstGeom prst="rect">
                              <a:avLst/>
                            </a:prstGeom>
                            <a:solidFill>
                              <a:srgbClr val="4bacc6"/>
                            </a:solidFill>
                            <a:ln>
                              <a:solidFill>
                                <a:srgbClr val="31849b"/>
                              </a:solidFill>
                            </a:ln>
                          </wps:spPr>
                          <wps:bodyPr/>
                        </wps:wsp>
                      </a:graphicData>
                    </a:graphic>
                    <wp14:sizeRelH relativeFrom="page">
                      <wp14:pctWidth>105000</wp14:pctWidth>
                    </wp14:sizeRelH>
                  </wp:anchor>
                </w:drawing>
              </mc:Choice>
              <mc:Fallback>
                <w:pict>
                  <v:rect id="shape_0" fillcolor="#4bacc6" stroked="t" style="position:absolute;margin-left:0pt;margin-top:727.95pt;width:657.95pt;height:63.95pt;mso-position-horizontal:center;mso-position-horizontal-relative:page;mso-position-vertical:bottom;mso-position-vertical-relative:page">
                    <w10:wrap type="none"/>
                    <v:fill o:detectmouseclick="t" type="solid" color2="#b45339"/>
                    <v:stroke color="#31849b" joinstyle="round" endcap="flat"/>
                  </v:rect>
                </w:pict>
              </mc:Fallback>
            </mc:AlternateContent>
            <mc:AlternateContent>
              <mc:Choice Requires="wps">
                <w:drawing>
                  <wp:anchor behindDoc="1" distT="0" distB="0" distL="114300" distR="114300" simplePos="0" locked="0" layoutInCell="1" allowOverlap="1" relativeHeight="3">
                    <wp:simplePos x="0" y="0"/>
                    <wp:positionH relativeFrom="page">
                      <wp:align>center</wp:align>
                    </wp:positionH>
                    <wp:positionV relativeFrom="paragraph">
                      <wp:align>top</wp:align>
                    </wp:positionV>
                    <wp:extent cx="8357235" cy="813435"/>
                    <wp:effectExtent l="0" t="0" r="0" b="0"/>
                    <wp:wrapNone/>
                    <wp:docPr id="2" name=""/>
                    <a:graphic xmlns:a="http://schemas.openxmlformats.org/drawingml/2006/main">
                      <a:graphicData uri="http://schemas.microsoft.com/office/word/2010/wordprocessingShape">
                        <wps:wsp>
                          <wps:cNvSpPr/>
                          <wps:nvSpPr>
                            <wps:cNvPr id="1" name="Rectangle 1"/>
                            <wps:cNvSpPr/>
                          </wps:nvSpPr>
                          <wps:spPr>
                            <a:xfrm>
                              <a:off x="0" y="0"/>
                              <a:ext cx="8356680" cy="812880"/>
                            </a:xfrm>
                            <a:prstGeom prst="rect">
                              <a:avLst/>
                            </a:prstGeom>
                            <a:solidFill>
                              <a:srgbClr val="4bacc6"/>
                            </a:solidFill>
                            <a:ln>
                              <a:solidFill>
                                <a:srgbClr val="31849b"/>
                              </a:solidFill>
                            </a:ln>
                          </wps:spPr>
                          <wps:bodyPr/>
                        </wps:wsp>
                      </a:graphicData>
                    </a:graphic>
                    <wp14:sizeRelH relativeFrom="page">
                      <wp14:pctWidth>105000</wp14:pctWidth>
                    </wp14:sizeRelH>
                  </wp:anchor>
                </w:drawing>
              </mc:Choice>
              <mc:Fallback>
                <w:pict>
                  <v:rect id="shape_0" fillcolor="#4bacc6" stroked="t" style="position:absolute;margin-left:0pt;margin-top:0pt;width:657.95pt;height:63.95pt;mso-position-horizontal:center;mso-position-horizontal-relative:page;mso-position-vertical:top">
                    <w10:wrap type="none"/>
                    <v:fill o:detectmouseclick="t" type="solid" color2="#b45339"/>
                    <v:stroke color="#31849b" joinstyle="round" endcap="flat"/>
                  </v:rect>
                </w:pict>
              </mc:Fallback>
            </mc:AlternateContent>
            <mc:AlternateContent>
              <mc:Choice Requires="wps">
                <w:drawing>
                  <wp:anchor behindDoc="1" distT="0" distB="0" distL="114300" distR="114300" simplePos="0" locked="0" layoutInCell="1" allowOverlap="1" relativeHeight="4">
                    <wp:simplePos x="0" y="0"/>
                    <wp:positionH relativeFrom="column">
                      <wp:align>center</wp:align>
                    </wp:positionH>
                    <wp:positionV relativeFrom="page">
                      <wp:align>center</wp:align>
                    </wp:positionV>
                    <wp:extent cx="91440" cy="10768965"/>
                    <wp:effectExtent l="0" t="0" r="0" b="0"/>
                    <wp:wrapNone/>
                    <wp:docPr id="3" name=""/>
                    <a:graphic xmlns:a="http://schemas.openxmlformats.org/drawingml/2006/main">
                      <a:graphicData uri="http://schemas.microsoft.com/office/word/2010/wordprocessingShape">
                        <wps:wsp>
                          <wps:cNvSpPr/>
                          <wps:nvSpPr>
                            <wps:cNvPr id="2" name="Rectangle 1"/>
                            <wps:cNvSpPr/>
                          </wps:nvSpPr>
                          <wps:spPr>
                            <a:xfrm>
                              <a:off x="0" y="0"/>
                              <a:ext cx="90720" cy="10768320"/>
                            </a:xfrm>
                            <a:prstGeom prst="rect">
                              <a:avLst/>
                            </a:prstGeom>
                            <a:solidFill>
                              <a:srgbClr val="ffffff"/>
                            </a:solidFill>
                            <a:ln>
                              <a:solidFill>
                                <a:srgbClr val="31849b"/>
                              </a:solidFill>
                            </a:ln>
                          </wps:spPr>
                          <wps:bodyPr/>
                        </wps:wsp>
                      </a:graphicData>
                    </a:graphic>
                    <wp14:sizeRelV relativeFrom="page">
                      <wp14:pctHeight>105000</wp14:pctHeight>
                    </wp14:sizeRelV>
                  </wp:anchor>
                </w:drawing>
              </mc:Choice>
              <mc:Fallback>
                <w:pict>
                  <v:rect id="shape_0" fillcolor="white" stroked="t" style="position:absolute;margin-left:230.4pt;margin-top:0pt;width:7.1pt;height:847.85pt;mso-position-horizontal:center;mso-position-vertical:center;mso-position-vertical-relative:page">
                    <w10:wrap type="none"/>
                    <v:fill o:detectmouseclick="t" type="solid" color2="black"/>
                    <v:stroke color="#31849b" joinstyle="round" endcap="flat"/>
                  </v:rect>
                </w:pict>
              </mc:Fallback>
            </mc:AlternateContent>
            <mc:AlternateContent>
              <mc:Choice Requires="wps">
                <w:drawing>
                  <wp:anchor behindDoc="1" distT="0" distB="0" distL="114300" distR="114300" simplePos="0" locked="0" layoutInCell="1" allowOverlap="1" relativeHeight="5">
                    <wp:simplePos x="0" y="0"/>
                    <wp:positionH relativeFrom="column">
                      <wp:align>center</wp:align>
                    </wp:positionH>
                    <wp:positionV relativeFrom="page">
                      <wp:align>center</wp:align>
                    </wp:positionV>
                    <wp:extent cx="91440" cy="10768965"/>
                    <wp:effectExtent l="0" t="0" r="0" b="0"/>
                    <wp:wrapNone/>
                    <wp:docPr id="4" name=""/>
                    <a:graphic xmlns:a="http://schemas.openxmlformats.org/drawingml/2006/main">
                      <a:graphicData uri="http://schemas.microsoft.com/office/word/2010/wordprocessingShape">
                        <wps:wsp>
                          <wps:cNvSpPr/>
                          <wps:nvSpPr>
                            <wps:cNvPr id="3" name="Rectangle 1"/>
                            <wps:cNvSpPr/>
                          </wps:nvSpPr>
                          <wps:spPr>
                            <a:xfrm>
                              <a:off x="0" y="0"/>
                              <a:ext cx="90720" cy="10768320"/>
                            </a:xfrm>
                            <a:prstGeom prst="rect">
                              <a:avLst/>
                            </a:prstGeom>
                            <a:solidFill>
                              <a:srgbClr val="ffffff"/>
                            </a:solidFill>
                            <a:ln>
                              <a:solidFill>
                                <a:srgbClr val="31849b"/>
                              </a:solidFill>
                            </a:ln>
                          </wps:spPr>
                          <wps:bodyPr/>
                        </wps:wsp>
                      </a:graphicData>
                    </a:graphic>
                    <wp14:sizeRelV relativeFrom="page">
                      <wp14:pctHeight>105000</wp14:pctHeight>
                    </wp14:sizeRelV>
                  </wp:anchor>
                </w:drawing>
              </mc:Choice>
              <mc:Fallback>
                <w:pict>
                  <v:rect id="shape_0" fillcolor="white" stroked="t" style="position:absolute;margin-left:230.4pt;margin-top:0pt;width:7.1pt;height:847.85pt;mso-position-horizontal:center;mso-position-vertical:center;mso-position-vertical-relative:page">
                    <w10:wrap type="none"/>
                    <v:fill o:detectmouseclick="t" type="solid" color2="black"/>
                    <v:stroke color="#31849b" joinstyle="round" endcap="flat"/>
                  </v:rect>
                </w:pict>
              </mc:Fallback>
            </mc:AlternateContent>
          </w:r>
        </w:p>
        <w:p>
          <w:pPr>
            <w:pStyle w:val="NoSpacing"/>
            <w:spacing w:lineRule="auto" w:line="360"/>
            <w:jc w:val="both"/>
            <w:rPr>
              <w:rFonts w:ascii="Cambria" w:hAnsi="Cambria" w:eastAsia="" w:cs="" w:asciiTheme="majorHAnsi" w:cstheme="majorBidi" w:eastAsiaTheme="majorEastAsia" w:hAnsiTheme="majorHAnsi"/>
              <w:sz w:val="72"/>
              <w:szCs w:val="72"/>
            </w:rPr>
          </w:pPr>
          <w:r>
            <w:rPr>
              <w:rFonts w:eastAsia="" w:cs="Times New Roman" w:ascii="Times New Roman" w:hAnsi="Times New Roman" w:eastAsiaTheme="majorEastAsia"/>
              <w:sz w:val="44"/>
              <w:szCs w:val="44"/>
            </w:rPr>
            <w:t>EMPLOYABILITY SKILLS</w:t>
          </w:r>
        </w:p>
      </w:sdtContent>
    </w:sdt>
    <w:p>
      <w:pPr>
        <w:pStyle w:val="NoSpacing"/>
        <w:rPr>
          <w:rFonts w:ascii="Cambria" w:hAnsi="Cambria" w:eastAsia="" w:cs="" w:asciiTheme="majorHAnsi" w:cstheme="majorBidi" w:eastAsiaTheme="majorEastAsia" w:hAnsiTheme="majorHAnsi"/>
          <w:sz w:val="36"/>
          <w:szCs w:val="36"/>
        </w:rPr>
      </w:pPr>
      <w:r>
        <w:rPr>
          <w:rFonts w:eastAsia="" w:cs="" w:cstheme="majorBidi" w:eastAsiaTheme="majorEastAsia" w:ascii="Cambria" w:hAnsi="Cambria"/>
          <w:sz w:val="36"/>
          <w:szCs w:val="36"/>
        </w:rPr>
        <w:t xml:space="preserve">syed shamim ahmed </w:t>
      </w:r>
    </w:p>
    <w:p>
      <w:pPr>
        <w:pStyle w:val="NoSpacing"/>
        <w:rPr>
          <w:rFonts w:ascii="Cambria" w:hAnsi="Cambria" w:eastAsia="" w:cs="" w:asciiTheme="majorHAnsi" w:cstheme="majorBidi" w:eastAsiaTheme="majorEastAsia" w:hAnsiTheme="majorHAnsi"/>
          <w:sz w:val="36"/>
          <w:szCs w:val="36"/>
        </w:rPr>
      </w:pPr>
      <w:r>
        <w:rPr>
          <w:rFonts w:eastAsia="" w:cs="" w:cstheme="majorBidi" w:eastAsiaTheme="majorEastAsia" w:ascii="Cambria" w:hAnsi="Cambria"/>
          <w:sz w:val="36"/>
          <w:szCs w:val="36"/>
        </w:rPr>
        <w:t>id-1706997</w:t>
      </w:r>
    </w:p>
    <w:p>
      <w:pPr>
        <w:pStyle w:val="NoSpacing"/>
        <w:rPr>
          <w:rFonts w:ascii="Cambria" w:hAnsi="Cambria" w:eastAsia="" w:cs="" w:asciiTheme="majorHAnsi" w:cstheme="majorBidi" w:eastAsiaTheme="majorEastAsia" w:hAnsiTheme="majorHAnsi"/>
          <w:sz w:val="36"/>
          <w:szCs w:val="36"/>
        </w:rPr>
      </w:pPr>
      <w:r>
        <w:rPr>
          <w:rFonts w:eastAsia="" w:cs="" w:cstheme="majorBidi" w:eastAsiaTheme="majorEastAsia" w:ascii="Cambria" w:hAnsi="Cambria"/>
          <w:sz w:val="36"/>
          <w:szCs w:val="36"/>
        </w:rPr>
        <w:t>teacher: peter allen</w:t>
      </w:r>
    </w:p>
    <w:p>
      <w:pPr>
        <w:pStyle w:val="NoSpacing"/>
        <w:rPr>
          <w:rFonts w:ascii="Cambria" w:hAnsi="Cambria" w:eastAsia="" w:cs="" w:asciiTheme="majorHAnsi" w:cstheme="majorBidi" w:eastAsiaTheme="majorEastAsia" w:hAnsiTheme="majorHAnsi"/>
          <w:sz w:val="36"/>
          <w:szCs w:val="36"/>
        </w:rPr>
      </w:pPr>
      <w:r>
        <w:rPr>
          <w:rFonts w:eastAsia="" w:cs="" w:cstheme="majorBidi" w:eastAsiaTheme="majorEastAsia" w:ascii="Cambria" w:hAnsi="Cambria"/>
          <w:sz w:val="36"/>
          <w:szCs w:val="36"/>
        </w:rPr>
        <w:t>january 2018</w:t>
      </w:r>
    </w:p>
    <w:p>
      <w:pPr>
        <w:pStyle w:val="NoSpacing"/>
        <w:rPr>
          <w:rFonts w:ascii="Cambria" w:hAnsi="Cambria" w:eastAsia="" w:cs="" w:asciiTheme="majorHAnsi" w:cstheme="majorBidi" w:eastAsiaTheme="majorEastAsia" w:hAnsiTheme="majorHAnsi"/>
          <w:sz w:val="36"/>
          <w:szCs w:val="36"/>
        </w:rPr>
      </w:pPr>
      <w:r>
        <w:rPr>
          <w:rFonts w:eastAsia="" w:cs="" w:cstheme="majorBidi" w:eastAsiaTheme="majorEastAsia" w:ascii="Cambria" w:hAnsi="Cambria"/>
          <w:sz w:val="36"/>
          <w:szCs w:val="36"/>
        </w:rPr>
      </w:r>
    </w:p>
    <w:p>
      <w:pPr>
        <w:pStyle w:val="NoSpacing"/>
        <w:rPr>
          <w:rFonts w:ascii="Cambria" w:hAnsi="Cambria" w:eastAsia="" w:cs="" w:asciiTheme="majorHAnsi" w:cstheme="majorBidi" w:eastAsiaTheme="majorEastAsia" w:hAnsiTheme="majorHAnsi"/>
          <w:sz w:val="36"/>
          <w:szCs w:val="36"/>
        </w:rPr>
      </w:pPr>
      <w:r>
        <w:rPr>
          <w:rFonts w:eastAsia="" w:cs="" w:cstheme="majorBidi" w:eastAsiaTheme="majorEastAsia" w:ascii="Cambria" w:hAnsi="Cambria"/>
          <w:sz w:val="36"/>
          <w:szCs w:val="36"/>
        </w:rPr>
      </w:r>
    </w:p>
    <w:p>
      <w:pPr>
        <w:pStyle w:val="NoSpacing"/>
        <w:rPr/>
      </w:pPr>
      <w:r>
        <w:rPr/>
      </w:r>
    </w:p>
    <w:p>
      <w:pPr>
        <w:pStyle w:val="NoSpacing"/>
        <w:spacing w:lineRule="auto" w:line="360"/>
        <w:jc w:val="both"/>
        <w:rPr>
          <w:rFonts w:ascii="Times New Roman" w:hAnsi="Times New Roman" w:cs="Times New Roman"/>
          <w:sz w:val="32"/>
          <w:szCs w:val="32"/>
        </w:rPr>
      </w:pPr>
      <w:r>
        <w:rPr>
          <w:rFonts w:cs="Times New Roman" w:ascii="Times New Roman" w:hAnsi="Times New Roman"/>
          <w:sz w:val="32"/>
          <w:szCs w:val="32"/>
        </w:rPr>
        <w:t>22</w:t>
      </w:r>
      <w:r>
        <w:rPr>
          <w:rFonts w:cs="Times New Roman" w:ascii="Times New Roman" w:hAnsi="Times New Roman"/>
          <w:sz w:val="32"/>
          <w:szCs w:val="32"/>
          <w:vertAlign w:val="superscript"/>
        </w:rPr>
        <w:t>ND</w:t>
      </w:r>
      <w:r>
        <w:rPr>
          <w:rFonts w:cs="Times New Roman" w:ascii="Times New Roman" w:hAnsi="Times New Roman"/>
          <w:sz w:val="32"/>
          <w:szCs w:val="32"/>
        </w:rPr>
        <w:t xml:space="preserve"> DECEMBER, 2017</w:t>
      </w:r>
    </w:p>
    <w:p>
      <w:pPr>
        <w:pStyle w:val="NoSpacing"/>
        <w:rPr/>
      </w:pPr>
      <w:r>
        <w:rPr/>
      </w:r>
    </w:p>
    <w:p>
      <w:pPr>
        <w:pStyle w:val="Normal"/>
        <w:rPr/>
      </w:pPr>
      <w:r>
        <w:rPr/>
      </w:r>
    </w:p>
    <w:p>
      <w:pPr>
        <w:pStyle w:val="Normal"/>
        <w:rPr>
          <w:rFonts w:ascii="Times New Roman" w:hAnsi="Times New Roman" w:eastAsia="" w:cs="Times New Roman" w:eastAsiaTheme="majorEastAsia"/>
          <w:b/>
          <w:b/>
          <w:bCs/>
          <w:color w:val="365F91" w:themeColor="accent1" w:themeShade="bf"/>
          <w:sz w:val="24"/>
          <w:szCs w:val="24"/>
        </w:rPr>
      </w:pPr>
      <w:r>
        <w:rPr>
          <w:rFonts w:eastAsia="" w:cs="Times New Roman" w:eastAsiaTheme="majorEastAsia" w:ascii="Times New Roman" w:hAnsi="Times New Roman"/>
          <w:b/>
          <w:bCs/>
          <w:color w:val="365F91" w:themeColor="accent1" w:themeShade="bf"/>
          <w:sz w:val="24"/>
          <w:szCs w:val="24"/>
        </w:rPr>
      </w:r>
      <w:r>
        <w:br w:type="page"/>
      </w:r>
    </w:p>
    <w:p>
      <w:pPr>
        <w:pStyle w:val="Heading1"/>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rPr/>
      </w:pPr>
      <w:r>
        <w:rPr/>
      </w:r>
    </w:p>
    <w:p>
      <w:pPr>
        <w:pStyle w:val="Normal"/>
        <w:rPr/>
      </w:pPr>
      <w:r>
        <w:rPr/>
      </w:r>
    </w:p>
    <w:p>
      <w:pPr>
        <w:pStyle w:val="Normal"/>
        <w:rPr/>
      </w:pPr>
      <w:r>
        <w:rPr/>
      </w:r>
    </w:p>
    <w:sdt>
      <w:sdtPr>
        <w:docPartObj>
          <w:docPartGallery w:val="Table of Contents"/>
          <w:docPartUnique w:val="true"/>
        </w:docPartObj>
        <w:id w:val="1348919165"/>
      </w:sdtPr>
      <w:sdtContent>
        <w:p>
          <w:pPr>
            <w:pStyle w:val="ContentsHeading"/>
            <w:spacing w:lineRule="auto" w:line="360"/>
            <w:jc w:val="both"/>
            <w:rPr/>
          </w:pPr>
          <w:r>
            <w:rPr>
              <w:rFonts w:cs="Times New Roman" w:ascii="Times New Roman" w:hAnsi="Times New Roman"/>
              <w:sz w:val="24"/>
              <w:szCs w:val="24"/>
            </w:rPr>
            <w:t>Contents</w:t>
          </w:r>
        </w:p>
        <w:p>
          <w:pPr>
            <w:pStyle w:val="Contents1"/>
            <w:tabs>
              <w:tab w:val="right" w:pos="9350" w:leader="dot"/>
            </w:tabs>
            <w:rPr/>
          </w:pPr>
          <w:r>
            <w:rPr/>
          </w:r>
        </w:p>
        <w:p>
          <w:pPr>
            <w:pStyle w:val="Contents1"/>
            <w:tabs>
              <w:tab w:val="right" w:pos="9350" w:leader="dot"/>
            </w:tabs>
            <w:rPr/>
          </w:pPr>
          <w:r>
            <w:rPr/>
          </w:r>
        </w:p>
        <w:p>
          <w:pPr>
            <w:pStyle w:val="Contents1"/>
            <w:tabs>
              <w:tab w:val="right" w:pos="9350" w:leader="dot"/>
            </w:tabs>
            <w:rPr/>
          </w:pPr>
          <w:r>
            <w:fldChar w:fldCharType="begin"/>
          </w:r>
          <w:r>
            <w:instrText> TOC \z \o "1-3" \u \h</w:instrText>
          </w:r>
          <w:r>
            <w:fldChar w:fldCharType="separate"/>
          </w:r>
          <w:hyperlink w:anchor="_Toc501744937">
            <w:r>
              <w:rPr>
                <w:webHidden/>
                <w:rStyle w:val="IndexLink"/>
                <w:rFonts w:cs="Times New Roman" w:ascii="Times New Roman" w:hAnsi="Times New Roman"/>
              </w:rPr>
              <w:t>Introduction</w:t>
            </w:r>
            <w:r>
              <w:rPr>
                <w:webHidden/>
              </w:rPr>
              <w:fldChar w:fldCharType="begin"/>
            </w:r>
            <w:r>
              <w:rPr>
                <w:webHidden/>
              </w:rPr>
              <w:instrText>PAGEREF _Toc501744937 \h</w:instrText>
            </w:r>
            <w:r>
              <w:rPr>
                <w:webHidden/>
              </w:rPr>
              <w:fldChar w:fldCharType="separate"/>
            </w:r>
            <w:r>
              <w:rPr>
                <w:rStyle w:val="IndexLink"/>
                <w:vanish w:val="false"/>
              </w:rPr>
              <w:tab/>
              <w:t>3</w:t>
            </w:r>
            <w:r>
              <w:rPr>
                <w:webHidden/>
              </w:rPr>
              <w:fldChar w:fldCharType="end"/>
            </w:r>
          </w:hyperlink>
        </w:p>
        <w:p>
          <w:pPr>
            <w:pStyle w:val="Contents1"/>
            <w:tabs>
              <w:tab w:val="right" w:pos="9350" w:leader="dot"/>
            </w:tabs>
            <w:rPr/>
          </w:pPr>
          <w:hyperlink w:anchor="_Toc501744938">
            <w:r>
              <w:rPr>
                <w:webHidden/>
                <w:rStyle w:val="IndexLink"/>
                <w:rFonts w:cs="Times New Roman" w:ascii="Times New Roman" w:hAnsi="Times New Roman"/>
              </w:rPr>
              <w:t>Abstract</w:t>
            </w:r>
            <w:r>
              <w:rPr>
                <w:webHidden/>
              </w:rPr>
              <w:fldChar w:fldCharType="begin"/>
            </w:r>
            <w:r>
              <w:rPr>
                <w:webHidden/>
              </w:rPr>
              <w:instrText>PAGEREF _Toc501744938 \h</w:instrText>
            </w:r>
            <w:r>
              <w:rPr>
                <w:webHidden/>
              </w:rPr>
              <w:fldChar w:fldCharType="separate"/>
            </w:r>
            <w:r>
              <w:rPr>
                <w:rStyle w:val="IndexLink"/>
                <w:vanish w:val="false"/>
              </w:rPr>
              <w:tab/>
              <w:t>3</w:t>
            </w:r>
            <w:r>
              <w:rPr>
                <w:webHidden/>
              </w:rPr>
              <w:fldChar w:fldCharType="end"/>
            </w:r>
          </w:hyperlink>
        </w:p>
        <w:p>
          <w:pPr>
            <w:pStyle w:val="Contents1"/>
            <w:tabs>
              <w:tab w:val="right" w:pos="9350" w:leader="dot"/>
            </w:tabs>
            <w:rPr/>
          </w:pPr>
          <w:hyperlink w:anchor="_Toc501744939">
            <w:r>
              <w:rPr>
                <w:webHidden/>
                <w:rStyle w:val="IndexLink"/>
                <w:rFonts w:cs="Times New Roman" w:ascii="Times New Roman" w:hAnsi="Times New Roman"/>
              </w:rPr>
              <w:t>Skills Searched For by Employers</w:t>
            </w:r>
            <w:r>
              <w:rPr>
                <w:webHidden/>
              </w:rPr>
              <w:fldChar w:fldCharType="begin"/>
            </w:r>
            <w:r>
              <w:rPr>
                <w:webHidden/>
              </w:rPr>
              <w:instrText>PAGEREF _Toc501744939 \h</w:instrText>
            </w:r>
            <w:r>
              <w:rPr>
                <w:webHidden/>
              </w:rPr>
              <w:fldChar w:fldCharType="separate"/>
            </w:r>
            <w:r>
              <w:rPr>
                <w:rStyle w:val="IndexLink"/>
                <w:vanish w:val="false"/>
              </w:rPr>
              <w:tab/>
              <w:t>4</w:t>
            </w:r>
            <w:r>
              <w:rPr>
                <w:webHidden/>
              </w:rPr>
              <w:fldChar w:fldCharType="end"/>
            </w:r>
          </w:hyperlink>
        </w:p>
        <w:p>
          <w:pPr>
            <w:pStyle w:val="Contents1"/>
            <w:tabs>
              <w:tab w:val="right" w:pos="9350" w:leader="dot"/>
            </w:tabs>
            <w:rPr/>
          </w:pPr>
          <w:hyperlink w:anchor="_Toc501744940">
            <w:r>
              <w:rPr>
                <w:webHidden/>
                <w:rStyle w:val="IndexLink"/>
                <w:rFonts w:cs="Times New Roman" w:ascii="Times New Roman" w:hAnsi="Times New Roman"/>
              </w:rPr>
              <w:t>Personal Employability Skills</w:t>
            </w:r>
            <w:r>
              <w:rPr>
                <w:webHidden/>
              </w:rPr>
              <w:fldChar w:fldCharType="begin"/>
            </w:r>
            <w:r>
              <w:rPr>
                <w:webHidden/>
              </w:rPr>
              <w:instrText>PAGEREF _Toc501744940 \h</w:instrText>
            </w:r>
            <w:r>
              <w:rPr>
                <w:webHidden/>
              </w:rPr>
              <w:fldChar w:fldCharType="separate"/>
            </w:r>
            <w:r>
              <w:rPr>
                <w:rStyle w:val="IndexLink"/>
                <w:vanish w:val="false"/>
              </w:rPr>
              <w:tab/>
              <w:t>8</w:t>
            </w:r>
            <w:r>
              <w:rPr>
                <w:webHidden/>
              </w:rPr>
              <w:fldChar w:fldCharType="end"/>
            </w:r>
          </w:hyperlink>
        </w:p>
        <w:p>
          <w:pPr>
            <w:pStyle w:val="Contents1"/>
            <w:tabs>
              <w:tab w:val="right" w:pos="9350" w:leader="dot"/>
            </w:tabs>
            <w:rPr/>
          </w:pPr>
          <w:hyperlink w:anchor="_Toc501744941">
            <w:r>
              <w:rPr>
                <w:webHidden/>
                <w:rStyle w:val="IndexLink"/>
                <w:rFonts w:cs="Times New Roman" w:ascii="Times New Roman" w:hAnsi="Times New Roman"/>
              </w:rPr>
              <w:t>Conclusion</w:t>
            </w:r>
            <w:r>
              <w:rPr>
                <w:webHidden/>
              </w:rPr>
              <w:fldChar w:fldCharType="begin"/>
            </w:r>
            <w:r>
              <w:rPr>
                <w:webHidden/>
              </w:rPr>
              <w:instrText>PAGEREF _Toc501744941 \h</w:instrText>
            </w:r>
            <w:r>
              <w:rPr>
                <w:webHidden/>
              </w:rPr>
              <w:fldChar w:fldCharType="separate"/>
            </w:r>
            <w:r>
              <w:rPr>
                <w:rStyle w:val="IndexLink"/>
                <w:vanish w:val="false"/>
              </w:rPr>
              <w:tab/>
              <w:t>9</w:t>
            </w:r>
            <w:r>
              <w:rPr>
                <w:webHidden/>
              </w:rPr>
              <w:fldChar w:fldCharType="end"/>
            </w:r>
          </w:hyperlink>
        </w:p>
        <w:p>
          <w:pPr>
            <w:pStyle w:val="Contents1"/>
            <w:tabs>
              <w:tab w:val="right" w:pos="9350" w:leader="dot"/>
            </w:tabs>
            <w:rPr/>
          </w:pPr>
          <w:hyperlink w:anchor="_Toc501744942">
            <w:r>
              <w:rPr>
                <w:webHidden/>
                <w:rStyle w:val="IndexLink"/>
                <w:rFonts w:cs="Times New Roman" w:ascii="Times New Roman" w:hAnsi="Times New Roman"/>
              </w:rPr>
              <w:t>Reference</w:t>
            </w:r>
            <w:r>
              <w:rPr>
                <w:webHidden/>
              </w:rPr>
              <w:fldChar w:fldCharType="begin"/>
            </w:r>
            <w:r>
              <w:rPr>
                <w:webHidden/>
              </w:rPr>
              <w:instrText>PAGEREF _Toc501744942 \h</w:instrText>
            </w:r>
            <w:r>
              <w:rPr>
                <w:webHidden/>
              </w:rPr>
              <w:fldChar w:fldCharType="separate"/>
            </w:r>
            <w:r>
              <w:rPr>
                <w:rStyle w:val="IndexLink"/>
                <w:vanish w:val="false"/>
              </w:rPr>
              <w:tab/>
              <w:t>9</w:t>
            </w:r>
            <w:r>
              <w:rPr>
                <w:webHidden/>
              </w:rPr>
              <w:fldChar w:fldCharType="end"/>
            </w:r>
          </w:hyperlink>
        </w:p>
        <w:p>
          <w:pPr>
            <w:pStyle w:val="Normal"/>
            <w:rPr/>
          </w:pPr>
          <w:r>
            <w:rPr/>
          </w:r>
          <w:r>
            <w:fldChar w:fldCharType="end"/>
          </w:r>
        </w:p>
      </w:sdtContent>
    </w:sdt>
    <w:p>
      <w:pPr>
        <w:pStyle w:val="Normal"/>
        <w:rPr>
          <w:rFonts w:eastAsia="" w:eastAsiaTheme="majorEastAsia"/>
          <w:color w:val="365F91" w:themeColor="accent1" w:themeShade="bf"/>
        </w:rPr>
      </w:pPr>
      <w:r>
        <w:rPr>
          <w:rFonts w:eastAsia="" w:eastAsiaTheme="majorEastAsia"/>
          <w:color w:val="365F91" w:themeColor="accent1" w:themeShade="bf"/>
        </w:rPr>
      </w:r>
      <w:r>
        <w:br w:type="page"/>
      </w:r>
    </w:p>
    <w:p>
      <w:pPr>
        <w:pStyle w:val="Heading1"/>
        <w:spacing w:lineRule="auto" w:line="360"/>
        <w:jc w:val="both"/>
        <w:rPr>
          <w:rFonts w:ascii="Times New Roman" w:hAnsi="Times New Roman" w:cs="Times New Roman"/>
          <w:sz w:val="24"/>
          <w:szCs w:val="24"/>
        </w:rPr>
      </w:pPr>
      <w:bookmarkStart w:id="0" w:name="_Toc501744937"/>
      <w:r>
        <w:rPr>
          <w:rFonts w:cs="Times New Roman" w:ascii="Times New Roman" w:hAnsi="Times New Roman"/>
          <w:sz w:val="24"/>
          <w:szCs w:val="24"/>
        </w:rPr>
        <w:t>Introduction</w:t>
      </w:r>
      <w:bookmarkEnd w:id="0"/>
      <w:r>
        <w:rPr>
          <w:rFonts w:cs="Times New Roman" w:ascii="Times New Roman" w:hAnsi="Times New Roman"/>
          <w:sz w:val="24"/>
          <w:szCs w:val="24"/>
        </w:rPr>
        <w:t xml:space="preserve">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The term employability skill refers to the skills or a set of skills that is acquired by an individual over the years of expertise and enrich him as a skilled individual. These skills contribute to the individual’s ability to become eligible for a particular work or functioning while being operational in competitive market. These skills are always transferable which gives the provision of developing these in the course of life at any point of time. Different employer asks for varying skills but in all cases the basic remains almost same that includes well developed knowledge, technical skills and soft skills in their best achievable forms (</w:t>
      </w:r>
      <w:r>
        <w:rPr>
          <w:rFonts w:cs="Times New Roman" w:ascii="Times New Roman" w:hAnsi="Times New Roman"/>
          <w:color w:val="222222"/>
          <w:sz w:val="24"/>
          <w:szCs w:val="24"/>
          <w:shd w:fill="FFFFFF" w:val="clear"/>
        </w:rPr>
        <w:t>Conrad, 2012)</w:t>
      </w:r>
      <w:r>
        <w:rPr>
          <w:rFonts w:cs="Times New Roman" w:ascii="Times New Roman" w:hAnsi="Times New Roman"/>
          <w:sz w:val="24"/>
          <w:szCs w:val="24"/>
        </w:rPr>
        <w:t>.</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On being employed with an organization an individual gets termed as an employee. The more an employee is acquitted with the knowledge in his or her respective field of work, the more suited they become for their work. This assignment of preparing a written report on the employability skills takes into account various research findings and other scholarly works on the related topic and analyses them so that skills to be developed can be understood and the universal criteria for being employed can be developed along with the required credibility post the proper judgment of perspectives with which an employee is presented by the employer in an organization (</w:t>
      </w:r>
      <w:r>
        <w:rPr>
          <w:rFonts w:cs="Times New Roman" w:ascii="Times New Roman" w:hAnsi="Times New Roman"/>
          <w:color w:val="222222"/>
          <w:sz w:val="24"/>
          <w:szCs w:val="24"/>
          <w:shd w:fill="FFFFFF" w:val="clear"/>
        </w:rPr>
        <w:t>Husain, 2010)</w:t>
      </w:r>
      <w:r>
        <w:rPr>
          <w:rFonts w:cs="Times New Roman" w:ascii="Times New Roman" w:hAnsi="Times New Roman"/>
          <w:sz w:val="24"/>
          <w:szCs w:val="24"/>
        </w:rPr>
        <w:t>.</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Heading1"/>
        <w:spacing w:lineRule="auto" w:line="360"/>
        <w:jc w:val="both"/>
        <w:rPr>
          <w:rFonts w:ascii="Times New Roman" w:hAnsi="Times New Roman" w:cs="Times New Roman"/>
          <w:sz w:val="24"/>
          <w:szCs w:val="24"/>
        </w:rPr>
      </w:pPr>
      <w:bookmarkStart w:id="1" w:name="_Toc501744938"/>
      <w:r>
        <w:rPr>
          <w:rFonts w:cs="Times New Roman" w:ascii="Times New Roman" w:hAnsi="Times New Roman"/>
          <w:sz w:val="24"/>
          <w:szCs w:val="24"/>
        </w:rPr>
        <w:t>Abstract</w:t>
      </w:r>
      <w:bookmarkEnd w:id="1"/>
      <w:r>
        <w:rPr>
          <w:rFonts w:cs="Times New Roman" w:ascii="Times New Roman" w:hAnsi="Times New Roman"/>
          <w:sz w:val="24"/>
          <w:szCs w:val="24"/>
        </w:rPr>
        <w:t xml:space="preserve">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Employment refers to the human resource of a community that contributes to the human resource of a company when duly employed. No random individual can be employed with random organization. If proper and definite skills which are relatively associated with the work are found o be present, only then can a person be recruited by fulfilling the job criteria. Employability becomes more viable when it is accompanied by positive attitude towards work and knowledge. However, the utilizing of those skills also proves the credibility of an employee. The following essay touches upon all these areas for the better understanding of the concept of employability skills (</w:t>
      </w:r>
      <w:r>
        <w:rPr>
          <w:rFonts w:cs="Times New Roman" w:ascii="Times New Roman" w:hAnsi="Times New Roman"/>
          <w:color w:val="222222"/>
          <w:sz w:val="24"/>
          <w:szCs w:val="24"/>
          <w:shd w:fill="FFFFFF" w:val="clear"/>
        </w:rPr>
        <w:t>Lewin, 2011)</w:t>
      </w:r>
      <w:r>
        <w:rPr>
          <w:rFonts w:cs="Times New Roman" w:ascii="Times New Roman" w:hAnsi="Times New Roman"/>
          <w:sz w:val="24"/>
          <w:szCs w:val="24"/>
        </w:rPr>
        <w:t xml:space="preserve">. </w:t>
      </w:r>
    </w:p>
    <w:p>
      <w:pPr>
        <w:pStyle w:val="Heading1"/>
        <w:spacing w:lineRule="auto" w:line="360"/>
        <w:jc w:val="both"/>
        <w:rPr>
          <w:rFonts w:ascii="Times New Roman" w:hAnsi="Times New Roman" w:cs="Times New Roman"/>
          <w:sz w:val="24"/>
          <w:szCs w:val="24"/>
        </w:rPr>
      </w:pPr>
      <w:bookmarkStart w:id="2" w:name="_Toc501744939"/>
      <w:bookmarkEnd w:id="2"/>
      <w:r>
        <w:rPr>
          <w:rFonts w:cs="Times New Roman" w:ascii="Times New Roman" w:hAnsi="Times New Roman"/>
          <w:sz w:val="24"/>
          <w:szCs w:val="24"/>
        </w:rPr>
        <w:t>Skills Searched For by Employers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As mentioned earlier, different employers might set up and present different selection criteria for recruitment but the diversity is simply in one or two areas. Despite this difference, individuals who aim at becoming employed in an organization should develop several skills which are basic to employability. In the following references of scholarly works with regard to specific skills are described for analyzing the feasibility that employees should be concerned with.</w:t>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t>Communication and Interpersonal Skills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Among all skills this is the most important and most basic one also. Effective communication helps in delivering ideas and also explaining what one has to convey via any format- be it written or spoken. This must be this much effective that chances of confusion are nullified. I find communication skill important in this regard that it is required in both understanding and delivering the organizational objectives which in turn makes my performance more successful as I move in that direction as an employee (</w:t>
      </w:r>
      <w:r>
        <w:rPr>
          <w:rFonts w:cs="Times New Roman" w:ascii="Times New Roman" w:hAnsi="Times New Roman"/>
          <w:color w:val="222222"/>
          <w:sz w:val="24"/>
          <w:szCs w:val="24"/>
          <w:shd w:fill="FFFFFF" w:val="clear"/>
        </w:rPr>
        <w:t>Donnelly, 2015)</w:t>
      </w:r>
      <w:r>
        <w:rPr>
          <w:rFonts w:cs="Times New Roman" w:ascii="Times New Roman" w:hAnsi="Times New Roman"/>
          <w:sz w:val="24"/>
          <w:szCs w:val="24"/>
        </w:rPr>
        <w:t>.</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Pavord and Donnelly published a report on their findings in 2015 indicating that communication should be performed three ways- with self, with the partnership individuals and also with the ones from whom feedbacks are probable to be received. Thus the complete skill of communication will be achieved. This also refers to the concept that communication is not only speaking one way, but listening also (</w:t>
      </w:r>
      <w:r>
        <w:rPr>
          <w:rFonts w:cs="Times New Roman" w:ascii="Times New Roman" w:hAnsi="Times New Roman"/>
          <w:color w:val="222222"/>
          <w:sz w:val="24"/>
          <w:szCs w:val="24"/>
          <w:shd w:fill="FFFFFF" w:val="clear"/>
        </w:rPr>
        <w:t>Pavord, 2015)</w:t>
      </w:r>
      <w:r>
        <w:rPr>
          <w:rFonts w:cs="Times New Roman" w:ascii="Times New Roman" w:hAnsi="Times New Roman"/>
          <w:sz w:val="24"/>
          <w:szCs w:val="24"/>
        </w:rPr>
        <w:t xml:space="preserve">. </w:t>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t>Problem Solving Skills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After communication skills, the second most important skill is the skill of solving problems that may arise at any point of time while working in an organization. This skill is the one that would enable an individual to understand a problem more properly by breaking it down into smaller issues after identifying the reasons that might have contributed towards the occurrence of the problem and finally search for potential solutions to it. Problems are always at a risk of developing while performing any work. But the policy that I follow is keeping my focus unchanged and targeting at solving the problem keeping my temperament and attitude in control so that I am not left behind on this issue and lose the race.</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The Chron website of small businesses highlights the work of Tara Duggan where she opines that the context of problem solving is roughly categorized into four segments-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Identifying the problem such as negative feedbacks or complaints from regular customers, fallout between manager and suppliers due to misunderstanding, poor communication among workers leading to unfavourable situations etc. this helps in isolation of the related facts (</w:t>
      </w:r>
      <w:r>
        <w:rPr>
          <w:rFonts w:cs="Times New Roman" w:ascii="Times New Roman" w:hAnsi="Times New Roman"/>
          <w:color w:val="222222"/>
          <w:sz w:val="24"/>
          <w:szCs w:val="24"/>
          <w:shd w:fill="FFFFFF" w:val="clear"/>
        </w:rPr>
        <w:t>Hall, 2011)</w:t>
      </w:r>
      <w:r>
        <w:rPr>
          <w:rFonts w:cs="Times New Roman" w:ascii="Times New Roman" w:hAnsi="Times New Roman"/>
          <w:sz w:val="24"/>
          <w:szCs w:val="24"/>
        </w:rPr>
        <w:t>.</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Proposing solution is the next step as acquired by experiences of previous situations or knowledge so that the employees are allowed to effectively handles the adversities with wise decisions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Evaluation of the proposition is next which would help in understanding whether the proposition was feasible enough</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Implementation would follow in the final step so that an assessment of the complete situation can be done along with the probability that f similar situations arise in future it can be dealt with equally successfully and effectively (</w:t>
      </w:r>
      <w:r>
        <w:rPr>
          <w:rFonts w:cs="Times New Roman" w:ascii="Times New Roman" w:hAnsi="Times New Roman"/>
          <w:color w:val="222222"/>
          <w:sz w:val="24"/>
          <w:szCs w:val="24"/>
          <w:shd w:fill="FFFFFF" w:val="clear"/>
        </w:rPr>
        <w:t>Elliot, 2011)</w:t>
      </w:r>
      <w:r>
        <w:rPr>
          <w:rFonts w:cs="Times New Roman" w:ascii="Times New Roman" w:hAnsi="Times New Roman"/>
          <w:sz w:val="24"/>
          <w:szCs w:val="24"/>
        </w:rPr>
        <w:t>.</w:t>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t>Using Initiative &amp; Being Self-Motivated</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This skill is largely dependent to be developed by the employee himself or herself as this is acquired by the innovative nature present in an individual and also the ability to put those innovative ideas into application and reality in order to make them efficient and effective. Self motivation is by name and character a personal trait that allows an employee to work on his own before being instructed. But here lies the caution also as working before instruction may also cause problems (</w:t>
      </w:r>
      <w:r>
        <w:rPr>
          <w:rFonts w:cs="Times New Roman" w:ascii="Times New Roman" w:hAnsi="Times New Roman"/>
          <w:color w:val="222222"/>
          <w:sz w:val="24"/>
          <w:szCs w:val="24"/>
          <w:shd w:fill="FFFFFF" w:val="clear"/>
        </w:rPr>
        <w:t>Zimmerman, 2012)</w:t>
      </w:r>
      <w:r>
        <w:rPr>
          <w:rFonts w:cs="Times New Roman" w:ascii="Times New Roman" w:hAnsi="Times New Roman"/>
          <w:sz w:val="24"/>
          <w:szCs w:val="24"/>
        </w:rPr>
        <w:t xml:space="preserve">.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Schunk and Zimmerman edited in 2012 a publication of book in which they said that highly motivated individuals show more attention and remain more focused during an ongoing leaning process than those who are poorly motivated. Employers always prefer such highly motivated employees (</w:t>
      </w:r>
      <w:r>
        <w:rPr>
          <w:rFonts w:cs="Times New Roman" w:ascii="Times New Roman" w:hAnsi="Times New Roman"/>
          <w:color w:val="222222"/>
          <w:sz w:val="24"/>
          <w:szCs w:val="24"/>
          <w:shd w:fill="FFFFFF" w:val="clear"/>
        </w:rPr>
        <w:t>Schunk, 2012)</w:t>
      </w:r>
      <w:r>
        <w:rPr>
          <w:rFonts w:cs="Times New Roman" w:ascii="Times New Roman" w:hAnsi="Times New Roman"/>
          <w:sz w:val="24"/>
          <w:szCs w:val="24"/>
        </w:rPr>
        <w:t>.</w:t>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t>Organizational Skills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As the name suggests, organizational skill always refers to working in a methodical and organized way. The plans that an employee formulate must be such that the meet the targets and maintain timeframes or deadlines. This would also need monitoring to ensure that the timeframe set prior to the work is met and the work is performed well within the deadline. Thus the work performed is more efficiently done and the employer is enriched with personal as well as professional development. Such a skill if found in an employee is always sought put for as such employees thrive to meet the deadline and finish works well before time while meeting the criteria completely.</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Angie Gentry in her article published in the Chron website of small businesses states that while we are concerned about the organizational skills, time is saved a lot and stress is reduced to a great extent. If such skill is absent, then performance becomes haphazard and tasks get piled up without timely functioning and effectiveness of work is lost completely. These are never preferred by any employer (</w:t>
      </w:r>
      <w:r>
        <w:rPr>
          <w:rFonts w:cs="Times New Roman" w:ascii="Times New Roman" w:hAnsi="Times New Roman"/>
          <w:color w:val="222222"/>
          <w:sz w:val="24"/>
          <w:szCs w:val="24"/>
          <w:shd w:fill="FFFFFF" w:val="clear"/>
        </w:rPr>
        <w:t>Narode, 2013)</w:t>
      </w:r>
      <w:r>
        <w:rPr>
          <w:rFonts w:cs="Times New Roman" w:ascii="Times New Roman" w:hAnsi="Times New Roman"/>
          <w:sz w:val="24"/>
          <w:szCs w:val="24"/>
        </w:rPr>
        <w:t>.</w:t>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t>Teamwork Skills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While working in any organization, teamwork becomes an inevitable part. A prospective employee must be able to teamwork with other workers as that would ensure effective and efficient performance. No discrimination based upon the ethnicity, expertise, origins, backgrounds etc should be done so that no difficulty arises while performing a function as a teamwork approach towards a function would always render it more efficient.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In the year of 2010, Westli together with his other associates published their research work and said that better and more effective performance was gained from teams who communicated more effectively among them and exchanged information more actively. But those who were not involved in such teamwork were marked as poorly performance ones. If such poorly performing teams are present in a company, then it would cause lot of problems in it and might even cause problem (</w:t>
      </w:r>
      <w:r>
        <w:rPr>
          <w:rFonts w:cs="Times New Roman" w:ascii="Times New Roman" w:hAnsi="Times New Roman"/>
          <w:color w:val="222222"/>
          <w:sz w:val="24"/>
          <w:szCs w:val="24"/>
          <w:shd w:fill="FFFFFF" w:val="clear"/>
        </w:rPr>
        <w:t>Westli,2010)</w:t>
      </w:r>
      <w:r>
        <w:rPr>
          <w:rFonts w:cs="Times New Roman" w:ascii="Times New Roman" w:hAnsi="Times New Roman"/>
          <w:sz w:val="24"/>
          <w:szCs w:val="24"/>
        </w:rPr>
        <w:t xml:space="preserve">. </w:t>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t>Learning and Adaptability Skills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Learning is a continuous process. An employee must possess the skill to be ready to learn all the while working as an employee with the organization. Learning from mistakes and previous experiences must also be achieved as mistakes allow learning and makes sure that no further similar situations ever arise in future.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Felstead and associates published their research work in the International Journal of Human Resource Management in 2010 and mentioned there what they had concluded from their survey work. Here they states that how much an employee will be involved in his work depends largely upon the learning level and the training as provided to them on the job. Adaptability that showcases itself in form of adjustment to any situation and this is a well appreciated skill by employers (</w:t>
      </w:r>
      <w:r>
        <w:rPr>
          <w:rFonts w:cs="Times New Roman" w:ascii="Times New Roman" w:hAnsi="Times New Roman"/>
          <w:color w:val="222222"/>
          <w:sz w:val="24"/>
          <w:szCs w:val="24"/>
          <w:shd w:fill="FFFFFF" w:val="clear"/>
        </w:rPr>
        <w:t>Felstead, 2010)</w:t>
      </w:r>
      <w:r>
        <w:rPr>
          <w:rFonts w:cs="Times New Roman" w:ascii="Times New Roman" w:hAnsi="Times New Roman"/>
          <w:sz w:val="24"/>
          <w:szCs w:val="24"/>
        </w:rPr>
        <w:t>.</w:t>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t>Numeracy Skills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Any employee may have studied in any stream of studies. But basic numerical skills must have been present in them so that they can deal with mathematical data and organizational statistics quite efficiently. This helps in statistical presentation of the business operations and analysis of economical trends. Employees armed with numerical skills are preferred to others by an employer. Solid knowledge of numeric is always sought after.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Durrani and Tariq published their work on Role of Numeracy Skills in Graduate Employability fifty-fourth edition of Education + Training. There they revealed that those employees who are good with numbers are more efficient in performance. They also highlighted that a graduate might have a good record in one particular stream of studies but lack of numerical skills holds the potential that actually limits the chance of their acquisition of employment (</w:t>
      </w:r>
      <w:r>
        <w:rPr>
          <w:rFonts w:cs="Times New Roman" w:ascii="Times New Roman" w:hAnsi="Times New Roman"/>
          <w:color w:val="222222"/>
          <w:sz w:val="24"/>
          <w:szCs w:val="24"/>
          <w:shd w:fill="FFFFFF" w:val="clear"/>
        </w:rPr>
        <w:t>Durrani, 2012)</w:t>
      </w:r>
      <w:r>
        <w:rPr>
          <w:rFonts w:cs="Times New Roman" w:ascii="Times New Roman" w:hAnsi="Times New Roman"/>
          <w:sz w:val="24"/>
          <w:szCs w:val="24"/>
        </w:rPr>
        <w:t xml:space="preserve">. </w:t>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t>Working under Pressure Skills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If the functioning within an organization is such that the employees are always under the pressure of meeting deadlines, stress would follow inevitably. It is undeniable that stress and pressure of work are almost integrated part of any work. If an employee can work under pressure but keep calm and does not become excited, then he/she can be said to have mastered the skill. Instead of letting the situation get on the nerves, the employee should be able to be in control of the situation. Thus the work pressure can be dealt with along with remaining in the timeframe.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The official website of the University of Leeds contains a webpage that is dedicated towards employability skills identification. Here the skill of working under pressure is also highlighted. Here it is stated that the response to pressure might be different for individuals as sometimes pressures brings out the best in them and sometimes the opposite. But this needs to be given due importance as challenges, problems, adversities etc may arise in the course of action but the ability to deal with emergencies even though planning were done previously about the performance (</w:t>
      </w:r>
      <w:r>
        <w:rPr>
          <w:rFonts w:cs="Times New Roman" w:ascii="Times New Roman" w:hAnsi="Times New Roman"/>
          <w:color w:val="222222"/>
          <w:sz w:val="24"/>
          <w:szCs w:val="24"/>
          <w:shd w:fill="FFFFFF" w:val="clear"/>
        </w:rPr>
        <w:t>Ryan, 2010)</w:t>
      </w:r>
      <w:r>
        <w:rPr>
          <w:rFonts w:cs="Times New Roman" w:ascii="Times New Roman" w:hAnsi="Times New Roman"/>
          <w:sz w:val="24"/>
          <w:szCs w:val="24"/>
        </w:rPr>
        <w:t>.</w:t>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t>Negotiation Skills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Negotiation might be referred to as just another term</w:t>
      </w:r>
      <w:r>
        <w:rPr>
          <w:rFonts w:cs="Times New Roman" w:ascii="Times New Roman" w:hAnsi="Times New Roman"/>
          <w:b/>
          <w:sz w:val="24"/>
          <w:szCs w:val="24"/>
        </w:rPr>
        <w:t xml:space="preserve"> </w:t>
      </w:r>
      <w:r>
        <w:rPr>
          <w:rFonts w:cs="Times New Roman" w:ascii="Times New Roman" w:hAnsi="Times New Roman"/>
          <w:sz w:val="24"/>
          <w:szCs w:val="24"/>
        </w:rPr>
        <w:t>of</w:t>
      </w:r>
      <w:r>
        <w:rPr>
          <w:rFonts w:cs="Times New Roman" w:ascii="Times New Roman" w:hAnsi="Times New Roman"/>
          <w:b/>
          <w:sz w:val="24"/>
          <w:szCs w:val="24"/>
        </w:rPr>
        <w:t xml:space="preserve"> </w:t>
      </w:r>
      <w:r>
        <w:rPr>
          <w:rFonts w:cs="Times New Roman" w:ascii="Times New Roman" w:hAnsi="Times New Roman"/>
          <w:sz w:val="24"/>
          <w:szCs w:val="24"/>
        </w:rPr>
        <w:t>direct communication but with a different objective. Here, own requisitions are presented along with taking into account the opinions and feelings of the other concerned people. Own views should be presented unemotionally and clearly so that all the objectives can be achieved successfully. Probabilities arise from negotiation which contributes to organizational development. This skill should be considered as employability skill as this gives the workers provision to feel important as their views are given importance for possible implementation (</w:t>
      </w:r>
      <w:r>
        <w:rPr>
          <w:rFonts w:cs="Times New Roman" w:ascii="Times New Roman" w:hAnsi="Times New Roman"/>
          <w:color w:val="222222"/>
          <w:sz w:val="24"/>
          <w:szCs w:val="24"/>
          <w:shd w:fill="FFFFFF" w:val="clear"/>
        </w:rPr>
        <w:t>Deci, 2010)</w:t>
      </w:r>
      <w:r>
        <w:rPr>
          <w:rFonts w:cs="Times New Roman" w:ascii="Times New Roman" w:hAnsi="Times New Roman"/>
          <w:sz w:val="24"/>
          <w:szCs w:val="24"/>
        </w:rPr>
        <w:t>.</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Negotiation Experts presented David Watchel’s article on this and states listening is such a skill that an employee needs to develop as a part of his negotiation skills. 7% verbal communication, 38% vocal tone and 55% body language, according to Dr. Albert Mehrabian of UCLA, constitutes the complete skill (</w:t>
      </w:r>
      <w:r>
        <w:rPr>
          <w:rFonts w:cs="Times New Roman" w:ascii="Times New Roman" w:hAnsi="Times New Roman"/>
          <w:color w:val="222222"/>
          <w:sz w:val="24"/>
          <w:szCs w:val="24"/>
          <w:shd w:fill="FFFFFF" w:val="clear"/>
        </w:rPr>
        <w:t>Perera, 2010)</w:t>
      </w:r>
      <w:r>
        <w:rPr>
          <w:rFonts w:cs="Times New Roman" w:ascii="Times New Roman" w:hAnsi="Times New Roman"/>
          <w:sz w:val="24"/>
          <w:szCs w:val="24"/>
        </w:rPr>
        <w:t>.</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Heading1"/>
        <w:spacing w:lineRule="auto" w:line="360"/>
        <w:jc w:val="both"/>
        <w:rPr>
          <w:rFonts w:ascii="Times New Roman" w:hAnsi="Times New Roman" w:cs="Times New Roman"/>
          <w:sz w:val="24"/>
          <w:szCs w:val="24"/>
        </w:rPr>
      </w:pPr>
      <w:bookmarkStart w:id="3" w:name="_Toc501744940"/>
      <w:bookmarkEnd w:id="3"/>
      <w:r>
        <w:rPr>
          <w:rFonts w:cs="Times New Roman" w:ascii="Times New Roman" w:hAnsi="Times New Roman"/>
          <w:sz w:val="24"/>
          <w:szCs w:val="24"/>
        </w:rPr>
        <w:t>Personal Employability Skills</w:t>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The following table presents the personal skills that I possess for being considered as an eligible employee-</w:t>
      </w:r>
    </w:p>
    <w:tbl>
      <w:tblPr>
        <w:tblStyle w:val="TableGrid"/>
        <w:tblW w:w="9575" w:type="dxa"/>
        <w:jc w:val="left"/>
        <w:tblInd w:w="0" w:type="dxa"/>
        <w:tblCellMar>
          <w:top w:w="0" w:type="dxa"/>
          <w:left w:w="108" w:type="dxa"/>
          <w:bottom w:w="0" w:type="dxa"/>
          <w:right w:w="108" w:type="dxa"/>
        </w:tblCellMar>
        <w:tblLook w:val="04a0"/>
      </w:tblPr>
      <w:tblGrid>
        <w:gridCol w:w="3191"/>
        <w:gridCol w:w="3192"/>
        <w:gridCol w:w="3192"/>
      </w:tblGrid>
      <w:tr>
        <w:trPr/>
        <w:tc>
          <w:tcPr>
            <w:tcW w:w="3191" w:type="dxa"/>
            <w:tcBorders/>
            <w:shd w:color="auto" w:fill="D9D9D9" w:themeFill="background1" w:themeFillShade="d9" w:val="clear"/>
            <w:tcMar>
              <w:left w:w="108" w:type="dxa"/>
            </w:tcMar>
          </w:tcPr>
          <w:p>
            <w:pPr>
              <w:pStyle w:val="Normal"/>
              <w:spacing w:lineRule="auto" w:line="360" w:before="0" w:after="0"/>
              <w:jc w:val="center"/>
              <w:rPr>
                <w:rFonts w:ascii="Times New Roman" w:hAnsi="Times New Roman" w:cs="Times New Roman"/>
                <w:b/>
                <w:b/>
                <w:sz w:val="24"/>
                <w:szCs w:val="24"/>
              </w:rPr>
            </w:pPr>
            <w:r>
              <w:rPr>
                <w:rFonts w:cs="Times New Roman" w:ascii="Times New Roman" w:hAnsi="Times New Roman"/>
                <w:b/>
                <w:sz w:val="24"/>
                <w:szCs w:val="24"/>
              </w:rPr>
              <w:t xml:space="preserve">Skills </w:t>
            </w:r>
          </w:p>
        </w:tc>
        <w:tc>
          <w:tcPr>
            <w:tcW w:w="3192" w:type="dxa"/>
            <w:tcBorders/>
            <w:shd w:color="auto" w:fill="D9D9D9" w:themeFill="background1" w:themeFillShade="d9" w:val="clear"/>
            <w:tcMar>
              <w:left w:w="108" w:type="dxa"/>
            </w:tcMar>
          </w:tcPr>
          <w:p>
            <w:pPr>
              <w:pStyle w:val="Normal"/>
              <w:spacing w:lineRule="auto" w:line="360" w:before="0" w:after="0"/>
              <w:jc w:val="center"/>
              <w:rPr>
                <w:rFonts w:ascii="Times New Roman" w:hAnsi="Times New Roman" w:cs="Times New Roman"/>
                <w:b/>
                <w:b/>
                <w:sz w:val="24"/>
                <w:szCs w:val="24"/>
              </w:rPr>
            </w:pPr>
            <w:r>
              <w:rPr>
                <w:rFonts w:cs="Times New Roman" w:ascii="Times New Roman" w:hAnsi="Times New Roman"/>
                <w:b/>
                <w:sz w:val="24"/>
                <w:szCs w:val="24"/>
              </w:rPr>
              <w:t xml:space="preserve">Present </w:t>
            </w:r>
          </w:p>
        </w:tc>
        <w:tc>
          <w:tcPr>
            <w:tcW w:w="3192" w:type="dxa"/>
            <w:tcBorders/>
            <w:shd w:color="auto" w:fill="D9D9D9" w:themeFill="background1" w:themeFillShade="d9" w:val="clear"/>
            <w:tcMar>
              <w:left w:w="108" w:type="dxa"/>
            </w:tcMar>
          </w:tcPr>
          <w:p>
            <w:pPr>
              <w:pStyle w:val="Normal"/>
              <w:spacing w:lineRule="auto" w:line="360" w:before="0" w:after="0"/>
              <w:jc w:val="center"/>
              <w:rPr>
                <w:rFonts w:ascii="Times New Roman" w:hAnsi="Times New Roman" w:cs="Times New Roman"/>
                <w:b/>
                <w:b/>
                <w:sz w:val="24"/>
                <w:szCs w:val="24"/>
              </w:rPr>
            </w:pPr>
            <w:r>
              <w:rPr>
                <w:rFonts w:cs="Times New Roman" w:ascii="Times New Roman" w:hAnsi="Times New Roman"/>
                <w:b/>
                <w:sz w:val="24"/>
                <w:szCs w:val="24"/>
              </w:rPr>
              <w:t>Acquiring Needed</w:t>
            </w:r>
          </w:p>
        </w:tc>
      </w:tr>
      <w:tr>
        <w:trPr/>
        <w:tc>
          <w:tcPr>
            <w:tcW w:w="3191" w:type="dxa"/>
            <w:tcBorders/>
            <w:shd w:fill="auto" w:val="clear"/>
            <w:tcMar>
              <w:left w:w="108" w:type="dxa"/>
            </w:tcM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Communication and Interpersonal Skills</w:t>
            </w:r>
          </w:p>
        </w:tc>
        <w:tc>
          <w:tcPr>
            <w:tcW w:w="3192" w:type="dxa"/>
            <w:tcBorders/>
            <w:shd w:fill="auto" w:val="clear"/>
            <w:tcMar>
              <w:left w:w="108" w:type="dxa"/>
            </w:tcMar>
          </w:tcPr>
          <w:p>
            <w:pPr>
              <w:pStyle w:val="ListParagraph"/>
              <w:numPr>
                <w:ilvl w:val="0"/>
                <w:numId w:val="1"/>
              </w:numPr>
              <w:spacing w:lineRule="auto" w:line="360" w:before="0" w:after="0"/>
              <w:contextualSpacing/>
              <w:jc w:val="center"/>
              <w:rPr>
                <w:rFonts w:ascii="Times New Roman" w:hAnsi="Times New Roman" w:cs="Times New Roman"/>
                <w:sz w:val="24"/>
                <w:szCs w:val="24"/>
              </w:rPr>
            </w:pPr>
            <w:r>
              <w:rPr>
                <w:rFonts w:cs="Times New Roman" w:ascii="Times New Roman" w:hAnsi="Times New Roman"/>
                <w:sz w:val="24"/>
                <w:szCs w:val="24"/>
              </w:rPr>
            </w:r>
          </w:p>
        </w:tc>
        <w:tc>
          <w:tcPr>
            <w:tcW w:w="3192" w:type="dxa"/>
            <w:tcBorders/>
            <w:shd w:fill="auto" w:val="clear"/>
            <w:tcMar>
              <w:left w:w="108" w:type="dxa"/>
            </w:tcMar>
          </w:tcPr>
          <w:p>
            <w:pPr>
              <w:pStyle w:val="Normal"/>
              <w:spacing w:lineRule="auto" w:line="360" w:before="0" w:after="0"/>
              <w:jc w:val="center"/>
              <w:rPr>
                <w:rFonts w:ascii="Times New Roman" w:hAnsi="Times New Roman" w:cs="Times New Roman"/>
                <w:sz w:val="24"/>
                <w:szCs w:val="24"/>
              </w:rPr>
            </w:pPr>
            <w:r>
              <w:rPr>
                <w:rFonts w:cs="Times New Roman" w:ascii="Times New Roman" w:hAnsi="Times New Roman"/>
                <w:sz w:val="24"/>
                <w:szCs w:val="24"/>
              </w:rPr>
            </w:r>
          </w:p>
        </w:tc>
      </w:tr>
      <w:tr>
        <w:trPr/>
        <w:tc>
          <w:tcPr>
            <w:tcW w:w="3191" w:type="dxa"/>
            <w:tcBorders/>
            <w:shd w:fill="auto" w:val="clear"/>
            <w:tcMar>
              <w:left w:w="108" w:type="dxa"/>
            </w:tcM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Problem Solving</w:t>
            </w:r>
          </w:p>
        </w:tc>
        <w:tc>
          <w:tcPr>
            <w:tcW w:w="3192" w:type="dxa"/>
            <w:tcBorders/>
            <w:shd w:fill="auto" w:val="clear"/>
            <w:tcMar>
              <w:left w:w="108" w:type="dxa"/>
            </w:tcMar>
          </w:tcPr>
          <w:p>
            <w:pPr>
              <w:pStyle w:val="ListParagraph"/>
              <w:numPr>
                <w:ilvl w:val="0"/>
                <w:numId w:val="1"/>
              </w:numPr>
              <w:spacing w:lineRule="auto" w:line="360" w:before="0" w:after="0"/>
              <w:contextualSpacing/>
              <w:jc w:val="center"/>
              <w:rPr>
                <w:rFonts w:ascii="Times New Roman" w:hAnsi="Times New Roman" w:cs="Times New Roman"/>
                <w:sz w:val="24"/>
                <w:szCs w:val="24"/>
              </w:rPr>
            </w:pPr>
            <w:r>
              <w:rPr>
                <w:rFonts w:cs="Times New Roman" w:ascii="Times New Roman" w:hAnsi="Times New Roman"/>
                <w:sz w:val="24"/>
                <w:szCs w:val="24"/>
              </w:rPr>
            </w:r>
          </w:p>
        </w:tc>
        <w:tc>
          <w:tcPr>
            <w:tcW w:w="3192" w:type="dxa"/>
            <w:tcBorders/>
            <w:shd w:fill="auto" w:val="clear"/>
            <w:tcMar>
              <w:left w:w="108" w:type="dxa"/>
            </w:tcMar>
          </w:tcPr>
          <w:p>
            <w:pPr>
              <w:pStyle w:val="Normal"/>
              <w:spacing w:lineRule="auto" w:line="360" w:before="0" w:after="0"/>
              <w:jc w:val="center"/>
              <w:rPr>
                <w:rFonts w:ascii="Times New Roman" w:hAnsi="Times New Roman" w:cs="Times New Roman"/>
                <w:sz w:val="24"/>
                <w:szCs w:val="24"/>
              </w:rPr>
            </w:pPr>
            <w:r>
              <w:rPr>
                <w:rFonts w:cs="Times New Roman" w:ascii="Times New Roman" w:hAnsi="Times New Roman"/>
                <w:sz w:val="24"/>
                <w:szCs w:val="24"/>
              </w:rPr>
            </w:r>
          </w:p>
        </w:tc>
      </w:tr>
      <w:tr>
        <w:trPr/>
        <w:tc>
          <w:tcPr>
            <w:tcW w:w="3191" w:type="dxa"/>
            <w:tcBorders/>
            <w:shd w:fill="auto" w:val="clear"/>
            <w:tcMar>
              <w:left w:w="108" w:type="dxa"/>
            </w:tcM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Using Initiative &amp; Being Self Motivated</w:t>
            </w:r>
          </w:p>
        </w:tc>
        <w:tc>
          <w:tcPr>
            <w:tcW w:w="3192" w:type="dxa"/>
            <w:tcBorders/>
            <w:shd w:fill="auto" w:val="clear"/>
            <w:tcMar>
              <w:left w:w="108" w:type="dxa"/>
            </w:tcMar>
          </w:tcPr>
          <w:p>
            <w:pPr>
              <w:pStyle w:val="ListParagraph"/>
              <w:numPr>
                <w:ilvl w:val="0"/>
                <w:numId w:val="1"/>
              </w:numPr>
              <w:spacing w:lineRule="auto" w:line="360" w:before="0" w:after="0"/>
              <w:contextualSpacing/>
              <w:jc w:val="center"/>
              <w:rPr>
                <w:rFonts w:ascii="Times New Roman" w:hAnsi="Times New Roman" w:cs="Times New Roman"/>
                <w:sz w:val="24"/>
                <w:szCs w:val="24"/>
              </w:rPr>
            </w:pPr>
            <w:r>
              <w:rPr>
                <w:rFonts w:cs="Times New Roman" w:ascii="Times New Roman" w:hAnsi="Times New Roman"/>
                <w:sz w:val="24"/>
                <w:szCs w:val="24"/>
              </w:rPr>
            </w:r>
          </w:p>
        </w:tc>
        <w:tc>
          <w:tcPr>
            <w:tcW w:w="3192" w:type="dxa"/>
            <w:tcBorders/>
            <w:shd w:fill="auto" w:val="clear"/>
            <w:tcMar>
              <w:left w:w="108" w:type="dxa"/>
            </w:tcMar>
          </w:tcPr>
          <w:p>
            <w:pPr>
              <w:pStyle w:val="Normal"/>
              <w:spacing w:lineRule="auto" w:line="360" w:before="0" w:after="0"/>
              <w:jc w:val="center"/>
              <w:rPr>
                <w:rFonts w:ascii="Times New Roman" w:hAnsi="Times New Roman" w:cs="Times New Roman"/>
                <w:sz w:val="24"/>
                <w:szCs w:val="24"/>
              </w:rPr>
            </w:pPr>
            <w:r>
              <w:rPr>
                <w:rFonts w:cs="Times New Roman" w:ascii="Times New Roman" w:hAnsi="Times New Roman"/>
                <w:sz w:val="24"/>
                <w:szCs w:val="24"/>
              </w:rPr>
            </w:r>
          </w:p>
        </w:tc>
      </w:tr>
      <w:tr>
        <w:trPr/>
        <w:tc>
          <w:tcPr>
            <w:tcW w:w="3191" w:type="dxa"/>
            <w:tcBorders/>
            <w:shd w:fill="auto" w:val="clear"/>
            <w:tcMar>
              <w:left w:w="108" w:type="dxa"/>
            </w:tcM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Organizational</w:t>
            </w:r>
          </w:p>
        </w:tc>
        <w:tc>
          <w:tcPr>
            <w:tcW w:w="3192" w:type="dxa"/>
            <w:tcBorders/>
            <w:shd w:fill="auto" w:val="clear"/>
            <w:tcMar>
              <w:left w:w="108" w:type="dxa"/>
            </w:tcMar>
          </w:tcPr>
          <w:p>
            <w:pPr>
              <w:pStyle w:val="ListParagraph"/>
              <w:numPr>
                <w:ilvl w:val="0"/>
                <w:numId w:val="1"/>
              </w:numPr>
              <w:spacing w:lineRule="auto" w:line="360" w:before="0" w:after="0"/>
              <w:contextualSpacing/>
              <w:jc w:val="center"/>
              <w:rPr>
                <w:rFonts w:ascii="Times New Roman" w:hAnsi="Times New Roman" w:cs="Times New Roman"/>
                <w:sz w:val="24"/>
                <w:szCs w:val="24"/>
              </w:rPr>
            </w:pPr>
            <w:r>
              <w:rPr>
                <w:rFonts w:cs="Times New Roman" w:ascii="Times New Roman" w:hAnsi="Times New Roman"/>
                <w:sz w:val="24"/>
                <w:szCs w:val="24"/>
              </w:rPr>
            </w:r>
          </w:p>
        </w:tc>
        <w:tc>
          <w:tcPr>
            <w:tcW w:w="3192" w:type="dxa"/>
            <w:tcBorders/>
            <w:shd w:fill="auto" w:val="clear"/>
            <w:tcMar>
              <w:left w:w="108" w:type="dxa"/>
            </w:tcMar>
          </w:tcPr>
          <w:p>
            <w:pPr>
              <w:pStyle w:val="Normal"/>
              <w:spacing w:lineRule="auto" w:line="360" w:before="0" w:after="0"/>
              <w:jc w:val="center"/>
              <w:rPr>
                <w:rFonts w:ascii="Times New Roman" w:hAnsi="Times New Roman" w:cs="Times New Roman"/>
                <w:sz w:val="24"/>
                <w:szCs w:val="24"/>
              </w:rPr>
            </w:pPr>
            <w:r>
              <w:rPr>
                <w:rFonts w:cs="Times New Roman" w:ascii="Times New Roman" w:hAnsi="Times New Roman"/>
                <w:sz w:val="24"/>
                <w:szCs w:val="24"/>
              </w:rPr>
            </w:r>
          </w:p>
        </w:tc>
      </w:tr>
      <w:tr>
        <w:trPr/>
        <w:tc>
          <w:tcPr>
            <w:tcW w:w="3191" w:type="dxa"/>
            <w:tcBorders/>
            <w:shd w:fill="auto" w:val="clear"/>
            <w:tcMar>
              <w:left w:w="108" w:type="dxa"/>
            </w:tcM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Teamwork</w:t>
            </w:r>
          </w:p>
        </w:tc>
        <w:tc>
          <w:tcPr>
            <w:tcW w:w="3192" w:type="dxa"/>
            <w:tcBorders/>
            <w:shd w:fill="auto" w:val="clear"/>
            <w:tcMar>
              <w:left w:w="108" w:type="dxa"/>
            </w:tcMar>
          </w:tcPr>
          <w:p>
            <w:pPr>
              <w:pStyle w:val="Normal"/>
              <w:spacing w:lineRule="auto" w:line="360" w:before="0" w:after="0"/>
              <w:jc w:val="center"/>
              <w:rPr>
                <w:rFonts w:ascii="Times New Roman" w:hAnsi="Times New Roman" w:cs="Times New Roman"/>
                <w:sz w:val="24"/>
                <w:szCs w:val="24"/>
              </w:rPr>
            </w:pPr>
            <w:r>
              <w:rPr>
                <w:rFonts w:cs="Times New Roman" w:ascii="Times New Roman" w:hAnsi="Times New Roman"/>
                <w:sz w:val="24"/>
                <w:szCs w:val="24"/>
              </w:rPr>
            </w:r>
          </w:p>
        </w:tc>
        <w:tc>
          <w:tcPr>
            <w:tcW w:w="3192" w:type="dxa"/>
            <w:tcBorders/>
            <w:shd w:fill="auto" w:val="clear"/>
            <w:tcMar>
              <w:left w:w="108" w:type="dxa"/>
            </w:tcMar>
          </w:tcPr>
          <w:p>
            <w:pPr>
              <w:pStyle w:val="ListParagraph"/>
              <w:numPr>
                <w:ilvl w:val="0"/>
                <w:numId w:val="1"/>
              </w:numPr>
              <w:spacing w:lineRule="auto" w:line="360" w:before="0" w:after="0"/>
              <w:contextualSpacing/>
              <w:jc w:val="center"/>
              <w:rPr>
                <w:rFonts w:ascii="Times New Roman" w:hAnsi="Times New Roman" w:cs="Times New Roman"/>
                <w:sz w:val="24"/>
                <w:szCs w:val="24"/>
              </w:rPr>
            </w:pPr>
            <w:r>
              <w:rPr>
                <w:rFonts w:cs="Times New Roman" w:ascii="Times New Roman" w:hAnsi="Times New Roman"/>
                <w:sz w:val="24"/>
                <w:szCs w:val="24"/>
              </w:rPr>
            </w:r>
          </w:p>
        </w:tc>
      </w:tr>
      <w:tr>
        <w:trPr/>
        <w:tc>
          <w:tcPr>
            <w:tcW w:w="3191" w:type="dxa"/>
            <w:tcBorders/>
            <w:shd w:fill="auto" w:val="clear"/>
            <w:tcMar>
              <w:left w:w="108" w:type="dxa"/>
            </w:tcM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Learning and Adaptability</w:t>
            </w:r>
          </w:p>
        </w:tc>
        <w:tc>
          <w:tcPr>
            <w:tcW w:w="3192" w:type="dxa"/>
            <w:tcBorders/>
            <w:shd w:fill="auto" w:val="clear"/>
            <w:tcMar>
              <w:left w:w="108" w:type="dxa"/>
            </w:tcMar>
          </w:tcPr>
          <w:p>
            <w:pPr>
              <w:pStyle w:val="ListParagraph"/>
              <w:numPr>
                <w:ilvl w:val="0"/>
                <w:numId w:val="1"/>
              </w:numPr>
              <w:spacing w:lineRule="auto" w:line="360" w:before="0" w:after="0"/>
              <w:contextualSpacing/>
              <w:jc w:val="center"/>
              <w:rPr>
                <w:rFonts w:ascii="Times New Roman" w:hAnsi="Times New Roman" w:cs="Times New Roman"/>
                <w:sz w:val="24"/>
                <w:szCs w:val="24"/>
              </w:rPr>
            </w:pPr>
            <w:r>
              <w:rPr>
                <w:rFonts w:cs="Times New Roman" w:ascii="Times New Roman" w:hAnsi="Times New Roman"/>
                <w:sz w:val="24"/>
                <w:szCs w:val="24"/>
              </w:rPr>
            </w:r>
          </w:p>
        </w:tc>
        <w:tc>
          <w:tcPr>
            <w:tcW w:w="3192" w:type="dxa"/>
            <w:tcBorders/>
            <w:shd w:fill="auto" w:val="clear"/>
            <w:tcMar>
              <w:left w:w="108" w:type="dxa"/>
            </w:tcMar>
          </w:tcPr>
          <w:p>
            <w:pPr>
              <w:pStyle w:val="Normal"/>
              <w:spacing w:lineRule="auto" w:line="360" w:before="0" w:after="0"/>
              <w:jc w:val="center"/>
              <w:rPr>
                <w:rFonts w:ascii="Times New Roman" w:hAnsi="Times New Roman" w:cs="Times New Roman"/>
                <w:sz w:val="24"/>
                <w:szCs w:val="24"/>
              </w:rPr>
            </w:pPr>
            <w:r>
              <w:rPr>
                <w:rFonts w:cs="Times New Roman" w:ascii="Times New Roman" w:hAnsi="Times New Roman"/>
                <w:sz w:val="24"/>
                <w:szCs w:val="24"/>
              </w:rPr>
            </w:r>
          </w:p>
        </w:tc>
      </w:tr>
      <w:tr>
        <w:trPr/>
        <w:tc>
          <w:tcPr>
            <w:tcW w:w="3191" w:type="dxa"/>
            <w:tcBorders/>
            <w:shd w:fill="auto" w:val="clear"/>
            <w:tcMar>
              <w:left w:w="108" w:type="dxa"/>
            </w:tcM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Numeracy</w:t>
            </w:r>
          </w:p>
        </w:tc>
        <w:tc>
          <w:tcPr>
            <w:tcW w:w="3192" w:type="dxa"/>
            <w:tcBorders/>
            <w:shd w:fill="auto" w:val="clear"/>
            <w:tcMar>
              <w:left w:w="108" w:type="dxa"/>
            </w:tcMar>
          </w:tcPr>
          <w:p>
            <w:pPr>
              <w:pStyle w:val="Normal"/>
              <w:spacing w:lineRule="auto" w:line="360" w:before="0" w:after="0"/>
              <w:jc w:val="center"/>
              <w:rPr>
                <w:rFonts w:ascii="Times New Roman" w:hAnsi="Times New Roman" w:cs="Times New Roman"/>
                <w:sz w:val="24"/>
                <w:szCs w:val="24"/>
              </w:rPr>
            </w:pPr>
            <w:r>
              <w:rPr>
                <w:rFonts w:cs="Times New Roman" w:ascii="Times New Roman" w:hAnsi="Times New Roman"/>
                <w:sz w:val="24"/>
                <w:szCs w:val="24"/>
              </w:rPr>
            </w:r>
          </w:p>
        </w:tc>
        <w:tc>
          <w:tcPr>
            <w:tcW w:w="3192" w:type="dxa"/>
            <w:tcBorders/>
            <w:shd w:fill="auto" w:val="clear"/>
            <w:tcMar>
              <w:left w:w="108" w:type="dxa"/>
            </w:tcMar>
          </w:tcPr>
          <w:p>
            <w:pPr>
              <w:pStyle w:val="ListParagraph"/>
              <w:numPr>
                <w:ilvl w:val="0"/>
                <w:numId w:val="1"/>
              </w:numPr>
              <w:spacing w:lineRule="auto" w:line="360" w:before="0" w:after="0"/>
              <w:contextualSpacing/>
              <w:jc w:val="center"/>
              <w:rPr>
                <w:rFonts w:ascii="Times New Roman" w:hAnsi="Times New Roman" w:cs="Times New Roman"/>
                <w:sz w:val="24"/>
                <w:szCs w:val="24"/>
              </w:rPr>
            </w:pPr>
            <w:r>
              <w:rPr>
                <w:rFonts w:cs="Times New Roman" w:ascii="Times New Roman" w:hAnsi="Times New Roman"/>
                <w:sz w:val="24"/>
                <w:szCs w:val="24"/>
              </w:rPr>
            </w:r>
          </w:p>
        </w:tc>
      </w:tr>
      <w:tr>
        <w:trPr/>
        <w:tc>
          <w:tcPr>
            <w:tcW w:w="3191" w:type="dxa"/>
            <w:tcBorders/>
            <w:shd w:fill="auto" w:val="clear"/>
            <w:tcMar>
              <w:left w:w="108" w:type="dxa"/>
            </w:tcM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Working under Pressure</w:t>
            </w:r>
          </w:p>
        </w:tc>
        <w:tc>
          <w:tcPr>
            <w:tcW w:w="3192" w:type="dxa"/>
            <w:tcBorders/>
            <w:shd w:fill="auto" w:val="clear"/>
            <w:tcMar>
              <w:left w:w="108" w:type="dxa"/>
            </w:tcMar>
          </w:tcPr>
          <w:p>
            <w:pPr>
              <w:pStyle w:val="Normal"/>
              <w:spacing w:lineRule="auto" w:line="360" w:before="0" w:after="0"/>
              <w:jc w:val="center"/>
              <w:rPr>
                <w:rFonts w:ascii="Times New Roman" w:hAnsi="Times New Roman" w:cs="Times New Roman"/>
                <w:sz w:val="24"/>
                <w:szCs w:val="24"/>
              </w:rPr>
            </w:pPr>
            <w:r>
              <w:rPr>
                <w:rFonts w:cs="Times New Roman" w:ascii="Times New Roman" w:hAnsi="Times New Roman"/>
                <w:sz w:val="24"/>
                <w:szCs w:val="24"/>
              </w:rPr>
            </w:r>
          </w:p>
        </w:tc>
        <w:tc>
          <w:tcPr>
            <w:tcW w:w="3192" w:type="dxa"/>
            <w:tcBorders/>
            <w:shd w:fill="auto" w:val="clear"/>
            <w:tcMar>
              <w:left w:w="108" w:type="dxa"/>
            </w:tcMar>
          </w:tcPr>
          <w:p>
            <w:pPr>
              <w:pStyle w:val="ListParagraph"/>
              <w:numPr>
                <w:ilvl w:val="0"/>
                <w:numId w:val="1"/>
              </w:numPr>
              <w:spacing w:lineRule="auto" w:line="360" w:before="0" w:after="0"/>
              <w:contextualSpacing/>
              <w:jc w:val="center"/>
              <w:rPr>
                <w:rFonts w:ascii="Times New Roman" w:hAnsi="Times New Roman" w:cs="Times New Roman"/>
                <w:sz w:val="24"/>
                <w:szCs w:val="24"/>
              </w:rPr>
            </w:pPr>
            <w:r>
              <w:rPr>
                <w:rFonts w:cs="Times New Roman" w:ascii="Times New Roman" w:hAnsi="Times New Roman"/>
                <w:sz w:val="24"/>
                <w:szCs w:val="24"/>
              </w:rPr>
            </w:r>
          </w:p>
        </w:tc>
      </w:tr>
      <w:tr>
        <w:trPr/>
        <w:tc>
          <w:tcPr>
            <w:tcW w:w="3191" w:type="dxa"/>
            <w:tcBorders/>
            <w:shd w:fill="auto" w:val="clear"/>
            <w:tcMar>
              <w:left w:w="108" w:type="dxa"/>
            </w:tcMar>
          </w:tcPr>
          <w:p>
            <w:pPr>
              <w:pStyle w:val="Normal"/>
              <w:spacing w:lineRule="auto" w:line="360" w:before="0" w:after="0"/>
              <w:jc w:val="both"/>
              <w:rPr>
                <w:rFonts w:ascii="Times New Roman" w:hAnsi="Times New Roman" w:cs="Times New Roman"/>
                <w:sz w:val="24"/>
                <w:szCs w:val="24"/>
              </w:rPr>
            </w:pPr>
            <w:r>
              <w:rPr>
                <w:rFonts w:cs="Times New Roman" w:ascii="Times New Roman" w:hAnsi="Times New Roman"/>
                <w:sz w:val="24"/>
                <w:szCs w:val="24"/>
              </w:rPr>
              <w:t xml:space="preserve">Negotiation </w:t>
            </w:r>
          </w:p>
        </w:tc>
        <w:tc>
          <w:tcPr>
            <w:tcW w:w="3192" w:type="dxa"/>
            <w:tcBorders/>
            <w:shd w:fill="auto" w:val="clear"/>
            <w:tcMar>
              <w:left w:w="108" w:type="dxa"/>
            </w:tcMar>
          </w:tcPr>
          <w:p>
            <w:pPr>
              <w:pStyle w:val="Normal"/>
              <w:spacing w:lineRule="auto" w:line="360" w:before="0" w:after="0"/>
              <w:jc w:val="center"/>
              <w:rPr>
                <w:rFonts w:ascii="Times New Roman" w:hAnsi="Times New Roman" w:cs="Times New Roman"/>
                <w:sz w:val="24"/>
                <w:szCs w:val="24"/>
              </w:rPr>
            </w:pPr>
            <w:r>
              <w:rPr>
                <w:rFonts w:cs="Times New Roman" w:ascii="Times New Roman" w:hAnsi="Times New Roman"/>
                <w:sz w:val="24"/>
                <w:szCs w:val="24"/>
              </w:rPr>
            </w:r>
          </w:p>
        </w:tc>
        <w:tc>
          <w:tcPr>
            <w:tcW w:w="3192" w:type="dxa"/>
            <w:tcBorders/>
            <w:shd w:fill="auto" w:val="clear"/>
            <w:tcMar>
              <w:left w:w="108" w:type="dxa"/>
            </w:tcMar>
          </w:tcPr>
          <w:p>
            <w:pPr>
              <w:pStyle w:val="ListParagraph"/>
              <w:numPr>
                <w:ilvl w:val="0"/>
                <w:numId w:val="1"/>
              </w:numPr>
              <w:spacing w:lineRule="auto" w:line="360" w:before="0" w:after="0"/>
              <w:contextualSpacing/>
              <w:jc w:val="center"/>
              <w:rPr>
                <w:rFonts w:ascii="Times New Roman" w:hAnsi="Times New Roman" w:cs="Times New Roman"/>
                <w:sz w:val="24"/>
                <w:szCs w:val="24"/>
              </w:rPr>
            </w:pPr>
            <w:r>
              <w:rPr>
                <w:rFonts w:cs="Times New Roman" w:ascii="Times New Roman" w:hAnsi="Times New Roman"/>
                <w:sz w:val="24"/>
                <w:szCs w:val="24"/>
              </w:rPr>
            </w:r>
          </w:p>
        </w:tc>
      </w:tr>
    </w:tbl>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Heading1"/>
        <w:spacing w:lineRule="auto" w:line="360"/>
        <w:jc w:val="both"/>
        <w:rPr>
          <w:rFonts w:ascii="Times New Roman" w:hAnsi="Times New Roman" w:cs="Times New Roman"/>
          <w:sz w:val="24"/>
          <w:szCs w:val="24"/>
        </w:rPr>
      </w:pPr>
      <w:bookmarkStart w:id="4" w:name="_Toc501744941"/>
      <w:r>
        <w:rPr>
          <w:rFonts w:cs="Times New Roman" w:ascii="Times New Roman" w:hAnsi="Times New Roman"/>
          <w:sz w:val="24"/>
          <w:szCs w:val="24"/>
        </w:rPr>
        <w:t>Conclusion</w:t>
      </w:r>
      <w:bookmarkEnd w:id="4"/>
      <w:r>
        <w:rPr>
          <w:rFonts w:cs="Times New Roman" w:ascii="Times New Roman" w:hAnsi="Times New Roman"/>
          <w:sz w:val="24"/>
          <w:szCs w:val="24"/>
        </w:rPr>
        <w:t xml:space="preserve">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The given assignment gives the opportunity to analyze various employability skills that would help an individual to be more eligible to be employed at an organization irrespective of the field of action. Works of scholars are evaluated here so that better insight is gained about it. Achieving these skills by prolong practice and training would make an individual more developed personally and professionally. Reflective mode of presentation is also used here. Thus the perspective of an employer is judged by the skills that individuals need to develop to be called a successful employee (</w:t>
      </w:r>
      <w:r>
        <w:rPr>
          <w:rFonts w:cs="Times New Roman" w:ascii="Times New Roman" w:hAnsi="Times New Roman"/>
          <w:color w:val="222222"/>
          <w:sz w:val="24"/>
          <w:szCs w:val="24"/>
          <w:shd w:fill="FFFFFF" w:val="clear"/>
        </w:rPr>
        <w:t>Moss, 2012)</w:t>
      </w:r>
      <w:r>
        <w:rPr>
          <w:rFonts w:cs="Times New Roman" w:ascii="Times New Roman" w:hAnsi="Times New Roman"/>
          <w:sz w:val="24"/>
          <w:szCs w:val="24"/>
        </w:rPr>
        <w:t>.</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Heading1"/>
        <w:spacing w:lineRule="auto" w:line="360"/>
        <w:jc w:val="both"/>
        <w:rPr>
          <w:rFonts w:ascii="Times New Roman" w:hAnsi="Times New Roman" w:cs="Times New Roman"/>
          <w:sz w:val="24"/>
          <w:szCs w:val="24"/>
        </w:rPr>
      </w:pPr>
      <w:bookmarkStart w:id="5" w:name="_Toc501744942"/>
      <w:r>
        <w:rPr>
          <w:rFonts w:cs="Times New Roman" w:ascii="Times New Roman" w:hAnsi="Times New Roman"/>
          <w:sz w:val="24"/>
          <w:szCs w:val="24"/>
        </w:rPr>
        <w:t>Reference</w:t>
      </w:r>
      <w:bookmarkEnd w:id="5"/>
      <w:r>
        <w:rPr>
          <w:rFonts w:cs="Times New Roman" w:ascii="Times New Roman" w:hAnsi="Times New Roman"/>
          <w:sz w:val="24"/>
          <w:szCs w:val="24"/>
        </w:rPr>
        <w:t xml:space="preserve">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rFonts w:ascii="Arial" w:hAnsi="Arial" w:cs="Arial"/>
          <w:color w:val="222222"/>
          <w:sz w:val="20"/>
          <w:szCs w:val="20"/>
          <w:highlight w:val="white"/>
        </w:rPr>
      </w:pPr>
      <w:r>
        <w:rPr>
          <w:rFonts w:cs="Arial" w:ascii="Arial" w:hAnsi="Arial"/>
          <w:color w:val="222222"/>
          <w:sz w:val="20"/>
          <w:szCs w:val="20"/>
          <w:shd w:fill="FFFFFF" w:val="clear"/>
        </w:rPr>
        <w:t>Conrad, D. and Newberry, R., 2012. Identification and instruction of important business communication skills for graduate business education. </w:t>
      </w:r>
      <w:r>
        <w:rPr>
          <w:rFonts w:cs="Arial" w:ascii="Arial" w:hAnsi="Arial"/>
          <w:i/>
          <w:iCs/>
          <w:color w:val="222222"/>
          <w:sz w:val="20"/>
          <w:szCs w:val="20"/>
          <w:shd w:fill="FFFFFF" w:val="clear"/>
        </w:rPr>
        <w:t>Journal of Education for Business</w:t>
      </w:r>
    </w:p>
    <w:p>
      <w:pPr>
        <w:pStyle w:val="Normal"/>
        <w:spacing w:lineRule="auto" w:line="360"/>
        <w:jc w:val="both"/>
        <w:rPr>
          <w:rFonts w:ascii="Arial" w:hAnsi="Arial" w:cs="Arial"/>
          <w:color w:val="222222"/>
          <w:sz w:val="20"/>
          <w:szCs w:val="20"/>
          <w:highlight w:val="white"/>
        </w:rPr>
      </w:pPr>
      <w:r>
        <w:rPr>
          <w:rFonts w:cs="Arial" w:ascii="Arial" w:hAnsi="Arial"/>
          <w:color w:val="222222"/>
          <w:sz w:val="20"/>
          <w:szCs w:val="20"/>
          <w:shd w:fill="FFFFFF" w:val="clear"/>
        </w:rPr>
        <w:t>Durrani, N. and Tariq, V.N., 2012. The role of numeracy skills in graduate employability. </w:t>
      </w:r>
      <w:r>
        <w:rPr>
          <w:rFonts w:cs="Arial" w:ascii="Arial" w:hAnsi="Arial"/>
          <w:i/>
          <w:iCs/>
          <w:color w:val="222222"/>
          <w:sz w:val="20"/>
          <w:szCs w:val="20"/>
          <w:shd w:fill="FFFFFF" w:val="clear"/>
        </w:rPr>
        <w:t>Education+ Training</w:t>
      </w:r>
    </w:p>
    <w:p>
      <w:pPr>
        <w:pStyle w:val="Normal"/>
        <w:spacing w:lineRule="auto" w:line="360"/>
        <w:jc w:val="both"/>
        <w:rPr>
          <w:rFonts w:ascii="Arial" w:hAnsi="Arial" w:cs="Arial"/>
          <w:color w:val="222222"/>
          <w:sz w:val="20"/>
          <w:szCs w:val="20"/>
          <w:highlight w:val="white"/>
        </w:rPr>
      </w:pPr>
      <w:r>
        <w:rPr>
          <w:rFonts w:cs="Arial" w:ascii="Arial" w:hAnsi="Arial"/>
          <w:color w:val="222222"/>
          <w:sz w:val="20"/>
          <w:szCs w:val="20"/>
          <w:shd w:fill="FFFFFF" w:val="clear"/>
        </w:rPr>
        <w:t>Felstead, A., Gallie, D., Green, F. and Zhou, Y., 2010. Employee involvement, the quality of training and the learning environment: an individual level analysis. </w:t>
      </w:r>
      <w:r>
        <w:rPr>
          <w:rFonts w:cs="Arial" w:ascii="Arial" w:hAnsi="Arial"/>
          <w:i/>
          <w:iCs/>
          <w:color w:val="222222"/>
          <w:sz w:val="20"/>
          <w:szCs w:val="20"/>
          <w:shd w:fill="FFFFFF" w:val="clear"/>
        </w:rPr>
        <w:t>The International Journal of Human Resource Management</w:t>
      </w:r>
    </w:p>
    <w:p>
      <w:pPr>
        <w:pStyle w:val="Normal"/>
        <w:spacing w:lineRule="auto" w:line="360"/>
        <w:jc w:val="both"/>
        <w:rPr>
          <w:rFonts w:ascii="Arial" w:hAnsi="Arial" w:cs="Arial"/>
          <w:color w:val="222222"/>
          <w:sz w:val="20"/>
          <w:szCs w:val="20"/>
          <w:highlight w:val="white"/>
        </w:rPr>
      </w:pPr>
      <w:r>
        <w:rPr>
          <w:rFonts w:cs="Arial" w:ascii="Arial" w:hAnsi="Arial"/>
          <w:color w:val="222222"/>
          <w:sz w:val="20"/>
          <w:szCs w:val="20"/>
          <w:shd w:fill="FFFFFF" w:val="clear"/>
        </w:rPr>
        <w:t>Westli, H.K., Johnsen, B.H., Eid, J., Rasten, I. and Brattebø, G., 2010. Teamwork skills, shared mental models, and performance in simulated trauma teams: an independent group design. </w:t>
      </w:r>
      <w:r>
        <w:rPr>
          <w:rFonts w:cs="Arial" w:ascii="Arial" w:hAnsi="Arial"/>
          <w:i/>
          <w:iCs/>
          <w:color w:val="222222"/>
          <w:sz w:val="20"/>
          <w:szCs w:val="20"/>
          <w:shd w:fill="FFFFFF" w:val="clear"/>
        </w:rPr>
        <w:t>Scandinavian journal of trauma, resuscitation and emergency medicine</w:t>
      </w:r>
    </w:p>
    <w:p>
      <w:pPr>
        <w:pStyle w:val="Normal"/>
        <w:spacing w:lineRule="auto" w:line="360"/>
        <w:jc w:val="both"/>
        <w:rPr>
          <w:rFonts w:ascii="Arial" w:hAnsi="Arial" w:cs="Arial"/>
          <w:color w:val="222222"/>
          <w:sz w:val="20"/>
          <w:szCs w:val="20"/>
          <w:highlight w:val="white"/>
        </w:rPr>
      </w:pPr>
      <w:r>
        <w:rPr>
          <w:rFonts w:cs="Arial" w:ascii="Arial" w:hAnsi="Arial"/>
          <w:color w:val="222222"/>
          <w:sz w:val="20"/>
          <w:szCs w:val="20"/>
          <w:shd w:fill="FFFFFF" w:val="clear"/>
        </w:rPr>
        <w:t>Deci, E.L. and Ryan, R.M., 2010. </w:t>
      </w:r>
      <w:r>
        <w:rPr>
          <w:rFonts w:cs="Arial" w:ascii="Arial" w:hAnsi="Arial"/>
          <w:i/>
          <w:iCs/>
          <w:color w:val="222222"/>
          <w:sz w:val="20"/>
          <w:szCs w:val="20"/>
          <w:shd w:fill="FFFFFF" w:val="clear"/>
        </w:rPr>
        <w:t>Self</w:t>
      </w:r>
      <w:r>
        <w:rPr>
          <w:rFonts w:cs="Cambria Math" w:ascii="Cambria Math" w:hAnsi="Cambria Math"/>
          <w:i/>
          <w:iCs/>
          <w:color w:val="222222"/>
          <w:sz w:val="20"/>
          <w:szCs w:val="20"/>
          <w:shd w:fill="FFFFFF" w:val="clear"/>
        </w:rPr>
        <w:t>‐</w:t>
      </w:r>
      <w:r>
        <w:rPr>
          <w:rFonts w:cs="Arial" w:ascii="Arial" w:hAnsi="Arial"/>
          <w:i/>
          <w:iCs/>
          <w:color w:val="222222"/>
          <w:sz w:val="20"/>
          <w:szCs w:val="20"/>
          <w:shd w:fill="FFFFFF" w:val="clear"/>
        </w:rPr>
        <w:t>determination</w:t>
      </w:r>
      <w:r>
        <w:rPr>
          <w:rFonts w:cs="Arial" w:ascii="Arial" w:hAnsi="Arial"/>
          <w:color w:val="222222"/>
          <w:sz w:val="20"/>
          <w:szCs w:val="20"/>
          <w:shd w:fill="FFFFFF" w:val="clear"/>
        </w:rPr>
        <w:t>. John Wiley &amp; Sons, Inc..</w:t>
      </w:r>
    </w:p>
    <w:p>
      <w:pPr>
        <w:pStyle w:val="Normal"/>
        <w:spacing w:lineRule="auto" w:line="360"/>
        <w:jc w:val="both"/>
        <w:rPr>
          <w:rFonts w:ascii="Arial" w:hAnsi="Arial" w:cs="Arial"/>
          <w:color w:val="222222"/>
          <w:sz w:val="20"/>
          <w:szCs w:val="20"/>
          <w:highlight w:val="white"/>
        </w:rPr>
      </w:pPr>
      <w:r>
        <w:rPr>
          <w:rFonts w:cs="Arial" w:ascii="Arial" w:hAnsi="Arial"/>
          <w:color w:val="222222"/>
          <w:sz w:val="20"/>
          <w:szCs w:val="20"/>
          <w:shd w:fill="FFFFFF" w:val="clear"/>
        </w:rPr>
        <w:t>Schunk, D.H. and Zimmerman, B.J. eds., 2012. </w:t>
      </w:r>
      <w:r>
        <w:rPr>
          <w:rFonts w:cs="Arial" w:ascii="Arial" w:hAnsi="Arial"/>
          <w:i/>
          <w:iCs/>
          <w:color w:val="222222"/>
          <w:sz w:val="20"/>
          <w:szCs w:val="20"/>
          <w:shd w:fill="FFFFFF" w:val="clear"/>
        </w:rPr>
        <w:t>Motivation and self-regulated learning: Theory, research, and applications</w:t>
      </w:r>
      <w:r>
        <w:rPr>
          <w:rFonts w:cs="Arial" w:ascii="Arial" w:hAnsi="Arial"/>
          <w:color w:val="222222"/>
          <w:sz w:val="20"/>
          <w:szCs w:val="20"/>
          <w:shd w:fill="FFFFFF" w:val="clear"/>
        </w:rPr>
        <w:t>. Routledge.</w:t>
      </w:r>
    </w:p>
    <w:p>
      <w:pPr>
        <w:pStyle w:val="Normal"/>
        <w:spacing w:lineRule="auto" w:line="360"/>
        <w:jc w:val="both"/>
        <w:rPr>
          <w:rFonts w:ascii="Arial" w:hAnsi="Arial" w:cs="Arial"/>
          <w:color w:val="222222"/>
          <w:sz w:val="20"/>
          <w:szCs w:val="20"/>
          <w:highlight w:val="white"/>
        </w:rPr>
      </w:pPr>
      <w:r>
        <w:rPr>
          <w:rFonts w:cs="Arial" w:ascii="Arial" w:hAnsi="Arial"/>
          <w:color w:val="222222"/>
          <w:sz w:val="20"/>
          <w:szCs w:val="20"/>
          <w:shd w:fill="FFFFFF" w:val="clear"/>
        </w:rPr>
        <w:t>Certo, S., 2015. </w:t>
      </w:r>
      <w:r>
        <w:rPr>
          <w:rFonts w:cs="Arial" w:ascii="Arial" w:hAnsi="Arial"/>
          <w:i/>
          <w:iCs/>
          <w:color w:val="222222"/>
          <w:sz w:val="20"/>
          <w:szCs w:val="20"/>
          <w:shd w:fill="FFFFFF" w:val="clear"/>
        </w:rPr>
        <w:t>Supervision: Concepts and skill-building</w:t>
      </w:r>
      <w:r>
        <w:rPr>
          <w:rFonts w:cs="Arial" w:ascii="Arial" w:hAnsi="Arial"/>
          <w:color w:val="222222"/>
          <w:sz w:val="20"/>
          <w:szCs w:val="20"/>
          <w:shd w:fill="FFFFFF" w:val="clear"/>
        </w:rPr>
        <w:t>. McGraw-Hill Higher Education.</w:t>
      </w:r>
    </w:p>
    <w:p>
      <w:pPr>
        <w:pStyle w:val="Normal"/>
        <w:spacing w:lineRule="auto" w:line="360"/>
        <w:jc w:val="both"/>
        <w:rPr>
          <w:rFonts w:ascii="Arial" w:hAnsi="Arial" w:cs="Arial"/>
          <w:color w:val="222222"/>
          <w:sz w:val="20"/>
          <w:szCs w:val="20"/>
          <w:highlight w:val="white"/>
        </w:rPr>
      </w:pPr>
      <w:r>
        <w:rPr>
          <w:rFonts w:cs="Arial" w:ascii="Arial" w:hAnsi="Arial"/>
          <w:color w:val="222222"/>
          <w:sz w:val="20"/>
          <w:szCs w:val="20"/>
          <w:shd w:fill="FFFFFF" w:val="clear"/>
        </w:rPr>
        <w:t>Whimbey, A., Lochhead, J. and Narode, R., 2013. </w:t>
      </w:r>
      <w:r>
        <w:rPr>
          <w:rFonts w:cs="Arial" w:ascii="Arial" w:hAnsi="Arial"/>
          <w:i/>
          <w:iCs/>
          <w:color w:val="222222"/>
          <w:sz w:val="20"/>
          <w:szCs w:val="20"/>
          <w:shd w:fill="FFFFFF" w:val="clear"/>
        </w:rPr>
        <w:t>Problem solving &amp; comprehension</w:t>
      </w:r>
      <w:r>
        <w:rPr>
          <w:rFonts w:cs="Arial" w:ascii="Arial" w:hAnsi="Arial"/>
          <w:color w:val="222222"/>
          <w:sz w:val="20"/>
          <w:szCs w:val="20"/>
          <w:shd w:fill="FFFFFF" w:val="clear"/>
        </w:rPr>
        <w:t>. Routledge.</w:t>
      </w:r>
    </w:p>
    <w:p>
      <w:pPr>
        <w:pStyle w:val="Normal"/>
        <w:spacing w:lineRule="auto" w:line="360"/>
        <w:jc w:val="both"/>
        <w:rPr>
          <w:rFonts w:ascii="Arial" w:hAnsi="Arial" w:cs="Arial"/>
          <w:color w:val="222222"/>
          <w:sz w:val="20"/>
          <w:szCs w:val="20"/>
          <w:highlight w:val="white"/>
        </w:rPr>
      </w:pPr>
      <w:r>
        <w:rPr>
          <w:rFonts w:cs="Arial" w:ascii="Arial" w:hAnsi="Arial"/>
          <w:color w:val="222222"/>
          <w:sz w:val="20"/>
          <w:szCs w:val="20"/>
          <w:shd w:fill="FFFFFF" w:val="clear"/>
        </w:rPr>
        <w:t>Pavord, E. and Donnelly, E., 2015. </w:t>
      </w:r>
      <w:r>
        <w:rPr>
          <w:rFonts w:cs="Arial" w:ascii="Arial" w:hAnsi="Arial"/>
          <w:i/>
          <w:iCs/>
          <w:color w:val="222222"/>
          <w:sz w:val="20"/>
          <w:szCs w:val="20"/>
          <w:shd w:fill="FFFFFF" w:val="clear"/>
        </w:rPr>
        <w:t>Communication and Interpersonal Skills</w:t>
      </w:r>
      <w:r>
        <w:rPr>
          <w:rFonts w:cs="Arial" w:ascii="Arial" w:hAnsi="Arial"/>
          <w:color w:val="222222"/>
          <w:sz w:val="20"/>
          <w:szCs w:val="20"/>
          <w:shd w:fill="FFFFFF" w:val="clear"/>
        </w:rPr>
        <w:t>. Lantern Publishing.</w:t>
      </w:r>
    </w:p>
    <w:p>
      <w:pPr>
        <w:pStyle w:val="Normal"/>
        <w:spacing w:lineRule="auto" w:line="360"/>
        <w:jc w:val="both"/>
        <w:rPr>
          <w:rFonts w:ascii="Arial" w:hAnsi="Arial" w:cs="Arial"/>
          <w:color w:val="222222"/>
          <w:sz w:val="20"/>
          <w:szCs w:val="20"/>
          <w:highlight w:val="white"/>
        </w:rPr>
      </w:pPr>
      <w:r>
        <w:rPr>
          <w:rFonts w:cs="Arial" w:ascii="Arial" w:hAnsi="Arial"/>
          <w:color w:val="222222"/>
          <w:sz w:val="20"/>
          <w:szCs w:val="20"/>
          <w:shd w:fill="FFFFFF" w:val="clear"/>
        </w:rPr>
        <w:t>Lichtstein, D.M., COMMUNICATION AND INTERPERSONAL SKILLS.</w:t>
      </w:r>
    </w:p>
    <w:p>
      <w:pPr>
        <w:pStyle w:val="Normal"/>
        <w:spacing w:lineRule="auto" w:line="360"/>
        <w:jc w:val="both"/>
        <w:rPr>
          <w:rFonts w:ascii="Arial" w:hAnsi="Arial" w:cs="Arial"/>
          <w:color w:val="222222"/>
          <w:sz w:val="20"/>
          <w:szCs w:val="20"/>
          <w:highlight w:val="white"/>
        </w:rPr>
      </w:pPr>
      <w:r>
        <w:rPr>
          <w:rFonts w:cs="Arial" w:ascii="Arial" w:hAnsi="Arial"/>
          <w:color w:val="222222"/>
          <w:sz w:val="20"/>
          <w:szCs w:val="20"/>
          <w:shd w:fill="FFFFFF" w:val="clear"/>
        </w:rPr>
        <w:t>Lowden, K., Hall, S., Elliot, D. and Lewin, J., 2011. Employers’ perceptions of the employability skills of new graduates. </w:t>
      </w:r>
      <w:r>
        <w:rPr>
          <w:rFonts w:cs="Arial" w:ascii="Arial" w:hAnsi="Arial"/>
          <w:i/>
          <w:iCs/>
          <w:color w:val="222222"/>
          <w:sz w:val="20"/>
          <w:szCs w:val="20"/>
          <w:shd w:fill="FFFFFF" w:val="clear"/>
        </w:rPr>
        <w:t>London: Edge Foundation</w:t>
      </w:r>
      <w:r>
        <w:rPr>
          <w:rFonts w:cs="Arial" w:ascii="Arial" w:hAnsi="Arial"/>
          <w:color w:val="222222"/>
          <w:sz w:val="20"/>
          <w:szCs w:val="20"/>
          <w:shd w:fill="FFFFFF" w:val="clear"/>
        </w:rPr>
        <w:t>.</w:t>
      </w:r>
    </w:p>
    <w:p>
      <w:pPr>
        <w:pStyle w:val="Normal"/>
        <w:spacing w:lineRule="auto" w:line="360"/>
        <w:jc w:val="both"/>
        <w:rPr>
          <w:rFonts w:ascii="Arial" w:hAnsi="Arial" w:cs="Arial"/>
          <w:color w:val="222222"/>
          <w:sz w:val="20"/>
          <w:szCs w:val="20"/>
          <w:highlight w:val="white"/>
        </w:rPr>
      </w:pPr>
      <w:r>
        <w:rPr>
          <w:rFonts w:cs="Arial" w:ascii="Arial" w:hAnsi="Arial"/>
          <w:color w:val="222222"/>
          <w:sz w:val="20"/>
          <w:szCs w:val="20"/>
          <w:shd w:fill="FFFFFF" w:val="clear"/>
        </w:rPr>
        <w:t>Wilton, N., 2011. Do employability skills really matter in the UK graduate labour market? The case of business and management graduates. </w:t>
      </w:r>
      <w:r>
        <w:rPr>
          <w:rFonts w:cs="Arial" w:ascii="Arial" w:hAnsi="Arial"/>
          <w:i/>
          <w:iCs/>
          <w:color w:val="222222"/>
          <w:sz w:val="20"/>
          <w:szCs w:val="20"/>
          <w:shd w:fill="FFFFFF" w:val="clear"/>
        </w:rPr>
        <w:t>Work, employment and society</w:t>
      </w:r>
    </w:p>
    <w:p>
      <w:pPr>
        <w:pStyle w:val="Normal"/>
        <w:spacing w:lineRule="auto" w:line="360"/>
        <w:jc w:val="both"/>
        <w:rPr>
          <w:rFonts w:ascii="Arial" w:hAnsi="Arial" w:cs="Arial"/>
          <w:color w:val="222222"/>
          <w:sz w:val="20"/>
          <w:szCs w:val="20"/>
          <w:highlight w:val="white"/>
        </w:rPr>
      </w:pPr>
      <w:r>
        <w:rPr>
          <w:rFonts w:cs="Arial" w:ascii="Arial" w:hAnsi="Arial"/>
          <w:color w:val="222222"/>
          <w:sz w:val="20"/>
          <w:szCs w:val="20"/>
          <w:shd w:fill="FFFFFF" w:val="clear"/>
        </w:rPr>
        <w:t>Wickramasinghe, V. and Perera, L., 2010. Graduates', university lecturers' and employers' perceptions towards employability skills. </w:t>
      </w:r>
      <w:r>
        <w:rPr>
          <w:rFonts w:cs="Arial" w:ascii="Arial" w:hAnsi="Arial"/>
          <w:i/>
          <w:iCs/>
          <w:color w:val="222222"/>
          <w:sz w:val="20"/>
          <w:szCs w:val="20"/>
          <w:shd w:fill="FFFFFF" w:val="clear"/>
        </w:rPr>
        <w:t>Education+ Training</w:t>
      </w:r>
    </w:p>
    <w:p>
      <w:pPr>
        <w:pStyle w:val="Normal"/>
        <w:spacing w:lineRule="auto" w:line="360"/>
        <w:jc w:val="both"/>
        <w:rPr>
          <w:rFonts w:ascii="Arial" w:hAnsi="Arial" w:cs="Arial"/>
          <w:color w:val="222222"/>
          <w:sz w:val="20"/>
          <w:szCs w:val="20"/>
          <w:highlight w:val="white"/>
        </w:rPr>
      </w:pPr>
      <w:r>
        <w:rPr>
          <w:rFonts w:cs="Arial" w:ascii="Arial" w:hAnsi="Arial"/>
          <w:color w:val="222222"/>
          <w:sz w:val="20"/>
          <w:szCs w:val="20"/>
          <w:shd w:fill="FFFFFF" w:val="clear"/>
        </w:rPr>
        <w:t>Hind, D.W. and Moss, S., 2012. Employability skills.</w:t>
      </w:r>
    </w:p>
    <w:p>
      <w:pPr>
        <w:pStyle w:val="Normal"/>
        <w:spacing w:lineRule="auto" w:line="360"/>
        <w:jc w:val="both"/>
        <w:rPr>
          <w:rFonts w:ascii="Arial" w:hAnsi="Arial" w:cs="Arial"/>
          <w:color w:val="222222"/>
          <w:sz w:val="20"/>
          <w:szCs w:val="20"/>
          <w:highlight w:val="white"/>
        </w:rPr>
      </w:pPr>
      <w:r>
        <w:rPr>
          <w:rFonts w:cs="Arial" w:ascii="Arial" w:hAnsi="Arial"/>
          <w:color w:val="222222"/>
          <w:sz w:val="20"/>
          <w:szCs w:val="20"/>
          <w:shd w:fill="FFFFFF" w:val="clear"/>
        </w:rPr>
        <w:t>Baker, G. and Henson, D., 2010. Promoting employability skills development in a research-intensive university. </w:t>
      </w:r>
      <w:r>
        <w:rPr>
          <w:rFonts w:cs="Arial" w:ascii="Arial" w:hAnsi="Arial"/>
          <w:i/>
          <w:iCs/>
          <w:color w:val="222222"/>
          <w:sz w:val="20"/>
          <w:szCs w:val="20"/>
          <w:shd w:fill="FFFFFF" w:val="clear"/>
        </w:rPr>
        <w:t>Education+ Training</w:t>
      </w:r>
    </w:p>
    <w:p>
      <w:pPr>
        <w:pStyle w:val="Normal"/>
        <w:spacing w:lineRule="auto" w:line="360"/>
        <w:jc w:val="both"/>
        <w:rPr>
          <w:rFonts w:ascii="Arial" w:hAnsi="Arial" w:cs="Arial"/>
          <w:color w:val="222222"/>
          <w:sz w:val="20"/>
          <w:szCs w:val="20"/>
          <w:highlight w:val="white"/>
        </w:rPr>
      </w:pPr>
      <w:r>
        <w:rPr>
          <w:rFonts w:cs="Arial" w:ascii="Arial" w:hAnsi="Arial"/>
          <w:color w:val="222222"/>
          <w:sz w:val="20"/>
          <w:szCs w:val="20"/>
          <w:shd w:fill="FFFFFF" w:val="clear"/>
        </w:rPr>
        <w:t>Husain, M.Y., Mokhtar, S.B., Ahmad, A.A. and Mustapha, R., 2010. Importance of employability skills from employers’ perspective. </w:t>
      </w:r>
      <w:r>
        <w:rPr>
          <w:rFonts w:cs="Arial" w:ascii="Arial" w:hAnsi="Arial"/>
          <w:i/>
          <w:iCs/>
          <w:color w:val="222222"/>
          <w:sz w:val="20"/>
          <w:szCs w:val="20"/>
          <w:shd w:fill="FFFFFF" w:val="clear"/>
        </w:rPr>
        <w:t>Procedia-Social and Behavioral Sciences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both"/>
        <w:rPr/>
      </w:pPr>
      <w:r>
        <w:rPr/>
      </w:r>
    </w:p>
    <w:sectPr>
      <w:type w:val="nextPage"/>
      <w:pgSz w:w="12240" w:h="15840"/>
      <w:pgMar w:left="1440" w:right="1440" w:header="0" w:top="1440" w:footer="0" w:bottom="1440" w:gutter="0"/>
      <w:pgBorders w:display="allPages" w:offsetFrom="page">
        <w:top w:val="single" w:sz="4" w:space="24" w:color="00000A"/>
        <w:left w:val="single" w:sz="4" w:space="24" w:color="00000A"/>
        <w:bottom w:val="single" w:sz="4" w:space="24" w:color="00000A"/>
        <w:right w:val="single" w:sz="4" w:space="24" w:color="00000A"/>
      </w:pgBorders>
      <w:pgNumType w:fmt="decimal"/>
      <w:formProt w:val="false"/>
      <w:titlePg/>
      <w:textDirection w:val="lrTb"/>
      <w:docGrid w:type="default" w:linePitch="360" w:charSpace="42949652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1"/>
    <w:family w:val="roman"/>
    <w:pitch w:val="default"/>
  </w:font>
  <w:font w:name="Cambria">
    <w:charset w:val="01"/>
    <w:family w:val="roman"/>
    <w:pitch w:val="default"/>
  </w:font>
  <w:font w:name="Tahoma">
    <w:charset w:val="01"/>
    <w:family w:val="roman"/>
    <w:pitch w:val="default"/>
  </w:font>
  <w:font w:name="Times New Roman">
    <w:charset w:val="01"/>
    <w:family w:val="roman"/>
    <w:pitch w:val="default"/>
  </w:font>
  <w:font w:name="Arial">
    <w:charset w:val="01"/>
    <w:family w:val="roman"/>
    <w:pitch w:val="default"/>
  </w:font>
  <w:font w:name="Cambria Math">
    <w:charset w:val="01"/>
    <w:family w:val="roman"/>
    <w:pitch w:val="default"/>
  </w:font>
  <w:font w:name="Wingdings">
    <w:charset w:val="02"/>
    <w:family w:val="auto"/>
    <w:pitch w:val="variable"/>
  </w:font>
  <w:font w:name="Courier New">
    <w:charset w:val="01"/>
    <w:family w:val="modern"/>
    <w:pitch w:val="fixed"/>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Wingdings" w:hAnsi="Wingdings" w:cs="Wingdings"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1"/>
  </w:num>
  <w:num w:numId="2">
    <w:abstractNumId w:val="2"/>
  </w:num>
</w:numbering>
</file>

<file path=word/settings.xml><?xml version="1.0" encoding="utf-8"?>
<w:settings xmlns:w="http://schemas.openxmlformats.org/wordprocessingml/2006/main">
  <w:zoom w:percent="95"/>
  <w:defaultTabStop w:val="72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spacing w:lineRule="auto" w:line="276"/>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6423d"/>
    <w:pPr>
      <w:widowControl/>
      <w:bidi w:val="0"/>
      <w:spacing w:lineRule="auto" w:line="276" w:before="0" w:after="200"/>
      <w:jc w:val="left"/>
    </w:pPr>
    <w:rPr>
      <w:rFonts w:ascii="Calibri" w:hAnsi="Calibri" w:eastAsia="Calibri" w:cs="" w:asciiTheme="minorHAnsi" w:cstheme="minorBidi" w:eastAsiaTheme="minorHAnsi" w:hAnsiTheme="minorHAnsi"/>
      <w:color w:val="auto"/>
      <w:sz w:val="22"/>
      <w:szCs w:val="22"/>
      <w:lang w:val="en-US" w:eastAsia="en-US" w:bidi="ar-SA"/>
    </w:rPr>
  </w:style>
  <w:style w:type="paragraph" w:styleId="Heading1">
    <w:name w:val="Heading 1"/>
    <w:basedOn w:val="Normal"/>
    <w:next w:val="Normal"/>
    <w:link w:val="Heading1Char"/>
    <w:uiPriority w:val="9"/>
    <w:qFormat/>
    <w:rsid w:val="00084d39"/>
    <w:pPr>
      <w:keepNext/>
      <w:keepLines/>
      <w:spacing w:before="480" w:after="0"/>
      <w:outlineLvl w:val="0"/>
    </w:pPr>
    <w:rPr>
      <w:rFonts w:ascii="Cambria" w:hAnsi="Cambria" w:eastAsia="" w:cs="" w:asciiTheme="majorHAnsi" w:cstheme="majorBidi" w:eastAsiaTheme="majorEastAsia" w:hAnsiTheme="majorHAnsi"/>
      <w:b/>
      <w:bCs/>
      <w:color w:val="365F91" w:themeColor="accent1" w:themeShade="bf"/>
      <w:sz w:val="28"/>
      <w:szCs w:val="28"/>
    </w:rPr>
  </w:style>
  <w:style w:type="paragraph" w:styleId="Heading2">
    <w:name w:val="Heading 2"/>
    <w:basedOn w:val="Heading"/>
    <w:qFormat/>
    <w:pPr/>
    <w:rPr/>
  </w:style>
  <w:style w:type="paragraph" w:styleId="Heading3">
    <w:name w:val="Heading 3"/>
    <w:basedOn w:val="Heading"/>
    <w:qFormat/>
    <w:pPr/>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084d39"/>
    <w:rPr>
      <w:rFonts w:ascii="Cambria" w:hAnsi="Cambria" w:eastAsia="" w:cs="" w:asciiTheme="majorHAnsi" w:cstheme="majorBidi" w:eastAsiaTheme="majorEastAsia" w:hAnsiTheme="majorHAnsi"/>
      <w:b/>
      <w:bCs/>
      <w:color w:val="365F91" w:themeColor="accent1" w:themeShade="bf"/>
      <w:sz w:val="28"/>
      <w:szCs w:val="28"/>
    </w:rPr>
  </w:style>
  <w:style w:type="character" w:styleId="NoSpacingChar" w:customStyle="1">
    <w:name w:val="No Spacing Char"/>
    <w:basedOn w:val="DefaultParagraphFont"/>
    <w:link w:val="NoSpacing"/>
    <w:uiPriority w:val="1"/>
    <w:qFormat/>
    <w:rsid w:val="00084d39"/>
    <w:rPr>
      <w:rFonts w:eastAsia="" w:eastAsiaTheme="minorEastAsia"/>
    </w:rPr>
  </w:style>
  <w:style w:type="character" w:styleId="BalloonTextChar" w:customStyle="1">
    <w:name w:val="Balloon Text Char"/>
    <w:basedOn w:val="DefaultParagraphFont"/>
    <w:link w:val="BalloonText"/>
    <w:uiPriority w:val="99"/>
    <w:semiHidden/>
    <w:qFormat/>
    <w:rsid w:val="00084d39"/>
    <w:rPr>
      <w:rFonts w:ascii="Tahoma" w:hAnsi="Tahoma" w:cs="Tahoma"/>
      <w:sz w:val="16"/>
      <w:szCs w:val="16"/>
    </w:rPr>
  </w:style>
  <w:style w:type="character" w:styleId="InternetLink">
    <w:name w:val="Internet Link"/>
    <w:basedOn w:val="DefaultParagraphFont"/>
    <w:uiPriority w:val="99"/>
    <w:unhideWhenUsed/>
    <w:rsid w:val="00084d39"/>
    <w:rPr>
      <w:color w:val="0000FF" w:themeColor="hyperlink"/>
      <w:u w:val="single"/>
    </w:rPr>
  </w:style>
  <w:style w:type="character" w:styleId="ListLabel1">
    <w:name w:val="ListLabel 1"/>
    <w:qFormat/>
    <w:rPr>
      <w:rFonts w:cs="Courier New"/>
    </w:rPr>
  </w:style>
  <w:style w:type="character" w:styleId="IndexLink">
    <w:name w:val="Index Link"/>
    <w:qFormat/>
    <w:rPr/>
  </w:style>
  <w:style w:type="paragraph" w:styleId="Heading">
    <w:name w:val="Heading"/>
    <w:basedOn w:val="Normal"/>
    <w:next w:val="TextBody"/>
    <w:qFormat/>
    <w:pPr>
      <w:keepNext/>
      <w:spacing w:before="240" w:after="120"/>
    </w:pPr>
    <w:rPr>
      <w:rFonts w:ascii="Times New Roman" w:hAnsi="Times New Roman" w:eastAsia="Microsoft YaHei" w:cs="Arial"/>
      <w:sz w:val="28"/>
      <w:szCs w:val="28"/>
    </w:rPr>
  </w:style>
  <w:style w:type="paragraph" w:styleId="TextBody">
    <w:name w:val="Text Body"/>
    <w:basedOn w:val="Normal"/>
    <w:pPr>
      <w:spacing w:lineRule="auto" w:line="288" w:before="0" w:after="140"/>
    </w:pPr>
    <w:rPr/>
  </w:style>
  <w:style w:type="paragraph" w:styleId="List">
    <w:name w:val="List"/>
    <w:basedOn w:val="TextBody"/>
    <w:pPr/>
    <w:rPr>
      <w:rFonts w:ascii="Times New Roman" w:hAnsi="Times New Roman" w:cs="Arial"/>
    </w:rPr>
  </w:style>
  <w:style w:type="paragraph" w:styleId="Caption">
    <w:name w:val="Caption"/>
    <w:basedOn w:val="Normal"/>
    <w:qFormat/>
    <w:pPr>
      <w:suppressLineNumbers/>
      <w:spacing w:before="120" w:after="120"/>
    </w:pPr>
    <w:rPr>
      <w:rFonts w:ascii="Times New Roman" w:hAnsi="Times New Roman" w:cs="Arial"/>
      <w:i/>
      <w:iCs/>
      <w:sz w:val="24"/>
      <w:szCs w:val="24"/>
    </w:rPr>
  </w:style>
  <w:style w:type="paragraph" w:styleId="Index">
    <w:name w:val="Index"/>
    <w:basedOn w:val="Normal"/>
    <w:qFormat/>
    <w:pPr>
      <w:suppressLineNumbers/>
    </w:pPr>
    <w:rPr>
      <w:rFonts w:ascii="Times New Roman" w:hAnsi="Times New Roman" w:cs="Arial"/>
    </w:rPr>
  </w:style>
  <w:style w:type="paragraph" w:styleId="ListParagraph">
    <w:name w:val="List Paragraph"/>
    <w:basedOn w:val="Normal"/>
    <w:uiPriority w:val="34"/>
    <w:qFormat/>
    <w:rsid w:val="004247c7"/>
    <w:pPr>
      <w:spacing w:before="0" w:after="200"/>
      <w:ind w:left="720" w:hanging="0"/>
      <w:contextualSpacing/>
    </w:pPr>
    <w:rPr/>
  </w:style>
  <w:style w:type="paragraph" w:styleId="NoSpacing">
    <w:name w:val="No Spacing"/>
    <w:link w:val="NoSpacingChar"/>
    <w:uiPriority w:val="1"/>
    <w:qFormat/>
    <w:rsid w:val="00084d39"/>
    <w:pPr>
      <w:widowControl/>
      <w:bidi w:val="0"/>
      <w:spacing w:lineRule="auto" w:line="240" w:before="0" w:after="0"/>
      <w:jc w:val="left"/>
    </w:pPr>
    <w:rPr>
      <w:rFonts w:eastAsia="" w:eastAsiaTheme="minorEastAsia" w:ascii="Calibri" w:hAnsi="Calibri" w:cs=""/>
      <w:color w:val="auto"/>
      <w:sz w:val="22"/>
      <w:szCs w:val="22"/>
      <w:lang w:val="en-US" w:eastAsia="en-US" w:bidi="ar-SA"/>
    </w:rPr>
  </w:style>
  <w:style w:type="paragraph" w:styleId="BalloonText">
    <w:name w:val="Balloon Text"/>
    <w:basedOn w:val="Normal"/>
    <w:link w:val="BalloonTextChar"/>
    <w:uiPriority w:val="99"/>
    <w:semiHidden/>
    <w:unhideWhenUsed/>
    <w:qFormat/>
    <w:rsid w:val="00084d39"/>
    <w:pPr>
      <w:spacing w:lineRule="auto" w:line="240" w:before="0" w:after="0"/>
    </w:pPr>
    <w:rPr>
      <w:rFonts w:ascii="Tahoma" w:hAnsi="Tahoma" w:cs="Tahoma"/>
      <w:sz w:val="16"/>
      <w:szCs w:val="16"/>
    </w:rPr>
  </w:style>
  <w:style w:type="paragraph" w:styleId="ContentsHeading">
    <w:name w:val="Contents Heading"/>
    <w:basedOn w:val="Heading1"/>
    <w:next w:val="Normal"/>
    <w:uiPriority w:val="39"/>
    <w:semiHidden/>
    <w:unhideWhenUsed/>
    <w:qFormat/>
    <w:rsid w:val="00084d39"/>
    <w:pPr/>
    <w:rPr/>
  </w:style>
  <w:style w:type="paragraph" w:styleId="Contents1">
    <w:name w:val="Contents 1"/>
    <w:basedOn w:val="Normal"/>
    <w:next w:val="Normal"/>
    <w:autoRedefine/>
    <w:uiPriority w:val="39"/>
    <w:unhideWhenUsed/>
    <w:rsid w:val="00084d39"/>
    <w:pPr>
      <w:spacing w:before="0" w:after="100"/>
    </w:pPr>
    <w:rPr/>
  </w:style>
  <w:style w:type="paragraph" w:styleId="Quotations">
    <w:name w:val="Quotations"/>
    <w:basedOn w:val="Normal"/>
    <w:qFormat/>
    <w:pPr/>
    <w:rPr/>
  </w:style>
  <w:style w:type="paragraph" w:styleId="Title">
    <w:name w:val="Title"/>
    <w:basedOn w:val="Heading"/>
    <w:qFormat/>
    <w:pPr/>
    <w:rPr/>
  </w:style>
  <w:style w:type="paragraph" w:styleId="Subtitle">
    <w:name w:val="Subtitle"/>
    <w:basedOn w:val="Heading"/>
    <w:qFormat/>
    <w:pPr/>
    <w:rPr/>
  </w:style>
  <w:style w:type="numbering" w:styleId="NoList" w:default="1">
    <w:name w:val="No List"/>
    <w:uiPriority w:val="99"/>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table" w:styleId="TableGrid">
    <w:name w:val="Table Grid"/>
    <w:basedOn w:val="TableNormal"/>
    <w:uiPriority w:val="59"/>
    <w:unhideWhenUsed/>
    <w:rsid w:val="0054018f"/>
    <w:pPr>
      <w:spacing w:after="0" w:line="240" w:lineRule="auto"/>
    </w:pPr>
    <w:tblP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glossaryDocument" Target="glossary/document.xml"/><Relationship Id="rId7" Type="http://schemas.openxmlformats.org/officeDocument/2006/relationships/customXml" Target="../customXml/item1.xml"/>
</Relationships>
</file>

<file path=word/glossary/_rels/document.xml.rels><?xml version="1.0" encoding="UTF-8"?>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
</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1A75929C33C4D59A1B957BA1B7F1636"/>
        <w:category>
          <w:name w:val="General"/>
          <w:gallery w:val="placeholder"/>
        </w:category>
        <w:types>
          <w:type w:val="bbPlcHdr"/>
        </w:types>
        <w:behaviors>
          <w:behavior w:val="content"/>
        </w:behaviors>
        <w:guid w:val="{09735A49-6921-4019-B782-418814F1A803}"/>
      </w:docPartPr>
      <w:docPartBody>
        <w:p w:rsidR="00000000" w:rsidRDefault="007B1E3C" w:rsidP="007B1E3C">
          <w:pPr>
            <w:pStyle w:val="41A75929C33C4D59A1B957BA1B7F1636"/>
          </w:pPr>
          <w:r>
            <w:rPr>
              <w:rFonts w:asciiTheme="majorHAnsi" w:eastAsiaTheme="majorEastAsia" w:hAnsiTheme="majorHAnsi" w:cstheme="majorBidi"/>
              <w:sz w:val="72"/>
              <w:szCs w:val="7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A00002EF" w:usb1="420020EB"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B1E3C"/>
    <w:rsid w:val="007B1E3C"/>
    <w:rsid w:val="00DC3FE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A75929C33C4D59A1B957BA1B7F1636">
    <w:name w:val="41A75929C33C4D59A1B957BA1B7F1636"/>
    <w:rsid w:val="007B1E3C"/>
  </w:style>
  <w:style w:type="paragraph" w:customStyle="1" w:styleId="E55C0104DF1E4A01943E22E2AB9F9546">
    <w:name w:val="E55C0104DF1E4A01943E22E2AB9F9546"/>
    <w:rsid w:val="007B1E3C"/>
  </w:style>
  <w:style w:type="paragraph" w:customStyle="1" w:styleId="B00E42ABBDFB4DFC8FE733D0B901F265">
    <w:name w:val="B00E42ABBDFB4DFC8FE733D0B901F265"/>
    <w:rsid w:val="007B1E3C"/>
  </w:style>
  <w:style w:type="paragraph" w:customStyle="1" w:styleId="E734D72DA56042D9A9F484FF4F293A3D">
    <w:name w:val="E734D72DA56042D9A9F484FF4F293A3D"/>
    <w:rsid w:val="007B1E3C"/>
  </w:style>
  <w:style w:type="paragraph" w:customStyle="1" w:styleId="C475B30D424D447CB74A3824427653D3">
    <w:name w:val="C475B30D424D447CB74A3824427653D3"/>
    <w:rsid w:val="007B1E3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FCE9AD-16EF-48E1-80F1-D4191AE2B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1899</TotalTime>
  <Application>LibreOffice/5.0.2.2$Windows_X86_64 LibreOffice_project/37b43f919e4de5eeaca9b9755ed688758a8251fe</Application>
  <Paragraphs>93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2017-12-21T05:30:00Z</dcterms:created>
  <dc:creator>admin</dc:creator>
  <dc:language>en-GB</dc:language>
  <dcterms:modified xsi:type="dcterms:W3CDTF">2018-01-04T22:08:18Z</dcterms:modified>
  <cp:revision>449</cp:revision>
  <dc:title>EMPLOYABILITY SKILLS</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