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807A4D" w14:textId="77777777" w:rsidR="00816D06" w:rsidRDefault="00816D06" w:rsidP="00816D06">
      <w:pPr>
        <w:jc w:val="center"/>
        <w:rPr>
          <w:rFonts w:ascii="Arial" w:hAnsi="Arial" w:cs="Arial"/>
          <w:b/>
          <w:bCs/>
        </w:rPr>
      </w:pPr>
      <w:r w:rsidRPr="00816D06">
        <w:rPr>
          <w:rFonts w:ascii="Arial" w:hAnsi="Arial" w:cs="Arial"/>
          <w:b/>
          <w:bCs/>
        </w:rPr>
        <w:t>NSEDA Assignment B – Staff Solution</w:t>
      </w:r>
    </w:p>
    <w:p w14:paraId="66CF6F3F" w14:textId="77777777" w:rsidR="007D62F1" w:rsidRPr="007D62F1" w:rsidRDefault="007D62F1" w:rsidP="007D62F1">
      <w:pPr>
        <w:rPr>
          <w:rFonts w:ascii="Arial" w:hAnsi="Arial" w:cs="Arial"/>
          <w:b/>
          <w:bCs/>
        </w:rPr>
      </w:pPr>
      <w:r w:rsidRPr="007D62F1">
        <w:rPr>
          <w:rFonts w:ascii="Arial" w:hAnsi="Arial" w:cs="Arial"/>
          <w:b/>
          <w:bCs/>
        </w:rPr>
        <w:t>NSEDA Assignment B – Staff Solution</w:t>
      </w:r>
    </w:p>
    <w:p w14:paraId="3EEBA49F" w14:textId="77777777" w:rsidR="007D62F1" w:rsidRPr="007D62F1" w:rsidRDefault="007D62F1" w:rsidP="007D62F1">
      <w:pPr>
        <w:rPr>
          <w:rFonts w:ascii="Arial" w:hAnsi="Arial" w:cs="Arial"/>
          <w:b/>
          <w:bCs/>
        </w:rPr>
      </w:pPr>
      <w:r w:rsidRPr="007D62F1">
        <w:rPr>
          <w:rFonts w:ascii="Arial" w:hAnsi="Arial" w:cs="Arial"/>
          <w:b/>
          <w:bCs/>
        </w:rPr>
        <w:t>Use of this sheet</w:t>
      </w:r>
    </w:p>
    <w:p w14:paraId="71172E57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This is an indicative staff solution. Credit equivalent scientifically defensible approaches, provided assumptions are stated and calculations are internally consistent.</w:t>
      </w:r>
    </w:p>
    <w:p w14:paraId="2159C3DB" w14:textId="77777777" w:rsidR="007D62F1" w:rsidRPr="007D62F1" w:rsidRDefault="00000000" w:rsidP="007D62F1">
      <w:pPr>
        <w:rPr>
          <w:rFonts w:ascii="Arial" w:hAnsi="Arial" w:cs="Arial"/>
        </w:rPr>
      </w:pPr>
      <w:r>
        <w:rPr>
          <w:rFonts w:ascii="Arial" w:hAnsi="Arial" w:cs="Arial"/>
        </w:rPr>
        <w:pict w14:anchorId="376FE999">
          <v:rect id="_x0000_i1025" style="width:0;height:1.5pt" o:hralign="center" o:hrstd="t" o:hr="t" fillcolor="#a0a0a0" stroked="f"/>
        </w:pict>
      </w:r>
    </w:p>
    <w:p w14:paraId="0BBB72F7" w14:textId="77777777" w:rsidR="007D62F1" w:rsidRPr="007D62F1" w:rsidRDefault="007D62F1" w:rsidP="007D62F1">
      <w:pPr>
        <w:rPr>
          <w:rFonts w:ascii="Arial" w:hAnsi="Arial" w:cs="Arial"/>
          <w:b/>
          <w:bCs/>
        </w:rPr>
      </w:pPr>
      <w:r w:rsidRPr="007D62F1">
        <w:rPr>
          <w:rFonts w:ascii="Arial" w:hAnsi="Arial" w:cs="Arial"/>
          <w:b/>
          <w:bCs/>
        </w:rPr>
        <w:t>Key indicative numerical answers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542"/>
        <w:gridCol w:w="2490"/>
        <w:gridCol w:w="2994"/>
      </w:tblGrid>
      <w:tr w:rsidR="007D62F1" w:rsidRPr="007D62F1" w14:paraId="60337FF5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31362F5E" w14:textId="77777777" w:rsidR="007D62F1" w:rsidRPr="007D62F1" w:rsidRDefault="007D62F1" w:rsidP="007D62F1">
            <w:pPr>
              <w:rPr>
                <w:rFonts w:ascii="Arial" w:hAnsi="Arial" w:cs="Arial"/>
                <w:b/>
                <w:bCs/>
              </w:rPr>
            </w:pPr>
            <w:r w:rsidRPr="007D62F1">
              <w:rPr>
                <w:rFonts w:ascii="Arial" w:hAnsi="Arial" w:cs="Arial"/>
                <w:b/>
                <w:bCs/>
              </w:rPr>
              <w:t>Quantity</w:t>
            </w:r>
          </w:p>
        </w:tc>
        <w:tc>
          <w:tcPr>
            <w:tcW w:w="0" w:type="auto"/>
            <w:vAlign w:val="center"/>
            <w:hideMark/>
          </w:tcPr>
          <w:p w14:paraId="06C4077D" w14:textId="77777777" w:rsidR="007D62F1" w:rsidRPr="007D62F1" w:rsidRDefault="007D62F1" w:rsidP="007D62F1">
            <w:pPr>
              <w:rPr>
                <w:rFonts w:ascii="Arial" w:hAnsi="Arial" w:cs="Arial"/>
                <w:b/>
                <w:bCs/>
              </w:rPr>
            </w:pPr>
            <w:r w:rsidRPr="007D62F1">
              <w:rPr>
                <w:rFonts w:ascii="Arial" w:hAnsi="Arial" w:cs="Arial"/>
                <w:b/>
                <w:bCs/>
              </w:rPr>
              <w:t>Indicative value</w:t>
            </w:r>
          </w:p>
        </w:tc>
        <w:tc>
          <w:tcPr>
            <w:tcW w:w="0" w:type="auto"/>
            <w:vAlign w:val="center"/>
            <w:hideMark/>
          </w:tcPr>
          <w:p w14:paraId="295FEDD3" w14:textId="77777777" w:rsidR="007D62F1" w:rsidRPr="007D62F1" w:rsidRDefault="007D62F1" w:rsidP="007D62F1">
            <w:pPr>
              <w:rPr>
                <w:rFonts w:ascii="Arial" w:hAnsi="Arial" w:cs="Arial"/>
                <w:b/>
                <w:bCs/>
              </w:rPr>
            </w:pPr>
            <w:r w:rsidRPr="007D62F1">
              <w:rPr>
                <w:rFonts w:ascii="Arial" w:hAnsi="Arial" w:cs="Arial"/>
                <w:b/>
                <w:bCs/>
              </w:rPr>
              <w:t>Marker note</w:t>
            </w:r>
          </w:p>
        </w:tc>
      </w:tr>
      <w:tr w:rsidR="007D62F1" w:rsidRPr="007D62F1" w14:paraId="19B2EC3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2C0BEB5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Source activity on 15 Oct 2024</w:t>
            </w:r>
          </w:p>
        </w:tc>
        <w:tc>
          <w:tcPr>
            <w:tcW w:w="0" w:type="auto"/>
            <w:vAlign w:val="center"/>
            <w:hideMark/>
          </w:tcPr>
          <w:p w14:paraId="27610464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≈ 1.6 TBq</w:t>
            </w:r>
          </w:p>
        </w:tc>
        <w:tc>
          <w:tcPr>
            <w:tcW w:w="0" w:type="auto"/>
            <w:vAlign w:val="center"/>
            <w:hideMark/>
          </w:tcPr>
          <w:p w14:paraId="4FF2339D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Accept about 1.55–1.60 TBq</w:t>
            </w:r>
          </w:p>
        </w:tc>
      </w:tr>
      <w:tr w:rsidR="007D62F1" w:rsidRPr="007D62F1" w14:paraId="031F965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01D068D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Dose rate at 1 m</w:t>
            </w:r>
          </w:p>
        </w:tc>
        <w:tc>
          <w:tcPr>
            <w:tcW w:w="0" w:type="auto"/>
            <w:vAlign w:val="center"/>
            <w:hideMark/>
          </w:tcPr>
          <w:p w14:paraId="7490F968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≈ 0.21 Sv h^-1</w:t>
            </w:r>
          </w:p>
        </w:tc>
        <w:tc>
          <w:tcPr>
            <w:tcW w:w="0" w:type="auto"/>
            <w:vAlign w:val="center"/>
            <w:hideMark/>
          </w:tcPr>
          <w:p w14:paraId="78BCEEBC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Using Γ ≈ 0.13 mSv m² GBq^-1 h^-1</w:t>
            </w:r>
          </w:p>
        </w:tc>
      </w:tr>
      <w:tr w:rsidR="007D62F1" w:rsidRPr="007D62F1" w14:paraId="4C82D7C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DD82F32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Dose rate at 0.7 m</w:t>
            </w:r>
          </w:p>
        </w:tc>
        <w:tc>
          <w:tcPr>
            <w:tcW w:w="0" w:type="auto"/>
            <w:vAlign w:val="center"/>
            <w:hideMark/>
          </w:tcPr>
          <w:p w14:paraId="199780F6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≈ 0.42 Sv h^-1</w:t>
            </w:r>
          </w:p>
        </w:tc>
        <w:tc>
          <w:tcPr>
            <w:tcW w:w="0" w:type="auto"/>
            <w:vAlign w:val="center"/>
            <w:hideMark/>
          </w:tcPr>
          <w:p w14:paraId="643B2838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Inverse-square scaling</w:t>
            </w:r>
          </w:p>
        </w:tc>
      </w:tr>
      <w:tr w:rsidR="007D62F1" w:rsidRPr="007D62F1" w14:paraId="0FDAB7DC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29D4C5B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Estimated effective dose for 5–6 min at 0.7 m</w:t>
            </w:r>
          </w:p>
        </w:tc>
        <w:tc>
          <w:tcPr>
            <w:tcW w:w="0" w:type="auto"/>
            <w:vAlign w:val="center"/>
            <w:hideMark/>
          </w:tcPr>
          <w:p w14:paraId="77870F14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≈ 35–42 mSv</w:t>
            </w:r>
          </w:p>
        </w:tc>
        <w:tc>
          <w:tcPr>
            <w:tcW w:w="0" w:type="auto"/>
            <w:vAlign w:val="center"/>
            <w:hideMark/>
          </w:tcPr>
          <w:p w14:paraId="135A722C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Central estimate around 38–40 mSv</w:t>
            </w:r>
          </w:p>
        </w:tc>
      </w:tr>
      <w:tr w:rsidR="007D62F1" w:rsidRPr="007D62F1" w14:paraId="5EBFD9D7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4CC3D66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Recorded dosimetry</w:t>
            </w:r>
          </w:p>
        </w:tc>
        <w:tc>
          <w:tcPr>
            <w:tcW w:w="0" w:type="auto"/>
            <w:vAlign w:val="center"/>
            <w:hideMark/>
          </w:tcPr>
          <w:p w14:paraId="3A5C6106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EPD 27.0 mSv; TLD 35.6 mSv</w:t>
            </w:r>
          </w:p>
        </w:tc>
        <w:tc>
          <w:tcPr>
            <w:tcW w:w="0" w:type="auto"/>
            <w:vAlign w:val="center"/>
            <w:hideMark/>
          </w:tcPr>
          <w:p w14:paraId="0502FD66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Calculated dose is broadly consistent</w:t>
            </w:r>
          </w:p>
        </w:tc>
      </w:tr>
    </w:tbl>
    <w:p w14:paraId="0114F842" w14:textId="77777777" w:rsidR="007D62F1" w:rsidRPr="007D62F1" w:rsidRDefault="00000000" w:rsidP="007D62F1">
      <w:pPr>
        <w:rPr>
          <w:rFonts w:ascii="Arial" w:hAnsi="Arial" w:cs="Arial"/>
        </w:rPr>
      </w:pPr>
      <w:r>
        <w:rPr>
          <w:rFonts w:ascii="Arial" w:hAnsi="Arial" w:cs="Arial"/>
        </w:rPr>
        <w:pict w14:anchorId="5B6164ED">
          <v:rect id="_x0000_i1026" style="width:0;height:1.5pt" o:hralign="center" o:hrstd="t" o:hr="t" fillcolor="#a0a0a0" stroked="f"/>
        </w:pict>
      </w:r>
    </w:p>
    <w:p w14:paraId="1C84A5B7" w14:textId="77777777" w:rsidR="007D62F1" w:rsidRPr="007D62F1" w:rsidRDefault="007D62F1" w:rsidP="007D62F1">
      <w:pPr>
        <w:rPr>
          <w:rFonts w:ascii="Arial" w:hAnsi="Arial" w:cs="Arial"/>
          <w:b/>
          <w:bCs/>
        </w:rPr>
      </w:pPr>
      <w:r w:rsidRPr="007D62F1">
        <w:rPr>
          <w:rFonts w:ascii="Arial" w:hAnsi="Arial" w:cs="Arial"/>
          <w:b/>
          <w:bCs/>
        </w:rPr>
        <w:t>1. Framing expected from a good report</w:t>
      </w:r>
    </w:p>
    <w:p w14:paraId="27D617A1" w14:textId="77777777" w:rsidR="007D62F1" w:rsidRPr="007D62F1" w:rsidRDefault="007D62F1" w:rsidP="007D62F1">
      <w:pPr>
        <w:numPr>
          <w:ilvl w:val="0"/>
          <w:numId w:val="9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The strongest submissions will read as a </w:t>
      </w:r>
      <w:r w:rsidRPr="007D62F1">
        <w:rPr>
          <w:rFonts w:ascii="Arial" w:hAnsi="Arial" w:cs="Arial"/>
          <w:b/>
          <w:bCs/>
        </w:rPr>
        <w:t>single scientific investigation</w:t>
      </w:r>
      <w:r w:rsidRPr="007D62F1">
        <w:rPr>
          <w:rFonts w:ascii="Arial" w:hAnsi="Arial" w:cs="Arial"/>
        </w:rPr>
        <w:t xml:space="preserve"> rather than a sequence of short answers. </w:t>
      </w:r>
    </w:p>
    <w:p w14:paraId="5B5538AA" w14:textId="77777777" w:rsidR="007D62F1" w:rsidRPr="007D62F1" w:rsidRDefault="007D62F1" w:rsidP="007D62F1">
      <w:pPr>
        <w:numPr>
          <w:ilvl w:val="0"/>
          <w:numId w:val="9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Students should justify: </w:t>
      </w:r>
    </w:p>
    <w:p w14:paraId="6F6BCAA7" w14:textId="77777777" w:rsidR="007D62F1" w:rsidRPr="007D62F1" w:rsidRDefault="007D62F1" w:rsidP="007D62F1">
      <w:pPr>
        <w:numPr>
          <w:ilvl w:val="1"/>
          <w:numId w:val="9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decay correction, </w:t>
      </w:r>
    </w:p>
    <w:p w14:paraId="154A589D" w14:textId="77777777" w:rsidR="007D62F1" w:rsidRPr="007D62F1" w:rsidRDefault="007D62F1" w:rsidP="007D62F1">
      <w:pPr>
        <w:numPr>
          <w:ilvl w:val="1"/>
          <w:numId w:val="9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use of a tabulated gamma constant, </w:t>
      </w:r>
    </w:p>
    <w:p w14:paraId="603640E5" w14:textId="77777777" w:rsidR="007D62F1" w:rsidRPr="007D62F1" w:rsidRDefault="007D62F1" w:rsidP="007D62F1">
      <w:pPr>
        <w:numPr>
          <w:ilvl w:val="1"/>
          <w:numId w:val="9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inverse-square behaviour, </w:t>
      </w:r>
    </w:p>
    <w:p w14:paraId="1C64846F" w14:textId="77777777" w:rsidR="007D62F1" w:rsidRPr="007D62F1" w:rsidRDefault="007D62F1" w:rsidP="007D62F1">
      <w:pPr>
        <w:numPr>
          <w:ilvl w:val="1"/>
          <w:numId w:val="9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and the validity and limitations of a point-source approximation. </w:t>
      </w:r>
    </w:p>
    <w:p w14:paraId="573957BC" w14:textId="77777777" w:rsidR="007D62F1" w:rsidRPr="007D62F1" w:rsidRDefault="007D62F1" w:rsidP="007D62F1">
      <w:pPr>
        <w:numPr>
          <w:ilvl w:val="0"/>
          <w:numId w:val="9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Numerical agreement with dosimetry does not need to be exact. The key issue is whether the estimate is of the correct order and is scientifically defended. </w:t>
      </w:r>
    </w:p>
    <w:p w14:paraId="4DE7B717" w14:textId="77777777" w:rsidR="007D62F1" w:rsidRPr="007D62F1" w:rsidRDefault="007D62F1" w:rsidP="007D62F1">
      <w:pPr>
        <w:numPr>
          <w:ilvl w:val="0"/>
          <w:numId w:val="9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Better answers will recognise that the field near a source trapped within the guide tube close to the projector body may not be perfectly isotropic, so a hand calculation is necessarily an approximation. </w:t>
      </w:r>
    </w:p>
    <w:p w14:paraId="4D67C77E" w14:textId="77777777" w:rsidR="007D62F1" w:rsidRPr="007D62F1" w:rsidRDefault="00000000" w:rsidP="007D62F1">
      <w:pPr>
        <w:rPr>
          <w:rFonts w:ascii="Arial" w:hAnsi="Arial" w:cs="Arial"/>
        </w:rPr>
      </w:pPr>
      <w:r>
        <w:rPr>
          <w:rFonts w:ascii="Arial" w:hAnsi="Arial" w:cs="Arial"/>
        </w:rPr>
        <w:pict w14:anchorId="4269C9D7">
          <v:rect id="_x0000_i1027" style="width:0;height:1.5pt" o:hralign="center" o:hrstd="t" o:hr="t" fillcolor="#a0a0a0" stroked="f"/>
        </w:pict>
      </w:r>
    </w:p>
    <w:p w14:paraId="215D1A52" w14:textId="77777777" w:rsidR="007D62F1" w:rsidRDefault="007D62F1" w:rsidP="007D62F1">
      <w:pPr>
        <w:rPr>
          <w:rFonts w:ascii="Arial" w:hAnsi="Arial" w:cs="Arial"/>
          <w:b/>
          <w:bCs/>
        </w:rPr>
      </w:pPr>
      <w:r w:rsidRPr="007D62F1">
        <w:rPr>
          <w:rFonts w:ascii="Arial" w:hAnsi="Arial" w:cs="Arial"/>
          <w:b/>
          <w:bCs/>
        </w:rPr>
        <w:t>2. Worked scientific solution</w:t>
      </w:r>
    </w:p>
    <w:p w14:paraId="2D64E3F5" w14:textId="099FB40E" w:rsidR="0032753D" w:rsidRDefault="00742895" w:rsidP="007D62F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2.1 </w:t>
      </w:r>
      <w:r w:rsidR="001A06E9">
        <w:rPr>
          <w:rFonts w:ascii="Arial" w:hAnsi="Arial" w:cs="Arial"/>
          <w:b/>
          <w:bCs/>
        </w:rPr>
        <w:t>Suitability of DU</w:t>
      </w:r>
    </w:p>
    <w:p w14:paraId="65B0C35C" w14:textId="4F50EB7D" w:rsidR="001A06E9" w:rsidRPr="001A06E9" w:rsidRDefault="001A06E9" w:rsidP="007D62F1">
      <w:pPr>
        <w:rPr>
          <w:rFonts w:ascii="Arial" w:hAnsi="Arial" w:cs="Arial"/>
        </w:rPr>
      </w:pPr>
      <w:r>
        <w:rPr>
          <w:rFonts w:ascii="Arial" w:hAnsi="Arial" w:cs="Arial"/>
        </w:rPr>
        <w:t xml:space="preserve">Depleted uranium is very dense and very high Z. </w:t>
      </w:r>
      <w:r w:rsidR="00E15812">
        <w:rPr>
          <w:rFonts w:ascii="Arial" w:hAnsi="Arial" w:cs="Arial"/>
        </w:rPr>
        <w:t xml:space="preserve">High density means plenty of Compton scattering and high Z means plenty of photoelectric effect. </w:t>
      </w:r>
      <w:r w:rsidR="00AD1DA6">
        <w:rPr>
          <w:rFonts w:ascii="Arial" w:hAnsi="Arial" w:cs="Arial"/>
        </w:rPr>
        <w:t xml:space="preserve">For a portable system, the </w:t>
      </w:r>
      <w:r w:rsidR="00AD1DA6">
        <w:rPr>
          <w:rFonts w:ascii="Arial" w:hAnsi="Arial" w:cs="Arial"/>
        </w:rPr>
        <w:lastRenderedPageBreak/>
        <w:t xml:space="preserve">maximum shielding per unit volume is important so that the unit is as small and light as possible. DU is itself slightly radioactive, which may </w:t>
      </w:r>
      <w:r w:rsidR="005D0218">
        <w:rPr>
          <w:rFonts w:ascii="Arial" w:hAnsi="Arial" w:cs="Arial"/>
        </w:rPr>
        <w:t>complicate monitor readings when the source is in place.</w:t>
      </w:r>
    </w:p>
    <w:p w14:paraId="0BC784B3" w14:textId="02136621" w:rsidR="007D62F1" w:rsidRPr="007D62F1" w:rsidRDefault="007D62F1" w:rsidP="007D62F1">
      <w:pPr>
        <w:rPr>
          <w:rFonts w:ascii="Arial" w:hAnsi="Arial" w:cs="Arial"/>
          <w:b/>
          <w:bCs/>
        </w:rPr>
      </w:pPr>
      <w:r w:rsidRPr="007D62F1">
        <w:rPr>
          <w:rFonts w:ascii="Arial" w:hAnsi="Arial" w:cs="Arial"/>
          <w:b/>
          <w:bCs/>
        </w:rPr>
        <w:t>2.</w:t>
      </w:r>
      <w:r w:rsidR="005D0218">
        <w:rPr>
          <w:rFonts w:ascii="Arial" w:hAnsi="Arial" w:cs="Arial"/>
          <w:b/>
          <w:bCs/>
        </w:rPr>
        <w:t>2</w:t>
      </w:r>
      <w:r w:rsidRPr="007D62F1">
        <w:rPr>
          <w:rFonts w:ascii="Arial" w:hAnsi="Arial" w:cs="Arial"/>
          <w:b/>
          <w:bCs/>
        </w:rPr>
        <w:t xml:space="preserve"> Suitability of Iridium-192 for industrial radiography</w:t>
      </w:r>
    </w:p>
    <w:p w14:paraId="003A7064" w14:textId="77777777" w:rsidR="007D62F1" w:rsidRPr="007D62F1" w:rsidRDefault="007D62F1" w:rsidP="007D62F1">
      <w:pPr>
        <w:numPr>
          <w:ilvl w:val="0"/>
          <w:numId w:val="10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Ir-192 emits multiple gamma rays in the energy range suitable for industrial radiography, especially for weld inspection and pipework examination. </w:t>
      </w:r>
    </w:p>
    <w:p w14:paraId="5CF669FE" w14:textId="77777777" w:rsidR="007D62F1" w:rsidRPr="007D62F1" w:rsidRDefault="007D62F1" w:rsidP="007D62F1">
      <w:pPr>
        <w:numPr>
          <w:ilvl w:val="0"/>
          <w:numId w:val="10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Its half-life of about </w:t>
      </w:r>
      <w:r w:rsidRPr="007D62F1">
        <w:rPr>
          <w:rFonts w:ascii="Arial" w:hAnsi="Arial" w:cs="Arial"/>
          <w:b/>
          <w:bCs/>
        </w:rPr>
        <w:t>73.8 days</w:t>
      </w:r>
      <w:r w:rsidRPr="007D62F1">
        <w:rPr>
          <w:rFonts w:ascii="Arial" w:hAnsi="Arial" w:cs="Arial"/>
        </w:rPr>
        <w:t xml:space="preserve"> gives high specific activity, allowing a compact source that can be driven through guide tubes and exposure heads. </w:t>
      </w:r>
    </w:p>
    <w:p w14:paraId="744D21EB" w14:textId="77777777" w:rsidR="007D62F1" w:rsidRPr="007D62F1" w:rsidRDefault="007D62F1" w:rsidP="007D62F1">
      <w:pPr>
        <w:numPr>
          <w:ilvl w:val="0"/>
          <w:numId w:val="10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It can be encapsulated in a robust sealed-source form suitable for repeated remote projection and retraction. </w:t>
      </w:r>
    </w:p>
    <w:p w14:paraId="4E1B2B22" w14:textId="77777777" w:rsidR="007D62F1" w:rsidRPr="007D62F1" w:rsidRDefault="007D62F1" w:rsidP="007D62F1">
      <w:pPr>
        <w:numPr>
          <w:ilvl w:val="0"/>
          <w:numId w:val="10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Sensible limitations may also be noted: the activity falls significantly over a matter of months, requiring regular source replacement and careful decay correction; and reliable source-return verification is critical because the source is used in mobile industrial environments. </w:t>
      </w:r>
    </w:p>
    <w:p w14:paraId="03528D73" w14:textId="1B35BD6D" w:rsidR="007D62F1" w:rsidRPr="007D62F1" w:rsidRDefault="007D62F1" w:rsidP="007D62F1">
      <w:pPr>
        <w:rPr>
          <w:rFonts w:ascii="Arial" w:hAnsi="Arial" w:cs="Arial"/>
          <w:b/>
          <w:bCs/>
        </w:rPr>
      </w:pPr>
      <w:r w:rsidRPr="007D62F1">
        <w:rPr>
          <w:rFonts w:ascii="Arial" w:hAnsi="Arial" w:cs="Arial"/>
          <w:b/>
          <w:bCs/>
        </w:rPr>
        <w:t>2.</w:t>
      </w:r>
      <w:r w:rsidR="005D0218">
        <w:rPr>
          <w:rFonts w:ascii="Arial" w:hAnsi="Arial" w:cs="Arial"/>
          <w:b/>
          <w:bCs/>
        </w:rPr>
        <w:t>3</w:t>
      </w:r>
      <w:r w:rsidRPr="007D62F1">
        <w:rPr>
          <w:rFonts w:ascii="Arial" w:hAnsi="Arial" w:cs="Arial"/>
          <w:b/>
          <w:bCs/>
        </w:rPr>
        <w:t xml:space="preserve"> Decay-corrected activity on the incident date</w:t>
      </w:r>
    </w:p>
    <w:p w14:paraId="11091CF1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Given:</w:t>
      </w:r>
    </w:p>
    <w:p w14:paraId="25A80AD1" w14:textId="53B1639C" w:rsidR="007D62F1" w:rsidRPr="007D62F1" w:rsidRDefault="00000000" w:rsidP="007D62F1">
      <w:pPr>
        <w:numPr>
          <w:ilvl w:val="0"/>
          <w:numId w:val="11"/>
        </w:numPr>
        <w:rPr>
          <w:rFonts w:ascii="Arial" w:hAnsi="Arial" w:cs="Arial"/>
        </w:rPr>
      </w:pPr>
      <m:oMath>
        <m:sSub>
          <m:sSubPr>
            <m:ctrlPr>
              <w:rPr>
                <w:rFonts w:ascii="Cambria Math" w:hAnsi="Cambria Math" w:cs="Arial"/>
              </w:rPr>
            </m:ctrlPr>
          </m:sSubPr>
          <m:e>
            <m:r>
              <w:rPr>
                <w:rFonts w:ascii="Cambria Math" w:hAnsi="Cambria Math" w:cs="Arial"/>
              </w:rPr>
              <m:t>A</m:t>
            </m:r>
          </m:e>
          <m:sub>
            <m:r>
              <w:rPr>
                <w:rFonts w:ascii="Cambria Math" w:hAnsi="Cambria Math" w:cs="Arial"/>
              </w:rPr>
              <m:t>0</m:t>
            </m:r>
          </m:sub>
        </m:sSub>
        <m:r>
          <w:rPr>
            <w:rFonts w:ascii="Cambria Math" w:hAnsi="Cambria Math" w:cs="Arial"/>
          </w:rPr>
          <m:t>=3.2</m:t>
        </m:r>
      </m:oMath>
      <w:r w:rsidR="007D62F1" w:rsidRPr="007D62F1">
        <w:rPr>
          <w:rFonts w:ascii="Arial" w:hAnsi="Arial" w:cs="Arial"/>
        </w:rPr>
        <w:t xml:space="preserve">TBq on 01 August 2024 </w:t>
      </w:r>
    </w:p>
    <w:p w14:paraId="3AB3C66C" w14:textId="77777777" w:rsidR="007D62F1" w:rsidRPr="007D62F1" w:rsidRDefault="007D62F1" w:rsidP="007D62F1">
      <w:pPr>
        <w:numPr>
          <w:ilvl w:val="0"/>
          <w:numId w:val="11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Incident date = 15 October 2024 </w:t>
      </w:r>
    </w:p>
    <w:p w14:paraId="1DCFF68D" w14:textId="4D79E4FD" w:rsidR="007D62F1" w:rsidRPr="007D62F1" w:rsidRDefault="00000000" w:rsidP="007D62F1">
      <w:pPr>
        <w:numPr>
          <w:ilvl w:val="0"/>
          <w:numId w:val="11"/>
        </w:numPr>
        <w:rPr>
          <w:rFonts w:ascii="Arial" w:hAnsi="Arial" w:cs="Arial"/>
        </w:rPr>
      </w:pPr>
      <m:oMath>
        <m:sSub>
          <m:sSubPr>
            <m:ctrlPr>
              <w:rPr>
                <w:rFonts w:ascii="Cambria Math" w:hAnsi="Cambria Math" w:cs="Arial"/>
              </w:rPr>
            </m:ctrlPr>
          </m:sSubPr>
          <m:e>
            <m:r>
              <w:rPr>
                <w:rFonts w:ascii="Cambria Math" w:hAnsi="Cambria Math" w:cs="Arial"/>
              </w:rPr>
              <m:t>T</m:t>
            </m:r>
          </m:e>
          <m:sub>
            <m:r>
              <w:rPr>
                <w:rFonts w:ascii="Cambria Math" w:hAnsi="Cambria Math" w:cs="Arial"/>
              </w:rPr>
              <m:t>1</m:t>
            </m:r>
            <m:r>
              <m:rPr>
                <m:sty m:val="p"/>
              </m:rPr>
              <w:rPr>
                <w:rFonts w:ascii="Cambria Math" w:hAnsi="Cambria Math" w:cs="Arial"/>
              </w:rPr>
              <m:t>/</m:t>
            </m:r>
            <m:r>
              <w:rPr>
                <w:rFonts w:ascii="Cambria Math" w:hAnsi="Cambria Math" w:cs="Arial"/>
              </w:rPr>
              <m:t>2</m:t>
            </m:r>
          </m:sub>
        </m:sSub>
        <m:r>
          <w:rPr>
            <w:rFonts w:ascii="Cambria Math" w:hAnsi="Cambria Math" w:cs="Arial"/>
          </w:rPr>
          <m:t>=73.8</m:t>
        </m:r>
      </m:oMath>
      <w:r w:rsidR="007D62F1" w:rsidRPr="007D62F1">
        <w:rPr>
          <w:rFonts w:ascii="Arial" w:hAnsi="Arial" w:cs="Arial"/>
        </w:rPr>
        <w:t xml:space="preserve">days </w:t>
      </w:r>
    </w:p>
    <w:p w14:paraId="4E32467B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Elapsed time from 01 August to 15 October is about </w:t>
      </w:r>
      <w:r w:rsidRPr="007D62F1">
        <w:rPr>
          <w:rFonts w:ascii="Arial" w:hAnsi="Arial" w:cs="Arial"/>
          <w:b/>
          <w:bCs/>
        </w:rPr>
        <w:t>75 days</w:t>
      </w:r>
      <w:r w:rsidRPr="007D62F1">
        <w:rPr>
          <w:rFonts w:ascii="Arial" w:hAnsi="Arial" w:cs="Arial"/>
        </w:rPr>
        <w:t>.</w:t>
      </w:r>
    </w:p>
    <w:p w14:paraId="79C6AC8E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Use:</w:t>
      </w:r>
    </w:p>
    <w:p w14:paraId="55D6B58D" w14:textId="274DFF45" w:rsidR="007D62F1" w:rsidRPr="007D62F1" w:rsidRDefault="007D62F1" w:rsidP="007D62F1">
      <w:pPr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A=</m:t>
          </m:r>
          <m:sSub>
            <m:sSubPr>
              <m:ctrlPr>
                <w:rPr>
                  <w:rFonts w:ascii="Cambria Math" w:hAnsi="Cambria Math" w:cs="Arial"/>
                </w:rPr>
              </m:ctrlPr>
            </m:sSubPr>
            <m:e>
              <m:r>
                <w:rPr>
                  <w:rFonts w:ascii="Cambria Math" w:hAnsi="Cambria Math" w:cs="Arial"/>
                </w:rPr>
                <m:t>A</m:t>
              </m:r>
            </m:e>
            <m:sub>
              <m:r>
                <w:rPr>
                  <w:rFonts w:ascii="Cambria Math" w:hAnsi="Cambria Math" w:cs="Arial"/>
                </w:rPr>
                <m:t>0</m:t>
              </m:r>
            </m:sub>
          </m:sSub>
          <m:r>
            <w:rPr>
              <w:rFonts w:ascii="Cambria Math" w:hAnsi="Cambria Math" w:cs="Arial"/>
            </w:rPr>
            <m:t>×</m:t>
          </m:r>
          <m:sSup>
            <m:sSupPr>
              <m:ctrlPr>
                <w:rPr>
                  <w:rFonts w:ascii="Cambria Math" w:hAnsi="Cambria Math" w:cs="Arial"/>
                </w:rPr>
              </m:ctrlPr>
            </m:sSupPr>
            <m:e>
              <m:r>
                <w:rPr>
                  <w:rFonts w:ascii="Cambria Math" w:hAnsi="Cambria Math" w:cs="Arial"/>
                </w:rPr>
                <m:t>2</m:t>
              </m:r>
            </m:e>
            <m:sup>
              <m:r>
                <w:rPr>
                  <w:rFonts w:ascii="Cambria Math" w:hAnsi="Cambria Math" w:cs="Arial"/>
                </w:rPr>
                <m:t>-t</m:t>
              </m:r>
              <m:r>
                <m:rPr>
                  <m:sty m:val="p"/>
                </m:rPr>
                <w:rPr>
                  <w:rFonts w:ascii="Cambria Math" w:hAnsi="Cambria Math" w:cs="Arial"/>
                </w:rPr>
                <m:t>/</m:t>
              </m:r>
              <m:sSub>
                <m:sSubPr>
                  <m:ctrlPr>
                    <w:rPr>
                      <w:rFonts w:ascii="Cambria Math" w:hAnsi="Cambria Math" w:cs="Arial"/>
                    </w:rPr>
                  </m:ctrlPr>
                </m:sSubPr>
                <m:e>
                  <m:r>
                    <w:rPr>
                      <w:rFonts w:ascii="Cambria Math" w:hAnsi="Cambria Math" w:cs="Arial"/>
                    </w:rPr>
                    <m:t>T</m:t>
                  </m:r>
                </m:e>
                <m:sub>
                  <m:r>
                    <w:rPr>
                      <w:rFonts w:ascii="Cambria Math" w:hAnsi="Cambria Math" w:cs="Arial"/>
                    </w:rPr>
                    <m:t>1</m:t>
                  </m:r>
                  <m:r>
                    <m:rPr>
                      <m:sty m:val="p"/>
                    </m:rPr>
                    <w:rPr>
                      <w:rFonts w:ascii="Cambria Math" w:hAnsi="Cambria Math" w:cs="Arial"/>
                    </w:rPr>
                    <m:t>/</m:t>
                  </m:r>
                  <m:r>
                    <w:rPr>
                      <w:rFonts w:ascii="Cambria Math" w:hAnsi="Cambria Math" w:cs="Arial"/>
                    </w:rPr>
                    <m:t>2</m:t>
                  </m:r>
                </m:sub>
              </m:sSub>
            </m:sup>
          </m:sSup>
          <m:r>
            <m:rPr>
              <m:sty m:val="p"/>
            </m:rPr>
            <w:rPr>
              <w:rFonts w:ascii="Arial" w:hAnsi="Arial" w:cs="Arial"/>
            </w:rPr>
            <w:br/>
          </m:r>
        </m:oMath>
        <m:oMath>
          <m:r>
            <w:rPr>
              <w:rFonts w:ascii="Cambria Math" w:hAnsi="Cambria Math" w:cs="Arial"/>
            </w:rPr>
            <m:t>A=3.2×</m:t>
          </m:r>
          <m:sSup>
            <m:sSupPr>
              <m:ctrlPr>
                <w:rPr>
                  <w:rFonts w:ascii="Cambria Math" w:hAnsi="Cambria Math" w:cs="Arial"/>
                </w:rPr>
              </m:ctrlPr>
            </m:sSupPr>
            <m:e>
              <m:r>
                <w:rPr>
                  <w:rFonts w:ascii="Cambria Math" w:hAnsi="Cambria Math" w:cs="Arial"/>
                </w:rPr>
                <m:t>2</m:t>
              </m:r>
            </m:e>
            <m:sup>
              <m:r>
                <w:rPr>
                  <w:rFonts w:ascii="Cambria Math" w:hAnsi="Cambria Math" w:cs="Arial"/>
                </w:rPr>
                <m:t>-75</m:t>
              </m:r>
              <m:r>
                <m:rPr>
                  <m:sty m:val="p"/>
                </m:rPr>
                <w:rPr>
                  <w:rFonts w:ascii="Cambria Math" w:hAnsi="Cambria Math" w:cs="Arial"/>
                </w:rPr>
                <m:t>/</m:t>
              </m:r>
              <m:r>
                <w:rPr>
                  <w:rFonts w:ascii="Cambria Math" w:hAnsi="Cambria Math" w:cs="Arial"/>
                </w:rPr>
                <m:t>73.8</m:t>
              </m:r>
            </m:sup>
          </m:sSup>
          <m:r>
            <m:rPr>
              <m:sty m:val="p"/>
            </m:rPr>
            <w:rPr>
              <w:rFonts w:ascii="Arial" w:hAnsi="Arial" w:cs="Arial"/>
            </w:rPr>
            <w:br/>
          </m:r>
        </m:oMath>
        <m:oMath>
          <m:f>
            <m:fPr>
              <m:ctrlPr>
                <w:rPr>
                  <w:rFonts w:ascii="Cambria Math" w:hAnsi="Cambria Math" w:cs="Arial"/>
                </w:rPr>
              </m:ctrlPr>
            </m:fPr>
            <m:num>
              <m:r>
                <w:rPr>
                  <w:rFonts w:ascii="Cambria Math" w:hAnsi="Cambria Math" w:cs="Arial"/>
                </w:rPr>
                <m:t>75</m:t>
              </m:r>
            </m:num>
            <m:den>
              <m:r>
                <w:rPr>
                  <w:rFonts w:ascii="Cambria Math" w:hAnsi="Cambria Math" w:cs="Arial"/>
                </w:rPr>
                <m:t>73.8</m:t>
              </m:r>
            </m:den>
          </m:f>
          <m:r>
            <w:rPr>
              <w:rFonts w:ascii="Cambria Math" w:hAnsi="Cambria Math" w:cs="Arial"/>
            </w:rPr>
            <m:t>≈1.016</m:t>
          </m:r>
          <m:r>
            <w:rPr>
              <w:rFonts w:ascii="Arial" w:hAnsi="Arial" w:cs="Arial"/>
            </w:rPr>
            <w:br/>
          </m:r>
        </m:oMath>
        <m:oMath>
          <m:sSup>
            <m:sSupPr>
              <m:ctrlPr>
                <w:rPr>
                  <w:rFonts w:ascii="Cambria Math" w:hAnsi="Cambria Math" w:cs="Arial"/>
                </w:rPr>
              </m:ctrlPr>
            </m:sSupPr>
            <m:e>
              <m:r>
                <w:rPr>
                  <w:rFonts w:ascii="Cambria Math" w:hAnsi="Cambria Math" w:cs="Arial"/>
                </w:rPr>
                <m:t>2</m:t>
              </m:r>
            </m:e>
            <m:sup>
              <m:r>
                <w:rPr>
                  <w:rFonts w:ascii="Cambria Math" w:hAnsi="Cambria Math" w:cs="Arial"/>
                </w:rPr>
                <m:t>-1.016</m:t>
              </m:r>
            </m:sup>
          </m:sSup>
          <m:r>
            <w:rPr>
              <w:rFonts w:ascii="Cambria Math" w:hAnsi="Cambria Math" w:cs="Arial"/>
            </w:rPr>
            <m:t>≈0.494</m:t>
          </m:r>
          <m:r>
            <w:rPr>
              <w:rFonts w:ascii="Arial" w:hAnsi="Arial" w:cs="Arial"/>
            </w:rPr>
            <w:br/>
          </m:r>
        </m:oMath>
        <m:oMath>
          <m:r>
            <w:rPr>
              <w:rFonts w:ascii="Cambria Math" w:hAnsi="Cambria Math" w:cs="Arial"/>
            </w:rPr>
            <m:t>A≈3.2×0.494≈1.58</m:t>
          </m:r>
          <m:r>
            <m:rPr>
              <m:nor/>
            </m:rPr>
            <w:rPr>
              <w:rFonts w:ascii="Arial" w:hAnsi="Arial" w:cs="Arial"/>
            </w:rPr>
            <m:t xml:space="preserve"> TBq</m:t>
          </m:r>
          <m:r>
            <m:rPr>
              <m:sty m:val="p"/>
            </m:rPr>
            <w:rPr>
              <w:rFonts w:ascii="Arial" w:hAnsi="Arial" w:cs="Arial"/>
            </w:rPr>
            <w:br/>
          </m:r>
        </m:oMath>
      </m:oMathPara>
    </w:p>
    <w:p w14:paraId="28FFC6B4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So the source activity on 15 October 2024 is about:</w:t>
      </w:r>
    </w:p>
    <w:p w14:paraId="7776B11E" w14:textId="7E589F9B" w:rsidR="007D62F1" w:rsidRPr="007D62F1" w:rsidRDefault="007D62F1" w:rsidP="007D62F1">
      <w:pPr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A≈1.6</m:t>
          </m:r>
          <m:r>
            <m:rPr>
              <m:nor/>
            </m:rPr>
            <w:rPr>
              <w:rFonts w:ascii="Arial" w:hAnsi="Arial" w:cs="Arial"/>
            </w:rPr>
            <m:t xml:space="preserve"> TBq</m:t>
          </m:r>
          <m:r>
            <m:rPr>
              <m:sty m:val="p"/>
            </m:rPr>
            <w:rPr>
              <w:rFonts w:ascii="Arial" w:hAnsi="Arial" w:cs="Arial"/>
            </w:rPr>
            <w:br/>
          </m:r>
        </m:oMath>
      </m:oMathPara>
    </w:p>
    <w:p w14:paraId="1F75C1EA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Accept about </w:t>
      </w:r>
      <w:r w:rsidRPr="007D62F1">
        <w:rPr>
          <w:rFonts w:ascii="Arial" w:hAnsi="Arial" w:cs="Arial"/>
          <w:b/>
          <w:bCs/>
        </w:rPr>
        <w:t>1.55–1.60 TBq</w:t>
      </w:r>
      <w:r w:rsidRPr="007D62F1">
        <w:rPr>
          <w:rFonts w:ascii="Arial" w:hAnsi="Arial" w:cs="Arial"/>
        </w:rPr>
        <w:t>.</w:t>
      </w:r>
    </w:p>
    <w:p w14:paraId="039CE4C9" w14:textId="77777777" w:rsidR="007D62F1" w:rsidRPr="007D62F1" w:rsidRDefault="00000000" w:rsidP="007D62F1">
      <w:pPr>
        <w:rPr>
          <w:rFonts w:ascii="Arial" w:hAnsi="Arial" w:cs="Arial"/>
        </w:rPr>
      </w:pPr>
      <w:r>
        <w:rPr>
          <w:rFonts w:ascii="Arial" w:hAnsi="Arial" w:cs="Arial"/>
        </w:rPr>
        <w:pict w14:anchorId="6F710C9A">
          <v:rect id="_x0000_i1028" style="width:0;height:1.5pt" o:hralign="center" o:hrstd="t" o:hr="t" fillcolor="#a0a0a0" stroked="f"/>
        </w:pict>
      </w:r>
    </w:p>
    <w:p w14:paraId="35019E08" w14:textId="536C94E3" w:rsidR="007D62F1" w:rsidRPr="007D62F1" w:rsidRDefault="007D62F1" w:rsidP="007D62F1">
      <w:pPr>
        <w:rPr>
          <w:rFonts w:ascii="Arial" w:hAnsi="Arial" w:cs="Arial"/>
          <w:b/>
          <w:bCs/>
        </w:rPr>
      </w:pPr>
      <w:r w:rsidRPr="007D62F1">
        <w:rPr>
          <w:rFonts w:ascii="Arial" w:hAnsi="Arial" w:cs="Arial"/>
          <w:b/>
          <w:bCs/>
        </w:rPr>
        <w:t>2.</w:t>
      </w:r>
      <w:r w:rsidR="005D0218">
        <w:rPr>
          <w:rFonts w:ascii="Arial" w:hAnsi="Arial" w:cs="Arial"/>
          <w:b/>
          <w:bCs/>
        </w:rPr>
        <w:t>4</w:t>
      </w:r>
      <w:r w:rsidRPr="007D62F1">
        <w:rPr>
          <w:rFonts w:ascii="Arial" w:hAnsi="Arial" w:cs="Arial"/>
          <w:b/>
          <w:bCs/>
        </w:rPr>
        <w:t xml:space="preserve"> Unshielded dose-rate at 1 m</w:t>
      </w:r>
    </w:p>
    <w:p w14:paraId="1A18566D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Using the Ir-192 gamma constant from the student guide:</w:t>
      </w:r>
    </w:p>
    <w:p w14:paraId="32B84BF2" w14:textId="1B34196A" w:rsidR="007D62F1" w:rsidRPr="007D62F1" w:rsidRDefault="007D62F1" w:rsidP="007D62F1">
      <w:pPr>
        <w:rPr>
          <w:rFonts w:ascii="Arial" w:hAnsi="Arial" w:cs="Arial"/>
        </w:rPr>
      </w:pPr>
      <m:oMathPara>
        <m:oMath>
          <m:r>
            <m:rPr>
              <m:sty m:val="p"/>
            </m:rPr>
            <w:rPr>
              <w:rFonts w:ascii="Cambria Math" w:hAnsi="Cambria Math" w:cs="Arial"/>
            </w:rPr>
            <m:t>Γ</m:t>
          </m:r>
          <m:r>
            <w:rPr>
              <w:rFonts w:ascii="Cambria Math" w:hAnsi="Cambria Math" w:cs="Arial"/>
            </w:rPr>
            <m:t>≈0.13</m:t>
          </m:r>
          <m:sSup>
            <m:sSupPr>
              <m:ctrlPr>
                <w:rPr>
                  <w:rFonts w:ascii="Cambria Math" w:hAnsi="Cambria Math" w:cs="Arial"/>
                </w:rPr>
              </m:ctrlPr>
            </m:sSupPr>
            <m:e>
              <m:r>
                <m:rPr>
                  <m:nor/>
                </m:rPr>
                <w:rPr>
                  <w:rFonts w:ascii="Arial" w:hAnsi="Arial" w:cs="Arial"/>
                </w:rPr>
                <m:t xml:space="preserve"> mSv m</m:t>
              </m:r>
            </m:e>
            <m:sup>
              <m:r>
                <w:rPr>
                  <w:rFonts w:ascii="Cambria Math" w:hAnsi="Cambria Math" w:cs="Arial"/>
                </w:rPr>
                <m:t>2</m:t>
              </m:r>
            </m:sup>
          </m:sSup>
          <m:sSup>
            <m:sSupPr>
              <m:ctrlPr>
                <w:rPr>
                  <w:rFonts w:ascii="Cambria Math" w:hAnsi="Cambria Math" w:cs="Arial"/>
                </w:rPr>
              </m:ctrlPr>
            </m:sSupPr>
            <m:e>
              <m:r>
                <m:rPr>
                  <m:nor/>
                </m:rPr>
                <w:rPr>
                  <w:rFonts w:ascii="Arial" w:hAnsi="Arial" w:cs="Arial"/>
                </w:rPr>
                <m:t xml:space="preserve"> GBq</m:t>
              </m:r>
            </m:e>
            <m:sup>
              <m:r>
                <w:rPr>
                  <w:rFonts w:ascii="Cambria Math" w:hAnsi="Cambria Math" w:cs="Arial"/>
                </w:rPr>
                <m:t>-1</m:t>
              </m:r>
            </m:sup>
          </m:sSup>
          <m:sSup>
            <m:sSupPr>
              <m:ctrlPr>
                <w:rPr>
                  <w:rFonts w:ascii="Cambria Math" w:hAnsi="Cambria Math" w:cs="Arial"/>
                </w:rPr>
              </m:ctrlPr>
            </m:sSupPr>
            <m:e>
              <m:r>
                <m:rPr>
                  <m:nor/>
                </m:rPr>
                <w:rPr>
                  <w:rFonts w:ascii="Arial" w:hAnsi="Arial" w:cs="Arial"/>
                </w:rPr>
                <m:t xml:space="preserve"> h</m:t>
              </m:r>
            </m:e>
            <m:sup>
              <m:r>
                <w:rPr>
                  <w:rFonts w:ascii="Cambria Math" w:hAnsi="Cambria Math" w:cs="Arial"/>
                </w:rPr>
                <m:t>-1</m:t>
              </m:r>
            </m:sup>
          </m:sSup>
          <m:r>
            <m:rPr>
              <m:sty m:val="p"/>
            </m:rPr>
            <w:rPr>
              <w:rFonts w:ascii="Arial" w:hAnsi="Arial" w:cs="Arial"/>
            </w:rPr>
            <w:br/>
          </m:r>
        </m:oMath>
      </m:oMathPara>
    </w:p>
    <w:p w14:paraId="63464D2B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Convert activity:</w:t>
      </w:r>
    </w:p>
    <w:p w14:paraId="1B0B44B0" w14:textId="06568455" w:rsidR="007D62F1" w:rsidRPr="007D62F1" w:rsidRDefault="007D62F1" w:rsidP="007D62F1">
      <w:pPr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w:lastRenderedPageBreak/>
            <m:t>1.58</m:t>
          </m:r>
          <m:r>
            <m:rPr>
              <m:nor/>
            </m:rPr>
            <w:rPr>
              <w:rFonts w:ascii="Arial" w:hAnsi="Arial" w:cs="Arial"/>
            </w:rPr>
            <m:t xml:space="preserve"> TBq</m:t>
          </m:r>
          <m:r>
            <w:rPr>
              <w:rFonts w:ascii="Cambria Math" w:hAnsi="Cambria Math" w:cs="Arial"/>
            </w:rPr>
            <m:t>=1580</m:t>
          </m:r>
          <m:r>
            <m:rPr>
              <m:nor/>
            </m:rPr>
            <w:rPr>
              <w:rFonts w:ascii="Arial" w:hAnsi="Arial" w:cs="Arial"/>
            </w:rPr>
            <m:t xml:space="preserve"> GBq</m:t>
          </m:r>
          <m:r>
            <m:rPr>
              <m:sty m:val="p"/>
            </m:rPr>
            <w:rPr>
              <w:rFonts w:ascii="Arial" w:hAnsi="Arial" w:cs="Arial"/>
            </w:rPr>
            <w:br/>
          </m:r>
        </m:oMath>
      </m:oMathPara>
    </w:p>
    <w:p w14:paraId="1A56D427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Then:</w:t>
      </w:r>
    </w:p>
    <w:p w14:paraId="1015A933" w14:textId="335349D1" w:rsidR="007D62F1" w:rsidRPr="007D62F1" w:rsidRDefault="00000000" w:rsidP="007D62F1">
      <w:pPr>
        <w:rPr>
          <w:rFonts w:ascii="Arial" w:hAnsi="Arial" w:cs="Arial"/>
        </w:rPr>
      </w:pPr>
      <m:oMathPara>
        <m:oMath>
          <m:acc>
            <m:accPr>
              <m:chr m:val="̇"/>
              <m:ctrlPr>
                <w:rPr>
                  <w:rFonts w:ascii="Cambria Math" w:hAnsi="Cambria Math" w:cs="Arial"/>
                </w:rPr>
              </m:ctrlPr>
            </m:accPr>
            <m:e>
              <m:r>
                <w:rPr>
                  <w:rFonts w:ascii="Cambria Math" w:hAnsi="Cambria Math" w:cs="Arial"/>
                </w:rPr>
                <m:t>H</m:t>
              </m:r>
            </m:e>
          </m:acc>
          <m:r>
            <w:rPr>
              <w:rFonts w:ascii="Cambria Math" w:hAnsi="Cambria Math" w:cs="Arial"/>
            </w:rPr>
            <m:t>(1</m:t>
          </m:r>
          <m:r>
            <m:rPr>
              <m:nor/>
            </m:rPr>
            <w:rPr>
              <w:rFonts w:ascii="Arial" w:hAnsi="Arial" w:cs="Arial"/>
            </w:rPr>
            <m:t xml:space="preserve"> m</m:t>
          </m:r>
          <m:r>
            <w:rPr>
              <w:rFonts w:ascii="Cambria Math" w:hAnsi="Cambria Math" w:cs="Arial"/>
            </w:rPr>
            <m:t>)=</m:t>
          </m:r>
          <m:r>
            <m:rPr>
              <m:sty m:val="p"/>
            </m:rPr>
            <w:rPr>
              <w:rFonts w:ascii="Cambria Math" w:hAnsi="Cambria Math" w:cs="Arial"/>
            </w:rPr>
            <m:t>Γ</m:t>
          </m:r>
          <m:r>
            <w:rPr>
              <w:rFonts w:ascii="Cambria Math" w:hAnsi="Cambria Math" w:cs="Arial"/>
            </w:rPr>
            <m:t>A</m:t>
          </m:r>
          <m:r>
            <w:rPr>
              <w:rFonts w:ascii="Arial" w:hAnsi="Arial" w:cs="Arial"/>
            </w:rPr>
            <w:br/>
          </m:r>
        </m:oMath>
        <m:oMath>
          <m:acc>
            <m:accPr>
              <m:chr m:val="̇"/>
              <m:ctrlPr>
                <w:rPr>
                  <w:rFonts w:ascii="Cambria Math" w:hAnsi="Cambria Math" w:cs="Arial"/>
                </w:rPr>
              </m:ctrlPr>
            </m:accPr>
            <m:e>
              <m:r>
                <w:rPr>
                  <w:rFonts w:ascii="Cambria Math" w:hAnsi="Cambria Math" w:cs="Arial"/>
                </w:rPr>
                <m:t>H</m:t>
              </m:r>
            </m:e>
          </m:acc>
          <m:r>
            <w:rPr>
              <w:rFonts w:ascii="Cambria Math" w:hAnsi="Cambria Math" w:cs="Arial"/>
            </w:rPr>
            <m:t>(1</m:t>
          </m:r>
          <m:r>
            <m:rPr>
              <m:nor/>
            </m:rPr>
            <w:rPr>
              <w:rFonts w:ascii="Arial" w:hAnsi="Arial" w:cs="Arial"/>
            </w:rPr>
            <m:t xml:space="preserve"> m</m:t>
          </m:r>
          <m:r>
            <w:rPr>
              <w:rFonts w:ascii="Cambria Math" w:hAnsi="Cambria Math" w:cs="Arial"/>
            </w:rPr>
            <m:t>)≈0.13×1580</m:t>
          </m:r>
          <m:sSup>
            <m:sSupPr>
              <m:ctrlPr>
                <w:rPr>
                  <w:rFonts w:ascii="Cambria Math" w:hAnsi="Cambria Math" w:cs="Arial"/>
                </w:rPr>
              </m:ctrlPr>
            </m:sSupPr>
            <m:e>
              <m:r>
                <m:rPr>
                  <m:nor/>
                </m:rPr>
                <w:rPr>
                  <w:rFonts w:ascii="Arial" w:hAnsi="Arial" w:cs="Arial"/>
                </w:rPr>
                <m:t xml:space="preserve"> mSv h</m:t>
              </m:r>
            </m:e>
            <m:sup>
              <m:r>
                <w:rPr>
                  <w:rFonts w:ascii="Cambria Math" w:hAnsi="Cambria Math" w:cs="Arial"/>
                </w:rPr>
                <m:t>-1</m:t>
              </m:r>
            </m:sup>
          </m:sSup>
          <m:r>
            <m:rPr>
              <m:sty m:val="p"/>
            </m:rPr>
            <w:rPr>
              <w:rFonts w:ascii="Arial" w:hAnsi="Arial" w:cs="Arial"/>
            </w:rPr>
            <w:br/>
          </m:r>
        </m:oMath>
        <m:oMath>
          <m:acc>
            <m:accPr>
              <m:chr m:val="̇"/>
              <m:ctrlPr>
                <w:rPr>
                  <w:rFonts w:ascii="Cambria Math" w:hAnsi="Cambria Math" w:cs="Arial"/>
                </w:rPr>
              </m:ctrlPr>
            </m:accPr>
            <m:e>
              <m:r>
                <w:rPr>
                  <w:rFonts w:ascii="Cambria Math" w:hAnsi="Cambria Math" w:cs="Arial"/>
                </w:rPr>
                <m:t>H</m:t>
              </m:r>
            </m:e>
          </m:acc>
          <m:r>
            <w:rPr>
              <w:rFonts w:ascii="Cambria Math" w:hAnsi="Cambria Math" w:cs="Arial"/>
            </w:rPr>
            <m:t>(1</m:t>
          </m:r>
          <m:r>
            <m:rPr>
              <m:nor/>
            </m:rPr>
            <w:rPr>
              <w:rFonts w:ascii="Arial" w:hAnsi="Arial" w:cs="Arial"/>
            </w:rPr>
            <m:t xml:space="preserve"> m</m:t>
          </m:r>
          <m:r>
            <w:rPr>
              <w:rFonts w:ascii="Cambria Math" w:hAnsi="Cambria Math" w:cs="Arial"/>
            </w:rPr>
            <m:t>)≈205</m:t>
          </m:r>
          <m:sSup>
            <m:sSupPr>
              <m:ctrlPr>
                <w:rPr>
                  <w:rFonts w:ascii="Cambria Math" w:hAnsi="Cambria Math" w:cs="Arial"/>
                </w:rPr>
              </m:ctrlPr>
            </m:sSupPr>
            <m:e>
              <m:r>
                <m:rPr>
                  <m:nor/>
                </m:rPr>
                <w:rPr>
                  <w:rFonts w:ascii="Arial" w:hAnsi="Arial" w:cs="Arial"/>
                </w:rPr>
                <m:t xml:space="preserve"> mSv h</m:t>
              </m:r>
            </m:e>
            <m:sup>
              <m:r>
                <w:rPr>
                  <w:rFonts w:ascii="Cambria Math" w:hAnsi="Cambria Math" w:cs="Arial"/>
                </w:rPr>
                <m:t>-1</m:t>
              </m:r>
            </m:sup>
          </m:sSup>
          <m:r>
            <m:rPr>
              <m:sty m:val="p"/>
            </m:rPr>
            <w:rPr>
              <w:rFonts w:ascii="Arial" w:hAnsi="Arial" w:cs="Arial"/>
            </w:rPr>
            <w:br/>
          </m:r>
        </m:oMath>
        <m:oMath>
          <m:acc>
            <m:accPr>
              <m:chr m:val="̇"/>
              <m:ctrlPr>
                <w:rPr>
                  <w:rFonts w:ascii="Cambria Math" w:hAnsi="Cambria Math" w:cs="Arial"/>
                </w:rPr>
              </m:ctrlPr>
            </m:accPr>
            <m:e>
              <m:r>
                <w:rPr>
                  <w:rFonts w:ascii="Cambria Math" w:hAnsi="Cambria Math" w:cs="Arial"/>
                </w:rPr>
                <m:t>H</m:t>
              </m:r>
            </m:e>
          </m:acc>
          <m:r>
            <w:rPr>
              <w:rFonts w:ascii="Cambria Math" w:hAnsi="Cambria Math" w:cs="Arial"/>
            </w:rPr>
            <m:t>(1</m:t>
          </m:r>
          <m:r>
            <m:rPr>
              <m:nor/>
            </m:rPr>
            <w:rPr>
              <w:rFonts w:ascii="Arial" w:hAnsi="Arial" w:cs="Arial"/>
            </w:rPr>
            <m:t xml:space="preserve"> m</m:t>
          </m:r>
          <m:r>
            <w:rPr>
              <w:rFonts w:ascii="Cambria Math" w:hAnsi="Cambria Math" w:cs="Arial"/>
            </w:rPr>
            <m:t>)≈0.21</m:t>
          </m:r>
          <m:sSup>
            <m:sSupPr>
              <m:ctrlPr>
                <w:rPr>
                  <w:rFonts w:ascii="Cambria Math" w:hAnsi="Cambria Math" w:cs="Arial"/>
                </w:rPr>
              </m:ctrlPr>
            </m:sSupPr>
            <m:e>
              <m:r>
                <m:rPr>
                  <m:nor/>
                </m:rPr>
                <w:rPr>
                  <w:rFonts w:ascii="Arial" w:hAnsi="Arial" w:cs="Arial"/>
                </w:rPr>
                <m:t xml:space="preserve"> Sv h</m:t>
              </m:r>
            </m:e>
            <m:sup>
              <m:r>
                <w:rPr>
                  <w:rFonts w:ascii="Cambria Math" w:hAnsi="Cambria Math" w:cs="Arial"/>
                </w:rPr>
                <m:t>-1</m:t>
              </m:r>
            </m:sup>
          </m:sSup>
          <m:r>
            <m:rPr>
              <m:sty m:val="p"/>
            </m:rPr>
            <w:rPr>
              <w:rFonts w:ascii="Arial" w:hAnsi="Arial" w:cs="Arial"/>
            </w:rPr>
            <w:br/>
          </m:r>
        </m:oMath>
      </m:oMathPara>
    </w:p>
    <w:p w14:paraId="2A08B284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So the unshielded dose rate at 1 m is about </w:t>
      </w:r>
      <w:r w:rsidRPr="007D62F1">
        <w:rPr>
          <w:rFonts w:ascii="Arial" w:hAnsi="Arial" w:cs="Arial"/>
          <w:b/>
          <w:bCs/>
        </w:rPr>
        <w:t>0.21 Sv h^-1</w:t>
      </w:r>
      <w:r w:rsidRPr="007D62F1">
        <w:rPr>
          <w:rFonts w:ascii="Arial" w:hAnsi="Arial" w:cs="Arial"/>
        </w:rPr>
        <w:t>.</w:t>
      </w:r>
    </w:p>
    <w:p w14:paraId="2AB53324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A good report may comment that the point-source approximation is reasonable for a hand calculation, but that the actual field may be modified by guide-tube geometry, projector shielding and source position within the system.</w:t>
      </w:r>
    </w:p>
    <w:p w14:paraId="0477C6F8" w14:textId="77777777" w:rsidR="007D62F1" w:rsidRPr="007D62F1" w:rsidRDefault="00000000" w:rsidP="007D62F1">
      <w:pPr>
        <w:rPr>
          <w:rFonts w:ascii="Arial" w:hAnsi="Arial" w:cs="Arial"/>
        </w:rPr>
      </w:pPr>
      <w:r>
        <w:rPr>
          <w:rFonts w:ascii="Arial" w:hAnsi="Arial" w:cs="Arial"/>
        </w:rPr>
        <w:pict w14:anchorId="5EFD656E">
          <v:rect id="_x0000_i1029" style="width:0;height:1.5pt" o:hralign="center" o:hrstd="t" o:hr="t" fillcolor="#a0a0a0" stroked="f"/>
        </w:pict>
      </w:r>
    </w:p>
    <w:p w14:paraId="0218D83D" w14:textId="09742F86" w:rsidR="007D62F1" w:rsidRPr="007D62F1" w:rsidRDefault="007D62F1" w:rsidP="007D62F1">
      <w:pPr>
        <w:rPr>
          <w:rFonts w:ascii="Arial" w:hAnsi="Arial" w:cs="Arial"/>
          <w:b/>
          <w:bCs/>
        </w:rPr>
      </w:pPr>
      <w:r w:rsidRPr="007D62F1">
        <w:rPr>
          <w:rFonts w:ascii="Arial" w:hAnsi="Arial" w:cs="Arial"/>
          <w:b/>
          <w:bCs/>
        </w:rPr>
        <w:t>2.</w:t>
      </w:r>
      <w:r w:rsidR="005D0218">
        <w:rPr>
          <w:rFonts w:ascii="Arial" w:hAnsi="Arial" w:cs="Arial"/>
          <w:b/>
          <w:bCs/>
        </w:rPr>
        <w:t>5</w:t>
      </w:r>
      <w:r w:rsidRPr="007D62F1">
        <w:rPr>
          <w:rFonts w:ascii="Arial" w:hAnsi="Arial" w:cs="Arial"/>
          <w:b/>
          <w:bCs/>
        </w:rPr>
        <w:t xml:space="preserve"> Dose-rate at 0.7 m</w:t>
      </w:r>
    </w:p>
    <w:p w14:paraId="0E2C3BDC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The technician remained within approximately </w:t>
      </w:r>
      <w:r w:rsidRPr="007D62F1">
        <w:rPr>
          <w:rFonts w:ascii="Arial" w:hAnsi="Arial" w:cs="Arial"/>
          <w:b/>
          <w:bCs/>
        </w:rPr>
        <w:t>0.7 m</w:t>
      </w:r>
      <w:r w:rsidRPr="007D62F1">
        <w:rPr>
          <w:rFonts w:ascii="Arial" w:hAnsi="Arial" w:cs="Arial"/>
        </w:rPr>
        <w:t xml:space="preserve"> of the source position.</w:t>
      </w:r>
    </w:p>
    <w:p w14:paraId="52011408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Using inverse-square scaling:</w:t>
      </w:r>
    </w:p>
    <w:p w14:paraId="0E6A4EBA" w14:textId="6A5CCA23" w:rsidR="007D62F1" w:rsidRPr="007D62F1" w:rsidRDefault="00000000" w:rsidP="007D62F1">
      <w:pPr>
        <w:rPr>
          <w:rFonts w:ascii="Arial" w:hAnsi="Arial" w:cs="Arial"/>
        </w:rPr>
      </w:pPr>
      <m:oMathPara>
        <m:oMath>
          <m:acc>
            <m:accPr>
              <m:chr m:val="̇"/>
              <m:ctrlPr>
                <w:rPr>
                  <w:rFonts w:ascii="Cambria Math" w:hAnsi="Cambria Math" w:cs="Arial"/>
                </w:rPr>
              </m:ctrlPr>
            </m:accPr>
            <m:e>
              <m:r>
                <w:rPr>
                  <w:rFonts w:ascii="Cambria Math" w:hAnsi="Cambria Math" w:cs="Arial"/>
                </w:rPr>
                <m:t>H</m:t>
              </m:r>
            </m:e>
          </m:acc>
          <m:r>
            <w:rPr>
              <w:rFonts w:ascii="Cambria Math" w:hAnsi="Cambria Math" w:cs="Arial"/>
            </w:rPr>
            <m:t>(0.7</m:t>
          </m:r>
          <m:r>
            <m:rPr>
              <m:nor/>
            </m:rPr>
            <w:rPr>
              <w:rFonts w:ascii="Arial" w:hAnsi="Arial" w:cs="Arial"/>
            </w:rPr>
            <m:t xml:space="preserve"> m</m:t>
          </m:r>
          <m:r>
            <w:rPr>
              <w:rFonts w:ascii="Cambria Math" w:hAnsi="Cambria Math" w:cs="Arial"/>
            </w:rPr>
            <m:t>)=</m:t>
          </m:r>
          <m:f>
            <m:fPr>
              <m:ctrlPr>
                <w:rPr>
                  <w:rFonts w:ascii="Cambria Math" w:hAnsi="Cambria Math" w:cs="Arial"/>
                </w:rPr>
              </m:ctrlPr>
            </m:fPr>
            <m:num>
              <m:r>
                <w:rPr>
                  <w:rFonts w:ascii="Cambria Math" w:hAnsi="Cambria Math" w:cs="Arial"/>
                </w:rPr>
                <m:t>0.205</m:t>
              </m:r>
            </m:num>
            <m:den>
              <m:sSup>
                <m:sSupPr>
                  <m:ctrlPr>
                    <w:rPr>
                      <w:rFonts w:ascii="Cambria Math" w:hAnsi="Cambria Math" w:cs="Arial"/>
                    </w:rPr>
                  </m:ctrlPr>
                </m:sSupPr>
                <m:e>
                  <m:r>
                    <w:rPr>
                      <w:rFonts w:ascii="Cambria Math" w:hAnsi="Cambria Math" w:cs="Arial"/>
                    </w:rPr>
                    <m:t>0.7</m:t>
                  </m:r>
                </m:e>
                <m:sup>
                  <m:r>
                    <w:rPr>
                      <w:rFonts w:ascii="Cambria Math" w:hAnsi="Cambria Math" w:cs="Arial"/>
                    </w:rPr>
                    <m:t>2</m:t>
                  </m:r>
                </m:sup>
              </m:sSup>
            </m:den>
          </m:f>
          <m:r>
            <m:rPr>
              <m:sty m:val="p"/>
            </m:rPr>
            <w:rPr>
              <w:rFonts w:ascii="Arial" w:hAnsi="Arial" w:cs="Arial"/>
            </w:rPr>
            <w:br/>
          </m:r>
        </m:oMath>
        <m:oMath>
          <m:acc>
            <m:accPr>
              <m:chr m:val="̇"/>
              <m:ctrlPr>
                <w:rPr>
                  <w:rFonts w:ascii="Cambria Math" w:hAnsi="Cambria Math" w:cs="Arial"/>
                </w:rPr>
              </m:ctrlPr>
            </m:accPr>
            <m:e>
              <m:r>
                <w:rPr>
                  <w:rFonts w:ascii="Cambria Math" w:hAnsi="Cambria Math" w:cs="Arial"/>
                </w:rPr>
                <m:t>H</m:t>
              </m:r>
            </m:e>
          </m:acc>
          <m:r>
            <w:rPr>
              <w:rFonts w:ascii="Cambria Math" w:hAnsi="Cambria Math" w:cs="Arial"/>
            </w:rPr>
            <m:t>(0.7</m:t>
          </m:r>
          <m:r>
            <m:rPr>
              <m:nor/>
            </m:rPr>
            <w:rPr>
              <w:rFonts w:ascii="Arial" w:hAnsi="Arial" w:cs="Arial"/>
            </w:rPr>
            <m:t xml:space="preserve"> m</m:t>
          </m:r>
          <m:r>
            <w:rPr>
              <w:rFonts w:ascii="Cambria Math" w:hAnsi="Cambria Math" w:cs="Arial"/>
            </w:rPr>
            <m:t>)=</m:t>
          </m:r>
          <m:f>
            <m:fPr>
              <m:ctrlPr>
                <w:rPr>
                  <w:rFonts w:ascii="Cambria Math" w:hAnsi="Cambria Math" w:cs="Arial"/>
                </w:rPr>
              </m:ctrlPr>
            </m:fPr>
            <m:num>
              <m:r>
                <w:rPr>
                  <w:rFonts w:ascii="Cambria Math" w:hAnsi="Cambria Math" w:cs="Arial"/>
                </w:rPr>
                <m:t>0.205</m:t>
              </m:r>
            </m:num>
            <m:den>
              <m:r>
                <w:rPr>
                  <w:rFonts w:ascii="Cambria Math" w:hAnsi="Cambria Math" w:cs="Arial"/>
                </w:rPr>
                <m:t>0.49</m:t>
              </m:r>
            </m:den>
          </m:f>
          <m:r>
            <m:rPr>
              <m:sty m:val="p"/>
            </m:rPr>
            <w:rPr>
              <w:rFonts w:ascii="Arial" w:hAnsi="Arial" w:cs="Arial"/>
            </w:rPr>
            <w:br/>
          </m:r>
        </m:oMath>
        <m:oMath>
          <m:acc>
            <m:accPr>
              <m:chr m:val="̇"/>
              <m:ctrlPr>
                <w:rPr>
                  <w:rFonts w:ascii="Cambria Math" w:hAnsi="Cambria Math" w:cs="Arial"/>
                </w:rPr>
              </m:ctrlPr>
            </m:accPr>
            <m:e>
              <m:r>
                <w:rPr>
                  <w:rFonts w:ascii="Cambria Math" w:hAnsi="Cambria Math" w:cs="Arial"/>
                </w:rPr>
                <m:t>H</m:t>
              </m:r>
            </m:e>
          </m:acc>
          <m:r>
            <w:rPr>
              <w:rFonts w:ascii="Cambria Math" w:hAnsi="Cambria Math" w:cs="Arial"/>
            </w:rPr>
            <m:t>(0.7</m:t>
          </m:r>
          <m:r>
            <m:rPr>
              <m:nor/>
            </m:rPr>
            <w:rPr>
              <w:rFonts w:ascii="Arial" w:hAnsi="Arial" w:cs="Arial"/>
            </w:rPr>
            <m:t xml:space="preserve"> m</m:t>
          </m:r>
          <m:r>
            <w:rPr>
              <w:rFonts w:ascii="Cambria Math" w:hAnsi="Cambria Math" w:cs="Arial"/>
            </w:rPr>
            <m:t>)≈0.418</m:t>
          </m:r>
          <m:sSup>
            <m:sSupPr>
              <m:ctrlPr>
                <w:rPr>
                  <w:rFonts w:ascii="Cambria Math" w:hAnsi="Cambria Math" w:cs="Arial"/>
                </w:rPr>
              </m:ctrlPr>
            </m:sSupPr>
            <m:e>
              <m:r>
                <m:rPr>
                  <m:nor/>
                </m:rPr>
                <w:rPr>
                  <w:rFonts w:ascii="Arial" w:hAnsi="Arial" w:cs="Arial"/>
                </w:rPr>
                <m:t xml:space="preserve"> Sv h</m:t>
              </m:r>
            </m:e>
            <m:sup>
              <m:r>
                <w:rPr>
                  <w:rFonts w:ascii="Cambria Math" w:hAnsi="Cambria Math" w:cs="Arial"/>
                </w:rPr>
                <m:t>-1</m:t>
              </m:r>
            </m:sup>
          </m:sSup>
          <m:r>
            <m:rPr>
              <m:sty m:val="p"/>
            </m:rPr>
            <w:rPr>
              <w:rFonts w:ascii="Arial" w:hAnsi="Arial" w:cs="Arial"/>
            </w:rPr>
            <w:br/>
          </m:r>
        </m:oMath>
      </m:oMathPara>
    </w:p>
    <w:p w14:paraId="1F5AE48D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So a reasonable estimate is:</w:t>
      </w:r>
    </w:p>
    <w:p w14:paraId="7CFECACA" w14:textId="4E5CBE75" w:rsidR="007D62F1" w:rsidRPr="007D62F1" w:rsidRDefault="00000000" w:rsidP="007D62F1">
      <w:pPr>
        <w:rPr>
          <w:rFonts w:ascii="Arial" w:hAnsi="Arial" w:cs="Arial"/>
        </w:rPr>
      </w:pPr>
      <m:oMathPara>
        <m:oMath>
          <m:acc>
            <m:accPr>
              <m:chr m:val="̇"/>
              <m:ctrlPr>
                <w:rPr>
                  <w:rFonts w:ascii="Cambria Math" w:hAnsi="Cambria Math" w:cs="Arial"/>
                </w:rPr>
              </m:ctrlPr>
            </m:accPr>
            <m:e>
              <m:r>
                <w:rPr>
                  <w:rFonts w:ascii="Cambria Math" w:hAnsi="Cambria Math" w:cs="Arial"/>
                </w:rPr>
                <m:t>H</m:t>
              </m:r>
            </m:e>
          </m:acc>
          <m:r>
            <w:rPr>
              <w:rFonts w:ascii="Cambria Math" w:hAnsi="Cambria Math" w:cs="Arial"/>
            </w:rPr>
            <m:t>(0.7</m:t>
          </m:r>
          <m:r>
            <m:rPr>
              <m:nor/>
            </m:rPr>
            <w:rPr>
              <w:rFonts w:ascii="Arial" w:hAnsi="Arial" w:cs="Arial"/>
            </w:rPr>
            <m:t xml:space="preserve"> m</m:t>
          </m:r>
          <m:r>
            <w:rPr>
              <w:rFonts w:ascii="Cambria Math" w:hAnsi="Cambria Math" w:cs="Arial"/>
            </w:rPr>
            <m:t>)≈0.42</m:t>
          </m:r>
          <m:sSup>
            <m:sSupPr>
              <m:ctrlPr>
                <w:rPr>
                  <w:rFonts w:ascii="Cambria Math" w:hAnsi="Cambria Math" w:cs="Arial"/>
                </w:rPr>
              </m:ctrlPr>
            </m:sSupPr>
            <m:e>
              <m:r>
                <m:rPr>
                  <m:nor/>
                </m:rPr>
                <w:rPr>
                  <w:rFonts w:ascii="Arial" w:hAnsi="Arial" w:cs="Arial"/>
                </w:rPr>
                <m:t xml:space="preserve"> Sv h</m:t>
              </m:r>
            </m:e>
            <m:sup>
              <m:r>
                <w:rPr>
                  <w:rFonts w:ascii="Cambria Math" w:hAnsi="Cambria Math" w:cs="Arial"/>
                </w:rPr>
                <m:t>-1</m:t>
              </m:r>
            </m:sup>
          </m:sSup>
          <m:r>
            <m:rPr>
              <m:sty m:val="p"/>
            </m:rPr>
            <w:rPr>
              <w:rFonts w:ascii="Arial" w:hAnsi="Arial" w:cs="Arial"/>
            </w:rPr>
            <w:br/>
          </m:r>
        </m:oMath>
      </m:oMathPara>
    </w:p>
    <w:p w14:paraId="55B691DB" w14:textId="77777777" w:rsidR="007D62F1" w:rsidRPr="007D62F1" w:rsidRDefault="00000000" w:rsidP="007D62F1">
      <w:pPr>
        <w:rPr>
          <w:rFonts w:ascii="Arial" w:hAnsi="Arial" w:cs="Arial"/>
        </w:rPr>
      </w:pPr>
      <w:r>
        <w:rPr>
          <w:rFonts w:ascii="Arial" w:hAnsi="Arial" w:cs="Arial"/>
        </w:rPr>
        <w:pict w14:anchorId="3A2925F9">
          <v:rect id="_x0000_i1030" style="width:0;height:1.5pt" o:hralign="center" o:hrstd="t" o:hr="t" fillcolor="#a0a0a0" stroked="f"/>
        </w:pict>
      </w:r>
    </w:p>
    <w:p w14:paraId="58065CBE" w14:textId="17CB1CE1" w:rsidR="007D62F1" w:rsidRPr="007D62F1" w:rsidRDefault="007D62F1" w:rsidP="007D62F1">
      <w:pPr>
        <w:rPr>
          <w:rFonts w:ascii="Arial" w:hAnsi="Arial" w:cs="Arial"/>
          <w:b/>
          <w:bCs/>
        </w:rPr>
      </w:pPr>
      <w:r w:rsidRPr="007D62F1">
        <w:rPr>
          <w:rFonts w:ascii="Arial" w:hAnsi="Arial" w:cs="Arial"/>
          <w:b/>
          <w:bCs/>
        </w:rPr>
        <w:t>2.</w:t>
      </w:r>
      <w:r w:rsidR="005D0218">
        <w:rPr>
          <w:rFonts w:ascii="Arial" w:hAnsi="Arial" w:cs="Arial"/>
          <w:b/>
          <w:bCs/>
        </w:rPr>
        <w:t>6</w:t>
      </w:r>
      <w:r w:rsidRPr="007D62F1">
        <w:rPr>
          <w:rFonts w:ascii="Arial" w:hAnsi="Arial" w:cs="Arial"/>
          <w:b/>
          <w:bCs/>
        </w:rPr>
        <w:t xml:space="preserve"> Effective dose estimate</w:t>
      </w:r>
    </w:p>
    <w:p w14:paraId="0720CB3B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Exposure duration is estimated as </w:t>
      </w:r>
      <w:r w:rsidRPr="007D62F1">
        <w:rPr>
          <w:rFonts w:ascii="Arial" w:hAnsi="Arial" w:cs="Arial"/>
          <w:b/>
          <w:bCs/>
        </w:rPr>
        <w:t>5–6 minutes</w:t>
      </w:r>
      <w:r w:rsidRPr="007D62F1">
        <w:rPr>
          <w:rFonts w:ascii="Arial" w:hAnsi="Arial" w:cs="Arial"/>
        </w:rPr>
        <w:t>.</w:t>
      </w:r>
    </w:p>
    <w:p w14:paraId="1021409F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For </w:t>
      </w:r>
      <w:r w:rsidRPr="007D62F1">
        <w:rPr>
          <w:rFonts w:ascii="Arial" w:hAnsi="Arial" w:cs="Arial"/>
          <w:b/>
          <w:bCs/>
        </w:rPr>
        <w:t>5 minutes</w:t>
      </w:r>
      <w:r w:rsidRPr="007D62F1">
        <w:rPr>
          <w:rFonts w:ascii="Arial" w:hAnsi="Arial" w:cs="Arial"/>
        </w:rPr>
        <w:t>:</w:t>
      </w:r>
    </w:p>
    <w:p w14:paraId="66B8D15A" w14:textId="640C28F7" w:rsidR="007D62F1" w:rsidRPr="007D62F1" w:rsidRDefault="007D62F1" w:rsidP="007D62F1">
      <w:pPr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D=0.418×</m:t>
          </m:r>
          <m:f>
            <m:fPr>
              <m:ctrlPr>
                <w:rPr>
                  <w:rFonts w:ascii="Cambria Math" w:hAnsi="Cambria Math" w:cs="Arial"/>
                </w:rPr>
              </m:ctrlPr>
            </m:fPr>
            <m:num>
              <m:r>
                <w:rPr>
                  <w:rFonts w:ascii="Cambria Math" w:hAnsi="Cambria Math" w:cs="Arial"/>
                </w:rPr>
                <m:t>5</m:t>
              </m:r>
            </m:num>
            <m:den>
              <m:r>
                <w:rPr>
                  <w:rFonts w:ascii="Cambria Math" w:hAnsi="Cambria Math" w:cs="Arial"/>
                </w:rPr>
                <m:t>60</m:t>
              </m:r>
            </m:den>
          </m:f>
          <m:r>
            <m:rPr>
              <m:sty m:val="p"/>
            </m:rPr>
            <w:rPr>
              <w:rFonts w:ascii="Arial" w:hAnsi="Arial" w:cs="Arial"/>
            </w:rPr>
            <w:br/>
          </m:r>
        </m:oMath>
        <m:oMath>
          <m:r>
            <w:rPr>
              <w:rFonts w:ascii="Cambria Math" w:hAnsi="Cambria Math" w:cs="Arial"/>
            </w:rPr>
            <m:t>D≈0.0348</m:t>
          </m:r>
          <m:r>
            <m:rPr>
              <m:nor/>
            </m:rPr>
            <w:rPr>
              <w:rFonts w:ascii="Arial" w:hAnsi="Arial" w:cs="Arial"/>
            </w:rPr>
            <m:t xml:space="preserve"> Sv</m:t>
          </m:r>
          <m:r>
            <w:rPr>
              <w:rFonts w:ascii="Cambria Math" w:hAnsi="Cambria Math" w:cs="Arial"/>
            </w:rPr>
            <m:t>=34.8</m:t>
          </m:r>
          <m:r>
            <m:rPr>
              <m:nor/>
            </m:rPr>
            <w:rPr>
              <w:rFonts w:ascii="Arial" w:hAnsi="Arial" w:cs="Arial"/>
            </w:rPr>
            <m:t xml:space="preserve"> mSv</m:t>
          </m:r>
          <m:r>
            <m:rPr>
              <m:sty m:val="p"/>
            </m:rPr>
            <w:rPr>
              <w:rFonts w:ascii="Arial" w:hAnsi="Arial" w:cs="Arial"/>
            </w:rPr>
            <w:br/>
          </m:r>
        </m:oMath>
      </m:oMathPara>
    </w:p>
    <w:p w14:paraId="5B444F5F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For </w:t>
      </w:r>
      <w:r w:rsidRPr="007D62F1">
        <w:rPr>
          <w:rFonts w:ascii="Arial" w:hAnsi="Arial" w:cs="Arial"/>
          <w:b/>
          <w:bCs/>
        </w:rPr>
        <w:t>6 minutes</w:t>
      </w:r>
      <w:r w:rsidRPr="007D62F1">
        <w:rPr>
          <w:rFonts w:ascii="Arial" w:hAnsi="Arial" w:cs="Arial"/>
        </w:rPr>
        <w:t>:</w:t>
      </w:r>
    </w:p>
    <w:p w14:paraId="66A5DC01" w14:textId="7A50BD0E" w:rsidR="007D62F1" w:rsidRPr="007D62F1" w:rsidRDefault="007D62F1" w:rsidP="007D62F1">
      <w:pPr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D=0.418×</m:t>
          </m:r>
          <m:f>
            <m:fPr>
              <m:ctrlPr>
                <w:rPr>
                  <w:rFonts w:ascii="Cambria Math" w:hAnsi="Cambria Math" w:cs="Arial"/>
                </w:rPr>
              </m:ctrlPr>
            </m:fPr>
            <m:num>
              <m:r>
                <w:rPr>
                  <w:rFonts w:ascii="Cambria Math" w:hAnsi="Cambria Math" w:cs="Arial"/>
                </w:rPr>
                <m:t>6</m:t>
              </m:r>
            </m:num>
            <m:den>
              <m:r>
                <w:rPr>
                  <w:rFonts w:ascii="Cambria Math" w:hAnsi="Cambria Math" w:cs="Arial"/>
                </w:rPr>
                <m:t>60</m:t>
              </m:r>
            </m:den>
          </m:f>
          <m:r>
            <m:rPr>
              <m:sty m:val="p"/>
            </m:rPr>
            <w:rPr>
              <w:rFonts w:ascii="Arial" w:hAnsi="Arial" w:cs="Arial"/>
            </w:rPr>
            <w:br/>
          </m:r>
        </m:oMath>
        <m:oMath>
          <m:r>
            <w:rPr>
              <w:rFonts w:ascii="Cambria Math" w:hAnsi="Cambria Math" w:cs="Arial"/>
            </w:rPr>
            <m:t>D≈0.0418</m:t>
          </m:r>
          <m:r>
            <m:rPr>
              <m:nor/>
            </m:rPr>
            <w:rPr>
              <w:rFonts w:ascii="Arial" w:hAnsi="Arial" w:cs="Arial"/>
            </w:rPr>
            <m:t xml:space="preserve"> Sv</m:t>
          </m:r>
          <m:r>
            <w:rPr>
              <w:rFonts w:ascii="Cambria Math" w:hAnsi="Cambria Math" w:cs="Arial"/>
            </w:rPr>
            <m:t>=41.8</m:t>
          </m:r>
          <m:r>
            <m:rPr>
              <m:nor/>
            </m:rPr>
            <w:rPr>
              <w:rFonts w:ascii="Arial" w:hAnsi="Arial" w:cs="Arial"/>
            </w:rPr>
            <m:t xml:space="preserve"> mSv</m:t>
          </m:r>
          <m:r>
            <m:rPr>
              <m:sty m:val="p"/>
            </m:rPr>
            <w:rPr>
              <w:rFonts w:ascii="Arial" w:hAnsi="Arial" w:cs="Arial"/>
            </w:rPr>
            <w:br/>
          </m:r>
        </m:oMath>
      </m:oMathPara>
    </w:p>
    <w:p w14:paraId="03F6132B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So a defensible dose band is:</w:t>
      </w:r>
    </w:p>
    <w:p w14:paraId="124A1551" w14:textId="03211D31" w:rsidR="007D62F1" w:rsidRPr="007D62F1" w:rsidRDefault="007D62F1" w:rsidP="007D62F1">
      <w:pPr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w:lastRenderedPageBreak/>
            <m:t>D≈35</m:t>
          </m:r>
          <m:r>
            <m:rPr>
              <m:nor/>
            </m:rPr>
            <w:rPr>
              <w:rFonts w:ascii="Arial" w:hAnsi="Arial" w:cs="Arial"/>
            </w:rPr>
            <m:t>–</m:t>
          </m:r>
          <m:r>
            <w:rPr>
              <w:rFonts w:ascii="Cambria Math" w:hAnsi="Cambria Math" w:cs="Arial"/>
            </w:rPr>
            <m:t>42</m:t>
          </m:r>
          <m:r>
            <m:rPr>
              <m:nor/>
            </m:rPr>
            <w:rPr>
              <w:rFonts w:ascii="Arial" w:hAnsi="Arial" w:cs="Arial"/>
            </w:rPr>
            <m:t xml:space="preserve"> mSv</m:t>
          </m:r>
          <m:r>
            <m:rPr>
              <m:sty m:val="p"/>
            </m:rPr>
            <w:rPr>
              <w:rFonts w:ascii="Arial" w:hAnsi="Arial" w:cs="Arial"/>
            </w:rPr>
            <w:br/>
          </m:r>
        </m:oMath>
      </m:oMathPara>
    </w:p>
    <w:p w14:paraId="3F207CD9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A useful central estimate is around </w:t>
      </w:r>
      <w:r w:rsidRPr="007D62F1">
        <w:rPr>
          <w:rFonts w:ascii="Arial" w:hAnsi="Arial" w:cs="Arial"/>
          <w:b/>
          <w:bCs/>
        </w:rPr>
        <w:t>38–40 mSv</w:t>
      </w:r>
      <w:r w:rsidRPr="007D62F1">
        <w:rPr>
          <w:rFonts w:ascii="Arial" w:hAnsi="Arial" w:cs="Arial"/>
        </w:rPr>
        <w:t>.</w:t>
      </w:r>
    </w:p>
    <w:p w14:paraId="5C62620E" w14:textId="77777777" w:rsidR="007D62F1" w:rsidRPr="007D62F1" w:rsidRDefault="00000000" w:rsidP="007D62F1">
      <w:pPr>
        <w:rPr>
          <w:rFonts w:ascii="Arial" w:hAnsi="Arial" w:cs="Arial"/>
        </w:rPr>
      </w:pPr>
      <w:r>
        <w:rPr>
          <w:rFonts w:ascii="Arial" w:hAnsi="Arial" w:cs="Arial"/>
        </w:rPr>
        <w:pict w14:anchorId="57A28258">
          <v:rect id="_x0000_i1031" style="width:0;height:1.5pt" o:hralign="center" o:hrstd="t" o:hr="t" fillcolor="#a0a0a0" stroked="f"/>
        </w:pict>
      </w:r>
    </w:p>
    <w:p w14:paraId="45588907" w14:textId="25190F16" w:rsidR="007D62F1" w:rsidRPr="007D62F1" w:rsidRDefault="00474A49" w:rsidP="007D62F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</w:t>
      </w:r>
      <w:r w:rsidR="007D62F1" w:rsidRPr="007D62F1">
        <w:rPr>
          <w:rFonts w:ascii="Arial" w:hAnsi="Arial" w:cs="Arial"/>
          <w:b/>
          <w:bCs/>
        </w:rPr>
        <w:t>.</w:t>
      </w:r>
      <w:r>
        <w:rPr>
          <w:rFonts w:ascii="Arial" w:hAnsi="Arial" w:cs="Arial"/>
          <w:b/>
          <w:bCs/>
        </w:rPr>
        <w:t>6</w:t>
      </w:r>
      <w:r w:rsidR="007D62F1" w:rsidRPr="007D62F1">
        <w:rPr>
          <w:rFonts w:ascii="Arial" w:hAnsi="Arial" w:cs="Arial"/>
          <w:b/>
          <w:bCs/>
        </w:rPr>
        <w:t xml:space="preserve"> Comparison with recorded dosimetry</w:t>
      </w:r>
    </w:p>
    <w:p w14:paraId="708DB87E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Recorded values were:</w:t>
      </w:r>
    </w:p>
    <w:p w14:paraId="07EBA9A5" w14:textId="77777777" w:rsidR="007D62F1" w:rsidRPr="007D62F1" w:rsidRDefault="007D62F1" w:rsidP="007D62F1">
      <w:pPr>
        <w:numPr>
          <w:ilvl w:val="0"/>
          <w:numId w:val="12"/>
        </w:numPr>
        <w:rPr>
          <w:rFonts w:ascii="Arial" w:hAnsi="Arial" w:cs="Arial"/>
        </w:rPr>
      </w:pPr>
      <w:r w:rsidRPr="007D62F1">
        <w:rPr>
          <w:rFonts w:ascii="Arial" w:hAnsi="Arial" w:cs="Arial"/>
          <w:b/>
          <w:bCs/>
        </w:rPr>
        <w:t>EPD dose: 27.0 mSv</w:t>
      </w:r>
      <w:r w:rsidRPr="007D62F1">
        <w:rPr>
          <w:rFonts w:ascii="Arial" w:hAnsi="Arial" w:cs="Arial"/>
        </w:rPr>
        <w:t xml:space="preserve"> </w:t>
      </w:r>
    </w:p>
    <w:p w14:paraId="76D7D9C2" w14:textId="77777777" w:rsidR="007D62F1" w:rsidRPr="007D62F1" w:rsidRDefault="007D62F1" w:rsidP="007D62F1">
      <w:pPr>
        <w:numPr>
          <w:ilvl w:val="0"/>
          <w:numId w:val="12"/>
        </w:numPr>
        <w:rPr>
          <w:rFonts w:ascii="Arial" w:hAnsi="Arial" w:cs="Arial"/>
        </w:rPr>
      </w:pPr>
      <w:r w:rsidRPr="007D62F1">
        <w:rPr>
          <w:rFonts w:ascii="Arial" w:hAnsi="Arial" w:cs="Arial"/>
          <w:b/>
          <w:bCs/>
        </w:rPr>
        <w:t>TLD dose: 35.6 mSv</w:t>
      </w:r>
      <w:r w:rsidRPr="007D62F1">
        <w:rPr>
          <w:rFonts w:ascii="Arial" w:hAnsi="Arial" w:cs="Arial"/>
        </w:rPr>
        <w:t xml:space="preserve"> </w:t>
      </w:r>
    </w:p>
    <w:p w14:paraId="51C9D7DE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The calculated dose of about </w:t>
      </w:r>
      <w:r w:rsidRPr="007D62F1">
        <w:rPr>
          <w:rFonts w:ascii="Arial" w:hAnsi="Arial" w:cs="Arial"/>
          <w:b/>
          <w:bCs/>
        </w:rPr>
        <w:t>35–42 mSv</w:t>
      </w:r>
      <w:r w:rsidRPr="007D62F1">
        <w:rPr>
          <w:rFonts w:ascii="Arial" w:hAnsi="Arial" w:cs="Arial"/>
        </w:rPr>
        <w:t xml:space="preserve"> is broadly consistent with the recorded dosimetry.</w:t>
      </w:r>
    </w:p>
    <w:p w14:paraId="476B4B2C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This is a good point for discussion rather than over-precision. Credit discussion of:</w:t>
      </w:r>
    </w:p>
    <w:p w14:paraId="7A2FA38F" w14:textId="77777777" w:rsidR="007D62F1" w:rsidRPr="007D62F1" w:rsidRDefault="007D62F1" w:rsidP="007D62F1">
      <w:pPr>
        <w:numPr>
          <w:ilvl w:val="0"/>
          <w:numId w:val="13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non-uniform field geometry, </w:t>
      </w:r>
    </w:p>
    <w:p w14:paraId="10A29738" w14:textId="77777777" w:rsidR="007D62F1" w:rsidRPr="007D62F1" w:rsidRDefault="007D62F1" w:rsidP="007D62F1">
      <w:pPr>
        <w:numPr>
          <w:ilvl w:val="0"/>
          <w:numId w:val="13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possible partial shielding by the projector body and guide tube, </w:t>
      </w:r>
    </w:p>
    <w:p w14:paraId="488FF2F8" w14:textId="77777777" w:rsidR="007D62F1" w:rsidRPr="007D62F1" w:rsidRDefault="007D62F1" w:rsidP="007D62F1">
      <w:pPr>
        <w:numPr>
          <w:ilvl w:val="0"/>
          <w:numId w:val="13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body orientation during dismantling, </w:t>
      </w:r>
    </w:p>
    <w:p w14:paraId="5568F3B4" w14:textId="77777777" w:rsidR="007D62F1" w:rsidRPr="007D62F1" w:rsidRDefault="007D62F1" w:rsidP="007D62F1">
      <w:pPr>
        <w:numPr>
          <w:ilvl w:val="0"/>
          <w:numId w:val="13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difference between chest-mounted EPD and belt-mounted TLD, </w:t>
      </w:r>
    </w:p>
    <w:p w14:paraId="365A118A" w14:textId="77777777" w:rsidR="007D62F1" w:rsidRPr="007D62F1" w:rsidRDefault="007D62F1" w:rsidP="007D62F1">
      <w:pPr>
        <w:numPr>
          <w:ilvl w:val="0"/>
          <w:numId w:val="13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movement during the exposure interval, </w:t>
      </w:r>
    </w:p>
    <w:p w14:paraId="385FAA1C" w14:textId="77777777" w:rsidR="007D62F1" w:rsidRPr="007D62F1" w:rsidRDefault="007D62F1" w:rsidP="007D62F1">
      <w:pPr>
        <w:numPr>
          <w:ilvl w:val="0"/>
          <w:numId w:val="13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and uncertainty in the exact source-to-torso distance. </w:t>
      </w:r>
    </w:p>
    <w:p w14:paraId="490DB8E2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The fact that the </w:t>
      </w:r>
      <w:r w:rsidRPr="007D62F1">
        <w:rPr>
          <w:rFonts w:ascii="Arial" w:hAnsi="Arial" w:cs="Arial"/>
          <w:b/>
          <w:bCs/>
        </w:rPr>
        <w:t>TLD is closer to the calculated range than the EPD</w:t>
      </w:r>
      <w:r w:rsidRPr="007D62F1">
        <w:rPr>
          <w:rFonts w:ascii="Arial" w:hAnsi="Arial" w:cs="Arial"/>
        </w:rPr>
        <w:t xml:space="preserve"> is entirely plausible and should not be treated as a contradiction.</w:t>
      </w:r>
    </w:p>
    <w:p w14:paraId="2E7A7F3C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The best answers explain discrepancy qualitatively rather than forcing exact agreement.</w:t>
      </w:r>
    </w:p>
    <w:p w14:paraId="2C6FDF10" w14:textId="77777777" w:rsidR="007D62F1" w:rsidRPr="007D62F1" w:rsidRDefault="00000000" w:rsidP="007D62F1">
      <w:pPr>
        <w:rPr>
          <w:rFonts w:ascii="Arial" w:hAnsi="Arial" w:cs="Arial"/>
        </w:rPr>
      </w:pPr>
      <w:r>
        <w:rPr>
          <w:rFonts w:ascii="Arial" w:hAnsi="Arial" w:cs="Arial"/>
        </w:rPr>
        <w:pict w14:anchorId="106F4F5A">
          <v:rect id="_x0000_i1032" style="width:0;height:1.5pt" o:hralign="center" o:hrstd="t" o:hr="t" fillcolor="#a0a0a0" stroked="f"/>
        </w:pict>
      </w:r>
    </w:p>
    <w:p w14:paraId="5ACD407A" w14:textId="44783E15" w:rsidR="007D62F1" w:rsidRPr="007D62F1" w:rsidRDefault="00474A49" w:rsidP="007D62F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</w:t>
      </w:r>
      <w:r w:rsidR="007D62F1" w:rsidRPr="007D62F1">
        <w:rPr>
          <w:rFonts w:ascii="Arial" w:hAnsi="Arial" w:cs="Arial"/>
          <w:b/>
          <w:bCs/>
        </w:rPr>
        <w:t>.</w:t>
      </w:r>
      <w:r>
        <w:rPr>
          <w:rFonts w:ascii="Arial" w:hAnsi="Arial" w:cs="Arial"/>
          <w:b/>
          <w:bCs/>
        </w:rPr>
        <w:t>7</w:t>
      </w:r>
      <w:r w:rsidR="007D62F1" w:rsidRPr="007D62F1">
        <w:rPr>
          <w:rFonts w:ascii="Arial" w:hAnsi="Arial" w:cs="Arial"/>
          <w:b/>
          <w:bCs/>
        </w:rPr>
        <w:t xml:space="preserve"> Health implications</w:t>
      </w:r>
    </w:p>
    <w:p w14:paraId="0F2F7618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At doses in the range of </w:t>
      </w:r>
      <w:r w:rsidRPr="007D62F1">
        <w:rPr>
          <w:rFonts w:ascii="Arial" w:hAnsi="Arial" w:cs="Arial"/>
          <w:b/>
          <w:bCs/>
        </w:rPr>
        <w:t>tens of millisievert</w:t>
      </w:r>
      <w:r w:rsidRPr="007D62F1">
        <w:rPr>
          <w:rFonts w:ascii="Arial" w:hAnsi="Arial" w:cs="Arial"/>
        </w:rPr>
        <w:t>:</w:t>
      </w:r>
    </w:p>
    <w:p w14:paraId="2AD22E2B" w14:textId="77777777" w:rsidR="007D62F1" w:rsidRPr="007D62F1" w:rsidRDefault="007D62F1" w:rsidP="007D62F1">
      <w:pPr>
        <w:numPr>
          <w:ilvl w:val="0"/>
          <w:numId w:val="14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deterministic whole-body effects would </w:t>
      </w:r>
      <w:r w:rsidRPr="007D62F1">
        <w:rPr>
          <w:rFonts w:ascii="Arial" w:hAnsi="Arial" w:cs="Arial"/>
          <w:b/>
          <w:bCs/>
        </w:rPr>
        <w:t>not normally be expected</w:t>
      </w:r>
      <w:r w:rsidRPr="007D62F1">
        <w:rPr>
          <w:rFonts w:ascii="Arial" w:hAnsi="Arial" w:cs="Arial"/>
        </w:rPr>
        <w:t xml:space="preserve"> </w:t>
      </w:r>
    </w:p>
    <w:p w14:paraId="5C41EAFB" w14:textId="77777777" w:rsidR="007D62F1" w:rsidRPr="007D62F1" w:rsidRDefault="007D62F1" w:rsidP="007D62F1">
      <w:pPr>
        <w:numPr>
          <w:ilvl w:val="0"/>
          <w:numId w:val="14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the primary radiological consequence is </w:t>
      </w:r>
      <w:r w:rsidRPr="007D62F1">
        <w:rPr>
          <w:rFonts w:ascii="Arial" w:hAnsi="Arial" w:cs="Arial"/>
          <w:b/>
          <w:bCs/>
        </w:rPr>
        <w:t>increased stochastic risk</w:t>
      </w:r>
      <w:r w:rsidRPr="007D62F1">
        <w:rPr>
          <w:rFonts w:ascii="Arial" w:hAnsi="Arial" w:cs="Arial"/>
        </w:rPr>
        <w:t xml:space="preserve"> </w:t>
      </w:r>
    </w:p>
    <w:p w14:paraId="67E08456" w14:textId="77777777" w:rsidR="007D62F1" w:rsidRPr="007D62F1" w:rsidRDefault="007D62F1" w:rsidP="007D62F1">
      <w:pPr>
        <w:numPr>
          <w:ilvl w:val="0"/>
          <w:numId w:val="14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the event is significant in occupational radiological protection terms </w:t>
      </w:r>
    </w:p>
    <w:p w14:paraId="2B41B953" w14:textId="77777777" w:rsidR="007D62F1" w:rsidRPr="007D62F1" w:rsidRDefault="007D62F1" w:rsidP="007D62F1">
      <w:pPr>
        <w:numPr>
          <w:ilvl w:val="0"/>
          <w:numId w:val="14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formal investigation, dose reconstruction and occupational health follow-up are appropriate </w:t>
      </w:r>
    </w:p>
    <w:p w14:paraId="136F7614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Students should avoid overstating acute radiation syndrome or prompt deterministic injury.</w:t>
      </w:r>
    </w:p>
    <w:p w14:paraId="36119756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A balanced answer will note that this is a serious overexposure in regulatory and professional terms, even though it is not a deterministic-injury case.</w:t>
      </w:r>
    </w:p>
    <w:p w14:paraId="5BE78F50" w14:textId="77777777" w:rsidR="007D62F1" w:rsidRPr="007D62F1" w:rsidRDefault="00000000" w:rsidP="007D62F1">
      <w:pPr>
        <w:rPr>
          <w:rFonts w:ascii="Arial" w:hAnsi="Arial" w:cs="Arial"/>
        </w:rPr>
      </w:pPr>
      <w:r>
        <w:rPr>
          <w:rFonts w:ascii="Arial" w:hAnsi="Arial" w:cs="Arial"/>
        </w:rPr>
        <w:pict w14:anchorId="1943D9F5">
          <v:rect id="_x0000_i1033" style="width:0;height:1.5pt" o:hralign="center" o:hrstd="t" o:hr="t" fillcolor="#a0a0a0" stroked="f"/>
        </w:pict>
      </w:r>
    </w:p>
    <w:p w14:paraId="5D71DE6E" w14:textId="77777777" w:rsidR="007D62F1" w:rsidRPr="007D62F1" w:rsidRDefault="007D62F1" w:rsidP="007D62F1">
      <w:pPr>
        <w:rPr>
          <w:rFonts w:ascii="Arial" w:hAnsi="Arial" w:cs="Arial"/>
          <w:b/>
          <w:bCs/>
        </w:rPr>
      </w:pPr>
      <w:r w:rsidRPr="007D62F1">
        <w:rPr>
          <w:rFonts w:ascii="Arial" w:hAnsi="Arial" w:cs="Arial"/>
          <w:b/>
          <w:bCs/>
        </w:rPr>
        <w:t>5. IRR17 compliance issues likely to be discussed</w:t>
      </w:r>
    </w:p>
    <w:p w14:paraId="746F1127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Likely issues include:</w:t>
      </w:r>
    </w:p>
    <w:p w14:paraId="63F1F449" w14:textId="77777777" w:rsidR="007D62F1" w:rsidRPr="007D62F1" w:rsidRDefault="007D62F1" w:rsidP="007D62F1">
      <w:pPr>
        <w:numPr>
          <w:ilvl w:val="0"/>
          <w:numId w:val="15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lastRenderedPageBreak/>
        <w:t xml:space="preserve">failure to maintain source-return arrangements and associated equipment in an efficient state and in good repair, given the progressive internal drive-cable wear and partial strand failure </w:t>
      </w:r>
    </w:p>
    <w:p w14:paraId="54357CBE" w14:textId="77777777" w:rsidR="007D62F1" w:rsidRPr="007D62F1" w:rsidRDefault="007D62F1" w:rsidP="007D62F1">
      <w:pPr>
        <w:numPr>
          <w:ilvl w:val="0"/>
          <w:numId w:val="15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inadequate confirmation of source return before dismantling commenced </w:t>
      </w:r>
    </w:p>
    <w:p w14:paraId="22FF7844" w14:textId="77777777" w:rsidR="007D62F1" w:rsidRPr="007D62F1" w:rsidRDefault="007D62F1" w:rsidP="007D62F1">
      <w:pPr>
        <w:numPr>
          <w:ilvl w:val="0"/>
          <w:numId w:val="15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failure adequately to restrict exposure so far as reasonably practicable once the true source position was unknown </w:t>
      </w:r>
    </w:p>
    <w:p w14:paraId="3DB58A1E" w14:textId="77777777" w:rsidR="007D62F1" w:rsidRPr="007D62F1" w:rsidRDefault="007D62F1" w:rsidP="007D62F1">
      <w:pPr>
        <w:numPr>
          <w:ilvl w:val="0"/>
          <w:numId w:val="15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weaknesses in operational verification, supervision, or procedural compliance </w:t>
      </w:r>
    </w:p>
    <w:p w14:paraId="78806A53" w14:textId="77777777" w:rsidR="007D62F1" w:rsidRPr="007D62F1" w:rsidRDefault="007D62F1" w:rsidP="007D62F1">
      <w:pPr>
        <w:numPr>
          <w:ilvl w:val="0"/>
          <w:numId w:val="15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the need for formal dose investigation and regulatory communication following the event </w:t>
      </w:r>
    </w:p>
    <w:p w14:paraId="717BF2A7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Better answers will apply IRR17 to the actual circumstances rather than quoting legislation at length.</w:t>
      </w:r>
    </w:p>
    <w:p w14:paraId="3B18DE4A" w14:textId="77777777" w:rsidR="007D62F1" w:rsidRPr="007D62F1" w:rsidRDefault="00000000" w:rsidP="007D62F1">
      <w:pPr>
        <w:rPr>
          <w:rFonts w:ascii="Arial" w:hAnsi="Arial" w:cs="Arial"/>
        </w:rPr>
      </w:pPr>
      <w:r>
        <w:rPr>
          <w:rFonts w:ascii="Arial" w:hAnsi="Arial" w:cs="Arial"/>
        </w:rPr>
        <w:pict w14:anchorId="5B0D5090">
          <v:rect id="_x0000_i1034" style="width:0;height:1.5pt" o:hralign="center" o:hrstd="t" o:hr="t" fillcolor="#a0a0a0" stroked="f"/>
        </w:pict>
      </w:r>
    </w:p>
    <w:p w14:paraId="44148CD5" w14:textId="77777777" w:rsidR="007D62F1" w:rsidRPr="007D62F1" w:rsidRDefault="007D62F1" w:rsidP="007D62F1">
      <w:pPr>
        <w:rPr>
          <w:rFonts w:ascii="Arial" w:hAnsi="Arial" w:cs="Arial"/>
          <w:b/>
          <w:bCs/>
        </w:rPr>
      </w:pPr>
      <w:r w:rsidRPr="007D62F1">
        <w:rPr>
          <w:rFonts w:ascii="Arial" w:hAnsi="Arial" w:cs="Arial"/>
          <w:b/>
          <w:bCs/>
        </w:rPr>
        <w:t>6. ONR SAP evaluation – indicative points</w:t>
      </w:r>
    </w:p>
    <w:p w14:paraId="636B99F3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Students are asked to evaluate the incident against EKP.5 Defence in Depth and two other SAPs of their choice. Award according to the SAPs they select, but likely themes include:</w:t>
      </w:r>
    </w:p>
    <w:p w14:paraId="31FDDF90" w14:textId="77777777" w:rsidR="007D62F1" w:rsidRPr="007D62F1" w:rsidRDefault="007D62F1" w:rsidP="007D62F1">
      <w:pPr>
        <w:rPr>
          <w:rFonts w:ascii="Arial" w:hAnsi="Arial" w:cs="Arial"/>
          <w:b/>
          <w:bCs/>
        </w:rPr>
      </w:pPr>
      <w:r w:rsidRPr="007D62F1">
        <w:rPr>
          <w:rFonts w:ascii="Arial" w:hAnsi="Arial" w:cs="Arial"/>
          <w:b/>
          <w:bCs/>
        </w:rPr>
        <w:t>EKP.5 Defence in Depth</w:t>
      </w:r>
    </w:p>
    <w:p w14:paraId="73765A72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Multiple layers failed together:</w:t>
      </w:r>
    </w:p>
    <w:p w14:paraId="1E78BE07" w14:textId="77777777" w:rsidR="007D62F1" w:rsidRPr="007D62F1" w:rsidRDefault="007D62F1" w:rsidP="007D62F1">
      <w:pPr>
        <w:numPr>
          <w:ilvl w:val="0"/>
          <w:numId w:val="16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degraded internal drive cable, </w:t>
      </w:r>
    </w:p>
    <w:p w14:paraId="191EDAB4" w14:textId="77777777" w:rsidR="007D62F1" w:rsidRPr="007D62F1" w:rsidRDefault="007D62F1" w:rsidP="007D62F1">
      <w:pPr>
        <w:numPr>
          <w:ilvl w:val="0"/>
          <w:numId w:val="16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misleading mechanical indication, </w:t>
      </w:r>
    </w:p>
    <w:p w14:paraId="4FB8DBCB" w14:textId="77777777" w:rsidR="007D62F1" w:rsidRPr="007D62F1" w:rsidRDefault="007D62F1" w:rsidP="007D62F1">
      <w:pPr>
        <w:numPr>
          <w:ilvl w:val="0"/>
          <w:numId w:val="16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failure to identify the abnormal source position before close handling, </w:t>
      </w:r>
    </w:p>
    <w:p w14:paraId="01D4E1A0" w14:textId="77777777" w:rsidR="007D62F1" w:rsidRPr="007D62F1" w:rsidRDefault="007D62F1" w:rsidP="007D62F1">
      <w:pPr>
        <w:numPr>
          <w:ilvl w:val="0"/>
          <w:numId w:val="16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and insufficient radiological confirmation before dismantling. </w:t>
      </w:r>
    </w:p>
    <w:p w14:paraId="5EE079A9" w14:textId="77777777" w:rsidR="007D62F1" w:rsidRPr="007D62F1" w:rsidRDefault="007D62F1" w:rsidP="007D62F1">
      <w:pPr>
        <w:rPr>
          <w:rFonts w:ascii="Arial" w:hAnsi="Arial" w:cs="Arial"/>
          <w:b/>
          <w:bCs/>
        </w:rPr>
      </w:pPr>
      <w:r w:rsidRPr="007D62F1">
        <w:rPr>
          <w:rFonts w:ascii="Arial" w:hAnsi="Arial" w:cs="Arial"/>
          <w:b/>
          <w:bCs/>
        </w:rPr>
        <w:t>Engineering safety / source control</w:t>
      </w:r>
    </w:p>
    <w:p w14:paraId="64A82DA0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A good answer may note that position indication and return verification should be sufficiently robust that incomplete source return cannot readily be mistaken for a safe condition.</w:t>
      </w:r>
    </w:p>
    <w:p w14:paraId="22EB2CD1" w14:textId="77777777" w:rsidR="007D62F1" w:rsidRPr="007D62F1" w:rsidRDefault="007D62F1" w:rsidP="007D62F1">
      <w:pPr>
        <w:rPr>
          <w:rFonts w:ascii="Arial" w:hAnsi="Arial" w:cs="Arial"/>
          <w:b/>
          <w:bCs/>
        </w:rPr>
      </w:pPr>
      <w:r w:rsidRPr="007D62F1">
        <w:rPr>
          <w:rFonts w:ascii="Arial" w:hAnsi="Arial" w:cs="Arial"/>
          <w:b/>
          <w:bCs/>
        </w:rPr>
        <w:t>Human factors / procedures</w:t>
      </w:r>
    </w:p>
    <w:p w14:paraId="332311A9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The event shows the danger of interpreting a mechanical indicator as sufficient proof of source return without radiological confirmation. The technician’s reliance on an apparently normal end-stop condition is central to the incident.</w:t>
      </w:r>
    </w:p>
    <w:p w14:paraId="63696206" w14:textId="77777777" w:rsidR="007D62F1" w:rsidRPr="007D62F1" w:rsidRDefault="00000000" w:rsidP="007D62F1">
      <w:pPr>
        <w:rPr>
          <w:rFonts w:ascii="Arial" w:hAnsi="Arial" w:cs="Arial"/>
        </w:rPr>
      </w:pPr>
      <w:r>
        <w:rPr>
          <w:rFonts w:ascii="Arial" w:hAnsi="Arial" w:cs="Arial"/>
        </w:rPr>
        <w:pict w14:anchorId="28D885DF">
          <v:rect id="_x0000_i1035" style="width:0;height:1.5pt" o:hralign="center" o:hrstd="t" o:hr="t" fillcolor="#a0a0a0" stroked="f"/>
        </w:pict>
      </w:r>
    </w:p>
    <w:p w14:paraId="5CE27404" w14:textId="77777777" w:rsidR="007D62F1" w:rsidRPr="007D62F1" w:rsidRDefault="007D62F1" w:rsidP="007D62F1">
      <w:pPr>
        <w:rPr>
          <w:rFonts w:ascii="Arial" w:hAnsi="Arial" w:cs="Arial"/>
          <w:b/>
          <w:bCs/>
        </w:rPr>
      </w:pPr>
      <w:r w:rsidRPr="007D62F1">
        <w:rPr>
          <w:rFonts w:ascii="Arial" w:hAnsi="Arial" w:cs="Arial"/>
          <w:b/>
          <w:bCs/>
        </w:rPr>
        <w:t>7. Proportionate ALARP improvements</w:t>
      </w:r>
    </w:p>
    <w:p w14:paraId="7689B69C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Credit any proportionate, risk-reducing improvements justified in practical ALARP terms. Indicative points include:</w:t>
      </w:r>
    </w:p>
    <w:p w14:paraId="1C2F73DD" w14:textId="77777777" w:rsidR="007D62F1" w:rsidRPr="007D62F1" w:rsidRDefault="007D62F1" w:rsidP="007D62F1">
      <w:pPr>
        <w:numPr>
          <w:ilvl w:val="0"/>
          <w:numId w:val="17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strengthen inspection and preventive maintenance of drive cables and coupling arrangements </w:t>
      </w:r>
    </w:p>
    <w:p w14:paraId="637C9C0E" w14:textId="77777777" w:rsidR="007D62F1" w:rsidRPr="007D62F1" w:rsidRDefault="007D62F1" w:rsidP="007D62F1">
      <w:pPr>
        <w:numPr>
          <w:ilvl w:val="0"/>
          <w:numId w:val="17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replace worn components before continued service </w:t>
      </w:r>
    </w:p>
    <w:p w14:paraId="3E7BBCD2" w14:textId="77777777" w:rsidR="007D62F1" w:rsidRPr="007D62F1" w:rsidRDefault="007D62F1" w:rsidP="007D62F1">
      <w:pPr>
        <w:numPr>
          <w:ilvl w:val="0"/>
          <w:numId w:val="17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improve source-return verification procedures using both mechanical indication and radiation survey </w:t>
      </w:r>
    </w:p>
    <w:p w14:paraId="2C07A82C" w14:textId="77777777" w:rsidR="007D62F1" w:rsidRPr="007D62F1" w:rsidRDefault="007D62F1" w:rsidP="007D62F1">
      <w:pPr>
        <w:numPr>
          <w:ilvl w:val="0"/>
          <w:numId w:val="17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lastRenderedPageBreak/>
        <w:t xml:space="preserve">require safe-condition confirmation before dismantling guide tubes and associated equipment </w:t>
      </w:r>
    </w:p>
    <w:p w14:paraId="3CCB5855" w14:textId="77777777" w:rsidR="007D62F1" w:rsidRPr="007D62F1" w:rsidRDefault="007D62F1" w:rsidP="007D62F1">
      <w:pPr>
        <w:numPr>
          <w:ilvl w:val="0"/>
          <w:numId w:val="17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improve fault reporting, supervision and abnormal-condition escalation </w:t>
      </w:r>
    </w:p>
    <w:p w14:paraId="60087F22" w14:textId="77777777" w:rsidR="007D62F1" w:rsidRPr="007D62F1" w:rsidRDefault="007D62F1" w:rsidP="007D62F1">
      <w:pPr>
        <w:numPr>
          <w:ilvl w:val="0"/>
          <w:numId w:val="17"/>
        </w:numPr>
        <w:rPr>
          <w:rFonts w:ascii="Arial" w:hAnsi="Arial" w:cs="Arial"/>
        </w:rPr>
      </w:pPr>
      <w:r w:rsidRPr="007D62F1">
        <w:rPr>
          <w:rFonts w:ascii="Arial" w:hAnsi="Arial" w:cs="Arial"/>
        </w:rPr>
        <w:t xml:space="preserve">review dosimeter alarms, worker response to elevated readings, and training in source-return anomalies </w:t>
      </w:r>
    </w:p>
    <w:p w14:paraId="4102156A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Any proposed improvement should be justified in terms of meaningful risk reduction for modest engineering or administrative effort.</w:t>
      </w:r>
    </w:p>
    <w:p w14:paraId="07FC6A17" w14:textId="77777777" w:rsidR="007D62F1" w:rsidRPr="007D62F1" w:rsidRDefault="00000000" w:rsidP="007D62F1">
      <w:pPr>
        <w:rPr>
          <w:rFonts w:ascii="Arial" w:hAnsi="Arial" w:cs="Arial"/>
        </w:rPr>
      </w:pPr>
      <w:r>
        <w:rPr>
          <w:rFonts w:ascii="Arial" w:hAnsi="Arial" w:cs="Arial"/>
        </w:rPr>
        <w:pict w14:anchorId="15948286">
          <v:rect id="_x0000_i1036" style="width:0;height:1.5pt" o:hralign="center" o:hrstd="t" o:hr="t" fillcolor="#a0a0a0" stroked="f"/>
        </w:pict>
      </w:r>
    </w:p>
    <w:p w14:paraId="797E9B04" w14:textId="77777777" w:rsidR="007D62F1" w:rsidRPr="007D62F1" w:rsidRDefault="007D62F1" w:rsidP="007D62F1">
      <w:pPr>
        <w:rPr>
          <w:rFonts w:ascii="Arial" w:hAnsi="Arial" w:cs="Arial"/>
          <w:b/>
          <w:bCs/>
        </w:rPr>
      </w:pPr>
      <w:r w:rsidRPr="007D62F1">
        <w:rPr>
          <w:rFonts w:ascii="Arial" w:hAnsi="Arial" w:cs="Arial"/>
          <w:b/>
          <w:bCs/>
        </w:rPr>
        <w:t>8. Marker guidance on common errors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915"/>
        <w:gridCol w:w="6111"/>
      </w:tblGrid>
      <w:tr w:rsidR="007D62F1" w:rsidRPr="007D62F1" w14:paraId="455D37F5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090DDE2B" w14:textId="77777777" w:rsidR="007D62F1" w:rsidRPr="007D62F1" w:rsidRDefault="007D62F1" w:rsidP="007D62F1">
            <w:pPr>
              <w:rPr>
                <w:rFonts w:ascii="Arial" w:hAnsi="Arial" w:cs="Arial"/>
                <w:b/>
                <w:bCs/>
              </w:rPr>
            </w:pPr>
            <w:r w:rsidRPr="007D62F1">
              <w:rPr>
                <w:rFonts w:ascii="Arial" w:hAnsi="Arial" w:cs="Arial"/>
                <w:b/>
                <w:bCs/>
              </w:rPr>
              <w:t>Common issue</w:t>
            </w:r>
          </w:p>
        </w:tc>
        <w:tc>
          <w:tcPr>
            <w:tcW w:w="0" w:type="auto"/>
            <w:vAlign w:val="center"/>
            <w:hideMark/>
          </w:tcPr>
          <w:p w14:paraId="7410D8E1" w14:textId="77777777" w:rsidR="007D62F1" w:rsidRPr="007D62F1" w:rsidRDefault="007D62F1" w:rsidP="007D62F1">
            <w:pPr>
              <w:rPr>
                <w:rFonts w:ascii="Arial" w:hAnsi="Arial" w:cs="Arial"/>
                <w:b/>
                <w:bCs/>
              </w:rPr>
            </w:pPr>
            <w:r w:rsidRPr="007D62F1">
              <w:rPr>
                <w:rFonts w:ascii="Arial" w:hAnsi="Arial" w:cs="Arial"/>
                <w:b/>
                <w:bCs/>
              </w:rPr>
              <w:t>How to treat it</w:t>
            </w:r>
          </w:p>
        </w:tc>
      </w:tr>
      <w:tr w:rsidR="007D62F1" w:rsidRPr="007D62F1" w14:paraId="0B88CCC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4389489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Using TBq without converting to GBq</w:t>
            </w:r>
          </w:p>
        </w:tc>
        <w:tc>
          <w:tcPr>
            <w:tcW w:w="0" w:type="auto"/>
            <w:vAlign w:val="center"/>
            <w:hideMark/>
          </w:tcPr>
          <w:p w14:paraId="29A72024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Method should lose marks if units are mishandled, but credit structure where possible</w:t>
            </w:r>
          </w:p>
        </w:tc>
      </w:tr>
      <w:tr w:rsidR="007D62F1" w:rsidRPr="007D62F1" w14:paraId="1F8E5D1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A250E58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Using the wrong elapsed time</w:t>
            </w:r>
          </w:p>
        </w:tc>
        <w:tc>
          <w:tcPr>
            <w:tcW w:w="0" w:type="auto"/>
            <w:vAlign w:val="center"/>
            <w:hideMark/>
          </w:tcPr>
          <w:p w14:paraId="1AA3F8D9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Mark against numerical accuracy but credit the correct equation form</w:t>
            </w:r>
          </w:p>
        </w:tc>
      </w:tr>
      <w:tr w:rsidR="007D62F1" w:rsidRPr="007D62F1" w14:paraId="3BC917D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3974242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Using the wrong gamma constant</w:t>
            </w:r>
          </w:p>
        </w:tc>
        <w:tc>
          <w:tcPr>
            <w:tcW w:w="0" w:type="auto"/>
            <w:vAlign w:val="center"/>
            <w:hideMark/>
          </w:tcPr>
          <w:p w14:paraId="4CD5A934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Credit method if internally consistent, but mark against the provided guide value where appropriate</w:t>
            </w:r>
          </w:p>
        </w:tc>
      </w:tr>
      <w:tr w:rsidR="007D62F1" w:rsidRPr="007D62F1" w14:paraId="45E06A5F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CA3844B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Treating the point-source model as exact</w:t>
            </w:r>
          </w:p>
        </w:tc>
        <w:tc>
          <w:tcPr>
            <w:tcW w:w="0" w:type="auto"/>
            <w:vAlign w:val="center"/>
            <w:hideMark/>
          </w:tcPr>
          <w:p w14:paraId="18170325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Reward students who note its limitations</w:t>
            </w:r>
          </w:p>
        </w:tc>
      </w:tr>
      <w:tr w:rsidR="007D62F1" w:rsidRPr="007D62F1" w14:paraId="4FC1088B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D5DA6BD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Overclaiming deterministic injury</w:t>
            </w:r>
          </w:p>
        </w:tc>
        <w:tc>
          <w:tcPr>
            <w:tcW w:w="0" w:type="auto"/>
            <w:vAlign w:val="center"/>
            <w:hideMark/>
          </w:tcPr>
          <w:p w14:paraId="1CD26D8A" w14:textId="77777777" w:rsidR="007D62F1" w:rsidRPr="007D62F1" w:rsidRDefault="007D62F1" w:rsidP="007D62F1">
            <w:pPr>
              <w:rPr>
                <w:rFonts w:ascii="Arial" w:hAnsi="Arial" w:cs="Arial"/>
              </w:rPr>
            </w:pPr>
            <w:r w:rsidRPr="007D62F1">
              <w:rPr>
                <w:rFonts w:ascii="Arial" w:hAnsi="Arial" w:cs="Arial"/>
              </w:rPr>
              <w:t>Correct firmly if students infer acute radiation syndrome from this dose range</w:t>
            </w:r>
          </w:p>
        </w:tc>
      </w:tr>
    </w:tbl>
    <w:p w14:paraId="3B71AC4A" w14:textId="77777777" w:rsidR="007D62F1" w:rsidRPr="007D62F1" w:rsidRDefault="00000000" w:rsidP="007D62F1">
      <w:pPr>
        <w:rPr>
          <w:rFonts w:ascii="Arial" w:hAnsi="Arial" w:cs="Arial"/>
        </w:rPr>
      </w:pPr>
      <w:r>
        <w:rPr>
          <w:rFonts w:ascii="Arial" w:hAnsi="Arial" w:cs="Arial"/>
        </w:rPr>
        <w:pict w14:anchorId="7D5FFF3B">
          <v:rect id="_x0000_i1037" style="width:0;height:1.5pt" o:hralign="center" o:hrstd="t" o:hr="t" fillcolor="#a0a0a0" stroked="f"/>
        </w:pict>
      </w:r>
    </w:p>
    <w:p w14:paraId="12EB6D06" w14:textId="77777777" w:rsidR="007D62F1" w:rsidRPr="007D62F1" w:rsidRDefault="007D62F1" w:rsidP="007D62F1">
      <w:pPr>
        <w:rPr>
          <w:rFonts w:ascii="Arial" w:hAnsi="Arial" w:cs="Arial"/>
          <w:b/>
          <w:bCs/>
        </w:rPr>
      </w:pPr>
      <w:r w:rsidRPr="007D62F1">
        <w:rPr>
          <w:rFonts w:ascii="Arial" w:hAnsi="Arial" w:cs="Arial"/>
          <w:b/>
          <w:bCs/>
        </w:rPr>
        <w:t>9. Indicative concluding judgement</w:t>
      </w:r>
    </w:p>
    <w:p w14:paraId="6CC2465C" w14:textId="77777777" w:rsidR="007D62F1" w:rsidRPr="007D62F1" w:rsidRDefault="007D62F1" w:rsidP="007D62F1">
      <w:pPr>
        <w:rPr>
          <w:rFonts w:ascii="Arial" w:hAnsi="Arial" w:cs="Arial"/>
        </w:rPr>
      </w:pPr>
      <w:r w:rsidRPr="007D62F1">
        <w:rPr>
          <w:rFonts w:ascii="Arial" w:hAnsi="Arial" w:cs="Arial"/>
        </w:rPr>
        <w:t>A strong student conclusion would state that the incident arose from progressive wear and partial failure of the internal drive cable, misleading source-position indication, and inadequate verification of safe source return before dismantling began. The resulting exposure was significant and clearly above routine occupational expectations, but not expected to cause deterministic whole-body injury. Nevertheless, it represented a serious radiological protection failure and a breakdown in the engineering, procedural and supervisory controls that should govern industrial gamma radiography.</w:t>
      </w:r>
    </w:p>
    <w:p w14:paraId="6F5E6486" w14:textId="77777777" w:rsidR="00EC70C0" w:rsidRPr="00816D06" w:rsidRDefault="00EC70C0" w:rsidP="007D62F1">
      <w:pPr>
        <w:rPr>
          <w:rFonts w:ascii="Arial" w:hAnsi="Arial" w:cs="Arial"/>
        </w:rPr>
      </w:pPr>
    </w:p>
    <w:sectPr w:rsidR="00EC70C0" w:rsidRPr="00816D06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7734D3" w14:textId="77777777" w:rsidR="00D30139" w:rsidRDefault="00D30139" w:rsidP="00816D06">
      <w:pPr>
        <w:spacing w:after="0" w:line="240" w:lineRule="auto"/>
      </w:pPr>
      <w:r>
        <w:separator/>
      </w:r>
    </w:p>
  </w:endnote>
  <w:endnote w:type="continuationSeparator" w:id="0">
    <w:p w14:paraId="57C01A37" w14:textId="77777777" w:rsidR="00D30139" w:rsidRDefault="00D30139" w:rsidP="00816D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727514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D57ABF" w14:textId="29E44271" w:rsidR="00816D06" w:rsidRDefault="00816D0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D9A9321" w14:textId="77777777" w:rsidR="00816D06" w:rsidRDefault="00816D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6D512C" w14:textId="77777777" w:rsidR="00D30139" w:rsidRDefault="00D30139" w:rsidP="00816D06">
      <w:pPr>
        <w:spacing w:after="0" w:line="240" w:lineRule="auto"/>
      </w:pPr>
      <w:r>
        <w:separator/>
      </w:r>
    </w:p>
  </w:footnote>
  <w:footnote w:type="continuationSeparator" w:id="0">
    <w:p w14:paraId="105C7092" w14:textId="77777777" w:rsidR="00D30139" w:rsidRDefault="00D30139" w:rsidP="00816D0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8815C8" w14:textId="016559D9" w:rsidR="00816D06" w:rsidRDefault="00816D06" w:rsidP="00816D06">
    <w:pPr>
      <w:pStyle w:val="Header"/>
      <w:jc w:val="center"/>
    </w:pPr>
    <w:r>
      <w:t>OFFICIAL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8D4A6B"/>
    <w:multiLevelType w:val="multilevel"/>
    <w:tmpl w:val="5ADAC6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1043E32"/>
    <w:multiLevelType w:val="multilevel"/>
    <w:tmpl w:val="7D2C6C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4ED4E5D"/>
    <w:multiLevelType w:val="multilevel"/>
    <w:tmpl w:val="F3A6E2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6E9021D"/>
    <w:multiLevelType w:val="multilevel"/>
    <w:tmpl w:val="A8461B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A3D2963"/>
    <w:multiLevelType w:val="multilevel"/>
    <w:tmpl w:val="F6943A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D7C33DF"/>
    <w:multiLevelType w:val="multilevel"/>
    <w:tmpl w:val="65B437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EFA40F4"/>
    <w:multiLevelType w:val="multilevel"/>
    <w:tmpl w:val="1F36D9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42D3DDC"/>
    <w:multiLevelType w:val="multilevel"/>
    <w:tmpl w:val="E368BF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493071D"/>
    <w:multiLevelType w:val="multilevel"/>
    <w:tmpl w:val="229CFD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A4B5D89"/>
    <w:multiLevelType w:val="multilevel"/>
    <w:tmpl w:val="43E63C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7A1732E"/>
    <w:multiLevelType w:val="multilevel"/>
    <w:tmpl w:val="0B2AA9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8143AE0"/>
    <w:multiLevelType w:val="multilevel"/>
    <w:tmpl w:val="C49E93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A355470"/>
    <w:multiLevelType w:val="multilevel"/>
    <w:tmpl w:val="497684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E354566"/>
    <w:multiLevelType w:val="multilevel"/>
    <w:tmpl w:val="2FD8FC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085766C"/>
    <w:multiLevelType w:val="multilevel"/>
    <w:tmpl w:val="A92435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2EF052E"/>
    <w:multiLevelType w:val="multilevel"/>
    <w:tmpl w:val="ECA4F8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5D54C7F"/>
    <w:multiLevelType w:val="multilevel"/>
    <w:tmpl w:val="D33A01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8835499">
    <w:abstractNumId w:val="9"/>
  </w:num>
  <w:num w:numId="2" w16cid:durableId="689263522">
    <w:abstractNumId w:val="12"/>
  </w:num>
  <w:num w:numId="3" w16cid:durableId="1548759999">
    <w:abstractNumId w:val="6"/>
  </w:num>
  <w:num w:numId="4" w16cid:durableId="1071268743">
    <w:abstractNumId w:val="0"/>
  </w:num>
  <w:num w:numId="5" w16cid:durableId="165484646">
    <w:abstractNumId w:val="11"/>
  </w:num>
  <w:num w:numId="6" w16cid:durableId="1224948784">
    <w:abstractNumId w:val="5"/>
  </w:num>
  <w:num w:numId="7" w16cid:durableId="824592448">
    <w:abstractNumId w:val="7"/>
  </w:num>
  <w:num w:numId="8" w16cid:durableId="1845968802">
    <w:abstractNumId w:val="14"/>
  </w:num>
  <w:num w:numId="9" w16cid:durableId="1757942385">
    <w:abstractNumId w:val="15"/>
  </w:num>
  <w:num w:numId="10" w16cid:durableId="1726492053">
    <w:abstractNumId w:val="2"/>
  </w:num>
  <w:num w:numId="11" w16cid:durableId="988942580">
    <w:abstractNumId w:val="10"/>
  </w:num>
  <w:num w:numId="12" w16cid:durableId="997809165">
    <w:abstractNumId w:val="8"/>
  </w:num>
  <w:num w:numId="13" w16cid:durableId="181823872">
    <w:abstractNumId w:val="1"/>
  </w:num>
  <w:num w:numId="14" w16cid:durableId="281426193">
    <w:abstractNumId w:val="4"/>
  </w:num>
  <w:num w:numId="15" w16cid:durableId="87507479">
    <w:abstractNumId w:val="16"/>
  </w:num>
  <w:num w:numId="16" w16cid:durableId="1144734943">
    <w:abstractNumId w:val="3"/>
  </w:num>
  <w:num w:numId="17" w16cid:durableId="130203372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6D06"/>
    <w:rsid w:val="001A06E9"/>
    <w:rsid w:val="00273FE2"/>
    <w:rsid w:val="0032753D"/>
    <w:rsid w:val="00474A49"/>
    <w:rsid w:val="005D0218"/>
    <w:rsid w:val="005E7293"/>
    <w:rsid w:val="006621D0"/>
    <w:rsid w:val="00742895"/>
    <w:rsid w:val="00774605"/>
    <w:rsid w:val="00785BFD"/>
    <w:rsid w:val="007B0F1F"/>
    <w:rsid w:val="007D62F1"/>
    <w:rsid w:val="0081302B"/>
    <w:rsid w:val="00816D06"/>
    <w:rsid w:val="00A6414C"/>
    <w:rsid w:val="00AD1DA6"/>
    <w:rsid w:val="00B42579"/>
    <w:rsid w:val="00D30139"/>
    <w:rsid w:val="00D35B34"/>
    <w:rsid w:val="00E15812"/>
    <w:rsid w:val="00EC70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6D0375"/>
  <w15:chartTrackingRefBased/>
  <w15:docId w15:val="{99958A87-CBD3-4122-873D-1EDC442638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6D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6D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6D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6D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6D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6D0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6D0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6D0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6D0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6D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6D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6D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6D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6D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6D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6D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6D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6D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6D0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6D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6D0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6D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6D0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6D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6D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6D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6D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6D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6D0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16D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6D06"/>
  </w:style>
  <w:style w:type="paragraph" w:styleId="Footer">
    <w:name w:val="footer"/>
    <w:basedOn w:val="Normal"/>
    <w:link w:val="FooterChar"/>
    <w:uiPriority w:val="99"/>
    <w:unhideWhenUsed/>
    <w:rsid w:val="00816D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6D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6</Pages>
  <Words>1411</Words>
  <Characters>7794</Characters>
  <Application>Microsoft Office Word</Application>
  <DocSecurity>0</DocSecurity>
  <Lines>185</Lines>
  <Paragraphs>84</Paragraphs>
  <ScaleCrop>false</ScaleCrop>
  <Company/>
  <LinksUpToDate>false</LinksUpToDate>
  <CharactersWithSpaces>9121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Holloway</dc:creator>
  <cp:keywords/>
  <dc:description/>
  <cp:lastModifiedBy>Holloway, Ian Dr (NAVY PEOPLE-NUC PHYS MGR)</cp:lastModifiedBy>
  <cp:revision>14</cp:revision>
  <dcterms:created xsi:type="dcterms:W3CDTF">2026-03-23T19:54:00Z</dcterms:created>
  <dcterms:modified xsi:type="dcterms:W3CDTF">2026-03-26T15:01:00Z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d8a60473-494b-4586-a1bb-b0e663054676_Enabled">
    <vt:lpwstr>true</vt:lpwstr>
  </property>
  <property fmtid="{D5CDD505-2E9C-101B-9397-08002B2CF9AE}" pid="3" name="MSIP_Label_d8a60473-494b-4586-a1bb-b0e663054676_SetDate">
    <vt:lpwstr>2026-03-26T14:46:40Z</vt:lpwstr>
  </property>
  <property fmtid="{D5CDD505-2E9C-101B-9397-08002B2CF9AE}" pid="4" name="MSIP_Label_d8a60473-494b-4586-a1bb-b0e663054676_Method">
    <vt:lpwstr>Privileged</vt:lpwstr>
  </property>
  <property fmtid="{D5CDD505-2E9C-101B-9397-08002B2CF9AE}" pid="5" name="MSIP_Label_d8a60473-494b-4586-a1bb-b0e663054676_Name">
    <vt:lpwstr>MOD-1-O-‘UNMARKED’</vt:lpwstr>
  </property>
  <property fmtid="{D5CDD505-2E9C-101B-9397-08002B2CF9AE}" pid="6" name="MSIP_Label_d8a60473-494b-4586-a1bb-b0e663054676_SiteId">
    <vt:lpwstr>be7760ed-5953-484b-ae95-d0a16dfa09e5</vt:lpwstr>
  </property>
  <property fmtid="{D5CDD505-2E9C-101B-9397-08002B2CF9AE}" pid="7" name="MSIP_Label_d8a60473-494b-4586-a1bb-b0e663054676_ActionId">
    <vt:lpwstr>1c80ac98-a5d5-4f73-92d5-f18bf432f530</vt:lpwstr>
  </property>
  <property fmtid="{D5CDD505-2E9C-101B-9397-08002B2CF9AE}" pid="8" name="MSIP_Label_d8a60473-494b-4586-a1bb-b0e663054676_ContentBits">
    <vt:lpwstr>0</vt:lpwstr>
  </property>
  <property fmtid="{D5CDD505-2E9C-101B-9397-08002B2CF9AE}" pid="9" name="MSIP_Label_d8a60473-494b-4586-a1bb-b0e663054676_Tag">
    <vt:lpwstr>10, 0, 1, 1</vt:lpwstr>
  </property>
</Properties>
</file>