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D441"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noProof/>
        </w:rPr>
        <w:drawing>
          <wp:inline distT="0" distB="0" distL="0" distR="0" wp14:anchorId="7679AFF0" wp14:editId="734989FD">
            <wp:extent cx="3429000" cy="1715770"/>
            <wp:effectExtent l="19050" t="0" r="19050" b="51308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C9DB05B" w14:textId="77777777" w:rsidR="005B2ACF" w:rsidRPr="00E74DB9" w:rsidRDefault="005B2ACF" w:rsidP="005B2ACF">
      <w:pPr>
        <w:spacing w:line="360" w:lineRule="auto"/>
        <w:jc w:val="both"/>
        <w:rPr>
          <w:rFonts w:ascii="Times New Roman" w:hAnsi="Times New Roman" w:cs="Times New Roman"/>
          <w:bCs/>
          <w:color w:val="000000" w:themeColor="text1"/>
          <w:sz w:val="24"/>
          <w:szCs w:val="24"/>
        </w:rPr>
      </w:pPr>
    </w:p>
    <w:p w14:paraId="28837EBB"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BA (Hons) Business Management</w:t>
      </w:r>
    </w:p>
    <w:p w14:paraId="57A1A672"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Module Title: Principles of Human Resource Management</w:t>
      </w:r>
    </w:p>
    <w:p w14:paraId="6F7B4D6F"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Module Code: LCBB501</w:t>
      </w:r>
      <w:r w:rsidRPr="00E74DB9">
        <w:rPr>
          <w:rFonts w:ascii="Times New Roman" w:hAnsi="Times New Roman" w:cs="Times New Roman"/>
          <w:bCs/>
          <w:color w:val="000000" w:themeColor="text1"/>
          <w:sz w:val="24"/>
          <w:szCs w:val="24"/>
          <w:lang w:val="en-GB"/>
        </w:rPr>
        <w:t>2</w:t>
      </w:r>
    </w:p>
    <w:p w14:paraId="68569C59"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en-GB"/>
        </w:rPr>
        <w:t xml:space="preserve">Lecturer: </w:t>
      </w:r>
      <w:r w:rsidRPr="00E74DB9">
        <w:rPr>
          <w:rFonts w:ascii="Times New Roman" w:hAnsi="Times New Roman" w:cs="Times New Roman"/>
          <w:bCs/>
          <w:color w:val="000000" w:themeColor="text1"/>
          <w:sz w:val="24"/>
          <w:szCs w:val="24"/>
        </w:rPr>
        <w:t>Mr. Nadeem Mirza</w:t>
      </w:r>
    </w:p>
    <w:p w14:paraId="5DB8FA71" w14:textId="01AD6006" w:rsidR="005B2ACF" w:rsidRPr="00E74DB9" w:rsidRDefault="00A95CAE" w:rsidP="005B2ACF">
      <w:pPr>
        <w:spacing w:line="360" w:lineRule="auto"/>
        <w:jc w:val="center"/>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 xml:space="preserve">Resit </w:t>
      </w:r>
      <w:r w:rsidR="005B2ACF" w:rsidRPr="00E74DB9">
        <w:rPr>
          <w:rFonts w:ascii="Times New Roman" w:hAnsi="Times New Roman" w:cs="Times New Roman"/>
          <w:bCs/>
          <w:color w:val="000000" w:themeColor="text1"/>
          <w:sz w:val="24"/>
          <w:szCs w:val="24"/>
        </w:rPr>
        <w:t>Assignment</w:t>
      </w:r>
      <w:r w:rsidR="005B2ACF" w:rsidRPr="00E74DB9">
        <w:rPr>
          <w:rFonts w:ascii="Times New Roman" w:hAnsi="Times New Roman" w:cs="Times New Roman"/>
          <w:bCs/>
          <w:color w:val="000000" w:themeColor="text1"/>
          <w:sz w:val="24"/>
          <w:szCs w:val="24"/>
          <w:lang w:val="en-GB"/>
        </w:rPr>
        <w:t xml:space="preserve"> : Individual Report</w:t>
      </w:r>
    </w:p>
    <w:p w14:paraId="1C6CA169" w14:textId="331DADD6" w:rsidR="005B2ACF" w:rsidRPr="00E74DB9" w:rsidRDefault="005B2ACF" w:rsidP="005B2ACF">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 xml:space="preserve">Student Name: </w:t>
      </w:r>
      <w:r w:rsidRPr="005B2ACF">
        <w:rPr>
          <w:rFonts w:ascii="Times New Roman" w:hAnsi="Times New Roman" w:cs="Times New Roman"/>
          <w:bCs/>
          <w:color w:val="000000" w:themeColor="text1"/>
          <w:sz w:val="24"/>
          <w:szCs w:val="24"/>
        </w:rPr>
        <w:t>Sofik Slavova</w:t>
      </w:r>
    </w:p>
    <w:p w14:paraId="0E790341" w14:textId="3F353468" w:rsidR="005B2ACF" w:rsidRPr="00E74DB9" w:rsidRDefault="005B2ACF" w:rsidP="005B2ACF">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Student ID Number: 23260</w:t>
      </w:r>
      <w:r w:rsidR="006774C2">
        <w:rPr>
          <w:rFonts w:ascii="Times New Roman" w:hAnsi="Times New Roman" w:cs="Times New Roman"/>
          <w:bCs/>
          <w:color w:val="000000" w:themeColor="text1"/>
          <w:sz w:val="24"/>
          <w:szCs w:val="24"/>
          <w:lang w:val="en-GB"/>
        </w:rPr>
        <w:t>6</w:t>
      </w:r>
      <w:r w:rsidRPr="00E74DB9">
        <w:rPr>
          <w:rFonts w:ascii="Times New Roman" w:hAnsi="Times New Roman" w:cs="Times New Roman"/>
          <w:bCs/>
          <w:color w:val="000000" w:themeColor="text1"/>
          <w:sz w:val="24"/>
          <w:szCs w:val="24"/>
        </w:rPr>
        <w:t>4</w:t>
      </w:r>
    </w:p>
    <w:p w14:paraId="537E7A60"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 xml:space="preserve">Word Count: </w:t>
      </w:r>
      <w:r w:rsidRPr="00E74DB9">
        <w:rPr>
          <w:rFonts w:ascii="Times New Roman" w:hAnsi="Times New Roman" w:cs="Times New Roman"/>
          <w:bCs/>
          <w:color w:val="000000" w:themeColor="text1"/>
          <w:sz w:val="24"/>
          <w:szCs w:val="24"/>
          <w:lang w:val="en-GB"/>
        </w:rPr>
        <w:t>2</w:t>
      </w:r>
      <w:r w:rsidRPr="00E74DB9">
        <w:rPr>
          <w:rFonts w:ascii="Times New Roman" w:hAnsi="Times New Roman" w:cs="Times New Roman"/>
          <w:bCs/>
          <w:color w:val="000000" w:themeColor="text1"/>
          <w:sz w:val="24"/>
          <w:szCs w:val="24"/>
        </w:rPr>
        <w:t>,000 words (± 10%)</w:t>
      </w:r>
    </w:p>
    <w:p w14:paraId="3629A3B2" w14:textId="77777777" w:rsidR="005B2ACF" w:rsidRPr="00E74DB9" w:rsidRDefault="005B2ACF" w:rsidP="005B2ACF">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Internal Verifier: Dr. Anupam Mazumdar</w:t>
      </w:r>
    </w:p>
    <w:p w14:paraId="4BB98B70" w14:textId="77777777" w:rsidR="006774C2" w:rsidRDefault="006774C2" w:rsidP="006774C2">
      <w:pPr>
        <w:rPr>
          <w:lang w:val="en-GB"/>
        </w:rPr>
      </w:pPr>
    </w:p>
    <w:p w14:paraId="6D960BCF" w14:textId="77777777" w:rsidR="006774C2" w:rsidRDefault="006774C2" w:rsidP="006774C2">
      <w:pPr>
        <w:rPr>
          <w:lang w:val="en-GB"/>
        </w:rPr>
      </w:pPr>
    </w:p>
    <w:p w14:paraId="38EB1182" w14:textId="77777777" w:rsidR="006774C2" w:rsidRDefault="006774C2" w:rsidP="006774C2">
      <w:pPr>
        <w:rPr>
          <w:lang w:val="en-GB"/>
        </w:rPr>
      </w:pPr>
    </w:p>
    <w:p w14:paraId="2AD7B6E3" w14:textId="77777777" w:rsidR="006774C2" w:rsidRDefault="006774C2" w:rsidP="006774C2">
      <w:pPr>
        <w:rPr>
          <w:lang w:val="en-GB"/>
        </w:rPr>
      </w:pPr>
    </w:p>
    <w:p w14:paraId="1D7BDD45" w14:textId="77777777" w:rsidR="006774C2" w:rsidRDefault="006774C2" w:rsidP="006774C2">
      <w:pPr>
        <w:rPr>
          <w:lang w:val="en-GB"/>
        </w:rPr>
      </w:pPr>
    </w:p>
    <w:p w14:paraId="5D372132" w14:textId="77777777" w:rsidR="006774C2" w:rsidRDefault="006774C2" w:rsidP="006774C2">
      <w:pPr>
        <w:rPr>
          <w:lang w:val="en-GB"/>
        </w:rPr>
      </w:pPr>
    </w:p>
    <w:p w14:paraId="7BD2FA41" w14:textId="77777777" w:rsidR="006774C2" w:rsidRDefault="006774C2" w:rsidP="006774C2">
      <w:pPr>
        <w:rPr>
          <w:lang w:val="en-GB"/>
        </w:rPr>
      </w:pPr>
    </w:p>
    <w:p w14:paraId="0083069D" w14:textId="77777777" w:rsidR="006774C2" w:rsidRPr="006774C2" w:rsidRDefault="006774C2" w:rsidP="006774C2">
      <w:pPr>
        <w:rPr>
          <w:lang w:val="en-GB"/>
        </w:rPr>
      </w:pPr>
    </w:p>
    <w:sdt>
      <w:sdtPr>
        <w:rPr>
          <w:rFonts w:asciiTheme="minorHAnsi" w:eastAsiaTheme="minorHAnsi" w:hAnsiTheme="minorHAnsi" w:cstheme="minorBidi"/>
          <w:color w:val="auto"/>
          <w:kern w:val="2"/>
          <w:sz w:val="22"/>
          <w:szCs w:val="22"/>
          <w:lang w:val="bg-BG"/>
          <w14:ligatures w14:val="standardContextual"/>
        </w:rPr>
        <w:id w:val="-773243946"/>
        <w:docPartObj>
          <w:docPartGallery w:val="Table of Contents"/>
          <w:docPartUnique/>
        </w:docPartObj>
      </w:sdtPr>
      <w:sdtEndPr>
        <w:rPr>
          <w:b/>
          <w:bCs/>
          <w:noProof/>
        </w:rPr>
      </w:sdtEndPr>
      <w:sdtContent>
        <w:p w14:paraId="0BDA1CDE" w14:textId="1BDC2E9E" w:rsidR="006774C2" w:rsidRPr="006774C2" w:rsidRDefault="006774C2">
          <w:pPr>
            <w:pStyle w:val="TOCHeading"/>
            <w:rPr>
              <w:rFonts w:ascii="Times New Roman" w:hAnsi="Times New Roman" w:cs="Times New Roman"/>
              <w:color w:val="000000" w:themeColor="text1"/>
              <w:sz w:val="36"/>
              <w:szCs w:val="36"/>
            </w:rPr>
          </w:pPr>
          <w:r w:rsidRPr="006774C2">
            <w:rPr>
              <w:rFonts w:ascii="Times New Roman" w:hAnsi="Times New Roman" w:cs="Times New Roman"/>
              <w:color w:val="000000" w:themeColor="text1"/>
              <w:sz w:val="36"/>
              <w:szCs w:val="36"/>
            </w:rPr>
            <w:t>Table of Contents</w:t>
          </w:r>
        </w:p>
        <w:p w14:paraId="71A56A55" w14:textId="2280307C" w:rsidR="006774C2" w:rsidRPr="006774C2" w:rsidRDefault="006774C2">
          <w:pPr>
            <w:pStyle w:val="TOC1"/>
            <w:tabs>
              <w:tab w:val="right" w:leader="dot" w:pos="9016"/>
            </w:tabs>
            <w:rPr>
              <w:rFonts w:ascii="Times New Roman" w:hAnsi="Times New Roman" w:cs="Times New Roman"/>
              <w:noProof/>
              <w:color w:val="000000" w:themeColor="text1"/>
              <w:sz w:val="24"/>
              <w:szCs w:val="24"/>
            </w:rPr>
          </w:pPr>
          <w:r w:rsidRPr="006774C2">
            <w:rPr>
              <w:rFonts w:ascii="Times New Roman" w:hAnsi="Times New Roman" w:cs="Times New Roman"/>
              <w:color w:val="000000" w:themeColor="text1"/>
              <w:sz w:val="24"/>
              <w:szCs w:val="24"/>
            </w:rPr>
            <w:fldChar w:fldCharType="begin"/>
          </w:r>
          <w:r w:rsidRPr="006774C2">
            <w:rPr>
              <w:rFonts w:ascii="Times New Roman" w:hAnsi="Times New Roman" w:cs="Times New Roman"/>
              <w:color w:val="000000" w:themeColor="text1"/>
              <w:sz w:val="24"/>
              <w:szCs w:val="24"/>
            </w:rPr>
            <w:instrText xml:space="preserve"> TOC \o "1-3" \h \z \u </w:instrText>
          </w:r>
          <w:r w:rsidRPr="006774C2">
            <w:rPr>
              <w:rFonts w:ascii="Times New Roman" w:hAnsi="Times New Roman" w:cs="Times New Roman"/>
              <w:color w:val="000000" w:themeColor="text1"/>
              <w:sz w:val="24"/>
              <w:szCs w:val="24"/>
            </w:rPr>
            <w:fldChar w:fldCharType="separate"/>
          </w:r>
          <w:hyperlink w:anchor="_Toc213869113" w:history="1">
            <w:r w:rsidRPr="006774C2">
              <w:rPr>
                <w:rStyle w:val="Hyperlink"/>
                <w:rFonts w:ascii="Times New Roman" w:hAnsi="Times New Roman" w:cs="Times New Roman"/>
                <w:noProof/>
                <w:color w:val="000000" w:themeColor="text1"/>
                <w:sz w:val="24"/>
                <w:szCs w:val="24"/>
              </w:rPr>
              <w:t>1. Introduction</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_Toc213869113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3</w:t>
            </w:r>
            <w:r w:rsidRPr="006774C2">
              <w:rPr>
                <w:rFonts w:ascii="Times New Roman" w:hAnsi="Times New Roman" w:cs="Times New Roman"/>
                <w:noProof/>
                <w:webHidden/>
                <w:color w:val="000000" w:themeColor="text1"/>
                <w:sz w:val="24"/>
                <w:szCs w:val="24"/>
              </w:rPr>
              <w:fldChar w:fldCharType="end"/>
            </w:r>
          </w:hyperlink>
        </w:p>
        <w:p w14:paraId="71ED3231" w14:textId="5F4DB34C" w:rsidR="006774C2" w:rsidRPr="006774C2" w:rsidRDefault="006774C2">
          <w:pPr>
            <w:pStyle w:val="TOC1"/>
            <w:tabs>
              <w:tab w:val="right" w:leader="dot" w:pos="9016"/>
            </w:tabs>
            <w:rPr>
              <w:rFonts w:ascii="Times New Roman" w:hAnsi="Times New Roman" w:cs="Times New Roman"/>
              <w:noProof/>
              <w:color w:val="000000" w:themeColor="text1"/>
              <w:sz w:val="24"/>
              <w:szCs w:val="24"/>
            </w:rPr>
          </w:pPr>
          <w:hyperlink w:anchor="_Toc213869114" w:history="1">
            <w:r w:rsidRPr="006774C2">
              <w:rPr>
                <w:rStyle w:val="Hyperlink"/>
                <w:rFonts w:ascii="Times New Roman" w:hAnsi="Times New Roman" w:cs="Times New Roman"/>
                <w:noProof/>
                <w:color w:val="000000" w:themeColor="text1"/>
                <w:sz w:val="24"/>
                <w:szCs w:val="24"/>
              </w:rPr>
              <w:t>2. Internal and External Environment</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_Toc213869114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3</w:t>
            </w:r>
            <w:r w:rsidRPr="006774C2">
              <w:rPr>
                <w:rFonts w:ascii="Times New Roman" w:hAnsi="Times New Roman" w:cs="Times New Roman"/>
                <w:noProof/>
                <w:webHidden/>
                <w:color w:val="000000" w:themeColor="text1"/>
                <w:sz w:val="24"/>
                <w:szCs w:val="24"/>
              </w:rPr>
              <w:fldChar w:fldCharType="end"/>
            </w:r>
          </w:hyperlink>
        </w:p>
        <w:p w14:paraId="33AB709F" w14:textId="030B3924" w:rsidR="006774C2" w:rsidRPr="006774C2" w:rsidRDefault="006774C2">
          <w:pPr>
            <w:pStyle w:val="TOC1"/>
            <w:tabs>
              <w:tab w:val="right" w:leader="dot" w:pos="9016"/>
            </w:tabs>
            <w:rPr>
              <w:rFonts w:ascii="Times New Roman" w:hAnsi="Times New Roman" w:cs="Times New Roman"/>
              <w:noProof/>
              <w:color w:val="000000" w:themeColor="text1"/>
              <w:sz w:val="24"/>
              <w:szCs w:val="24"/>
            </w:rPr>
          </w:pPr>
          <w:hyperlink w:anchor="_Toc213869115" w:history="1">
            <w:r w:rsidRPr="006774C2">
              <w:rPr>
                <w:rStyle w:val="Hyperlink"/>
                <w:rFonts w:ascii="Times New Roman" w:hAnsi="Times New Roman" w:cs="Times New Roman"/>
                <w:noProof/>
                <w:color w:val="000000" w:themeColor="text1"/>
                <w:sz w:val="24"/>
                <w:szCs w:val="24"/>
              </w:rPr>
              <w:t>3. Organisation Application: IKEA</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_Toc213869115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5</w:t>
            </w:r>
            <w:r w:rsidRPr="006774C2">
              <w:rPr>
                <w:rFonts w:ascii="Times New Roman" w:hAnsi="Times New Roman" w:cs="Times New Roman"/>
                <w:noProof/>
                <w:webHidden/>
                <w:color w:val="000000" w:themeColor="text1"/>
                <w:sz w:val="24"/>
                <w:szCs w:val="24"/>
              </w:rPr>
              <w:fldChar w:fldCharType="end"/>
            </w:r>
          </w:hyperlink>
        </w:p>
        <w:p w14:paraId="530C501D" w14:textId="287DE42C" w:rsidR="006774C2" w:rsidRPr="006774C2" w:rsidRDefault="006774C2">
          <w:pPr>
            <w:pStyle w:val="TOC1"/>
            <w:tabs>
              <w:tab w:val="right" w:leader="dot" w:pos="9016"/>
            </w:tabs>
            <w:rPr>
              <w:rFonts w:ascii="Times New Roman" w:hAnsi="Times New Roman" w:cs="Times New Roman"/>
              <w:noProof/>
              <w:color w:val="000000" w:themeColor="text1"/>
              <w:sz w:val="24"/>
              <w:szCs w:val="24"/>
            </w:rPr>
          </w:pPr>
          <w:hyperlink w:anchor="_Toc213869116" w:history="1">
            <w:r w:rsidRPr="006774C2">
              <w:rPr>
                <w:rStyle w:val="Hyperlink"/>
                <w:rFonts w:ascii="Times New Roman" w:hAnsi="Times New Roman" w:cs="Times New Roman"/>
                <w:noProof/>
                <w:color w:val="000000" w:themeColor="text1"/>
                <w:sz w:val="24"/>
                <w:szCs w:val="24"/>
              </w:rPr>
              <w:t>4. Application of SWOT Model to IKEA</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_Toc213869116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6</w:t>
            </w:r>
            <w:r w:rsidRPr="006774C2">
              <w:rPr>
                <w:rFonts w:ascii="Times New Roman" w:hAnsi="Times New Roman" w:cs="Times New Roman"/>
                <w:noProof/>
                <w:webHidden/>
                <w:color w:val="000000" w:themeColor="text1"/>
                <w:sz w:val="24"/>
                <w:szCs w:val="24"/>
              </w:rPr>
              <w:fldChar w:fldCharType="end"/>
            </w:r>
          </w:hyperlink>
        </w:p>
        <w:p w14:paraId="1A6A45E6" w14:textId="278B51B3" w:rsidR="006774C2" w:rsidRPr="006774C2" w:rsidRDefault="006774C2">
          <w:pPr>
            <w:pStyle w:val="TOC1"/>
            <w:tabs>
              <w:tab w:val="right" w:leader="dot" w:pos="9016"/>
            </w:tabs>
            <w:rPr>
              <w:rFonts w:ascii="Times New Roman" w:hAnsi="Times New Roman" w:cs="Times New Roman"/>
              <w:noProof/>
              <w:color w:val="000000" w:themeColor="text1"/>
              <w:sz w:val="24"/>
              <w:szCs w:val="24"/>
            </w:rPr>
          </w:pPr>
          <w:hyperlink w:anchor="_Toc213869117" w:history="1">
            <w:r w:rsidRPr="006774C2">
              <w:rPr>
                <w:rStyle w:val="Hyperlink"/>
                <w:rFonts w:ascii="Times New Roman" w:hAnsi="Times New Roman" w:cs="Times New Roman"/>
                <w:noProof/>
                <w:color w:val="000000" w:themeColor="text1"/>
                <w:sz w:val="24"/>
                <w:szCs w:val="24"/>
              </w:rPr>
              <w:t>5. Conclusion</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_Toc213869117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9</w:t>
            </w:r>
            <w:r w:rsidRPr="006774C2">
              <w:rPr>
                <w:rFonts w:ascii="Times New Roman" w:hAnsi="Times New Roman" w:cs="Times New Roman"/>
                <w:noProof/>
                <w:webHidden/>
                <w:color w:val="000000" w:themeColor="text1"/>
                <w:sz w:val="24"/>
                <w:szCs w:val="24"/>
              </w:rPr>
              <w:fldChar w:fldCharType="end"/>
            </w:r>
          </w:hyperlink>
        </w:p>
        <w:p w14:paraId="7A084877" w14:textId="2A271B34" w:rsidR="006774C2" w:rsidRPr="006774C2" w:rsidRDefault="006774C2">
          <w:pPr>
            <w:pStyle w:val="TOC1"/>
            <w:tabs>
              <w:tab w:val="right" w:leader="dot" w:pos="9016"/>
            </w:tabs>
            <w:rPr>
              <w:rFonts w:ascii="Times New Roman" w:hAnsi="Times New Roman" w:cs="Times New Roman"/>
              <w:noProof/>
              <w:color w:val="000000" w:themeColor="text1"/>
              <w:sz w:val="24"/>
              <w:szCs w:val="24"/>
            </w:rPr>
          </w:pPr>
          <w:hyperlink w:anchor="_Toc213869118" w:history="1">
            <w:r w:rsidRPr="006774C2">
              <w:rPr>
                <w:rStyle w:val="Hyperlink"/>
                <w:rFonts w:ascii="Times New Roman" w:hAnsi="Times New Roman" w:cs="Times New Roman"/>
                <w:noProof/>
                <w:color w:val="000000" w:themeColor="text1"/>
                <w:sz w:val="24"/>
                <w:szCs w:val="24"/>
              </w:rPr>
              <w:t>References</w:t>
            </w:r>
            <w:r w:rsidRPr="006774C2">
              <w:rPr>
                <w:rFonts w:ascii="Times New Roman" w:hAnsi="Times New Roman" w:cs="Times New Roman"/>
                <w:noProof/>
                <w:webHidden/>
                <w:color w:val="000000" w:themeColor="text1"/>
                <w:sz w:val="24"/>
                <w:szCs w:val="24"/>
              </w:rPr>
              <w:tab/>
            </w:r>
            <w:r w:rsidRPr="006774C2">
              <w:rPr>
                <w:rFonts w:ascii="Times New Roman" w:hAnsi="Times New Roman" w:cs="Times New Roman"/>
                <w:noProof/>
                <w:webHidden/>
                <w:color w:val="000000" w:themeColor="text1"/>
                <w:sz w:val="24"/>
                <w:szCs w:val="24"/>
              </w:rPr>
              <w:fldChar w:fldCharType="begin"/>
            </w:r>
            <w:r w:rsidRPr="006774C2">
              <w:rPr>
                <w:rFonts w:ascii="Times New Roman" w:hAnsi="Times New Roman" w:cs="Times New Roman"/>
                <w:noProof/>
                <w:webHidden/>
                <w:color w:val="000000" w:themeColor="text1"/>
                <w:sz w:val="24"/>
                <w:szCs w:val="24"/>
              </w:rPr>
              <w:instrText xml:space="preserve"> PAGEREF _Toc213869118 \h </w:instrText>
            </w:r>
            <w:r w:rsidRPr="006774C2">
              <w:rPr>
                <w:rFonts w:ascii="Times New Roman" w:hAnsi="Times New Roman" w:cs="Times New Roman"/>
                <w:noProof/>
                <w:webHidden/>
                <w:color w:val="000000" w:themeColor="text1"/>
                <w:sz w:val="24"/>
                <w:szCs w:val="24"/>
              </w:rPr>
            </w:r>
            <w:r w:rsidRPr="006774C2">
              <w:rPr>
                <w:rFonts w:ascii="Times New Roman" w:hAnsi="Times New Roman" w:cs="Times New Roman"/>
                <w:noProof/>
                <w:webHidden/>
                <w:color w:val="000000" w:themeColor="text1"/>
                <w:sz w:val="24"/>
                <w:szCs w:val="24"/>
              </w:rPr>
              <w:fldChar w:fldCharType="separate"/>
            </w:r>
            <w:r w:rsidRPr="006774C2">
              <w:rPr>
                <w:rFonts w:ascii="Times New Roman" w:hAnsi="Times New Roman" w:cs="Times New Roman"/>
                <w:noProof/>
                <w:webHidden/>
                <w:color w:val="000000" w:themeColor="text1"/>
                <w:sz w:val="24"/>
                <w:szCs w:val="24"/>
              </w:rPr>
              <w:t>10</w:t>
            </w:r>
            <w:r w:rsidRPr="006774C2">
              <w:rPr>
                <w:rFonts w:ascii="Times New Roman" w:hAnsi="Times New Roman" w:cs="Times New Roman"/>
                <w:noProof/>
                <w:webHidden/>
                <w:color w:val="000000" w:themeColor="text1"/>
                <w:sz w:val="24"/>
                <w:szCs w:val="24"/>
              </w:rPr>
              <w:fldChar w:fldCharType="end"/>
            </w:r>
          </w:hyperlink>
        </w:p>
        <w:p w14:paraId="49923429" w14:textId="394B6130" w:rsidR="006774C2" w:rsidRDefault="006774C2">
          <w:r w:rsidRPr="006774C2">
            <w:rPr>
              <w:rFonts w:ascii="Times New Roman" w:hAnsi="Times New Roman" w:cs="Times New Roman"/>
              <w:b/>
              <w:bCs/>
              <w:noProof/>
              <w:color w:val="000000" w:themeColor="text1"/>
              <w:sz w:val="24"/>
              <w:szCs w:val="24"/>
            </w:rPr>
            <w:fldChar w:fldCharType="end"/>
          </w:r>
        </w:p>
      </w:sdtContent>
    </w:sdt>
    <w:p w14:paraId="19F7D57A" w14:textId="77777777" w:rsidR="005B2ACF" w:rsidRDefault="005B2ACF" w:rsidP="005B2ACF">
      <w:pPr>
        <w:pStyle w:val="Heading1"/>
        <w:rPr>
          <w:rFonts w:ascii="Times New Roman" w:hAnsi="Times New Roman" w:cs="Times New Roman"/>
          <w:color w:val="000000" w:themeColor="text1"/>
          <w:sz w:val="32"/>
          <w:szCs w:val="32"/>
          <w:lang w:val="en-GB"/>
        </w:rPr>
      </w:pPr>
    </w:p>
    <w:p w14:paraId="575A5AB3" w14:textId="77777777" w:rsidR="005B2ACF" w:rsidRDefault="005B2ACF" w:rsidP="005B2ACF">
      <w:pPr>
        <w:pStyle w:val="Heading1"/>
        <w:rPr>
          <w:rFonts w:ascii="Times New Roman" w:hAnsi="Times New Roman" w:cs="Times New Roman"/>
          <w:color w:val="000000" w:themeColor="text1"/>
          <w:sz w:val="32"/>
          <w:szCs w:val="32"/>
          <w:lang w:val="en-GB"/>
        </w:rPr>
      </w:pPr>
    </w:p>
    <w:p w14:paraId="4F427CA3" w14:textId="77777777" w:rsidR="005B2ACF" w:rsidRDefault="005B2ACF" w:rsidP="005B2ACF">
      <w:pPr>
        <w:pStyle w:val="Heading1"/>
        <w:rPr>
          <w:rFonts w:ascii="Times New Roman" w:hAnsi="Times New Roman" w:cs="Times New Roman"/>
          <w:color w:val="000000" w:themeColor="text1"/>
          <w:sz w:val="32"/>
          <w:szCs w:val="32"/>
          <w:lang w:val="en-GB"/>
        </w:rPr>
      </w:pPr>
    </w:p>
    <w:p w14:paraId="52FD479D" w14:textId="77777777" w:rsidR="005B2ACF" w:rsidRDefault="005B2ACF" w:rsidP="005B2ACF">
      <w:pPr>
        <w:pStyle w:val="Heading1"/>
        <w:rPr>
          <w:rFonts w:ascii="Times New Roman" w:hAnsi="Times New Roman" w:cs="Times New Roman"/>
          <w:color w:val="000000" w:themeColor="text1"/>
          <w:sz w:val="32"/>
          <w:szCs w:val="32"/>
          <w:lang w:val="en-GB"/>
        </w:rPr>
      </w:pPr>
    </w:p>
    <w:p w14:paraId="7DBED89A" w14:textId="77777777" w:rsidR="005B2ACF" w:rsidRDefault="005B2ACF" w:rsidP="005B2ACF">
      <w:pPr>
        <w:pStyle w:val="Heading1"/>
        <w:rPr>
          <w:rFonts w:ascii="Times New Roman" w:hAnsi="Times New Roman" w:cs="Times New Roman"/>
          <w:color w:val="000000" w:themeColor="text1"/>
          <w:sz w:val="32"/>
          <w:szCs w:val="32"/>
          <w:lang w:val="en-GB"/>
        </w:rPr>
      </w:pPr>
    </w:p>
    <w:p w14:paraId="1B4CF5EE" w14:textId="77777777" w:rsidR="005B2ACF" w:rsidRDefault="005B2ACF" w:rsidP="005B2ACF">
      <w:pPr>
        <w:pStyle w:val="Heading1"/>
        <w:rPr>
          <w:rFonts w:ascii="Times New Roman" w:hAnsi="Times New Roman" w:cs="Times New Roman"/>
          <w:color w:val="000000" w:themeColor="text1"/>
          <w:sz w:val="32"/>
          <w:szCs w:val="32"/>
          <w:lang w:val="en-GB"/>
        </w:rPr>
      </w:pPr>
    </w:p>
    <w:p w14:paraId="368FFB55" w14:textId="77777777" w:rsidR="005B2ACF" w:rsidRDefault="005B2ACF" w:rsidP="005B2ACF">
      <w:pPr>
        <w:pStyle w:val="Heading1"/>
        <w:rPr>
          <w:rFonts w:ascii="Times New Roman" w:hAnsi="Times New Roman" w:cs="Times New Roman"/>
          <w:color w:val="000000" w:themeColor="text1"/>
          <w:sz w:val="32"/>
          <w:szCs w:val="32"/>
          <w:lang w:val="en-GB"/>
        </w:rPr>
      </w:pPr>
    </w:p>
    <w:p w14:paraId="26BFC4C7" w14:textId="77777777" w:rsidR="005B2ACF" w:rsidRDefault="005B2ACF" w:rsidP="005B2ACF">
      <w:pPr>
        <w:pStyle w:val="Heading1"/>
        <w:rPr>
          <w:rFonts w:ascii="Times New Roman" w:hAnsi="Times New Roman" w:cs="Times New Roman"/>
          <w:color w:val="000000" w:themeColor="text1"/>
          <w:sz w:val="32"/>
          <w:szCs w:val="32"/>
          <w:lang w:val="en-GB"/>
        </w:rPr>
      </w:pPr>
    </w:p>
    <w:p w14:paraId="0970E045" w14:textId="77777777" w:rsidR="005B2ACF" w:rsidRDefault="005B2ACF" w:rsidP="005B2ACF">
      <w:pPr>
        <w:pStyle w:val="Heading1"/>
        <w:rPr>
          <w:rFonts w:ascii="Times New Roman" w:hAnsi="Times New Roman" w:cs="Times New Roman"/>
          <w:color w:val="000000" w:themeColor="text1"/>
          <w:sz w:val="32"/>
          <w:szCs w:val="32"/>
          <w:lang w:val="en-GB"/>
        </w:rPr>
      </w:pPr>
    </w:p>
    <w:p w14:paraId="720D5EBA" w14:textId="77777777" w:rsidR="006774C2" w:rsidRPr="006774C2" w:rsidRDefault="006774C2" w:rsidP="006774C2">
      <w:pPr>
        <w:rPr>
          <w:lang w:val="en-GB"/>
        </w:rPr>
      </w:pPr>
    </w:p>
    <w:p w14:paraId="00DBA363" w14:textId="77777777" w:rsidR="006774C2" w:rsidRPr="006774C2" w:rsidRDefault="006774C2" w:rsidP="006774C2">
      <w:pPr>
        <w:rPr>
          <w:lang w:val="en-GB"/>
        </w:rPr>
      </w:pPr>
    </w:p>
    <w:p w14:paraId="42A77893" w14:textId="77777777" w:rsidR="005B2ACF" w:rsidRDefault="005B2ACF" w:rsidP="005B2ACF">
      <w:pPr>
        <w:pStyle w:val="Heading1"/>
        <w:rPr>
          <w:rFonts w:ascii="Times New Roman" w:hAnsi="Times New Roman" w:cs="Times New Roman"/>
          <w:color w:val="000000" w:themeColor="text1"/>
          <w:sz w:val="32"/>
          <w:szCs w:val="32"/>
          <w:lang w:val="en-GB"/>
        </w:rPr>
      </w:pPr>
    </w:p>
    <w:p w14:paraId="3217EB73" w14:textId="77777777" w:rsidR="006774C2" w:rsidRDefault="006774C2" w:rsidP="006774C2">
      <w:pPr>
        <w:rPr>
          <w:lang w:val="en-GB"/>
        </w:rPr>
      </w:pPr>
    </w:p>
    <w:p w14:paraId="3A045649" w14:textId="77777777" w:rsidR="006774C2" w:rsidRPr="006774C2" w:rsidRDefault="006774C2" w:rsidP="006774C2">
      <w:pPr>
        <w:rPr>
          <w:lang w:val="en-GB"/>
        </w:rPr>
      </w:pPr>
    </w:p>
    <w:p w14:paraId="2152BCA3" w14:textId="77777777" w:rsidR="006774C2" w:rsidRDefault="006774C2" w:rsidP="006774C2">
      <w:pPr>
        <w:rPr>
          <w:lang w:val="en-GB"/>
        </w:rPr>
      </w:pPr>
    </w:p>
    <w:p w14:paraId="43CAA122" w14:textId="77777777" w:rsidR="006774C2" w:rsidRDefault="006774C2" w:rsidP="006774C2">
      <w:pPr>
        <w:pStyle w:val="Title"/>
        <w:rPr>
          <w:i/>
          <w:iCs/>
          <w:lang w:val="en-GB"/>
        </w:rPr>
      </w:pPr>
      <w:bookmarkStart w:id="0" w:name="_Toc213869113"/>
    </w:p>
    <w:p w14:paraId="1FB9F052" w14:textId="68CAB690" w:rsidR="006774C2" w:rsidRPr="006774C2" w:rsidRDefault="006774C2" w:rsidP="006774C2">
      <w:pPr>
        <w:pStyle w:val="Title"/>
        <w:rPr>
          <w:i/>
          <w:iCs/>
          <w:lang w:val="en-GB"/>
        </w:rPr>
      </w:pPr>
      <w:r w:rsidRPr="006774C2">
        <w:rPr>
          <w:i/>
          <w:iCs/>
        </w:rPr>
        <w:lastRenderedPageBreak/>
        <w:t>Overall Evaluation of IKEA’s HRM through the SWOT Framework</w:t>
      </w:r>
    </w:p>
    <w:p w14:paraId="62E8E264" w14:textId="77777777" w:rsidR="006774C2" w:rsidRPr="006774C2" w:rsidRDefault="006774C2" w:rsidP="006774C2">
      <w:pPr>
        <w:rPr>
          <w:lang w:val="en-GB"/>
        </w:rPr>
      </w:pPr>
    </w:p>
    <w:p w14:paraId="7B285405" w14:textId="05F80002" w:rsidR="005B2ACF" w:rsidRPr="005B2ACF" w:rsidRDefault="005B2ACF" w:rsidP="005B2ACF">
      <w:pPr>
        <w:pStyle w:val="Heading1"/>
        <w:rPr>
          <w:rFonts w:ascii="Times New Roman" w:hAnsi="Times New Roman" w:cs="Times New Roman"/>
          <w:color w:val="000000" w:themeColor="text1"/>
          <w:sz w:val="32"/>
          <w:szCs w:val="32"/>
        </w:rPr>
      </w:pPr>
      <w:r w:rsidRPr="005B2ACF">
        <w:rPr>
          <w:rFonts w:ascii="Times New Roman" w:hAnsi="Times New Roman" w:cs="Times New Roman"/>
          <w:color w:val="000000" w:themeColor="text1"/>
          <w:sz w:val="32"/>
          <w:szCs w:val="32"/>
        </w:rPr>
        <w:t>1. Introduction</w:t>
      </w:r>
      <w:bookmarkEnd w:id="0"/>
      <w:r w:rsidRPr="005B2ACF">
        <w:rPr>
          <w:rFonts w:ascii="Times New Roman" w:hAnsi="Times New Roman" w:cs="Times New Roman"/>
          <w:color w:val="000000" w:themeColor="text1"/>
          <w:sz w:val="32"/>
          <w:szCs w:val="32"/>
        </w:rPr>
        <w:t xml:space="preserve"> </w:t>
      </w:r>
    </w:p>
    <w:p w14:paraId="552C460B"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Human Resource Management (HRM) plays a critical role in aligning organisational strategy with employee performance and development. Core HRM functions—recruitment and selection, training and development, performance management, and employee relations—are essential to building a motivated, skilled, and committed workforce (Armstrong &amp; Taylor, 2023). Recruitment ensures the attraction of talent compatible with company culture; training develops skills for innovation; performance management maintains accountability and alignment with organisational objectives; and employee relations enhance engagement and collaboration (Dessler, 2020).</w:t>
      </w:r>
    </w:p>
    <w:p w14:paraId="1E87ED8A"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In the modern global business environment, HR managers operate within increasingly complex internal and external contexts. Factors such as globalisation, cultural diversity, legislation, and technological change influence how HR functions are designed and implemented (Bratton &amp; Gold, 2017). This makes analytical tools vital for understanding how environmental factors shape HR effectiveness.</w:t>
      </w:r>
    </w:p>
    <w:p w14:paraId="5FB07CEE"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This report applies the SWOT analysis model (Strengths, Weaknesses, Opportunities, and Threats) to examine how environmental factors affect HRM at IKEA, the world’s leading home furnishing retailer. Founded in 1943 in Sweden, IKEA operates in more than 50 countries, employing approximately 230,000 people across retail, logistics, and design divisions (Inter IKEA Group, 2024). Its HR philosophy centres on equality, sustainability, and empowerment.</w:t>
      </w:r>
    </w:p>
    <w:p w14:paraId="10B5A05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The report is structured as follows: Section 2 explores the internal and external environment using the SWOT model. Section 3 introduces IKEA’s operations and HR practices. Section 4 applies SWOT to analyse how internal and external factors influence HR managers’ effectiveness. Section 5 concludes with insights and recommendations for global HRM practice.</w:t>
      </w:r>
    </w:p>
    <w:p w14:paraId="593B36EE" w14:textId="4F9461A1" w:rsidR="005B2ACF" w:rsidRPr="005B2ACF" w:rsidRDefault="005B2ACF" w:rsidP="005B2ACF">
      <w:pPr>
        <w:pStyle w:val="Heading1"/>
        <w:rPr>
          <w:rFonts w:ascii="Times New Roman" w:hAnsi="Times New Roman" w:cs="Times New Roman"/>
          <w:color w:val="000000" w:themeColor="text1"/>
          <w:sz w:val="32"/>
          <w:szCs w:val="32"/>
        </w:rPr>
      </w:pPr>
      <w:bookmarkStart w:id="1" w:name="_Toc213869114"/>
      <w:r w:rsidRPr="005B2ACF">
        <w:rPr>
          <w:rFonts w:ascii="Times New Roman" w:hAnsi="Times New Roman" w:cs="Times New Roman"/>
          <w:color w:val="000000" w:themeColor="text1"/>
          <w:sz w:val="32"/>
          <w:szCs w:val="32"/>
        </w:rPr>
        <w:lastRenderedPageBreak/>
        <w:t>2. Internal and External Environment</w:t>
      </w:r>
      <w:bookmarkEnd w:id="1"/>
      <w:r w:rsidRPr="005B2ACF">
        <w:rPr>
          <w:rFonts w:ascii="Times New Roman" w:hAnsi="Times New Roman" w:cs="Times New Roman"/>
          <w:color w:val="000000" w:themeColor="text1"/>
          <w:sz w:val="32"/>
          <w:szCs w:val="32"/>
        </w:rPr>
        <w:t xml:space="preserve"> </w:t>
      </w:r>
    </w:p>
    <w:p w14:paraId="4FB7407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The SWOT analysis model offers a structured approach for evaluating the internal and external environment of an organisation. In HRM, it helps identify how internal capabilities and external challenges affect the success of workforce strategies. The model includes four dimensions: strengths, weaknesses, opportunities, and threats (Hill &amp; Westbrook, 1997).</w:t>
      </w:r>
    </w:p>
    <w:p w14:paraId="44322187"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Strengths represent internal resources and competencies that enable HR success—such as strong culture, effective leadership, and skilled employees. These factors provide HR managers with advantages in recruitment, motivation, and retention (Johnson et al., 2020).</w:t>
      </w:r>
    </w:p>
    <w:p w14:paraId="523D0644"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Weaknesses highlight internal limitations, such as high turnover, inadequate training, or limited diversity. Recognising weaknesses allows HR leaders to implement corrective measures such as career development or engagement initiatives (Bratton &amp; Gold, 2017).</w:t>
      </w:r>
    </w:p>
    <w:p w14:paraId="0A2650D3"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Opportunities are external conditions that HR managers can leverage—such as emerging labour markets, technological innovation, or globalisation. For example, digital transformation has enabled HR to adopt AI-driven recruitment and remote working, expanding the global talent pool (Ulrich et al., 2021).</w:t>
      </w:r>
    </w:p>
    <w:p w14:paraId="7AF75443"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Threats are external forces that can hinder HR performance, including economic downturns, regulatory changes, and competition for skilled employees (Grant, 2019). These require strategic foresight to manage effectively.</w:t>
      </w:r>
    </w:p>
    <w:p w14:paraId="7D689595"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The SWOT model’s key strength lies in its simplicity and versatility—it can integrate both macro- and micro-environmental factors into a single framework, providing HR managers with a holistic view of the organisation’s position. It helps link strategic planning with operational HR actions, such as workforce planning or training priorities (Kotler et al., 2022).</w:t>
      </w:r>
    </w:p>
    <w:p w14:paraId="303F701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However, the model also has limitations. It is often criticised for being subjective and static, offering descriptive rather than prescriptive insights (Hill &amp; Westbrook, 1997). It does not quantify the impact of each factor or account for interrelationships among them. Furthermore, SWOT’s conclusions rely heavily on managerial perception, which can introduce bias (Grant, 2019).</w:t>
      </w:r>
    </w:p>
    <w:p w14:paraId="0CBBD8A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Despite these limitations, SWOT remains a valuable analytical tool in HRM, especially when complemented with other models such as PESTLE or the Balanced Scorecard. By combining qualitative insights with quantitative measures (e.g., turnover rates, engagement scores), HR </w:t>
      </w:r>
      <w:r w:rsidRPr="005B2ACF">
        <w:rPr>
          <w:rFonts w:ascii="Times New Roman" w:hAnsi="Times New Roman" w:cs="Times New Roman"/>
          <w:color w:val="000000" w:themeColor="text1"/>
          <w:sz w:val="24"/>
          <w:szCs w:val="24"/>
        </w:rPr>
        <w:lastRenderedPageBreak/>
        <w:t>managers can develop more strategic and evidence-based responses to internal and external challenges.</w:t>
      </w:r>
    </w:p>
    <w:p w14:paraId="582728EB" w14:textId="77777777" w:rsidR="005B2ACF" w:rsidRPr="005B2ACF" w:rsidRDefault="005B2ACF" w:rsidP="005B2ACF">
      <w:pPr>
        <w:spacing w:line="360" w:lineRule="auto"/>
        <w:jc w:val="both"/>
        <w:rPr>
          <w:rFonts w:ascii="Times New Roman" w:hAnsi="Times New Roman" w:cs="Times New Roman"/>
          <w:color w:val="000000" w:themeColor="text1"/>
          <w:sz w:val="24"/>
          <w:szCs w:val="24"/>
          <w:lang w:val="en-GB"/>
        </w:rPr>
      </w:pPr>
    </w:p>
    <w:p w14:paraId="138C69F6" w14:textId="7159A68B" w:rsidR="005B2ACF" w:rsidRPr="005B2ACF" w:rsidRDefault="005B2ACF" w:rsidP="005B2ACF">
      <w:pPr>
        <w:pStyle w:val="Heading1"/>
        <w:rPr>
          <w:rFonts w:ascii="Times New Roman" w:hAnsi="Times New Roman" w:cs="Times New Roman"/>
          <w:color w:val="000000" w:themeColor="text1"/>
          <w:sz w:val="32"/>
          <w:szCs w:val="32"/>
        </w:rPr>
      </w:pPr>
      <w:bookmarkStart w:id="2" w:name="_Toc213869115"/>
      <w:r w:rsidRPr="005B2ACF">
        <w:rPr>
          <w:rFonts w:ascii="Times New Roman" w:hAnsi="Times New Roman" w:cs="Times New Roman"/>
          <w:color w:val="000000" w:themeColor="text1"/>
          <w:sz w:val="32"/>
          <w:szCs w:val="32"/>
        </w:rPr>
        <w:t>3. Organisation Application: IKEA</w:t>
      </w:r>
      <w:bookmarkEnd w:id="2"/>
      <w:r w:rsidRPr="005B2ACF">
        <w:rPr>
          <w:rFonts w:ascii="Times New Roman" w:hAnsi="Times New Roman" w:cs="Times New Roman"/>
          <w:color w:val="000000" w:themeColor="text1"/>
          <w:sz w:val="32"/>
          <w:szCs w:val="32"/>
        </w:rPr>
        <w:t xml:space="preserve"> </w:t>
      </w:r>
    </w:p>
    <w:p w14:paraId="164209B1"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Founded in 1943 by Ingvar Kamprad in Älmhult, Sweden, IKEA has grown from a small mail-order furniture business into one of the world’s largest and most influential multinational retailers. Today, IKEA operates over 460 stores across 50 markets and employs approximately 230,000 people globally (Inter IKEA Group, 2024). Its enduring vision—</w:t>
      </w:r>
      <w:r w:rsidRPr="005B2ACF">
        <w:rPr>
          <w:rFonts w:ascii="Times New Roman" w:hAnsi="Times New Roman" w:cs="Times New Roman"/>
          <w:i/>
          <w:iCs/>
          <w:color w:val="000000" w:themeColor="text1"/>
          <w:sz w:val="24"/>
          <w:szCs w:val="24"/>
        </w:rPr>
        <w:t>“to create a better everyday life for the many people”</w:t>
      </w:r>
      <w:r w:rsidRPr="005B2ACF">
        <w:rPr>
          <w:rFonts w:ascii="Times New Roman" w:hAnsi="Times New Roman" w:cs="Times New Roman"/>
          <w:color w:val="000000" w:themeColor="text1"/>
          <w:sz w:val="24"/>
          <w:szCs w:val="24"/>
        </w:rPr>
        <w:t xml:space="preserve">—reflects a deep commitment to affordability, innovation, and sustainability. IKEA’s pioneering </w:t>
      </w:r>
      <w:r w:rsidRPr="005B2ACF">
        <w:rPr>
          <w:rFonts w:ascii="Times New Roman" w:hAnsi="Times New Roman" w:cs="Times New Roman"/>
          <w:i/>
          <w:iCs/>
          <w:color w:val="000000" w:themeColor="text1"/>
          <w:sz w:val="24"/>
          <w:szCs w:val="24"/>
        </w:rPr>
        <w:t>flat-pack</w:t>
      </w:r>
      <w:r w:rsidRPr="005B2ACF">
        <w:rPr>
          <w:rFonts w:ascii="Times New Roman" w:hAnsi="Times New Roman" w:cs="Times New Roman"/>
          <w:color w:val="000000" w:themeColor="text1"/>
          <w:sz w:val="24"/>
          <w:szCs w:val="24"/>
        </w:rPr>
        <w:t xml:space="preserve"> business model revolutionised the retail industry by combining functional design, cost-efficiency, and customer empowerment. The company’s global success stems from its ability to maintain operational excellence while remaining true to its Scandinavian values of simplicity, equality, and care for people and the planet.</w:t>
      </w:r>
    </w:p>
    <w:p w14:paraId="7E7A825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At the heart of IKEA’s success lies its unique Human Resource Management (HRM) philosophy, known as </w:t>
      </w:r>
      <w:r w:rsidRPr="005B2ACF">
        <w:rPr>
          <w:rFonts w:ascii="Times New Roman" w:hAnsi="Times New Roman" w:cs="Times New Roman"/>
          <w:i/>
          <w:iCs/>
          <w:color w:val="000000" w:themeColor="text1"/>
          <w:sz w:val="24"/>
          <w:szCs w:val="24"/>
        </w:rPr>
        <w:t>“The IKEA Way.”</w:t>
      </w:r>
      <w:r w:rsidRPr="005B2ACF">
        <w:rPr>
          <w:rFonts w:ascii="Times New Roman" w:hAnsi="Times New Roman" w:cs="Times New Roman"/>
          <w:color w:val="000000" w:themeColor="text1"/>
          <w:sz w:val="24"/>
          <w:szCs w:val="24"/>
        </w:rPr>
        <w:t xml:space="preserve"> This philosophy embodies a people-centred approach grounded in respect, inclusivity, and collaboration. The organisation views employees as </w:t>
      </w:r>
      <w:r w:rsidRPr="005B2ACF">
        <w:rPr>
          <w:rFonts w:ascii="Times New Roman" w:hAnsi="Times New Roman" w:cs="Times New Roman"/>
          <w:i/>
          <w:iCs/>
          <w:color w:val="000000" w:themeColor="text1"/>
          <w:sz w:val="24"/>
          <w:szCs w:val="24"/>
        </w:rPr>
        <w:t>co-creators</w:t>
      </w:r>
      <w:r w:rsidRPr="005B2ACF">
        <w:rPr>
          <w:rFonts w:ascii="Times New Roman" w:hAnsi="Times New Roman" w:cs="Times New Roman"/>
          <w:color w:val="000000" w:themeColor="text1"/>
          <w:sz w:val="24"/>
          <w:szCs w:val="24"/>
        </w:rPr>
        <w:t xml:space="preserve"> of its culture rather than mere workers. Recruitment processes prioritise not only technical competence but also personality and cultural alignment. Candidates are selected for their humility, teamwork, and passion for sustainable living—values that reinforce IKEA’s ethical and environmental identity (Dessler, 2020).</w:t>
      </w:r>
    </w:p>
    <w:p w14:paraId="3CE863C2"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Training and development are essential components of IKEA’s HR strategy. The company invests significantly in employee growth through structured learning programmes such as </w:t>
      </w:r>
      <w:r w:rsidRPr="005B2ACF">
        <w:rPr>
          <w:rFonts w:ascii="Times New Roman" w:hAnsi="Times New Roman" w:cs="Times New Roman"/>
          <w:i/>
          <w:iCs/>
          <w:color w:val="000000" w:themeColor="text1"/>
          <w:sz w:val="24"/>
          <w:szCs w:val="24"/>
        </w:rPr>
        <w:t>The IKEA Learning Offer</w:t>
      </w:r>
      <w:r w:rsidRPr="005B2ACF">
        <w:rPr>
          <w:rFonts w:ascii="Times New Roman" w:hAnsi="Times New Roman" w:cs="Times New Roman"/>
          <w:color w:val="000000" w:themeColor="text1"/>
          <w:sz w:val="24"/>
          <w:szCs w:val="24"/>
        </w:rPr>
        <w:t xml:space="preserve"> and </w:t>
      </w:r>
      <w:r w:rsidRPr="005B2ACF">
        <w:rPr>
          <w:rFonts w:ascii="Times New Roman" w:hAnsi="Times New Roman" w:cs="Times New Roman"/>
          <w:i/>
          <w:iCs/>
          <w:color w:val="000000" w:themeColor="text1"/>
          <w:sz w:val="24"/>
          <w:szCs w:val="24"/>
        </w:rPr>
        <w:t>The IKEA Leadership Journey.</w:t>
      </w:r>
      <w:r w:rsidRPr="005B2ACF">
        <w:rPr>
          <w:rFonts w:ascii="Times New Roman" w:hAnsi="Times New Roman" w:cs="Times New Roman"/>
          <w:color w:val="000000" w:themeColor="text1"/>
          <w:sz w:val="24"/>
          <w:szCs w:val="24"/>
        </w:rPr>
        <w:t xml:space="preserve"> These initiatives nurture leadership at all organisational levels, promote cross-functional learning, and prepare employees for global mobility opportunities (IKEA Group, 2023). Training is not limited to technical skills but extends to leadership, customer empathy, and sustainability awareness, ensuring a holistic development process.</w:t>
      </w:r>
    </w:p>
    <w:p w14:paraId="3A47DD0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Performance management at IKEA departs from traditional appraisal systems. Instead of rigid top-down evaluations, the company adopts a coaching-oriented, participatory model. Managers engage employees in regular two-way dialogues, encouraging innovation, feedback, and shared </w:t>
      </w:r>
      <w:r w:rsidRPr="005B2ACF">
        <w:rPr>
          <w:rFonts w:ascii="Times New Roman" w:hAnsi="Times New Roman" w:cs="Times New Roman"/>
          <w:color w:val="000000" w:themeColor="text1"/>
          <w:sz w:val="24"/>
          <w:szCs w:val="24"/>
        </w:rPr>
        <w:lastRenderedPageBreak/>
        <w:t>responsibility for results. This approach fosters trust, motivation, and a strong sense of ownership among staff.</w:t>
      </w:r>
    </w:p>
    <w:p w14:paraId="71F6F6F5"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Employee relations are another cornerstone of IKEA’s HRM framework. The organisation promotes work–life balance through flexible scheduling, generous parental leave, and wellbeing programmes. Its </w:t>
      </w:r>
      <w:r w:rsidRPr="005B2ACF">
        <w:rPr>
          <w:rFonts w:ascii="Times New Roman" w:hAnsi="Times New Roman" w:cs="Times New Roman"/>
          <w:i/>
          <w:iCs/>
          <w:color w:val="000000" w:themeColor="text1"/>
          <w:sz w:val="24"/>
          <w:szCs w:val="24"/>
        </w:rPr>
        <w:t>Diversity &amp; Inclusion Strategy</w:t>
      </w:r>
      <w:r w:rsidRPr="005B2ACF">
        <w:rPr>
          <w:rFonts w:ascii="Times New Roman" w:hAnsi="Times New Roman" w:cs="Times New Roman"/>
          <w:color w:val="000000" w:themeColor="text1"/>
          <w:sz w:val="24"/>
          <w:szCs w:val="24"/>
        </w:rPr>
        <w:t xml:space="preserve"> ensures equal opportunities and promotes cultural respect in every market (CIPD, 2023). Furthermore, initiatives such as gender equity targets and inclusive leadership training have positioned IKEA as a leader in ethical employment practices.</w:t>
      </w:r>
    </w:p>
    <w:p w14:paraId="2A6D15A8"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As a global organisation, IKEA’s HR managers face the ongoing challenge of adapting to varied labour laws, economic climates, and cultural expectations. Yet, through its strong values-driven HR philosophy, IKEA successfully maintains a unified corporate identity while empowering local teams to adapt policies to regional contexts. This balance between global consistency and local flexibility exemplifies IKEA’s excellence in strategic human resource management.</w:t>
      </w:r>
    </w:p>
    <w:p w14:paraId="08291DF6" w14:textId="27312DC0" w:rsidR="005B2ACF" w:rsidRPr="005B2ACF" w:rsidRDefault="005B2ACF" w:rsidP="005B2ACF">
      <w:pPr>
        <w:spacing w:line="360" w:lineRule="auto"/>
        <w:jc w:val="both"/>
        <w:rPr>
          <w:rFonts w:ascii="Times New Roman" w:hAnsi="Times New Roman" w:cs="Times New Roman"/>
          <w:color w:val="000000" w:themeColor="text1"/>
          <w:sz w:val="24"/>
          <w:szCs w:val="24"/>
        </w:rPr>
      </w:pPr>
    </w:p>
    <w:p w14:paraId="2C6F13B3" w14:textId="24B4DD78" w:rsidR="005B2ACF" w:rsidRPr="005B2ACF" w:rsidRDefault="005B2ACF" w:rsidP="005B2ACF">
      <w:pPr>
        <w:pStyle w:val="Heading1"/>
        <w:rPr>
          <w:rFonts w:ascii="Times New Roman" w:hAnsi="Times New Roman" w:cs="Times New Roman"/>
          <w:color w:val="000000" w:themeColor="text1"/>
          <w:sz w:val="32"/>
          <w:szCs w:val="32"/>
        </w:rPr>
      </w:pPr>
      <w:bookmarkStart w:id="3" w:name="_Toc213869116"/>
      <w:r w:rsidRPr="005B2ACF">
        <w:rPr>
          <w:rFonts w:ascii="Times New Roman" w:hAnsi="Times New Roman" w:cs="Times New Roman"/>
          <w:color w:val="000000" w:themeColor="text1"/>
          <w:sz w:val="32"/>
          <w:szCs w:val="32"/>
        </w:rPr>
        <w:t>4. Application of SWOT Model to IKEA</w:t>
      </w:r>
      <w:bookmarkEnd w:id="3"/>
      <w:r w:rsidRPr="005B2ACF">
        <w:rPr>
          <w:rFonts w:ascii="Times New Roman" w:hAnsi="Times New Roman" w:cs="Times New Roman"/>
          <w:color w:val="000000" w:themeColor="text1"/>
          <w:sz w:val="32"/>
          <w:szCs w:val="32"/>
        </w:rPr>
        <w:t xml:space="preserve"> </w:t>
      </w:r>
    </w:p>
    <w:p w14:paraId="3C538FB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Applying the SWOT framework highlights how internal and external factors shape IKEA’s HR practices and managerial effectiveness.</w:t>
      </w:r>
    </w:p>
    <w:p w14:paraId="6CBE646E"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Strengths</w:t>
      </w:r>
    </w:p>
    <w:p w14:paraId="5F1FCC31"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IKEA’s HR strengths stem from its strong organisational culture, values-based leadership, and global learning infrastructure. The company’s </w:t>
      </w:r>
      <w:r w:rsidRPr="005B2ACF">
        <w:rPr>
          <w:rFonts w:ascii="Times New Roman" w:hAnsi="Times New Roman" w:cs="Times New Roman"/>
          <w:i/>
          <w:iCs/>
          <w:color w:val="000000" w:themeColor="text1"/>
          <w:sz w:val="24"/>
          <w:szCs w:val="24"/>
        </w:rPr>
        <w:t>“togetherness”</w:t>
      </w:r>
      <w:r w:rsidRPr="005B2ACF">
        <w:rPr>
          <w:rFonts w:ascii="Times New Roman" w:hAnsi="Times New Roman" w:cs="Times New Roman"/>
          <w:color w:val="000000" w:themeColor="text1"/>
          <w:sz w:val="24"/>
          <w:szCs w:val="24"/>
        </w:rPr>
        <w:t xml:space="preserve"> culture promotes trust, equality, and respect, making it a desirable employer (Armstrong &amp; Taylor, 2023). Its flat organisational structure encourages open communication, employee participation, and innovation. This cultural cohesion fosters loyalty and engagement across its global workforce.</w:t>
      </w:r>
    </w:p>
    <w:p w14:paraId="61E953E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IKEA’s investment in leadership development programmes ensures long-term sustainability of its talent pipeline. Managers are trained to lead with empathy and inclusiveness, reflecting the company’s mission-driven approach. The HR department’s commitment to sustainability also acts as a competitive advantage; initiatives such as “People &amp; Planet Positive” align HR strategies with environmental and social goals (Inter IKEA Group, 2024). Furthermore, the brand’s strong employer reputation attracts motivated, socially responsible employees, improving retention.</w:t>
      </w:r>
    </w:p>
    <w:p w14:paraId="4F45D363"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lastRenderedPageBreak/>
        <w:t>Weaknesses</w:t>
      </w:r>
    </w:p>
    <w:p w14:paraId="44CB5575"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Despite its achievements, IKEA faces HR challenges such as high staff turnover in retail roles and managing consistency across markets. Frontline retail positions—often low-wage or part-time—experience high attrition, particularly in emerging economies (Statista, 2024). This creates pressure on HR to continuously recruit and train new employees, increasing operational costs.</w:t>
      </w:r>
    </w:p>
    <w:p w14:paraId="479A30D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Additionally, IKEA’s decentralised HR structure, while enabling autonomy, can lead to inconsistent implementation of global HR policies (Bratton &amp; Gold, 2017). Some markets may interpret corporate guidelines differently, causing variations in performance management or diversity outcomes. Workload pressures in peak seasons can also affect employee morale, especially in logistics and customer service functions.</w:t>
      </w:r>
    </w:p>
    <w:p w14:paraId="01505897"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Addressing these weaknesses requires greater standardisation of HR information systems and the adoption of global engagement benchmarks to ensure alignment and equity across all markets.</w:t>
      </w:r>
    </w:p>
    <w:p w14:paraId="026339FA"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Opportunities</w:t>
      </w:r>
    </w:p>
    <w:p w14:paraId="33B3EA3D"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Technological innovation presents major opportunities for IKEA’s HR development. The integration of digital HR systems, AI recruitment tools, and online learning platforms enhances efficiency and consistency (Ulrich et al., 2021). Remote working technologies allow HR managers to attract diverse global talent, while data analytics improve workforce planning.</w:t>
      </w:r>
    </w:p>
    <w:p w14:paraId="182DF0E7"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Sustainability also provides growth opportunities. With increasing consumer and employee demand for ethical businesses, IKEA’s sustainability-focused HR policies—such as promoting gender equality and circular economy education—enhance its employer brand. Expanding these initiatives globally can further improve engagement and retention (Renwick, Redman &amp; Maguire, 2013).</w:t>
      </w:r>
    </w:p>
    <w:p w14:paraId="357F84BB"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Additionally, globalisation offers opportunities to enter new markets, particularly in Asia and Africa, where rising middle-class populations create a demand for affordable home furnishings. This expansion requires HR managers to build culturally adaptive teams and establish inclusive recruitment practices.</w:t>
      </w:r>
    </w:p>
    <w:p w14:paraId="7813BB9B"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Threats</w:t>
      </w:r>
    </w:p>
    <w:p w14:paraId="28111E59"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lastRenderedPageBreak/>
        <w:t>IKEA’s HR operations face several external threats. Economic volatility, inflation, and fluctuating exchange rates can affect wage policies and workforce budgets (Grant, 2019). Global competition for skilled talent, particularly in supply chain and digital roles, intensifies pressure on HR to offer competitive compensation.</w:t>
      </w:r>
    </w:p>
    <w:p w14:paraId="33C60BAF"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Legal and regulatory complexity also pose significant threats. Employment laws, such as EU Working Time Directives or U.S. labour rights, differ across jurisdictions (CIPD, 2023). Non-compliance could damage reputation and financial performance. Additionally, socio-political instability or trade disruptions may affect HR planning and expatriate management.</w:t>
      </w:r>
    </w:p>
    <w:p w14:paraId="4FBAF9C3"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Technological change, while offering opportunities, may displace traditional jobs, requiring large-scale reskilling initiatives. HR managers must therefore balance innovation with inclusivity and ensure that automation enhances rather than undermines workforce stability.</w:t>
      </w:r>
    </w:p>
    <w:p w14:paraId="530C88BA"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Overall Evaluation</w:t>
      </w:r>
    </w:p>
    <w:p w14:paraId="6EC90E4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The SWOT analysis demonstrates that IKEA’s HR effectiveness depends on its ability to maintain equilibrium between powerful internal strengths—such as its deeply rooted organisational culture, inclusive leadership philosophy, and globally admired employer brand—and the continuous external pressures of regulatory compliance, digital transformation, and competitive labour markets. IKEA’s Scandinavian-inspired culture, which emphasises equality, teamwork, and humility, remains one of its strongest assets in fostering commitment and purpose among employees across different geographies. However, the company operates in a highly complex international environment where social, legal, and technological factors evolve rapidly, requiring HR managers to remain agile and forward-thinking in their strategies.</w:t>
      </w:r>
    </w:p>
    <w:p w14:paraId="32358D44"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By leveraging technology and sustainability initiatives, IKEA’s HR leaders can turn potential weaknesses, such as decentralisation and high employee turnover, into avenues for innovation and resilience. For example, the implementation of integrated digital HR systems, artificial intelligence in recruitment, and predictive analytics for workforce planning can enhance data-driven decision-making and operational consistency across markets (Ulrich et al., 2021). Simultaneously, embedding sustainability within HR policies—through green training programmes, ethical leadership development, and employee engagement in environmental projects—strengthens IKEA’s position as an employer of choice committed to responsible business practices (Renwick, Redman &amp; Maguire, 2013).</w:t>
      </w:r>
    </w:p>
    <w:p w14:paraId="4B792AAA"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lastRenderedPageBreak/>
        <w:t>Furthermore, aligning global HR policies with local cultural and legal frameworks remains critical to IKEA’s continued success. Strong internal communication systems, cultural intelligence training, and leadership development initiatives enable HR managers to implement global standards while respecting local diversity. This balance of central guidance and regional autonomy ensures that IKEA retains its core identity without imposing a one-size-fits-all model. By reinforcing collaboration, transparency, and continuous learning across all markets, IKEA’s HR function not only enhances inclusiveness and cohesion but also ensures the company’s long-term adaptability and competitive advantage in a dynamic global retail landscape.</w:t>
      </w:r>
    </w:p>
    <w:p w14:paraId="738254F5" w14:textId="0C5019B8" w:rsidR="005B2ACF" w:rsidRPr="005B2ACF" w:rsidRDefault="005B2ACF" w:rsidP="005B2ACF">
      <w:pPr>
        <w:spacing w:line="360" w:lineRule="auto"/>
        <w:jc w:val="both"/>
        <w:rPr>
          <w:rFonts w:ascii="Times New Roman" w:hAnsi="Times New Roman" w:cs="Times New Roman"/>
          <w:color w:val="000000" w:themeColor="text1"/>
          <w:sz w:val="24"/>
          <w:szCs w:val="24"/>
        </w:rPr>
      </w:pPr>
    </w:p>
    <w:p w14:paraId="6A0234D6" w14:textId="77F75C5E" w:rsidR="005B2ACF" w:rsidRPr="005B2ACF" w:rsidRDefault="005B2ACF" w:rsidP="005B2ACF">
      <w:pPr>
        <w:pStyle w:val="Heading1"/>
        <w:rPr>
          <w:rFonts w:ascii="Times New Roman" w:hAnsi="Times New Roman" w:cs="Times New Roman"/>
          <w:color w:val="000000" w:themeColor="text1"/>
          <w:sz w:val="32"/>
          <w:szCs w:val="32"/>
        </w:rPr>
      </w:pPr>
      <w:bookmarkStart w:id="4" w:name="_Toc213869117"/>
      <w:r w:rsidRPr="005B2ACF">
        <w:rPr>
          <w:rFonts w:ascii="Times New Roman" w:hAnsi="Times New Roman" w:cs="Times New Roman"/>
          <w:color w:val="000000" w:themeColor="text1"/>
          <w:sz w:val="32"/>
          <w:szCs w:val="32"/>
        </w:rPr>
        <w:t>5. Conclusion</w:t>
      </w:r>
      <w:bookmarkEnd w:id="4"/>
      <w:r w:rsidRPr="005B2ACF">
        <w:rPr>
          <w:rFonts w:ascii="Times New Roman" w:hAnsi="Times New Roman" w:cs="Times New Roman"/>
          <w:color w:val="000000" w:themeColor="text1"/>
          <w:sz w:val="32"/>
          <w:szCs w:val="32"/>
        </w:rPr>
        <w:t xml:space="preserve"> </w:t>
      </w:r>
    </w:p>
    <w:p w14:paraId="71B1DD11"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This report examined how environmental factors influence HR managers’ effectiveness at IKEA through the application of the SWOT analysis model. The analysis identified that IKEA’s internal strengths—such as its inclusive culture, leadership development, and sustainability focus—serve as critical enablers of HR success. However, challenges including turnover, decentralisation, and cultural variation require ongoing adaptation.</w:t>
      </w:r>
    </w:p>
    <w:p w14:paraId="4F7AC18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Opportunities related to digital transformation, sustainability, and global expansion provide HR managers with strategic levers to enhance engagement and efficiency. At the same time, threats from economic volatility, regulatory complexity, and competition necessitate proactive risk management and continuous learning.</w:t>
      </w:r>
    </w:p>
    <w:p w14:paraId="335EFE55"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For HR leaders at IKEA, effectiveness depends on balancing global standardisation with local responsiveness. Strengthening HR analytics, promoting cultural intelligence, and reinforcing sustainability-driven leadership can help the organisation remain agile and values-driven in a rapidly changing environment.</w:t>
      </w:r>
    </w:p>
    <w:p w14:paraId="5E4FD5C0"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Ultimately, understanding and managing the interplay between internal and external factors enables HR managers to design policies that sustain IKEA’s reputation as a responsible, innovative, and people-centred global employer. Integrating technology and ethics into HRM will ensure long-term competitiveness and reinforce IKEA’s mission to create a better everyday life for its employees and customers alike.</w:t>
      </w:r>
    </w:p>
    <w:p w14:paraId="59E18A58" w14:textId="77777777" w:rsidR="005B2ACF" w:rsidRDefault="005B2ACF" w:rsidP="005B2ACF">
      <w:pPr>
        <w:spacing w:line="360" w:lineRule="auto"/>
        <w:jc w:val="both"/>
        <w:rPr>
          <w:rFonts w:ascii="Times New Roman" w:hAnsi="Times New Roman" w:cs="Times New Roman"/>
          <w:color w:val="000000" w:themeColor="text1"/>
          <w:sz w:val="24"/>
          <w:szCs w:val="24"/>
          <w:lang w:val="en-GB"/>
        </w:rPr>
      </w:pPr>
    </w:p>
    <w:p w14:paraId="44E0E18F" w14:textId="77777777" w:rsidR="006774C2" w:rsidRDefault="006774C2" w:rsidP="005B2ACF">
      <w:pPr>
        <w:spacing w:line="360" w:lineRule="auto"/>
        <w:jc w:val="both"/>
        <w:rPr>
          <w:rFonts w:ascii="Times New Roman" w:hAnsi="Times New Roman" w:cs="Times New Roman"/>
          <w:color w:val="000000" w:themeColor="text1"/>
          <w:sz w:val="24"/>
          <w:szCs w:val="24"/>
          <w:lang w:val="en-GB"/>
        </w:rPr>
      </w:pPr>
    </w:p>
    <w:p w14:paraId="188894A5" w14:textId="77777777" w:rsidR="006774C2" w:rsidRPr="005B2ACF" w:rsidRDefault="006774C2" w:rsidP="005B2ACF">
      <w:pPr>
        <w:spacing w:line="360" w:lineRule="auto"/>
        <w:jc w:val="both"/>
        <w:rPr>
          <w:rFonts w:ascii="Times New Roman" w:hAnsi="Times New Roman" w:cs="Times New Roman"/>
          <w:color w:val="000000" w:themeColor="text1"/>
          <w:sz w:val="24"/>
          <w:szCs w:val="24"/>
          <w:lang w:val="en-GB"/>
        </w:rPr>
      </w:pPr>
    </w:p>
    <w:p w14:paraId="0E303984" w14:textId="0F077767" w:rsidR="005B2ACF" w:rsidRPr="005B2ACF" w:rsidRDefault="005B2ACF" w:rsidP="005B2ACF">
      <w:pPr>
        <w:pStyle w:val="Heading1"/>
        <w:rPr>
          <w:rFonts w:ascii="Times New Roman" w:hAnsi="Times New Roman" w:cs="Times New Roman"/>
          <w:color w:val="000000" w:themeColor="text1"/>
          <w:sz w:val="32"/>
          <w:szCs w:val="32"/>
        </w:rPr>
      </w:pPr>
      <w:bookmarkStart w:id="5" w:name="_Toc213869118"/>
      <w:r w:rsidRPr="005B2ACF">
        <w:rPr>
          <w:rFonts w:ascii="Times New Roman" w:hAnsi="Times New Roman" w:cs="Times New Roman"/>
          <w:color w:val="000000" w:themeColor="text1"/>
          <w:sz w:val="32"/>
          <w:szCs w:val="32"/>
        </w:rPr>
        <w:t>References</w:t>
      </w:r>
      <w:bookmarkEnd w:id="5"/>
      <w:r w:rsidRPr="005B2ACF">
        <w:rPr>
          <w:rFonts w:ascii="Times New Roman" w:hAnsi="Times New Roman" w:cs="Times New Roman"/>
          <w:color w:val="000000" w:themeColor="text1"/>
          <w:sz w:val="32"/>
          <w:szCs w:val="32"/>
        </w:rPr>
        <w:t xml:space="preserve"> </w:t>
      </w:r>
    </w:p>
    <w:p w14:paraId="6B1B2856" w14:textId="77777777" w:rsidR="005B2ACF" w:rsidRPr="005B2ACF" w:rsidRDefault="005B2ACF" w:rsidP="005B2ACF">
      <w:pPr>
        <w:spacing w:line="360" w:lineRule="auto"/>
        <w:jc w:val="both"/>
        <w:rPr>
          <w:rFonts w:ascii="Times New Roman" w:hAnsi="Times New Roman" w:cs="Times New Roman"/>
          <w:color w:val="000000" w:themeColor="text1"/>
          <w:sz w:val="24"/>
          <w:szCs w:val="24"/>
        </w:rPr>
      </w:pPr>
      <w:r w:rsidRPr="005B2ACF">
        <w:rPr>
          <w:rFonts w:ascii="Times New Roman" w:hAnsi="Times New Roman" w:cs="Times New Roman"/>
          <w:color w:val="000000" w:themeColor="text1"/>
          <w:sz w:val="24"/>
          <w:szCs w:val="24"/>
        </w:rPr>
        <w:t xml:space="preserve">Armstrong, M. and Taylor, S. (2023) </w:t>
      </w:r>
      <w:r w:rsidRPr="005B2ACF">
        <w:rPr>
          <w:rFonts w:ascii="Times New Roman" w:hAnsi="Times New Roman" w:cs="Times New Roman"/>
          <w:i/>
          <w:iCs/>
          <w:color w:val="000000" w:themeColor="text1"/>
          <w:sz w:val="24"/>
          <w:szCs w:val="24"/>
        </w:rPr>
        <w:t>Armstrong’s Handbook of Human Resource Management Practice.</w:t>
      </w:r>
      <w:r w:rsidRPr="005B2ACF">
        <w:rPr>
          <w:rFonts w:ascii="Times New Roman" w:hAnsi="Times New Roman" w:cs="Times New Roman"/>
          <w:color w:val="000000" w:themeColor="text1"/>
          <w:sz w:val="24"/>
          <w:szCs w:val="24"/>
        </w:rPr>
        <w:t xml:space="preserve"> 16th edn. London: Kogan Page.</w:t>
      </w:r>
      <w:r w:rsidRPr="005B2ACF">
        <w:rPr>
          <w:rFonts w:ascii="Times New Roman" w:hAnsi="Times New Roman" w:cs="Times New Roman"/>
          <w:color w:val="000000" w:themeColor="text1"/>
          <w:sz w:val="24"/>
          <w:szCs w:val="24"/>
        </w:rPr>
        <w:br/>
        <w:t xml:space="preserve">Bratton, J. and Gold, J. (2017) </w:t>
      </w:r>
      <w:r w:rsidRPr="005B2ACF">
        <w:rPr>
          <w:rFonts w:ascii="Times New Roman" w:hAnsi="Times New Roman" w:cs="Times New Roman"/>
          <w:i/>
          <w:iCs/>
          <w:color w:val="000000" w:themeColor="text1"/>
          <w:sz w:val="24"/>
          <w:szCs w:val="24"/>
        </w:rPr>
        <w:t>Human Resource Management: Theory and Practice.</w:t>
      </w:r>
      <w:r w:rsidRPr="005B2ACF">
        <w:rPr>
          <w:rFonts w:ascii="Times New Roman" w:hAnsi="Times New Roman" w:cs="Times New Roman"/>
          <w:color w:val="000000" w:themeColor="text1"/>
          <w:sz w:val="24"/>
          <w:szCs w:val="24"/>
        </w:rPr>
        <w:t xml:space="preserve"> 6th edn. London: Palgrave.</w:t>
      </w:r>
      <w:r w:rsidRPr="005B2ACF">
        <w:rPr>
          <w:rFonts w:ascii="Times New Roman" w:hAnsi="Times New Roman" w:cs="Times New Roman"/>
          <w:color w:val="000000" w:themeColor="text1"/>
          <w:sz w:val="24"/>
          <w:szCs w:val="24"/>
        </w:rPr>
        <w:br/>
        <w:t xml:space="preserve">Chartered Institute of Personnel and Development (CIPD) (2023) ‘Employment Law Updates 2023’. Available at: </w:t>
      </w:r>
      <w:hyperlink r:id="rId8" w:tgtFrame="_new" w:history="1">
        <w:r w:rsidRPr="005B2ACF">
          <w:rPr>
            <w:rStyle w:val="Hyperlink"/>
            <w:rFonts w:ascii="Times New Roman" w:hAnsi="Times New Roman" w:cs="Times New Roman"/>
            <w:color w:val="000000" w:themeColor="text1"/>
            <w:sz w:val="24"/>
            <w:szCs w:val="24"/>
          </w:rPr>
          <w:t>https://www.cipd.co.uk/</w:t>
        </w:r>
      </w:hyperlink>
    </w:p>
    <w:p w14:paraId="0BE74B9A" w14:textId="77777777" w:rsidR="005B2ACF" w:rsidRPr="005B2ACF" w:rsidRDefault="005B2ACF" w:rsidP="005B2ACF">
      <w:pPr>
        <w:spacing w:line="360" w:lineRule="auto"/>
        <w:jc w:val="both"/>
        <w:rPr>
          <w:rFonts w:ascii="Times New Roman" w:hAnsi="Times New Roman" w:cs="Times New Roman"/>
          <w:color w:val="000000" w:themeColor="text1"/>
          <w:sz w:val="24"/>
          <w:szCs w:val="24"/>
          <w:lang w:val="en-US"/>
        </w:rPr>
      </w:pPr>
    </w:p>
    <w:p w14:paraId="532B0E2C" w14:textId="77777777" w:rsidR="007D1265" w:rsidRPr="005B2ACF" w:rsidRDefault="007D1265" w:rsidP="005B2ACF">
      <w:pPr>
        <w:spacing w:line="360" w:lineRule="auto"/>
        <w:jc w:val="both"/>
        <w:rPr>
          <w:rFonts w:ascii="Times New Roman" w:hAnsi="Times New Roman" w:cs="Times New Roman"/>
          <w:color w:val="000000" w:themeColor="text1"/>
          <w:sz w:val="24"/>
          <w:szCs w:val="24"/>
        </w:rPr>
      </w:pPr>
    </w:p>
    <w:sectPr w:rsidR="007D1265" w:rsidRPr="005B2AC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AF517" w14:textId="77777777" w:rsidR="006774C2" w:rsidRDefault="006774C2" w:rsidP="006774C2">
      <w:pPr>
        <w:spacing w:after="0" w:line="240" w:lineRule="auto"/>
      </w:pPr>
      <w:r>
        <w:separator/>
      </w:r>
    </w:p>
  </w:endnote>
  <w:endnote w:type="continuationSeparator" w:id="0">
    <w:p w14:paraId="34F9D32A" w14:textId="77777777" w:rsidR="006774C2" w:rsidRDefault="006774C2" w:rsidP="0067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360025"/>
      <w:docPartObj>
        <w:docPartGallery w:val="Page Numbers (Bottom of Page)"/>
        <w:docPartUnique/>
      </w:docPartObj>
    </w:sdtPr>
    <w:sdtEndPr>
      <w:rPr>
        <w:noProof/>
      </w:rPr>
    </w:sdtEndPr>
    <w:sdtContent>
      <w:p w14:paraId="4C33DC9A" w14:textId="509E380D" w:rsidR="006774C2" w:rsidRDefault="006774C2">
        <w:pPr>
          <w:pStyle w:val="Footer"/>
          <w:jc w:val="center"/>
        </w:pPr>
        <w:r>
          <w:rPr>
            <w:noProof/>
          </w:rPr>
          <mc:AlternateContent>
            <mc:Choice Requires="wps">
              <w:drawing>
                <wp:inline distT="0" distB="0" distL="0" distR="0" wp14:anchorId="4B6F152F" wp14:editId="31F548CF">
                  <wp:extent cx="5467350" cy="54610"/>
                  <wp:effectExtent l="9525" t="19050" r="9525" b="12065"/>
                  <wp:docPr id="1712840007"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6D00EB4"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CA2E937" w14:textId="04CD3CB2" w:rsidR="006774C2" w:rsidRDefault="006774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8B95D" w14:textId="77777777" w:rsidR="006774C2" w:rsidRDefault="00677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B7AC4" w14:textId="77777777" w:rsidR="006774C2" w:rsidRDefault="006774C2" w:rsidP="006774C2">
      <w:pPr>
        <w:spacing w:after="0" w:line="240" w:lineRule="auto"/>
      </w:pPr>
      <w:r>
        <w:separator/>
      </w:r>
    </w:p>
  </w:footnote>
  <w:footnote w:type="continuationSeparator" w:id="0">
    <w:p w14:paraId="2C0B4F48" w14:textId="77777777" w:rsidR="006774C2" w:rsidRDefault="006774C2" w:rsidP="00677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E99C" w14:textId="3C26D30A" w:rsidR="006774C2" w:rsidRDefault="006774C2" w:rsidP="006774C2">
    <w:pPr>
      <w:pStyle w:val="Header"/>
      <w:jc w:val="right"/>
    </w:pPr>
    <w:r>
      <w:rPr>
        <w:noProof/>
      </w:rPr>
      <w:drawing>
        <wp:anchor distT="0" distB="0" distL="114300" distR="114300" simplePos="0" relativeHeight="251659264" behindDoc="1" locked="0" layoutInCell="1" allowOverlap="1" wp14:anchorId="387AEFB0" wp14:editId="5347B1E1">
          <wp:simplePos x="0" y="0"/>
          <wp:positionH relativeFrom="column">
            <wp:posOffset>2522220</wp:posOffset>
          </wp:positionH>
          <wp:positionV relativeFrom="page">
            <wp:posOffset>304800</wp:posOffset>
          </wp:positionV>
          <wp:extent cx="480060" cy="309245"/>
          <wp:effectExtent l="304800" t="323850" r="320040" b="319405"/>
          <wp:wrapTight wrapText="bothSides">
            <wp:wrapPolygon edited="0">
              <wp:start x="2571" y="-22620"/>
              <wp:lineTo x="-13714" y="-19959"/>
              <wp:lineTo x="-13714" y="23951"/>
              <wp:lineTo x="-1714" y="39918"/>
              <wp:lineTo x="-857" y="42579"/>
              <wp:lineTo x="18000" y="42579"/>
              <wp:lineTo x="18857" y="39918"/>
              <wp:lineTo x="33429" y="23951"/>
              <wp:lineTo x="35143" y="-2661"/>
              <wp:lineTo x="18000" y="-19959"/>
              <wp:lineTo x="12857" y="-22620"/>
              <wp:lineTo x="2571" y="-22620"/>
            </wp:wrapPolygon>
          </wp:wrapTight>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060" cy="3092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CF"/>
    <w:rsid w:val="0000006E"/>
    <w:rsid w:val="005B06A0"/>
    <w:rsid w:val="005B2ACF"/>
    <w:rsid w:val="006774C2"/>
    <w:rsid w:val="007D1265"/>
    <w:rsid w:val="00A662D2"/>
    <w:rsid w:val="00A95CAE"/>
    <w:rsid w:val="00DC308D"/>
    <w:rsid w:val="00F73F8D"/>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28E99"/>
  <w15:chartTrackingRefBased/>
  <w15:docId w15:val="{07B5395D-8EF7-4622-8F54-B101820BD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CF"/>
  </w:style>
  <w:style w:type="paragraph" w:styleId="Heading1">
    <w:name w:val="heading 1"/>
    <w:basedOn w:val="Normal"/>
    <w:next w:val="Normal"/>
    <w:link w:val="Heading1Char"/>
    <w:uiPriority w:val="9"/>
    <w:qFormat/>
    <w:rsid w:val="005B2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ACF"/>
    <w:rPr>
      <w:rFonts w:eastAsiaTheme="majorEastAsia" w:cstheme="majorBidi"/>
      <w:color w:val="272727" w:themeColor="text1" w:themeTint="D8"/>
    </w:rPr>
  </w:style>
  <w:style w:type="paragraph" w:styleId="Title">
    <w:name w:val="Title"/>
    <w:basedOn w:val="Normal"/>
    <w:next w:val="Normal"/>
    <w:link w:val="TitleChar"/>
    <w:uiPriority w:val="10"/>
    <w:qFormat/>
    <w:rsid w:val="005B2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ACF"/>
    <w:pPr>
      <w:spacing w:before="160"/>
      <w:jc w:val="center"/>
    </w:pPr>
    <w:rPr>
      <w:i/>
      <w:iCs/>
      <w:color w:val="404040" w:themeColor="text1" w:themeTint="BF"/>
    </w:rPr>
  </w:style>
  <w:style w:type="character" w:customStyle="1" w:styleId="QuoteChar">
    <w:name w:val="Quote Char"/>
    <w:basedOn w:val="DefaultParagraphFont"/>
    <w:link w:val="Quote"/>
    <w:uiPriority w:val="29"/>
    <w:rsid w:val="005B2ACF"/>
    <w:rPr>
      <w:i/>
      <w:iCs/>
      <w:color w:val="404040" w:themeColor="text1" w:themeTint="BF"/>
    </w:rPr>
  </w:style>
  <w:style w:type="paragraph" w:styleId="ListParagraph">
    <w:name w:val="List Paragraph"/>
    <w:basedOn w:val="Normal"/>
    <w:uiPriority w:val="34"/>
    <w:qFormat/>
    <w:rsid w:val="005B2ACF"/>
    <w:pPr>
      <w:ind w:left="720"/>
      <w:contextualSpacing/>
    </w:pPr>
  </w:style>
  <w:style w:type="character" w:styleId="IntenseEmphasis">
    <w:name w:val="Intense Emphasis"/>
    <w:basedOn w:val="DefaultParagraphFont"/>
    <w:uiPriority w:val="21"/>
    <w:qFormat/>
    <w:rsid w:val="005B2ACF"/>
    <w:rPr>
      <w:i/>
      <w:iCs/>
      <w:color w:val="0F4761" w:themeColor="accent1" w:themeShade="BF"/>
    </w:rPr>
  </w:style>
  <w:style w:type="paragraph" w:styleId="IntenseQuote">
    <w:name w:val="Intense Quote"/>
    <w:basedOn w:val="Normal"/>
    <w:next w:val="Normal"/>
    <w:link w:val="IntenseQuoteChar"/>
    <w:uiPriority w:val="30"/>
    <w:qFormat/>
    <w:rsid w:val="005B2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ACF"/>
    <w:rPr>
      <w:i/>
      <w:iCs/>
      <w:color w:val="0F4761" w:themeColor="accent1" w:themeShade="BF"/>
    </w:rPr>
  </w:style>
  <w:style w:type="character" w:styleId="IntenseReference">
    <w:name w:val="Intense Reference"/>
    <w:basedOn w:val="DefaultParagraphFont"/>
    <w:uiPriority w:val="32"/>
    <w:qFormat/>
    <w:rsid w:val="005B2ACF"/>
    <w:rPr>
      <w:b/>
      <w:bCs/>
      <w:smallCaps/>
      <w:color w:val="0F4761" w:themeColor="accent1" w:themeShade="BF"/>
      <w:spacing w:val="5"/>
    </w:rPr>
  </w:style>
  <w:style w:type="character" w:styleId="Hyperlink">
    <w:name w:val="Hyperlink"/>
    <w:basedOn w:val="DefaultParagraphFont"/>
    <w:uiPriority w:val="99"/>
    <w:unhideWhenUsed/>
    <w:rsid w:val="005B2ACF"/>
    <w:rPr>
      <w:color w:val="467886" w:themeColor="hyperlink"/>
      <w:u w:val="single"/>
    </w:rPr>
  </w:style>
  <w:style w:type="character" w:styleId="UnresolvedMention">
    <w:name w:val="Unresolved Mention"/>
    <w:basedOn w:val="DefaultParagraphFont"/>
    <w:uiPriority w:val="99"/>
    <w:semiHidden/>
    <w:unhideWhenUsed/>
    <w:rsid w:val="005B2ACF"/>
    <w:rPr>
      <w:color w:val="605E5C"/>
      <w:shd w:val="clear" w:color="auto" w:fill="E1DFDD"/>
    </w:rPr>
  </w:style>
  <w:style w:type="paragraph" w:styleId="Header">
    <w:name w:val="header"/>
    <w:basedOn w:val="Normal"/>
    <w:link w:val="HeaderChar"/>
    <w:uiPriority w:val="99"/>
    <w:unhideWhenUsed/>
    <w:rsid w:val="006774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6774C2"/>
  </w:style>
  <w:style w:type="paragraph" w:styleId="Footer">
    <w:name w:val="footer"/>
    <w:basedOn w:val="Normal"/>
    <w:link w:val="FooterChar"/>
    <w:uiPriority w:val="99"/>
    <w:unhideWhenUsed/>
    <w:rsid w:val="006774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6774C2"/>
  </w:style>
  <w:style w:type="paragraph" w:styleId="TOCHeading">
    <w:name w:val="TOC Heading"/>
    <w:basedOn w:val="Heading1"/>
    <w:next w:val="Normal"/>
    <w:uiPriority w:val="39"/>
    <w:unhideWhenUsed/>
    <w:qFormat/>
    <w:rsid w:val="006774C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774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914646">
      <w:bodyDiv w:val="1"/>
      <w:marLeft w:val="0"/>
      <w:marRight w:val="0"/>
      <w:marTop w:val="0"/>
      <w:marBottom w:val="0"/>
      <w:divBdr>
        <w:top w:val="none" w:sz="0" w:space="0" w:color="auto"/>
        <w:left w:val="none" w:sz="0" w:space="0" w:color="auto"/>
        <w:bottom w:val="none" w:sz="0" w:space="0" w:color="auto"/>
        <w:right w:val="none" w:sz="0" w:space="0" w:color="auto"/>
      </w:divBdr>
      <w:divsChild>
        <w:div w:id="693649727">
          <w:marLeft w:val="0"/>
          <w:marRight w:val="0"/>
          <w:marTop w:val="0"/>
          <w:marBottom w:val="200"/>
          <w:divBdr>
            <w:top w:val="none" w:sz="0" w:space="0" w:color="auto"/>
            <w:left w:val="none" w:sz="0" w:space="0" w:color="auto"/>
            <w:bottom w:val="none" w:sz="0" w:space="0" w:color="auto"/>
            <w:right w:val="none" w:sz="0" w:space="0" w:color="auto"/>
          </w:divBdr>
        </w:div>
        <w:div w:id="960115311">
          <w:marLeft w:val="0"/>
          <w:marRight w:val="0"/>
          <w:marTop w:val="0"/>
          <w:marBottom w:val="200"/>
          <w:divBdr>
            <w:top w:val="none" w:sz="0" w:space="0" w:color="auto"/>
            <w:left w:val="none" w:sz="0" w:space="0" w:color="auto"/>
            <w:bottom w:val="none" w:sz="0" w:space="0" w:color="auto"/>
            <w:right w:val="none" w:sz="0" w:space="0" w:color="auto"/>
          </w:divBdr>
        </w:div>
        <w:div w:id="1689985226">
          <w:marLeft w:val="0"/>
          <w:marRight w:val="0"/>
          <w:marTop w:val="0"/>
          <w:marBottom w:val="200"/>
          <w:divBdr>
            <w:top w:val="none" w:sz="0" w:space="0" w:color="auto"/>
            <w:left w:val="none" w:sz="0" w:space="0" w:color="auto"/>
            <w:bottom w:val="none" w:sz="0" w:space="0" w:color="auto"/>
            <w:right w:val="none" w:sz="0" w:space="0" w:color="auto"/>
          </w:divBdr>
        </w:div>
        <w:div w:id="1923635766">
          <w:marLeft w:val="0"/>
          <w:marRight w:val="0"/>
          <w:marTop w:val="0"/>
          <w:marBottom w:val="200"/>
          <w:divBdr>
            <w:top w:val="none" w:sz="0" w:space="0" w:color="auto"/>
            <w:left w:val="none" w:sz="0" w:space="0" w:color="auto"/>
            <w:bottom w:val="none" w:sz="0" w:space="0" w:color="auto"/>
            <w:right w:val="none" w:sz="0" w:space="0" w:color="auto"/>
          </w:divBdr>
        </w:div>
        <w:div w:id="2102600533">
          <w:marLeft w:val="0"/>
          <w:marRight w:val="0"/>
          <w:marTop w:val="0"/>
          <w:marBottom w:val="200"/>
          <w:divBdr>
            <w:top w:val="none" w:sz="0" w:space="0" w:color="auto"/>
            <w:left w:val="none" w:sz="0" w:space="0" w:color="auto"/>
            <w:bottom w:val="none" w:sz="0" w:space="0" w:color="auto"/>
            <w:right w:val="none" w:sz="0" w:space="0" w:color="auto"/>
          </w:divBdr>
        </w:div>
      </w:divsChild>
    </w:div>
    <w:div w:id="300959489">
      <w:bodyDiv w:val="1"/>
      <w:marLeft w:val="0"/>
      <w:marRight w:val="0"/>
      <w:marTop w:val="0"/>
      <w:marBottom w:val="0"/>
      <w:divBdr>
        <w:top w:val="none" w:sz="0" w:space="0" w:color="auto"/>
        <w:left w:val="none" w:sz="0" w:space="0" w:color="auto"/>
        <w:bottom w:val="none" w:sz="0" w:space="0" w:color="auto"/>
        <w:right w:val="none" w:sz="0" w:space="0" w:color="auto"/>
      </w:divBdr>
    </w:div>
    <w:div w:id="399063083">
      <w:bodyDiv w:val="1"/>
      <w:marLeft w:val="0"/>
      <w:marRight w:val="0"/>
      <w:marTop w:val="0"/>
      <w:marBottom w:val="0"/>
      <w:divBdr>
        <w:top w:val="none" w:sz="0" w:space="0" w:color="auto"/>
        <w:left w:val="none" w:sz="0" w:space="0" w:color="auto"/>
        <w:bottom w:val="none" w:sz="0" w:space="0" w:color="auto"/>
        <w:right w:val="none" w:sz="0" w:space="0" w:color="auto"/>
      </w:divBdr>
    </w:div>
    <w:div w:id="435254845">
      <w:bodyDiv w:val="1"/>
      <w:marLeft w:val="0"/>
      <w:marRight w:val="0"/>
      <w:marTop w:val="0"/>
      <w:marBottom w:val="0"/>
      <w:divBdr>
        <w:top w:val="none" w:sz="0" w:space="0" w:color="auto"/>
        <w:left w:val="none" w:sz="0" w:space="0" w:color="auto"/>
        <w:bottom w:val="none" w:sz="0" w:space="0" w:color="auto"/>
        <w:right w:val="none" w:sz="0" w:space="0" w:color="auto"/>
      </w:divBdr>
      <w:divsChild>
        <w:div w:id="1777095477">
          <w:marLeft w:val="0"/>
          <w:marRight w:val="0"/>
          <w:marTop w:val="0"/>
          <w:marBottom w:val="200"/>
          <w:divBdr>
            <w:top w:val="none" w:sz="0" w:space="0" w:color="auto"/>
            <w:left w:val="none" w:sz="0" w:space="0" w:color="auto"/>
            <w:bottom w:val="none" w:sz="0" w:space="0" w:color="auto"/>
            <w:right w:val="none" w:sz="0" w:space="0" w:color="auto"/>
          </w:divBdr>
        </w:div>
        <w:div w:id="1122772363">
          <w:marLeft w:val="0"/>
          <w:marRight w:val="0"/>
          <w:marTop w:val="0"/>
          <w:marBottom w:val="200"/>
          <w:divBdr>
            <w:top w:val="none" w:sz="0" w:space="0" w:color="auto"/>
            <w:left w:val="none" w:sz="0" w:space="0" w:color="auto"/>
            <w:bottom w:val="none" w:sz="0" w:space="0" w:color="auto"/>
            <w:right w:val="none" w:sz="0" w:space="0" w:color="auto"/>
          </w:divBdr>
        </w:div>
        <w:div w:id="1651901266">
          <w:marLeft w:val="0"/>
          <w:marRight w:val="0"/>
          <w:marTop w:val="0"/>
          <w:marBottom w:val="200"/>
          <w:divBdr>
            <w:top w:val="none" w:sz="0" w:space="0" w:color="auto"/>
            <w:left w:val="none" w:sz="0" w:space="0" w:color="auto"/>
            <w:bottom w:val="none" w:sz="0" w:space="0" w:color="auto"/>
            <w:right w:val="none" w:sz="0" w:space="0" w:color="auto"/>
          </w:divBdr>
        </w:div>
        <w:div w:id="1731683878">
          <w:marLeft w:val="0"/>
          <w:marRight w:val="0"/>
          <w:marTop w:val="0"/>
          <w:marBottom w:val="200"/>
          <w:divBdr>
            <w:top w:val="none" w:sz="0" w:space="0" w:color="auto"/>
            <w:left w:val="none" w:sz="0" w:space="0" w:color="auto"/>
            <w:bottom w:val="none" w:sz="0" w:space="0" w:color="auto"/>
            <w:right w:val="none" w:sz="0" w:space="0" w:color="auto"/>
          </w:divBdr>
        </w:div>
        <w:div w:id="1577783528">
          <w:marLeft w:val="0"/>
          <w:marRight w:val="0"/>
          <w:marTop w:val="0"/>
          <w:marBottom w:val="200"/>
          <w:divBdr>
            <w:top w:val="none" w:sz="0" w:space="0" w:color="auto"/>
            <w:left w:val="none" w:sz="0" w:space="0" w:color="auto"/>
            <w:bottom w:val="none" w:sz="0" w:space="0" w:color="auto"/>
            <w:right w:val="none" w:sz="0" w:space="0" w:color="auto"/>
          </w:divBdr>
        </w:div>
      </w:divsChild>
    </w:div>
    <w:div w:id="869537740">
      <w:bodyDiv w:val="1"/>
      <w:marLeft w:val="0"/>
      <w:marRight w:val="0"/>
      <w:marTop w:val="0"/>
      <w:marBottom w:val="0"/>
      <w:divBdr>
        <w:top w:val="none" w:sz="0" w:space="0" w:color="auto"/>
        <w:left w:val="none" w:sz="0" w:space="0" w:color="auto"/>
        <w:bottom w:val="none" w:sz="0" w:space="0" w:color="auto"/>
        <w:right w:val="none" w:sz="0" w:space="0" w:color="auto"/>
      </w:divBdr>
      <w:divsChild>
        <w:div w:id="676077514">
          <w:marLeft w:val="0"/>
          <w:marRight w:val="0"/>
          <w:marTop w:val="0"/>
          <w:marBottom w:val="200"/>
          <w:divBdr>
            <w:top w:val="none" w:sz="0" w:space="0" w:color="auto"/>
            <w:left w:val="none" w:sz="0" w:space="0" w:color="auto"/>
            <w:bottom w:val="none" w:sz="0" w:space="0" w:color="auto"/>
            <w:right w:val="none" w:sz="0" w:space="0" w:color="auto"/>
          </w:divBdr>
        </w:div>
        <w:div w:id="468135496">
          <w:marLeft w:val="0"/>
          <w:marRight w:val="0"/>
          <w:marTop w:val="0"/>
          <w:marBottom w:val="200"/>
          <w:divBdr>
            <w:top w:val="none" w:sz="0" w:space="0" w:color="auto"/>
            <w:left w:val="none" w:sz="0" w:space="0" w:color="auto"/>
            <w:bottom w:val="none" w:sz="0" w:space="0" w:color="auto"/>
            <w:right w:val="none" w:sz="0" w:space="0" w:color="auto"/>
          </w:divBdr>
        </w:div>
        <w:div w:id="525992114">
          <w:marLeft w:val="0"/>
          <w:marRight w:val="0"/>
          <w:marTop w:val="0"/>
          <w:marBottom w:val="200"/>
          <w:divBdr>
            <w:top w:val="none" w:sz="0" w:space="0" w:color="auto"/>
            <w:left w:val="none" w:sz="0" w:space="0" w:color="auto"/>
            <w:bottom w:val="none" w:sz="0" w:space="0" w:color="auto"/>
            <w:right w:val="none" w:sz="0" w:space="0" w:color="auto"/>
          </w:divBdr>
        </w:div>
        <w:div w:id="1122379245">
          <w:marLeft w:val="0"/>
          <w:marRight w:val="0"/>
          <w:marTop w:val="0"/>
          <w:marBottom w:val="200"/>
          <w:divBdr>
            <w:top w:val="none" w:sz="0" w:space="0" w:color="auto"/>
            <w:left w:val="none" w:sz="0" w:space="0" w:color="auto"/>
            <w:bottom w:val="none" w:sz="0" w:space="0" w:color="auto"/>
            <w:right w:val="none" w:sz="0" w:space="0" w:color="auto"/>
          </w:divBdr>
        </w:div>
        <w:div w:id="30224779">
          <w:marLeft w:val="0"/>
          <w:marRight w:val="0"/>
          <w:marTop w:val="0"/>
          <w:marBottom w:val="200"/>
          <w:divBdr>
            <w:top w:val="none" w:sz="0" w:space="0" w:color="auto"/>
            <w:left w:val="none" w:sz="0" w:space="0" w:color="auto"/>
            <w:bottom w:val="none" w:sz="0" w:space="0" w:color="auto"/>
            <w:right w:val="none" w:sz="0" w:space="0" w:color="auto"/>
          </w:divBdr>
        </w:div>
      </w:divsChild>
    </w:div>
    <w:div w:id="1572350967">
      <w:bodyDiv w:val="1"/>
      <w:marLeft w:val="0"/>
      <w:marRight w:val="0"/>
      <w:marTop w:val="0"/>
      <w:marBottom w:val="0"/>
      <w:divBdr>
        <w:top w:val="none" w:sz="0" w:space="0" w:color="auto"/>
        <w:left w:val="none" w:sz="0" w:space="0" w:color="auto"/>
        <w:bottom w:val="none" w:sz="0" w:space="0" w:color="auto"/>
        <w:right w:val="none" w:sz="0" w:space="0" w:color="auto"/>
      </w:divBdr>
    </w:div>
    <w:div w:id="1856730813">
      <w:bodyDiv w:val="1"/>
      <w:marLeft w:val="0"/>
      <w:marRight w:val="0"/>
      <w:marTop w:val="0"/>
      <w:marBottom w:val="0"/>
      <w:divBdr>
        <w:top w:val="none" w:sz="0" w:space="0" w:color="auto"/>
        <w:left w:val="none" w:sz="0" w:space="0" w:color="auto"/>
        <w:bottom w:val="none" w:sz="0" w:space="0" w:color="auto"/>
        <w:right w:val="none" w:sz="0" w:space="0" w:color="auto"/>
      </w:divBdr>
    </w:div>
    <w:div w:id="1894459850">
      <w:bodyDiv w:val="1"/>
      <w:marLeft w:val="0"/>
      <w:marRight w:val="0"/>
      <w:marTop w:val="0"/>
      <w:marBottom w:val="0"/>
      <w:divBdr>
        <w:top w:val="none" w:sz="0" w:space="0" w:color="auto"/>
        <w:left w:val="none" w:sz="0" w:space="0" w:color="auto"/>
        <w:bottom w:val="none" w:sz="0" w:space="0" w:color="auto"/>
        <w:right w:val="none" w:sz="0" w:space="0" w:color="auto"/>
      </w:divBdr>
      <w:divsChild>
        <w:div w:id="2104760953">
          <w:marLeft w:val="0"/>
          <w:marRight w:val="0"/>
          <w:marTop w:val="0"/>
          <w:marBottom w:val="200"/>
          <w:divBdr>
            <w:top w:val="none" w:sz="0" w:space="0" w:color="auto"/>
            <w:left w:val="none" w:sz="0" w:space="0" w:color="auto"/>
            <w:bottom w:val="none" w:sz="0" w:space="0" w:color="auto"/>
            <w:right w:val="none" w:sz="0" w:space="0" w:color="auto"/>
          </w:divBdr>
        </w:div>
        <w:div w:id="662512198">
          <w:marLeft w:val="0"/>
          <w:marRight w:val="0"/>
          <w:marTop w:val="0"/>
          <w:marBottom w:val="200"/>
          <w:divBdr>
            <w:top w:val="none" w:sz="0" w:space="0" w:color="auto"/>
            <w:left w:val="none" w:sz="0" w:space="0" w:color="auto"/>
            <w:bottom w:val="none" w:sz="0" w:space="0" w:color="auto"/>
            <w:right w:val="none" w:sz="0" w:space="0" w:color="auto"/>
          </w:divBdr>
        </w:div>
        <w:div w:id="2034913282">
          <w:marLeft w:val="0"/>
          <w:marRight w:val="0"/>
          <w:marTop w:val="0"/>
          <w:marBottom w:val="200"/>
          <w:divBdr>
            <w:top w:val="none" w:sz="0" w:space="0" w:color="auto"/>
            <w:left w:val="none" w:sz="0" w:space="0" w:color="auto"/>
            <w:bottom w:val="none" w:sz="0" w:space="0" w:color="auto"/>
            <w:right w:val="none" w:sz="0" w:space="0" w:color="auto"/>
          </w:divBdr>
        </w:div>
        <w:div w:id="251399099">
          <w:marLeft w:val="0"/>
          <w:marRight w:val="0"/>
          <w:marTop w:val="0"/>
          <w:marBottom w:val="200"/>
          <w:divBdr>
            <w:top w:val="none" w:sz="0" w:space="0" w:color="auto"/>
            <w:left w:val="none" w:sz="0" w:space="0" w:color="auto"/>
            <w:bottom w:val="none" w:sz="0" w:space="0" w:color="auto"/>
            <w:right w:val="none" w:sz="0" w:space="0" w:color="auto"/>
          </w:divBdr>
        </w:div>
        <w:div w:id="172307843">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D2E6F-B0C4-437C-AA19-A6839BBF3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Ognyanov Mitev (2122707)</dc:creator>
  <cp:keywords/>
  <dc:description/>
  <cp:lastModifiedBy>petar mitev</cp:lastModifiedBy>
  <cp:revision>2</cp:revision>
  <dcterms:created xsi:type="dcterms:W3CDTF">2026-05-03T14:18:00Z</dcterms:created>
  <dcterms:modified xsi:type="dcterms:W3CDTF">2026-05-03T14:18:00Z</dcterms:modified>
</cp:coreProperties>
</file>