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7E8CE" w14:textId="48BDC63D" w:rsidR="00143E71" w:rsidRPr="00A90412" w:rsidRDefault="00D52456" w:rsidP="00086F3D">
      <w:pPr>
        <w:spacing w:line="360" w:lineRule="auto"/>
        <w:rPr>
          <w:u w:val="single"/>
        </w:rPr>
      </w:pPr>
      <w:r w:rsidRPr="00A90412">
        <w:rPr>
          <w:u w:val="single"/>
        </w:rPr>
        <w:t>Event A</w:t>
      </w:r>
    </w:p>
    <w:p w14:paraId="03AF9907" w14:textId="276EBEEB" w:rsidR="00D735B5" w:rsidRPr="00A90412" w:rsidRDefault="00D735B5" w:rsidP="00086F3D">
      <w:pPr>
        <w:spacing w:line="360" w:lineRule="auto"/>
      </w:pPr>
      <w:bookmarkStart w:id="0" w:name="_Hlk152609602"/>
      <w:r w:rsidRPr="00A90412">
        <w:t>This happened on Thursday 22</w:t>
      </w:r>
      <w:r w:rsidRPr="00A90412">
        <w:rPr>
          <w:vertAlign w:val="superscript"/>
        </w:rPr>
        <w:t>nd</w:t>
      </w:r>
      <w:r w:rsidRPr="00A90412">
        <w:t xml:space="preserve"> August 1314. </w:t>
      </w:r>
    </w:p>
    <w:p w14:paraId="6FFCB0EA" w14:textId="4543B4A8" w:rsidR="005257CD" w:rsidRPr="00A90412" w:rsidRDefault="00D735B5" w:rsidP="00086F3D">
      <w:pPr>
        <w:spacing w:line="360" w:lineRule="auto"/>
      </w:pPr>
      <w:r w:rsidRPr="00A90412">
        <w:t xml:space="preserve">To calculate the date of the Thursday after the Assumption of the Blessed Virgin Mary we must first look at the date that the Assumption falls on each calendar year. According to </w:t>
      </w:r>
      <w:r w:rsidR="009A421B" w:rsidRPr="00A90412">
        <w:rPr>
          <w:i/>
          <w:iCs/>
        </w:rPr>
        <w:t>The Handbook of Dates for Students of English</w:t>
      </w:r>
      <w:r w:rsidR="009A421B" w:rsidRPr="00A90412">
        <w:t xml:space="preserve"> </w:t>
      </w:r>
      <w:r w:rsidR="009A421B" w:rsidRPr="00A90412">
        <w:rPr>
          <w:i/>
          <w:iCs/>
        </w:rPr>
        <w:t>History</w:t>
      </w:r>
      <w:r w:rsidR="009A421B" w:rsidRPr="00A90412">
        <w:t>,</w:t>
      </w:r>
      <w:r w:rsidRPr="00A90412">
        <w:t xml:space="preserve"> this falls on the 15</w:t>
      </w:r>
      <w:r w:rsidRPr="00A90412">
        <w:rPr>
          <w:vertAlign w:val="superscript"/>
        </w:rPr>
        <w:t>th</w:t>
      </w:r>
      <w:r w:rsidRPr="00A90412">
        <w:t xml:space="preserve"> of August each year</w:t>
      </w:r>
      <w:r w:rsidR="009A421B" w:rsidRPr="00A90412">
        <w:rPr>
          <w:rStyle w:val="FootnoteReference"/>
        </w:rPr>
        <w:footnoteReference w:id="1"/>
      </w:r>
      <w:r w:rsidR="009A421B" w:rsidRPr="00A90412">
        <w:t>.</w:t>
      </w:r>
      <w:r w:rsidRPr="00A90412">
        <w:t xml:space="preserve"> This would mean that we are searching for the Thursday after the 15</w:t>
      </w:r>
      <w:r w:rsidRPr="00A90412">
        <w:rPr>
          <w:vertAlign w:val="superscript"/>
        </w:rPr>
        <w:t>th</w:t>
      </w:r>
      <w:r w:rsidRPr="00A90412">
        <w:t xml:space="preserve"> of August. </w:t>
      </w:r>
    </w:p>
    <w:p w14:paraId="4415CBEE" w14:textId="30CF1A4A" w:rsidR="00D735B5" w:rsidRPr="00A90412" w:rsidRDefault="00D735B5" w:rsidP="00086F3D">
      <w:pPr>
        <w:spacing w:line="360" w:lineRule="auto"/>
      </w:pPr>
      <w:r w:rsidRPr="00A90412">
        <w:t xml:space="preserve">To work out the calendar year </w:t>
      </w:r>
      <w:r w:rsidR="00C57CAF" w:rsidRPr="00A90412">
        <w:t>this occurred in I first</w:t>
      </w:r>
      <w:r w:rsidRPr="00A90412">
        <w:t xml:space="preserve"> </w:t>
      </w:r>
      <w:r w:rsidR="00AD381B" w:rsidRPr="00A90412">
        <w:t xml:space="preserve">had to work out </w:t>
      </w:r>
      <w:r w:rsidRPr="00A90412">
        <w:t xml:space="preserve">the year provided </w:t>
      </w:r>
      <w:r w:rsidR="00C57CAF" w:rsidRPr="00A90412">
        <w:t>in the quote,</w:t>
      </w:r>
      <w:r w:rsidRPr="00A90412">
        <w:t xml:space="preserve"> namely the 2</w:t>
      </w:r>
      <w:r w:rsidRPr="00A90412">
        <w:rPr>
          <w:vertAlign w:val="superscript"/>
        </w:rPr>
        <w:t>nd</w:t>
      </w:r>
      <w:r w:rsidRPr="00A90412">
        <w:t xml:space="preserve"> regnal year of King Richard II. In accordance with the regnal years listed in </w:t>
      </w:r>
      <w:r w:rsidR="00FC0BC5" w:rsidRPr="00A90412">
        <w:rPr>
          <w:i/>
          <w:iCs/>
        </w:rPr>
        <w:t xml:space="preserve">The Handbook of Dates, </w:t>
      </w:r>
      <w:r w:rsidRPr="00A90412">
        <w:t xml:space="preserve">King Richard II’s regnal year started on the </w:t>
      </w:r>
      <w:proofErr w:type="gramStart"/>
      <w:r w:rsidRPr="00A90412">
        <w:t>8</w:t>
      </w:r>
      <w:r w:rsidRPr="00A90412">
        <w:rPr>
          <w:vertAlign w:val="superscript"/>
        </w:rPr>
        <w:t>th</w:t>
      </w:r>
      <w:proofErr w:type="gramEnd"/>
      <w:r w:rsidRPr="00A90412">
        <w:t xml:space="preserve"> July each year and ended on the 7</w:t>
      </w:r>
      <w:r w:rsidRPr="00A90412">
        <w:rPr>
          <w:vertAlign w:val="superscript"/>
        </w:rPr>
        <w:t>th</w:t>
      </w:r>
      <w:r w:rsidRPr="00A90412">
        <w:t xml:space="preserve"> July the following year. The 8</w:t>
      </w:r>
      <w:r w:rsidRPr="00A90412">
        <w:rPr>
          <w:vertAlign w:val="superscript"/>
        </w:rPr>
        <w:t>th</w:t>
      </w:r>
      <w:r w:rsidRPr="00A90412">
        <w:t xml:space="preserve"> year that Richard II had been King began on the </w:t>
      </w:r>
      <w:proofErr w:type="gramStart"/>
      <w:r w:rsidRPr="00A90412">
        <w:t>8</w:t>
      </w:r>
      <w:r w:rsidRPr="00A90412">
        <w:rPr>
          <w:vertAlign w:val="superscript"/>
        </w:rPr>
        <w:t>th</w:t>
      </w:r>
      <w:proofErr w:type="gramEnd"/>
      <w:r w:rsidRPr="00A90412">
        <w:t xml:space="preserve"> July 1314 and ended on the 8</w:t>
      </w:r>
      <w:r w:rsidRPr="00A90412">
        <w:rPr>
          <w:vertAlign w:val="superscript"/>
        </w:rPr>
        <w:t>th</w:t>
      </w:r>
      <w:r w:rsidRPr="00A90412">
        <w:t xml:space="preserve"> July 1315</w:t>
      </w:r>
      <w:r w:rsidR="0018657F" w:rsidRPr="00A90412">
        <w:rPr>
          <w:rStyle w:val="FootnoteReference"/>
        </w:rPr>
        <w:footnoteReference w:id="2"/>
      </w:r>
      <w:r w:rsidRPr="00A90412">
        <w:t xml:space="preserve">. </w:t>
      </w:r>
    </w:p>
    <w:p w14:paraId="74160688" w14:textId="0A357F68" w:rsidR="00D735B5" w:rsidRPr="00A90412" w:rsidRDefault="008C77E7" w:rsidP="00086F3D">
      <w:pPr>
        <w:spacing w:line="360" w:lineRule="auto"/>
      </w:pPr>
      <w:r w:rsidRPr="00A90412">
        <w:t>The</w:t>
      </w:r>
      <w:r w:rsidR="00D735B5" w:rsidRPr="00A90412">
        <w:t xml:space="preserve"> Assumption of Mary in the 8</w:t>
      </w:r>
      <w:r w:rsidR="00D735B5" w:rsidRPr="00A90412">
        <w:rPr>
          <w:vertAlign w:val="superscript"/>
        </w:rPr>
        <w:t>th</w:t>
      </w:r>
      <w:r w:rsidR="00D735B5" w:rsidRPr="00A90412">
        <w:t xml:space="preserve"> year of King Richard II would have fallen on Thursday, 15</w:t>
      </w:r>
      <w:r w:rsidR="00D735B5" w:rsidRPr="00A90412">
        <w:rPr>
          <w:vertAlign w:val="superscript"/>
        </w:rPr>
        <w:t>th</w:t>
      </w:r>
      <w:r w:rsidR="00D735B5" w:rsidRPr="00A90412">
        <w:t xml:space="preserve"> August 1314. The next Thursday after this would be Thursday 22</w:t>
      </w:r>
      <w:r w:rsidR="00D735B5" w:rsidRPr="00A90412">
        <w:rPr>
          <w:vertAlign w:val="superscript"/>
        </w:rPr>
        <w:t>nd</w:t>
      </w:r>
      <w:r w:rsidR="00D735B5" w:rsidRPr="00A90412">
        <w:t xml:space="preserve"> August 1314. </w:t>
      </w:r>
    </w:p>
    <w:bookmarkEnd w:id="0"/>
    <w:p w14:paraId="4C1BE257" w14:textId="1734EEF7" w:rsidR="005257CD" w:rsidRPr="00A90412" w:rsidRDefault="00D52456" w:rsidP="00086F3D">
      <w:pPr>
        <w:spacing w:line="360" w:lineRule="auto"/>
        <w:rPr>
          <w:u w:val="single"/>
        </w:rPr>
      </w:pPr>
      <w:r w:rsidRPr="00A90412">
        <w:rPr>
          <w:u w:val="single"/>
        </w:rPr>
        <w:t>Event B</w:t>
      </w:r>
    </w:p>
    <w:p w14:paraId="7701D985" w14:textId="21D11DB9" w:rsidR="004A38D0" w:rsidRPr="00A90412" w:rsidRDefault="004A38D0" w:rsidP="00086F3D">
      <w:pPr>
        <w:spacing w:line="360" w:lineRule="auto"/>
        <w:rPr>
          <w:rFonts w:cstheme="minorHAnsi"/>
          <w:color w:val="202122"/>
          <w:shd w:val="clear" w:color="auto" w:fill="FFFFFF"/>
        </w:rPr>
      </w:pPr>
      <w:r w:rsidRPr="00A90412">
        <w:rPr>
          <w:rFonts w:cstheme="minorHAnsi"/>
          <w:color w:val="202122"/>
          <w:shd w:val="clear" w:color="auto" w:fill="FFFFFF"/>
        </w:rPr>
        <w:t>Frida</w:t>
      </w:r>
      <w:r w:rsidR="00E842BE" w:rsidRPr="00A90412">
        <w:rPr>
          <w:rFonts w:cstheme="minorHAnsi"/>
          <w:color w:val="202122"/>
          <w:shd w:val="clear" w:color="auto" w:fill="FFFFFF"/>
        </w:rPr>
        <w:t xml:space="preserve">y, </w:t>
      </w:r>
      <w:r w:rsidRPr="00A90412">
        <w:rPr>
          <w:rFonts w:cstheme="minorHAnsi"/>
          <w:color w:val="202122"/>
          <w:shd w:val="clear" w:color="auto" w:fill="FFFFFF"/>
        </w:rPr>
        <w:t>23</w:t>
      </w:r>
      <w:r w:rsidRPr="00A90412">
        <w:rPr>
          <w:rFonts w:cstheme="minorHAnsi"/>
          <w:color w:val="202122"/>
          <w:shd w:val="clear" w:color="auto" w:fill="FFFFFF"/>
          <w:vertAlign w:val="superscript"/>
        </w:rPr>
        <w:t>rd</w:t>
      </w:r>
      <w:r w:rsidRPr="00A90412">
        <w:rPr>
          <w:rFonts w:cstheme="minorHAnsi"/>
          <w:color w:val="202122"/>
          <w:shd w:val="clear" w:color="auto" w:fill="FFFFFF"/>
        </w:rPr>
        <w:t xml:space="preserve"> July </w:t>
      </w:r>
      <w:proofErr w:type="gramStart"/>
      <w:r w:rsidRPr="00A90412">
        <w:rPr>
          <w:rFonts w:cstheme="minorHAnsi"/>
          <w:color w:val="202122"/>
          <w:shd w:val="clear" w:color="auto" w:fill="FFFFFF"/>
        </w:rPr>
        <w:t>1249</w:t>
      </w:r>
      <w:proofErr w:type="gramEnd"/>
      <w:r w:rsidR="00E80D36" w:rsidRPr="00A90412">
        <w:rPr>
          <w:rFonts w:cstheme="minorHAnsi"/>
          <w:color w:val="202122"/>
          <w:shd w:val="clear" w:color="auto" w:fill="FFFFFF"/>
        </w:rPr>
        <w:t xml:space="preserve"> or</w:t>
      </w:r>
      <w:r w:rsidR="00E842BE" w:rsidRPr="00A90412">
        <w:rPr>
          <w:rFonts w:cstheme="minorHAnsi"/>
          <w:color w:val="202122"/>
          <w:shd w:val="clear" w:color="auto" w:fill="FFFFFF"/>
        </w:rPr>
        <w:t xml:space="preserve"> Saturday</w:t>
      </w:r>
      <w:r w:rsidR="00E80D36" w:rsidRPr="00A90412">
        <w:rPr>
          <w:rFonts w:cstheme="minorHAnsi"/>
          <w:color w:val="202122"/>
          <w:shd w:val="clear" w:color="auto" w:fill="FFFFFF"/>
        </w:rPr>
        <w:t xml:space="preserve"> 23</w:t>
      </w:r>
      <w:r w:rsidR="00E80D36" w:rsidRPr="00A90412">
        <w:rPr>
          <w:rFonts w:cstheme="minorHAnsi"/>
          <w:color w:val="202122"/>
          <w:shd w:val="clear" w:color="auto" w:fill="FFFFFF"/>
          <w:vertAlign w:val="superscript"/>
        </w:rPr>
        <w:t>rd</w:t>
      </w:r>
      <w:r w:rsidR="00E80D36" w:rsidRPr="00A90412">
        <w:rPr>
          <w:rFonts w:cstheme="minorHAnsi"/>
          <w:color w:val="202122"/>
          <w:shd w:val="clear" w:color="auto" w:fill="FFFFFF"/>
        </w:rPr>
        <w:t xml:space="preserve"> July 1250.</w:t>
      </w:r>
    </w:p>
    <w:p w14:paraId="53C43BD1" w14:textId="1C6A1A79" w:rsidR="004A38D0" w:rsidRPr="00A90412" w:rsidRDefault="00D735B5" w:rsidP="00086F3D">
      <w:pPr>
        <w:spacing w:line="360" w:lineRule="auto"/>
      </w:pPr>
      <w:bookmarkStart w:id="1" w:name="_Hlk152609589"/>
      <w:r w:rsidRPr="00A90412">
        <w:t xml:space="preserve">Bishop </w:t>
      </w:r>
      <w:proofErr w:type="spellStart"/>
      <w:r w:rsidRPr="00A90412">
        <w:t>Anian</w:t>
      </w:r>
      <w:proofErr w:type="spellEnd"/>
      <w:r w:rsidRPr="00A90412">
        <w:t xml:space="preserve"> (sometimes also known as Einion</w:t>
      </w:r>
      <w:r w:rsidR="00E80D36" w:rsidRPr="00A90412">
        <w:rPr>
          <w:rStyle w:val="FootnoteReference"/>
        </w:rPr>
        <w:footnoteReference w:id="3"/>
      </w:r>
      <w:r w:rsidRPr="00A90412">
        <w:t xml:space="preserve">) </w:t>
      </w:r>
      <w:r w:rsidR="0029052B" w:rsidRPr="00A90412">
        <w:t xml:space="preserve">had confirmation of the charters for Shrewsbury Abbey </w:t>
      </w:r>
      <w:r w:rsidR="00E80D36" w:rsidRPr="00A90412">
        <w:t>in either 1249 or 1250.</w:t>
      </w:r>
      <w:r w:rsidR="0029052B" w:rsidRPr="00A90412">
        <w:t xml:space="preserve"> </w:t>
      </w:r>
    </w:p>
    <w:p w14:paraId="34E35BA6" w14:textId="19032D27" w:rsidR="0029052B" w:rsidRPr="00A90412" w:rsidRDefault="0029052B" w:rsidP="00086F3D">
      <w:pPr>
        <w:spacing w:line="360" w:lineRule="auto"/>
      </w:pPr>
      <w:r w:rsidRPr="00A90412">
        <w:t xml:space="preserve">To locate this date, </w:t>
      </w:r>
      <w:r w:rsidR="00C57CAF" w:rsidRPr="00A90412">
        <w:t>I first needed to locate the</w:t>
      </w:r>
      <w:r w:rsidRPr="00A90412">
        <w:t xml:space="preserve"> feast day for St Mary Magdalene, which in line with the </w:t>
      </w:r>
      <w:r w:rsidR="00E80D36" w:rsidRPr="00A90412">
        <w:t>saints’</w:t>
      </w:r>
      <w:r w:rsidRPr="00A90412">
        <w:t xml:space="preserve"> days listed </w:t>
      </w:r>
      <w:r w:rsidR="00055B59" w:rsidRPr="00A90412">
        <w:t xml:space="preserve">in </w:t>
      </w:r>
      <w:r w:rsidR="00055B59" w:rsidRPr="00A90412">
        <w:rPr>
          <w:i/>
          <w:iCs/>
        </w:rPr>
        <w:t>The Handbook of Dates</w:t>
      </w:r>
      <w:r w:rsidRPr="00A90412">
        <w:t xml:space="preserve"> is the </w:t>
      </w:r>
      <w:proofErr w:type="gramStart"/>
      <w:r w:rsidRPr="00A90412">
        <w:t>22</w:t>
      </w:r>
      <w:r w:rsidRPr="00A90412">
        <w:rPr>
          <w:vertAlign w:val="superscript"/>
        </w:rPr>
        <w:t>nd</w:t>
      </w:r>
      <w:proofErr w:type="gramEnd"/>
      <w:r w:rsidRPr="00A90412">
        <w:t xml:space="preserve"> July</w:t>
      </w:r>
      <w:r w:rsidR="00055B59" w:rsidRPr="00A90412">
        <w:rPr>
          <w:rStyle w:val="FootnoteReference"/>
        </w:rPr>
        <w:footnoteReference w:id="4"/>
      </w:r>
      <w:r w:rsidRPr="00A90412">
        <w:t xml:space="preserve">. </w:t>
      </w:r>
    </w:p>
    <w:p w14:paraId="55A95EBC" w14:textId="244D1E56" w:rsidR="0029052B" w:rsidRPr="00A90412" w:rsidRDefault="0029052B" w:rsidP="00086F3D">
      <w:pPr>
        <w:spacing w:line="360" w:lineRule="auto"/>
      </w:pPr>
      <w:r w:rsidRPr="00A90412">
        <w:t xml:space="preserve">As this date does not change yearly the day after would definitely be the </w:t>
      </w:r>
      <w:proofErr w:type="gramStart"/>
      <w:r w:rsidRPr="00A90412">
        <w:t>23</w:t>
      </w:r>
      <w:r w:rsidRPr="00A90412">
        <w:rPr>
          <w:vertAlign w:val="superscript"/>
        </w:rPr>
        <w:t>rd</w:t>
      </w:r>
      <w:proofErr w:type="gramEnd"/>
      <w:r w:rsidRPr="00A90412">
        <w:t xml:space="preserve"> July</w:t>
      </w:r>
      <w:r w:rsidR="00A90412">
        <w:t xml:space="preserve"> h</w:t>
      </w:r>
      <w:r w:rsidRPr="00A90412">
        <w:t xml:space="preserve">owever this does not specify the year. </w:t>
      </w:r>
      <w:r w:rsidR="00C57CAF" w:rsidRPr="00A90412">
        <w:t>To</w:t>
      </w:r>
      <w:r w:rsidR="00D47E07" w:rsidRPr="00A90412">
        <w:t xml:space="preserve"> confirm the </w:t>
      </w:r>
      <w:r w:rsidR="00A90412" w:rsidRPr="00A90412">
        <w:t>year,</w:t>
      </w:r>
      <w:r w:rsidR="00D47E07" w:rsidRPr="00A90412">
        <w:t xml:space="preserve"> </w:t>
      </w:r>
      <w:r w:rsidR="00C57CAF" w:rsidRPr="00A90412">
        <w:t>I needed to look</w:t>
      </w:r>
      <w:r w:rsidR="00BD2455" w:rsidRPr="00A90412">
        <w:t xml:space="preserve"> for the first year of Bishop </w:t>
      </w:r>
      <w:proofErr w:type="spellStart"/>
      <w:r w:rsidR="00BD2455" w:rsidRPr="00A90412">
        <w:t>Anian’s</w:t>
      </w:r>
      <w:proofErr w:type="spellEnd"/>
      <w:r w:rsidR="00BD2455" w:rsidRPr="00A90412">
        <w:t xml:space="preserve"> pontificate. As </w:t>
      </w:r>
      <w:proofErr w:type="spellStart"/>
      <w:r w:rsidR="00BD2455" w:rsidRPr="00A90412">
        <w:t>Anian</w:t>
      </w:r>
      <w:proofErr w:type="spellEnd"/>
      <w:r w:rsidR="00BD2455" w:rsidRPr="00A90412">
        <w:t xml:space="preserve"> was made Bishop in 1249 </w:t>
      </w:r>
      <w:r w:rsidR="00E80D36" w:rsidRPr="00A90412">
        <w:t xml:space="preserve">according to </w:t>
      </w:r>
      <w:r w:rsidR="00E80D36" w:rsidRPr="00A90412">
        <w:rPr>
          <w:i/>
          <w:iCs/>
        </w:rPr>
        <w:t>A History of the Diocese of St. Asaph</w:t>
      </w:r>
      <w:r w:rsidR="00E80D36" w:rsidRPr="00A90412">
        <w:rPr>
          <w:rStyle w:val="FootnoteReference"/>
          <w:i/>
          <w:iCs/>
        </w:rPr>
        <w:footnoteReference w:id="5"/>
      </w:r>
      <w:r w:rsidR="00BD2455" w:rsidRPr="00A90412">
        <w:t xml:space="preserve"> the date that Bishop </w:t>
      </w:r>
      <w:proofErr w:type="spellStart"/>
      <w:r w:rsidR="00BD2455" w:rsidRPr="00A90412">
        <w:t>Anian</w:t>
      </w:r>
      <w:proofErr w:type="spellEnd"/>
      <w:r w:rsidR="00BD2455" w:rsidRPr="00A90412">
        <w:t xml:space="preserve"> confirmed the charters of Shrewsbury Abbey was the </w:t>
      </w:r>
      <w:proofErr w:type="gramStart"/>
      <w:r w:rsidR="00BD2455" w:rsidRPr="00A90412">
        <w:t>23</w:t>
      </w:r>
      <w:r w:rsidR="00BD2455" w:rsidRPr="00A90412">
        <w:rPr>
          <w:vertAlign w:val="superscript"/>
        </w:rPr>
        <w:t>rd</w:t>
      </w:r>
      <w:proofErr w:type="gramEnd"/>
      <w:r w:rsidR="00BD2455" w:rsidRPr="00A90412">
        <w:t xml:space="preserve"> July</w:t>
      </w:r>
      <w:r w:rsidR="003D22D2" w:rsidRPr="00A90412">
        <w:t xml:space="preserve"> in either 1249 or 1250</w:t>
      </w:r>
      <w:r w:rsidR="00BD2455" w:rsidRPr="00A90412">
        <w:t xml:space="preserve">. </w:t>
      </w:r>
    </w:p>
    <w:bookmarkEnd w:id="1"/>
    <w:p w14:paraId="71C3B762" w14:textId="60A523F3" w:rsidR="00BD2455" w:rsidRPr="00A90412" w:rsidRDefault="00BD2455" w:rsidP="00086F3D">
      <w:pPr>
        <w:spacing w:line="360" w:lineRule="auto"/>
      </w:pPr>
      <w:r w:rsidRPr="00A90412">
        <w:lastRenderedPageBreak/>
        <w:t xml:space="preserve">This </w:t>
      </w:r>
      <w:r w:rsidR="003D22D2" w:rsidRPr="00A90412">
        <w:t xml:space="preserve">would be dependent on the </w:t>
      </w:r>
      <w:r w:rsidRPr="00A90412">
        <w:t xml:space="preserve">time of the year </w:t>
      </w:r>
      <w:proofErr w:type="spellStart"/>
      <w:r w:rsidRPr="00A90412">
        <w:t>Anian’s</w:t>
      </w:r>
      <w:proofErr w:type="spellEnd"/>
      <w:r w:rsidRPr="00A90412">
        <w:t xml:space="preserve"> office began</w:t>
      </w:r>
      <w:r w:rsidR="003D22D2" w:rsidRPr="00A90412">
        <w:t xml:space="preserve"> (</w:t>
      </w:r>
      <w:proofErr w:type="gramStart"/>
      <w:r w:rsidR="003D22D2" w:rsidRPr="00A90412">
        <w:t>similar</w:t>
      </w:r>
      <w:r w:rsidR="00D47E07" w:rsidRPr="00A90412">
        <w:t xml:space="preserve"> to</w:t>
      </w:r>
      <w:proofErr w:type="gramEnd"/>
      <w:r w:rsidR="00D47E07" w:rsidRPr="00A90412">
        <w:t xml:space="preserve"> a regnal year</w:t>
      </w:r>
      <w:r w:rsidR="003D22D2" w:rsidRPr="00A90412">
        <w:t>)</w:t>
      </w:r>
      <w:r w:rsidRPr="00A90412">
        <w:t xml:space="preserve">, unfortunately I was not able to find this more specifically. </w:t>
      </w:r>
    </w:p>
    <w:p w14:paraId="360C4698" w14:textId="790550EC" w:rsidR="00753E04" w:rsidRPr="00A90412" w:rsidRDefault="00D52456" w:rsidP="00086F3D">
      <w:pPr>
        <w:spacing w:line="360" w:lineRule="auto"/>
      </w:pPr>
      <w:r w:rsidRPr="00A90412">
        <w:rPr>
          <w:u w:val="single"/>
        </w:rPr>
        <w:t>Event C</w:t>
      </w:r>
    </w:p>
    <w:p w14:paraId="255C6A89" w14:textId="550ECB50" w:rsidR="00753E04" w:rsidRPr="00A90412" w:rsidRDefault="00753E04" w:rsidP="00086F3D">
      <w:pPr>
        <w:spacing w:line="360" w:lineRule="auto"/>
      </w:pPr>
      <w:r w:rsidRPr="00A90412">
        <w:t>Thursday 25</w:t>
      </w:r>
      <w:r w:rsidRPr="00A90412">
        <w:rPr>
          <w:vertAlign w:val="superscript"/>
        </w:rPr>
        <w:t>th</w:t>
      </w:r>
      <w:r w:rsidRPr="00A90412">
        <w:t xml:space="preserve"> February 1311. </w:t>
      </w:r>
    </w:p>
    <w:p w14:paraId="03C407AE" w14:textId="465CC27B" w:rsidR="00753E04" w:rsidRPr="00A90412" w:rsidRDefault="00BD2455" w:rsidP="00086F3D">
      <w:pPr>
        <w:spacing w:line="360" w:lineRule="auto"/>
      </w:pPr>
      <w:bookmarkStart w:id="2" w:name="_Hlk152610077"/>
      <w:r w:rsidRPr="00A90412">
        <w:t xml:space="preserve">To locate the date for this event </w:t>
      </w:r>
      <w:r w:rsidR="00193168" w:rsidRPr="00A90412">
        <w:t>I had to consider</w:t>
      </w:r>
      <w:r w:rsidRPr="00A90412">
        <w:t xml:space="preserve"> both the date of Ash Wednesday and the regnal year and then also the time in office for John de Ketene. </w:t>
      </w:r>
    </w:p>
    <w:p w14:paraId="295FB979" w14:textId="17E450A8" w:rsidR="00BD2455" w:rsidRPr="00A90412" w:rsidRDefault="00BD2455" w:rsidP="00086F3D">
      <w:pPr>
        <w:spacing w:line="360" w:lineRule="auto"/>
      </w:pPr>
      <w:r w:rsidRPr="00A90412">
        <w:t xml:space="preserve">This statement does not confirm which King Edward referring to, so </w:t>
      </w:r>
      <w:r w:rsidR="00193168" w:rsidRPr="00A90412">
        <w:t>I began</w:t>
      </w:r>
      <w:r w:rsidRPr="00A90412">
        <w:t xml:space="preserve"> by locating the years John de Ketene was in office</w:t>
      </w:r>
      <w:r w:rsidR="0000493B" w:rsidRPr="00A90412">
        <w:t xml:space="preserve">. </w:t>
      </w:r>
      <w:proofErr w:type="spellStart"/>
      <w:r w:rsidR="00E842BE" w:rsidRPr="00A90412">
        <w:t>Ketton</w:t>
      </w:r>
      <w:proofErr w:type="spellEnd"/>
      <w:r w:rsidR="00E842BE" w:rsidRPr="00A90412">
        <w:t xml:space="preserve">/de Ketene </w:t>
      </w:r>
      <w:r w:rsidRPr="00A90412">
        <w:t xml:space="preserve">was consecrated on the </w:t>
      </w:r>
      <w:r w:rsidR="00C57CAF" w:rsidRPr="00A90412">
        <w:t>6</w:t>
      </w:r>
      <w:r w:rsidR="00C57CAF" w:rsidRPr="00A90412">
        <w:rPr>
          <w:vertAlign w:val="superscript"/>
        </w:rPr>
        <w:t xml:space="preserve">th </w:t>
      </w:r>
      <w:r w:rsidR="00C57CAF" w:rsidRPr="00A90412">
        <w:t xml:space="preserve">of </w:t>
      </w:r>
      <w:r w:rsidRPr="00A90412">
        <w:t xml:space="preserve">September 1310, according to </w:t>
      </w:r>
      <w:r w:rsidR="0000493B" w:rsidRPr="00A90412">
        <w:rPr>
          <w:i/>
          <w:iCs/>
        </w:rPr>
        <w:t xml:space="preserve">The Handbook </w:t>
      </w:r>
      <w:r w:rsidR="00E842BE" w:rsidRPr="00A90412">
        <w:rPr>
          <w:i/>
          <w:iCs/>
        </w:rPr>
        <w:t>of British</w:t>
      </w:r>
      <w:r w:rsidR="0000493B" w:rsidRPr="00A90412">
        <w:rPr>
          <w:i/>
          <w:iCs/>
        </w:rPr>
        <w:t xml:space="preserve"> Chronology</w:t>
      </w:r>
      <w:r w:rsidR="00E842BE" w:rsidRPr="00A90412">
        <w:rPr>
          <w:rStyle w:val="FootnoteReference"/>
          <w:i/>
          <w:iCs/>
        </w:rPr>
        <w:footnoteReference w:id="6"/>
      </w:r>
      <w:r w:rsidR="00E842BE" w:rsidRPr="00A90412">
        <w:t>.</w:t>
      </w:r>
      <w:r w:rsidRPr="00A90412">
        <w:t xml:space="preserve"> This </w:t>
      </w:r>
      <w:r w:rsidR="00995106" w:rsidRPr="00A90412">
        <w:t xml:space="preserve">fell during </w:t>
      </w:r>
      <w:r w:rsidRPr="00A90412">
        <w:t>the reign of King Edward I</w:t>
      </w:r>
      <w:r w:rsidR="00995106" w:rsidRPr="00A90412">
        <w:t>I</w:t>
      </w:r>
      <w:r w:rsidR="00E842BE" w:rsidRPr="00A90412">
        <w:t xml:space="preserve">. </w:t>
      </w:r>
    </w:p>
    <w:p w14:paraId="30736F52" w14:textId="437E4ECD" w:rsidR="00BD2455" w:rsidRPr="00A90412" w:rsidRDefault="00BD2455" w:rsidP="00086F3D">
      <w:pPr>
        <w:spacing w:line="360" w:lineRule="auto"/>
      </w:pPr>
      <w:r w:rsidRPr="00A90412">
        <w:t>Edward II’s 4</w:t>
      </w:r>
      <w:r w:rsidRPr="00A90412">
        <w:rPr>
          <w:vertAlign w:val="superscript"/>
        </w:rPr>
        <w:t>th</w:t>
      </w:r>
      <w:r w:rsidRPr="00A90412">
        <w:t xml:space="preserve"> regnal year began on the </w:t>
      </w:r>
      <w:proofErr w:type="gramStart"/>
      <w:r w:rsidRPr="00A90412">
        <w:t>8</w:t>
      </w:r>
      <w:r w:rsidRPr="00A90412">
        <w:rPr>
          <w:vertAlign w:val="superscript"/>
        </w:rPr>
        <w:t>th</w:t>
      </w:r>
      <w:proofErr w:type="gramEnd"/>
      <w:r w:rsidRPr="00A90412">
        <w:t xml:space="preserve"> July 1310 and ended on the 7</w:t>
      </w:r>
      <w:r w:rsidRPr="00A90412">
        <w:rPr>
          <w:vertAlign w:val="superscript"/>
        </w:rPr>
        <w:t>th</w:t>
      </w:r>
      <w:r w:rsidRPr="00A90412">
        <w:t xml:space="preserve"> July 1311 as quoted in</w:t>
      </w:r>
      <w:r w:rsidR="00055B59" w:rsidRPr="00A90412">
        <w:t xml:space="preserve"> </w:t>
      </w:r>
      <w:r w:rsidR="00055B59" w:rsidRPr="00A90412">
        <w:rPr>
          <w:i/>
          <w:iCs/>
        </w:rPr>
        <w:t>The Handbook of Dates</w:t>
      </w:r>
      <w:r w:rsidR="00055B59" w:rsidRPr="00A90412">
        <w:rPr>
          <w:rStyle w:val="FootnoteReference"/>
          <w:i/>
          <w:iCs/>
        </w:rPr>
        <w:footnoteReference w:id="7"/>
      </w:r>
      <w:r w:rsidRPr="00A90412">
        <w:t xml:space="preserve">. </w:t>
      </w:r>
    </w:p>
    <w:p w14:paraId="3D3F2044" w14:textId="40818CA0" w:rsidR="00BD2455" w:rsidRPr="00A90412" w:rsidRDefault="00A90412" w:rsidP="00086F3D">
      <w:pPr>
        <w:spacing w:line="360" w:lineRule="auto"/>
      </w:pPr>
      <w:r w:rsidRPr="00A90412">
        <w:t>Th</w:t>
      </w:r>
      <w:r>
        <w:t>erefore, th</w:t>
      </w:r>
      <w:r w:rsidR="00BD2455" w:rsidRPr="00A90412">
        <w:t>e date</w:t>
      </w:r>
      <w:r w:rsidR="00995106" w:rsidRPr="00A90412">
        <w:t xml:space="preserve"> must be b</w:t>
      </w:r>
      <w:r w:rsidR="00BD2455" w:rsidRPr="00A90412">
        <w:t xml:space="preserve">etween </w:t>
      </w:r>
      <w:r w:rsidR="006E0BD8" w:rsidRPr="00A90412">
        <w:t>6</w:t>
      </w:r>
      <w:r w:rsidR="006E0BD8" w:rsidRPr="00A90412">
        <w:rPr>
          <w:vertAlign w:val="superscript"/>
        </w:rPr>
        <w:t>th</w:t>
      </w:r>
      <w:r w:rsidR="006E0BD8" w:rsidRPr="00A90412">
        <w:t xml:space="preserve"> September 1310 and 7</w:t>
      </w:r>
      <w:r w:rsidR="006E0BD8" w:rsidRPr="00A90412">
        <w:rPr>
          <w:vertAlign w:val="superscript"/>
        </w:rPr>
        <w:t>th</w:t>
      </w:r>
      <w:r w:rsidR="006E0BD8" w:rsidRPr="00A90412">
        <w:t xml:space="preserve"> July 1311. </w:t>
      </w:r>
      <w:r w:rsidR="00BD2455" w:rsidRPr="00A90412">
        <w:t xml:space="preserve"> </w:t>
      </w:r>
    </w:p>
    <w:p w14:paraId="109BA2FC" w14:textId="3F640002" w:rsidR="00BD2455" w:rsidRPr="00A90412" w:rsidRDefault="00BD2455" w:rsidP="00086F3D">
      <w:pPr>
        <w:spacing w:line="360" w:lineRule="auto"/>
      </w:pPr>
      <w:r w:rsidRPr="00A90412">
        <w:t xml:space="preserve">Ash Wednesday falls six and a half weeks before Easter Sunday. In </w:t>
      </w:r>
      <w:r w:rsidR="00055B59" w:rsidRPr="00A90412">
        <w:rPr>
          <w:i/>
          <w:iCs/>
        </w:rPr>
        <w:t xml:space="preserve">The Handbook of Dates </w:t>
      </w:r>
      <w:r w:rsidRPr="00A90412">
        <w:t>which lists all Easter Sundays between 1</w:t>
      </w:r>
      <w:r w:rsidR="00055B59" w:rsidRPr="00A90412">
        <w:t>100</w:t>
      </w:r>
      <w:r w:rsidRPr="00A90412">
        <w:t xml:space="preserve"> and 1399, Easter Sunday in the year 1311 fell on </w:t>
      </w:r>
      <w:r w:rsidR="00055B59" w:rsidRPr="00A90412">
        <w:t>11</w:t>
      </w:r>
      <w:r w:rsidR="00055B59" w:rsidRPr="00A90412">
        <w:rPr>
          <w:vertAlign w:val="superscript"/>
        </w:rPr>
        <w:t>th</w:t>
      </w:r>
      <w:r w:rsidR="00055B59" w:rsidRPr="00A90412">
        <w:t xml:space="preserve"> April</w:t>
      </w:r>
      <w:r w:rsidR="00055B59" w:rsidRPr="00A90412">
        <w:rPr>
          <w:rStyle w:val="FootnoteReference"/>
        </w:rPr>
        <w:footnoteReference w:id="8"/>
      </w:r>
      <w:r w:rsidRPr="00A90412">
        <w:t xml:space="preserve">. Six and a half weeks prior to this would mean Ash Wednesday fell on </w:t>
      </w:r>
      <w:r w:rsidR="00615765" w:rsidRPr="00A90412">
        <w:t>24</w:t>
      </w:r>
      <w:r w:rsidR="00615765" w:rsidRPr="00A90412">
        <w:rPr>
          <w:vertAlign w:val="superscript"/>
        </w:rPr>
        <w:t xml:space="preserve">th </w:t>
      </w:r>
      <w:r w:rsidRPr="00A90412">
        <w:t>February 1311.</w:t>
      </w:r>
    </w:p>
    <w:p w14:paraId="2B7664D3" w14:textId="6A66D638" w:rsidR="005257CD" w:rsidRPr="00A90412" w:rsidRDefault="00BD2455" w:rsidP="00086F3D">
      <w:pPr>
        <w:spacing w:line="360" w:lineRule="auto"/>
      </w:pPr>
      <w:r w:rsidRPr="00A90412">
        <w:t>The Thursday after this was Thursday 25</w:t>
      </w:r>
      <w:r w:rsidRPr="00A90412">
        <w:rPr>
          <w:vertAlign w:val="superscript"/>
        </w:rPr>
        <w:t>th</w:t>
      </w:r>
      <w:r w:rsidRPr="00A90412">
        <w:t xml:space="preserve"> February 1311. </w:t>
      </w:r>
    </w:p>
    <w:bookmarkEnd w:id="2"/>
    <w:p w14:paraId="6D6EE8E8" w14:textId="125F0950" w:rsidR="00FC3EC9" w:rsidRPr="00A90412" w:rsidRDefault="00D47E07" w:rsidP="00086F3D">
      <w:pPr>
        <w:spacing w:line="360" w:lineRule="auto"/>
        <w:rPr>
          <w:u w:val="single"/>
        </w:rPr>
      </w:pPr>
      <w:r w:rsidRPr="00A90412">
        <w:rPr>
          <w:u w:val="single"/>
        </w:rPr>
        <w:t xml:space="preserve">Event D </w:t>
      </w:r>
    </w:p>
    <w:p w14:paraId="5711E18A" w14:textId="713E6CA5" w:rsidR="006E0BD8" w:rsidRPr="00A90412" w:rsidRDefault="006E0BD8" w:rsidP="00086F3D">
      <w:pPr>
        <w:spacing w:line="360" w:lineRule="auto"/>
      </w:pPr>
      <w:bookmarkStart w:id="3" w:name="_Hlk152611975"/>
      <w:r w:rsidRPr="00A90412">
        <w:t xml:space="preserve">This is slightly harder to pinpoint an exact date as there is not enough surrounding information about this to provide a specific </w:t>
      </w:r>
      <w:r w:rsidR="008C77E7" w:rsidRPr="00A90412">
        <w:t>starting search</w:t>
      </w:r>
      <w:r w:rsidR="001B15E2" w:rsidRPr="00A90412">
        <w:t>.</w:t>
      </w:r>
    </w:p>
    <w:p w14:paraId="2FEFB529" w14:textId="383BC61F" w:rsidR="006E0BD8" w:rsidRPr="00A90412" w:rsidRDefault="006E0BD8" w:rsidP="00086F3D">
      <w:pPr>
        <w:spacing w:line="360" w:lineRule="auto"/>
      </w:pPr>
      <w:r w:rsidRPr="00A90412">
        <w:t xml:space="preserve">As this document refers to </w:t>
      </w:r>
      <w:r w:rsidR="00646E2D" w:rsidRPr="00A90412">
        <w:t xml:space="preserve">lands that Geoffrey Ridel ‘held’ </w:t>
      </w:r>
      <w:r w:rsidR="00995106" w:rsidRPr="00A90412">
        <w:t>I know</w:t>
      </w:r>
      <w:r w:rsidR="00646E2D" w:rsidRPr="00A90412">
        <w:t xml:space="preserve"> that this took place after Ridel’s passing. This places the document a</w:t>
      </w:r>
      <w:r w:rsidR="004D1E9A" w:rsidRPr="00A90412">
        <w:t>t some point after late 1120</w:t>
      </w:r>
      <w:r w:rsidR="00646E2D" w:rsidRPr="00A90412">
        <w:t xml:space="preserve"> as</w:t>
      </w:r>
      <w:r w:rsidR="00995106" w:rsidRPr="00A90412">
        <w:t xml:space="preserve"> </w:t>
      </w:r>
      <w:r w:rsidR="00646E2D" w:rsidRPr="00A90412">
        <w:t xml:space="preserve">Ridel died </w:t>
      </w:r>
      <w:r w:rsidR="00E60575" w:rsidRPr="00A90412">
        <w:t>on 25</w:t>
      </w:r>
      <w:r w:rsidR="00E60575" w:rsidRPr="00A90412">
        <w:rPr>
          <w:vertAlign w:val="superscript"/>
        </w:rPr>
        <w:t>th</w:t>
      </w:r>
      <w:r w:rsidR="00E60575" w:rsidRPr="00A90412">
        <w:t xml:space="preserve"> November 1120 </w:t>
      </w:r>
      <w:r w:rsidR="00995106" w:rsidRPr="00A90412">
        <w:t>in</w:t>
      </w:r>
      <w:r w:rsidR="00E60575" w:rsidRPr="00A90412">
        <w:t xml:space="preserve"> the White Ship disaster</w:t>
      </w:r>
      <w:r w:rsidR="00E60575" w:rsidRPr="00A90412">
        <w:rPr>
          <w:rStyle w:val="FootnoteReference"/>
        </w:rPr>
        <w:footnoteReference w:id="9"/>
      </w:r>
      <w:r w:rsidR="004D1E9A" w:rsidRPr="00A90412">
        <w:t xml:space="preserve">. </w:t>
      </w:r>
    </w:p>
    <w:p w14:paraId="0D178416" w14:textId="7C02A78F" w:rsidR="00646E2D" w:rsidRPr="00A90412" w:rsidRDefault="00646E2D" w:rsidP="00086F3D">
      <w:pPr>
        <w:spacing w:line="360" w:lineRule="auto"/>
      </w:pPr>
      <w:r w:rsidRPr="00A90412">
        <w:t>Th</w:t>
      </w:r>
      <w:r w:rsidR="00236480" w:rsidRPr="00A90412">
        <w:t xml:space="preserve">erefore, </w:t>
      </w:r>
      <w:r w:rsidRPr="00A90412">
        <w:t>Henry, King of the English referred to is King Henry I, who reigned from 1100-1135</w:t>
      </w:r>
      <w:r w:rsidR="001B15E2" w:rsidRPr="00A90412">
        <w:rPr>
          <w:rStyle w:val="FootnoteReference"/>
        </w:rPr>
        <w:footnoteReference w:id="10"/>
      </w:r>
      <w:r w:rsidRPr="00A90412">
        <w:t>. This initially gives us a date range of between 1120 and 1135 for this document to have been created</w:t>
      </w:r>
      <w:r w:rsidR="001B15E2" w:rsidRPr="00A90412">
        <w:t xml:space="preserve"> as it </w:t>
      </w:r>
      <w:r w:rsidR="00786217" w:rsidRPr="00A90412">
        <w:lastRenderedPageBreak/>
        <w:t>must</w:t>
      </w:r>
      <w:r w:rsidR="001B15E2" w:rsidRPr="00A90412">
        <w:t xml:space="preserve"> have been written after Ridel’s death in 1120 but before 1135 when King Henry I’s reign ended. </w:t>
      </w:r>
      <w:r w:rsidRPr="00A90412">
        <w:t xml:space="preserve"> </w:t>
      </w:r>
      <w:r w:rsidR="00A90412" w:rsidRPr="00A90412">
        <w:t>However,</w:t>
      </w:r>
      <w:r w:rsidRPr="00A90412">
        <w:t xml:space="preserve"> after this it becomes hard</w:t>
      </w:r>
      <w:r w:rsidR="00135553" w:rsidRPr="00A90412">
        <w:t xml:space="preserve">er </w:t>
      </w:r>
      <w:r w:rsidRPr="00A90412">
        <w:t xml:space="preserve">to pinpoint. Initially I began searching for dates that some of those named in this document either passed away or left office. </w:t>
      </w:r>
    </w:p>
    <w:p w14:paraId="696B037F" w14:textId="1B1AF1DE" w:rsidR="00236480" w:rsidRPr="00A90412" w:rsidRDefault="00236480" w:rsidP="00086F3D">
      <w:pPr>
        <w:spacing w:line="360" w:lineRule="auto"/>
      </w:pPr>
      <w:r w:rsidRPr="00A90412">
        <w:t xml:space="preserve">After searching several of the names listed in the </w:t>
      </w:r>
      <w:r w:rsidR="00FE6289" w:rsidRPr="00A90412">
        <w:t>document,</w:t>
      </w:r>
      <w:r w:rsidRPr="00A90412">
        <w:t xml:space="preserve"> I confirmed that Earl Rannulf of Chester passed in 1129 </w:t>
      </w:r>
      <w:r w:rsidR="00D47E07" w:rsidRPr="00A90412">
        <w:t xml:space="preserve">in the book </w:t>
      </w:r>
      <w:r w:rsidR="00D47E07" w:rsidRPr="00A90412">
        <w:rPr>
          <w:i/>
          <w:iCs/>
        </w:rPr>
        <w:t>The First Century of English Feudalism</w:t>
      </w:r>
      <w:r w:rsidR="00D47E07" w:rsidRPr="00A90412">
        <w:t xml:space="preserve"> by Frank Merry Stenton</w:t>
      </w:r>
      <w:r w:rsidR="00D47E07" w:rsidRPr="00A90412">
        <w:rPr>
          <w:rStyle w:val="FootnoteReference"/>
        </w:rPr>
        <w:footnoteReference w:id="11"/>
      </w:r>
      <w:r w:rsidR="00D47E07" w:rsidRPr="00A90412">
        <w:t xml:space="preserve"> which </w:t>
      </w:r>
      <w:r w:rsidR="00995106" w:rsidRPr="00A90412">
        <w:t>is</w:t>
      </w:r>
      <w:r w:rsidR="00D47E07" w:rsidRPr="00A90412">
        <w:t xml:space="preserve"> the earliest confirmed date of death</w:t>
      </w:r>
      <w:r w:rsidR="00995106" w:rsidRPr="00A90412">
        <w:t xml:space="preserve"> or date of l</w:t>
      </w:r>
      <w:r w:rsidR="00D47E07" w:rsidRPr="00A90412">
        <w:t xml:space="preserve">eaving office that I could locate. </w:t>
      </w:r>
    </w:p>
    <w:p w14:paraId="157147C8" w14:textId="77777777" w:rsidR="000D1F2B" w:rsidRPr="00A90412" w:rsidRDefault="009F31CF" w:rsidP="00086F3D">
      <w:pPr>
        <w:spacing w:line="360" w:lineRule="auto"/>
      </w:pPr>
      <w:r w:rsidRPr="00A90412">
        <w:t xml:space="preserve">Therefore, the best attempt at specifically dating this document I can offer currently is that it was written sometime between 1120 and 1129. </w:t>
      </w:r>
    </w:p>
    <w:p w14:paraId="35DB87D8" w14:textId="0382E96E" w:rsidR="000D1F2B" w:rsidRPr="00A90412" w:rsidRDefault="005A0F41" w:rsidP="000D1F2B">
      <w:pPr>
        <w:spacing w:line="360" w:lineRule="auto"/>
      </w:pPr>
      <w:r w:rsidRPr="00A90412">
        <w:t>During</w:t>
      </w:r>
      <w:r w:rsidR="000D1F2B" w:rsidRPr="00A90412">
        <w:t xml:space="preserve"> my research I </w:t>
      </w:r>
      <w:r w:rsidR="00995106" w:rsidRPr="00A90412">
        <w:t>did locate</w:t>
      </w:r>
      <w:r w:rsidR="000D1F2B" w:rsidRPr="00A90412">
        <w:t xml:space="preserve"> information in </w:t>
      </w:r>
      <w:r w:rsidR="000D1F2B" w:rsidRPr="00A90412">
        <w:rPr>
          <w:i/>
          <w:iCs/>
        </w:rPr>
        <w:t xml:space="preserve">Domesday </w:t>
      </w:r>
      <w:r w:rsidR="00A90412" w:rsidRPr="00A90412">
        <w:rPr>
          <w:i/>
          <w:iCs/>
        </w:rPr>
        <w:t>Descendants</w:t>
      </w:r>
      <w:r w:rsidR="000D1F2B" w:rsidRPr="00A90412">
        <w:rPr>
          <w:i/>
          <w:iCs/>
        </w:rPr>
        <w:t xml:space="preserve"> </w:t>
      </w:r>
      <w:r w:rsidR="000D1F2B" w:rsidRPr="00A90412">
        <w:t>that Geoffrey Ridel’s daughter and Richard Bassett happened at some point between 1120</w:t>
      </w:r>
      <w:r w:rsidR="000D1F2B" w:rsidRPr="00A90412">
        <w:t>-</w:t>
      </w:r>
      <w:r w:rsidR="000D1F2B" w:rsidRPr="00A90412">
        <w:t>1123</w:t>
      </w:r>
      <w:r w:rsidR="00D47E07" w:rsidRPr="00A90412">
        <w:rPr>
          <w:rStyle w:val="FootnoteReference"/>
        </w:rPr>
        <w:footnoteReference w:id="12"/>
      </w:r>
      <w:r w:rsidR="000D1F2B" w:rsidRPr="00A90412">
        <w:t xml:space="preserve">. </w:t>
      </w:r>
    </w:p>
    <w:p w14:paraId="36F120B9" w14:textId="123D7F4E" w:rsidR="009F31CF" w:rsidRPr="00A90412" w:rsidRDefault="009F31CF" w:rsidP="00086F3D">
      <w:pPr>
        <w:spacing w:line="360" w:lineRule="auto"/>
      </w:pPr>
      <w:r w:rsidRPr="00A90412">
        <w:t xml:space="preserve">While </w:t>
      </w:r>
      <w:bookmarkEnd w:id="3"/>
      <w:r w:rsidR="005A0F41" w:rsidRPr="00A90412">
        <w:t>this is likely correct,</w:t>
      </w:r>
      <w:r w:rsidR="000D1F2B" w:rsidRPr="00A90412">
        <w:t xml:space="preserve"> based on the fragment of information provided to me for this exercise I can only narrow this down to having been written between 1120-1129. This highlights the importance of wider research as there may be other information that I am missing </w:t>
      </w:r>
      <w:r w:rsidR="00D47E07" w:rsidRPr="00A90412">
        <w:t xml:space="preserve">(potentially in other documents/manuscripts) </w:t>
      </w:r>
      <w:r w:rsidR="000D1F2B" w:rsidRPr="00A90412">
        <w:t>that</w:t>
      </w:r>
      <w:r w:rsidR="00D47E07" w:rsidRPr="00A90412">
        <w:t xml:space="preserve"> make </w:t>
      </w:r>
      <w:r w:rsidR="000D1F2B" w:rsidRPr="00A90412">
        <w:t>it possible to further narrow down the dat</w:t>
      </w:r>
      <w:r w:rsidR="00D47E07" w:rsidRPr="00A90412">
        <w:t>e</w:t>
      </w:r>
      <w:r w:rsidR="000D1F2B" w:rsidRPr="00A90412">
        <w:t xml:space="preserve">. </w:t>
      </w:r>
    </w:p>
    <w:p w14:paraId="757A1020" w14:textId="02DAF0C1" w:rsidR="008C77E7" w:rsidRDefault="008C77E7">
      <w:pPr>
        <w:rPr>
          <w:b/>
          <w:bCs/>
        </w:rPr>
      </w:pPr>
      <w:r>
        <w:rPr>
          <w:b/>
          <w:bCs/>
        </w:rPr>
        <w:br w:type="page"/>
      </w:r>
    </w:p>
    <w:p w14:paraId="0E551B8D" w14:textId="61BC8143" w:rsidR="001B15E2" w:rsidRDefault="001B15E2" w:rsidP="008C77E7">
      <w:pPr>
        <w:spacing w:line="360" w:lineRule="auto"/>
        <w:jc w:val="center"/>
        <w:rPr>
          <w:b/>
          <w:bCs/>
          <w:u w:val="single"/>
        </w:rPr>
      </w:pPr>
      <w:r>
        <w:rPr>
          <w:b/>
          <w:bCs/>
          <w:u w:val="single"/>
        </w:rPr>
        <w:lastRenderedPageBreak/>
        <w:t>Bibliography</w:t>
      </w:r>
    </w:p>
    <w:p w14:paraId="6C38E5AF" w14:textId="183D75AA" w:rsidR="001B15E2" w:rsidRDefault="00236BDB" w:rsidP="00236BDB">
      <w:pPr>
        <w:spacing w:line="360" w:lineRule="auto"/>
        <w:ind w:left="720" w:hanging="720"/>
        <w:rPr>
          <w:b/>
          <w:bCs/>
          <w:u w:val="single"/>
        </w:rPr>
      </w:pPr>
      <w:r>
        <w:rPr>
          <w:i/>
          <w:iCs/>
        </w:rPr>
        <w:t xml:space="preserve">The Handbook </w:t>
      </w:r>
      <w:proofErr w:type="gramStart"/>
      <w:r>
        <w:rPr>
          <w:i/>
          <w:iCs/>
        </w:rPr>
        <w:t>Of</w:t>
      </w:r>
      <w:proofErr w:type="gramEnd"/>
      <w:r>
        <w:rPr>
          <w:i/>
          <w:iCs/>
        </w:rPr>
        <w:t xml:space="preserve"> Dates For Students Of English History</w:t>
      </w:r>
      <w:r>
        <w:t>, ed. by Cheney</w:t>
      </w:r>
      <w:r>
        <w:t>, C. R.</w:t>
      </w:r>
      <w:r>
        <w:t xml:space="preserve"> (</w:t>
      </w:r>
      <w:r w:rsidRPr="00FC0BC5">
        <w:t>London</w:t>
      </w:r>
      <w:r>
        <w:t>:</w:t>
      </w:r>
      <w:r w:rsidRPr="00FC0BC5">
        <w:t xml:space="preserve"> Offices of the Royal Historical Society</w:t>
      </w:r>
      <w:r>
        <w:t xml:space="preserve">, 1961).  </w:t>
      </w:r>
    </w:p>
    <w:p w14:paraId="66150C36" w14:textId="1E6E20FC" w:rsidR="007A0384" w:rsidRDefault="007A0384" w:rsidP="00536169">
      <w:pPr>
        <w:spacing w:line="360" w:lineRule="auto"/>
        <w:ind w:left="720" w:hanging="720"/>
      </w:pPr>
      <w:r>
        <w:rPr>
          <w:i/>
          <w:iCs/>
        </w:rPr>
        <w:t>Handbook Of British Chronology</w:t>
      </w:r>
      <w:r>
        <w:t xml:space="preserve">, ed. by </w:t>
      </w:r>
      <w:proofErr w:type="spellStart"/>
      <w:r>
        <w:t>Fryde</w:t>
      </w:r>
      <w:proofErr w:type="spellEnd"/>
      <w:r>
        <w:t>, E. B.</w:t>
      </w:r>
      <w:r>
        <w:t xml:space="preserve"> et al, 3</w:t>
      </w:r>
      <w:r w:rsidRPr="007A0384">
        <w:rPr>
          <w:vertAlign w:val="superscript"/>
        </w:rPr>
        <w:t>rd</w:t>
      </w:r>
      <w:r>
        <w:t xml:space="preserve"> edition, (London: Offices of the Royal Historical Society, 1986)</w:t>
      </w:r>
      <w:r>
        <w:t>.</w:t>
      </w:r>
    </w:p>
    <w:p w14:paraId="3D140AE2" w14:textId="1F886EB3" w:rsidR="007A0384" w:rsidRDefault="007A0384" w:rsidP="007A0384">
      <w:pPr>
        <w:spacing w:line="360" w:lineRule="auto"/>
        <w:ind w:left="720" w:hanging="720"/>
      </w:pPr>
      <w:r>
        <w:t xml:space="preserve">Keats-Rohan, K. S. B.  </w:t>
      </w:r>
      <w:r>
        <w:rPr>
          <w:i/>
          <w:iCs/>
        </w:rPr>
        <w:t xml:space="preserve">Domesday Descendants: A Prosopography Of Persons Occurring </w:t>
      </w:r>
      <w:proofErr w:type="gramStart"/>
      <w:r>
        <w:rPr>
          <w:i/>
          <w:iCs/>
        </w:rPr>
        <w:t>In  English</w:t>
      </w:r>
      <w:proofErr w:type="gramEnd"/>
      <w:r>
        <w:rPr>
          <w:i/>
          <w:iCs/>
        </w:rPr>
        <w:t xml:space="preserve"> Documents 1066-1166 II: Pipe Rolls to ‘Cartae </w:t>
      </w:r>
      <w:proofErr w:type="spellStart"/>
      <w:r>
        <w:rPr>
          <w:i/>
          <w:iCs/>
        </w:rPr>
        <w:t>Baronum</w:t>
      </w:r>
      <w:proofErr w:type="spellEnd"/>
      <w:r>
        <w:rPr>
          <w:i/>
          <w:iCs/>
        </w:rPr>
        <w:t>’</w:t>
      </w:r>
      <w:r>
        <w:t>, (Martlesham: Boydell &amp; Brewer, 2002).</w:t>
      </w:r>
    </w:p>
    <w:p w14:paraId="0985D860" w14:textId="5985337C" w:rsidR="00536169" w:rsidRDefault="006738DD" w:rsidP="00536169">
      <w:pPr>
        <w:spacing w:line="360" w:lineRule="auto"/>
        <w:ind w:left="720" w:hanging="720"/>
      </w:pPr>
      <w:r>
        <w:t>Stenton</w:t>
      </w:r>
      <w:r>
        <w:t>. F. M.</w:t>
      </w:r>
      <w:r>
        <w:t xml:space="preserve">, </w:t>
      </w:r>
      <w:r>
        <w:rPr>
          <w:i/>
          <w:iCs/>
        </w:rPr>
        <w:t xml:space="preserve">The First Century of English Feudalism, 1066-1166 </w:t>
      </w:r>
      <w:r>
        <w:t>(Oxford: Clarendon Press, 1963)</w:t>
      </w:r>
      <w:r w:rsidR="00536169">
        <w:t>.</w:t>
      </w:r>
      <w:r>
        <w:t xml:space="preserve"> </w:t>
      </w:r>
    </w:p>
    <w:p w14:paraId="3A98B54F" w14:textId="507E785C" w:rsidR="00536169" w:rsidRPr="001B15E2" w:rsidRDefault="00536169" w:rsidP="00536169">
      <w:pPr>
        <w:spacing w:line="360" w:lineRule="auto"/>
        <w:ind w:left="720" w:hanging="720"/>
        <w:rPr>
          <w:b/>
          <w:bCs/>
          <w:u w:val="single"/>
        </w:rPr>
      </w:pPr>
      <w:r>
        <w:t>Thomas</w:t>
      </w:r>
      <w:r w:rsidRPr="00356D52">
        <w:rPr>
          <w:i/>
          <w:iCs/>
        </w:rPr>
        <w:t>,</w:t>
      </w:r>
      <w:r>
        <w:rPr>
          <w:i/>
          <w:iCs/>
        </w:rPr>
        <w:t xml:space="preserve"> </w:t>
      </w:r>
      <w:r>
        <w:t>D. R.,</w:t>
      </w:r>
      <w:r w:rsidRPr="00356D52">
        <w:rPr>
          <w:i/>
          <w:iCs/>
        </w:rPr>
        <w:t xml:space="preserve"> A History of the Diocese of St Asaph, General, Cathedral and Parochial</w:t>
      </w:r>
      <w:r>
        <w:t xml:space="preserve"> (London: James Parker &amp; Co, 1874)</w:t>
      </w:r>
      <w:r>
        <w:t>.</w:t>
      </w:r>
    </w:p>
    <w:sectPr w:rsidR="00536169" w:rsidRPr="001B15E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FE552" w14:textId="77777777" w:rsidR="004E0E9E" w:rsidRDefault="004E0E9E" w:rsidP="005257CD">
      <w:pPr>
        <w:spacing w:after="0" w:line="240" w:lineRule="auto"/>
      </w:pPr>
      <w:r>
        <w:separator/>
      </w:r>
    </w:p>
  </w:endnote>
  <w:endnote w:type="continuationSeparator" w:id="0">
    <w:p w14:paraId="3C3366D9" w14:textId="77777777" w:rsidR="004E0E9E" w:rsidRDefault="004E0E9E" w:rsidP="005257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AC608" w14:textId="77777777" w:rsidR="004E0E9E" w:rsidRDefault="004E0E9E" w:rsidP="005257CD">
      <w:pPr>
        <w:spacing w:after="0" w:line="240" w:lineRule="auto"/>
      </w:pPr>
      <w:r>
        <w:separator/>
      </w:r>
    </w:p>
  </w:footnote>
  <w:footnote w:type="continuationSeparator" w:id="0">
    <w:p w14:paraId="193858FA" w14:textId="77777777" w:rsidR="004E0E9E" w:rsidRDefault="004E0E9E" w:rsidP="005257CD">
      <w:pPr>
        <w:spacing w:after="0" w:line="240" w:lineRule="auto"/>
      </w:pPr>
      <w:r>
        <w:continuationSeparator/>
      </w:r>
    </w:p>
  </w:footnote>
  <w:footnote w:id="1">
    <w:p w14:paraId="76A2ACCE" w14:textId="452C54FA" w:rsidR="009A421B" w:rsidRPr="00B62B54" w:rsidRDefault="009A421B">
      <w:pPr>
        <w:pStyle w:val="FootnoteText"/>
      </w:pPr>
      <w:r>
        <w:rPr>
          <w:rStyle w:val="FootnoteReference"/>
        </w:rPr>
        <w:footnoteRef/>
      </w:r>
      <w:r>
        <w:t xml:space="preserve"> </w:t>
      </w:r>
      <w:r w:rsidR="00B62B54">
        <w:rPr>
          <w:i/>
          <w:iCs/>
        </w:rPr>
        <w:t xml:space="preserve">The Handbook </w:t>
      </w:r>
      <w:proofErr w:type="gramStart"/>
      <w:r w:rsidR="00356D52">
        <w:rPr>
          <w:i/>
          <w:iCs/>
        </w:rPr>
        <w:t>O</w:t>
      </w:r>
      <w:r w:rsidR="00B62B54">
        <w:rPr>
          <w:i/>
          <w:iCs/>
        </w:rPr>
        <w:t>f</w:t>
      </w:r>
      <w:proofErr w:type="gramEnd"/>
      <w:r w:rsidR="00B62B54">
        <w:rPr>
          <w:i/>
          <w:iCs/>
        </w:rPr>
        <w:t xml:space="preserve"> Dates </w:t>
      </w:r>
      <w:r w:rsidR="00356D52">
        <w:rPr>
          <w:i/>
          <w:iCs/>
        </w:rPr>
        <w:t>F</w:t>
      </w:r>
      <w:r w:rsidR="00B62B54">
        <w:rPr>
          <w:i/>
          <w:iCs/>
        </w:rPr>
        <w:t xml:space="preserve">or Students </w:t>
      </w:r>
      <w:r w:rsidR="00356D52">
        <w:rPr>
          <w:i/>
          <w:iCs/>
        </w:rPr>
        <w:t>O</w:t>
      </w:r>
      <w:r w:rsidR="00B62B54">
        <w:rPr>
          <w:i/>
          <w:iCs/>
        </w:rPr>
        <w:t>f English History</w:t>
      </w:r>
      <w:r w:rsidR="00B62B54">
        <w:t>,</w:t>
      </w:r>
      <w:r w:rsidR="00356D52">
        <w:t xml:space="preserve"> ed. by</w:t>
      </w:r>
      <w:r w:rsidR="00B62B54">
        <w:t xml:space="preserve"> </w:t>
      </w:r>
      <w:r w:rsidR="00356D52">
        <w:t>Christopher Robert Ch</w:t>
      </w:r>
      <w:r w:rsidR="00356D52">
        <w:t>eney (</w:t>
      </w:r>
      <w:r w:rsidR="00FC0BC5" w:rsidRPr="00FC0BC5">
        <w:t>London</w:t>
      </w:r>
      <w:r w:rsidR="00356D52">
        <w:t>:</w:t>
      </w:r>
      <w:r w:rsidR="00FC0BC5" w:rsidRPr="00FC0BC5">
        <w:t xml:space="preserve"> Offices of the Royal Historical Society</w:t>
      </w:r>
      <w:r w:rsidR="00356D52">
        <w:t>,</w:t>
      </w:r>
      <w:r w:rsidR="00FC0BC5">
        <w:t xml:space="preserve"> 1961</w:t>
      </w:r>
      <w:r w:rsidR="00356D52">
        <w:t>),</w:t>
      </w:r>
      <w:r w:rsidR="00FC0BC5">
        <w:t xml:space="preserve"> P. 55.</w:t>
      </w:r>
      <w:r w:rsidR="0018657F">
        <w:t xml:space="preserve">  </w:t>
      </w:r>
    </w:p>
  </w:footnote>
  <w:footnote w:id="2">
    <w:p w14:paraId="6A80F209" w14:textId="257CDAE7" w:rsidR="0018657F" w:rsidRDefault="0018657F">
      <w:pPr>
        <w:pStyle w:val="FootnoteText"/>
      </w:pPr>
      <w:r>
        <w:rPr>
          <w:rStyle w:val="FootnoteReference"/>
        </w:rPr>
        <w:footnoteRef/>
      </w:r>
      <w:r>
        <w:t xml:space="preserve"> </w:t>
      </w:r>
      <w:r w:rsidR="00356D52" w:rsidRPr="00356D52">
        <w:rPr>
          <w:i/>
          <w:iCs/>
        </w:rPr>
        <w:t>T</w:t>
      </w:r>
      <w:r w:rsidRPr="00356D52">
        <w:rPr>
          <w:i/>
          <w:iCs/>
        </w:rPr>
        <w:t xml:space="preserve">he </w:t>
      </w:r>
      <w:r w:rsidR="00356D52" w:rsidRPr="00356D52">
        <w:rPr>
          <w:i/>
          <w:iCs/>
        </w:rPr>
        <w:t>H</w:t>
      </w:r>
      <w:r w:rsidRPr="00356D52">
        <w:rPr>
          <w:i/>
          <w:iCs/>
        </w:rPr>
        <w:t xml:space="preserve">andbook </w:t>
      </w:r>
      <w:proofErr w:type="gramStart"/>
      <w:r w:rsidR="00356D52" w:rsidRPr="00356D52">
        <w:rPr>
          <w:i/>
          <w:iCs/>
        </w:rPr>
        <w:t>Of</w:t>
      </w:r>
      <w:proofErr w:type="gramEnd"/>
      <w:r w:rsidR="00356D52" w:rsidRPr="00356D52">
        <w:rPr>
          <w:i/>
          <w:iCs/>
        </w:rPr>
        <w:t xml:space="preserve"> Dates For Students Of English History</w:t>
      </w:r>
      <w:r w:rsidR="00356D52">
        <w:t>,</w:t>
      </w:r>
      <w:r>
        <w:t xml:space="preserve"> p. </w:t>
      </w:r>
      <w:r w:rsidR="00055B59">
        <w:t xml:space="preserve">20. </w:t>
      </w:r>
    </w:p>
  </w:footnote>
  <w:footnote w:id="3">
    <w:p w14:paraId="1164B686" w14:textId="50C4E5E4" w:rsidR="003D22D2" w:rsidRDefault="00E80D36">
      <w:pPr>
        <w:pStyle w:val="FootnoteText"/>
      </w:pPr>
      <w:r>
        <w:rPr>
          <w:rStyle w:val="FootnoteReference"/>
        </w:rPr>
        <w:footnoteRef/>
      </w:r>
      <w:r>
        <w:t xml:space="preserve"> David Richard Thomas</w:t>
      </w:r>
      <w:r w:rsidRPr="00356D52">
        <w:rPr>
          <w:i/>
          <w:iCs/>
        </w:rPr>
        <w:t>, A History of the Diocese of St Asaph, General, Cathedral and Parochial</w:t>
      </w:r>
      <w:r>
        <w:t xml:space="preserve"> (London: James Parker &amp; Co, 1874)</w:t>
      </w:r>
      <w:r w:rsidR="00356D52">
        <w:t>,</w:t>
      </w:r>
      <w:r>
        <w:t xml:space="preserve"> p. 221.</w:t>
      </w:r>
      <w:r w:rsidR="003D22D2">
        <w:t xml:space="preserve"> </w:t>
      </w:r>
    </w:p>
  </w:footnote>
  <w:footnote w:id="4">
    <w:p w14:paraId="7C9F6861" w14:textId="381A40CA" w:rsidR="00055B59" w:rsidRDefault="00055B59">
      <w:pPr>
        <w:pStyle w:val="FootnoteText"/>
      </w:pPr>
      <w:r>
        <w:rPr>
          <w:rStyle w:val="FootnoteReference"/>
        </w:rPr>
        <w:footnoteRef/>
      </w:r>
      <w:r>
        <w:t xml:space="preserve"> </w:t>
      </w:r>
      <w:r w:rsidR="00356D52">
        <w:rPr>
          <w:i/>
          <w:iCs/>
        </w:rPr>
        <w:t xml:space="preserve">The Handbook </w:t>
      </w:r>
      <w:proofErr w:type="gramStart"/>
      <w:r w:rsidR="00356D52">
        <w:rPr>
          <w:i/>
          <w:iCs/>
        </w:rPr>
        <w:t>Of</w:t>
      </w:r>
      <w:proofErr w:type="gramEnd"/>
      <w:r w:rsidR="00356D52">
        <w:rPr>
          <w:i/>
          <w:iCs/>
        </w:rPr>
        <w:t xml:space="preserve"> Dates For Students Of English History</w:t>
      </w:r>
      <w:r w:rsidR="00356D52">
        <w:t>,</w:t>
      </w:r>
      <w:r>
        <w:t xml:space="preserve"> p</w:t>
      </w:r>
      <w:r w:rsidR="00356D52">
        <w:t>.</w:t>
      </w:r>
      <w:r>
        <w:t xml:space="preserve"> 55</w:t>
      </w:r>
      <w:r w:rsidR="00356D52">
        <w:t>.</w:t>
      </w:r>
    </w:p>
  </w:footnote>
  <w:footnote w:id="5">
    <w:p w14:paraId="7409FC53" w14:textId="0134C864" w:rsidR="00E80D36" w:rsidRDefault="00E80D36">
      <w:pPr>
        <w:pStyle w:val="FootnoteText"/>
      </w:pPr>
      <w:r>
        <w:rPr>
          <w:rStyle w:val="FootnoteReference"/>
        </w:rPr>
        <w:footnoteRef/>
      </w:r>
      <w:r>
        <w:t xml:space="preserve"> Thomas, </w:t>
      </w:r>
      <w:r w:rsidRPr="00356D52">
        <w:rPr>
          <w:i/>
          <w:iCs/>
        </w:rPr>
        <w:t>A History of the Diocese of St Asaph</w:t>
      </w:r>
      <w:r w:rsidR="00356D52" w:rsidRPr="00356D52">
        <w:rPr>
          <w:i/>
          <w:iCs/>
        </w:rPr>
        <w:t>, General, Cathedral and Parochial</w:t>
      </w:r>
      <w:r>
        <w:t>, p</w:t>
      </w:r>
      <w:r w:rsidR="00356D52">
        <w:t>.</w:t>
      </w:r>
      <w:r>
        <w:t xml:space="preserve"> 221. </w:t>
      </w:r>
    </w:p>
  </w:footnote>
  <w:footnote w:id="6">
    <w:p w14:paraId="1AB8BD0A" w14:textId="13FD9510" w:rsidR="00E842BE" w:rsidRDefault="00E842BE">
      <w:pPr>
        <w:pStyle w:val="FootnoteText"/>
      </w:pPr>
      <w:r>
        <w:rPr>
          <w:rStyle w:val="FootnoteReference"/>
        </w:rPr>
        <w:footnoteRef/>
      </w:r>
      <w:r>
        <w:t xml:space="preserve"> </w:t>
      </w:r>
      <w:r w:rsidR="007A0384">
        <w:rPr>
          <w:i/>
          <w:iCs/>
        </w:rPr>
        <w:t>Handbook Of British Chronology</w:t>
      </w:r>
      <w:r w:rsidR="007A0384">
        <w:t xml:space="preserve">, ed. by E. B. </w:t>
      </w:r>
      <w:proofErr w:type="spellStart"/>
      <w:r w:rsidR="007A0384">
        <w:t>Fryde</w:t>
      </w:r>
      <w:proofErr w:type="spellEnd"/>
      <w:r w:rsidR="007A0384">
        <w:t xml:space="preserve"> et al, 3</w:t>
      </w:r>
      <w:r w:rsidR="007A0384" w:rsidRPr="007A0384">
        <w:rPr>
          <w:vertAlign w:val="superscript"/>
        </w:rPr>
        <w:t>rd</w:t>
      </w:r>
      <w:r w:rsidR="007A0384">
        <w:t xml:space="preserve"> edition, (London: Offices of the Royal Historical Society, 1986),</w:t>
      </w:r>
      <w:r>
        <w:t xml:space="preserve"> p</w:t>
      </w:r>
      <w:r w:rsidR="007A0384">
        <w:t>.</w:t>
      </w:r>
      <w:r>
        <w:t xml:space="preserve"> 244. </w:t>
      </w:r>
    </w:p>
  </w:footnote>
  <w:footnote w:id="7">
    <w:p w14:paraId="5FA1F7E5" w14:textId="54558758" w:rsidR="00055B59" w:rsidRDefault="00055B59">
      <w:pPr>
        <w:pStyle w:val="FootnoteText"/>
      </w:pPr>
      <w:r>
        <w:rPr>
          <w:rStyle w:val="FootnoteReference"/>
        </w:rPr>
        <w:footnoteRef/>
      </w:r>
      <w:r>
        <w:t xml:space="preserve"> </w:t>
      </w:r>
      <w:r w:rsidR="006738DD">
        <w:rPr>
          <w:i/>
          <w:iCs/>
        </w:rPr>
        <w:t xml:space="preserve">The Handbook </w:t>
      </w:r>
      <w:proofErr w:type="gramStart"/>
      <w:r w:rsidR="006738DD">
        <w:rPr>
          <w:i/>
          <w:iCs/>
        </w:rPr>
        <w:t>Of</w:t>
      </w:r>
      <w:proofErr w:type="gramEnd"/>
      <w:r w:rsidR="006738DD">
        <w:rPr>
          <w:i/>
          <w:iCs/>
        </w:rPr>
        <w:t xml:space="preserve"> Dates For Students Of English History</w:t>
      </w:r>
      <w:r>
        <w:t>, p</w:t>
      </w:r>
      <w:r w:rsidR="006738DD">
        <w:t>.</w:t>
      </w:r>
      <w:r>
        <w:t xml:space="preserve"> 55</w:t>
      </w:r>
      <w:r w:rsidR="006738DD">
        <w:t>.</w:t>
      </w:r>
    </w:p>
  </w:footnote>
  <w:footnote w:id="8">
    <w:p w14:paraId="6BE17257" w14:textId="6CE586DA" w:rsidR="00055B59" w:rsidRDefault="00055B59">
      <w:pPr>
        <w:pStyle w:val="FootnoteText"/>
      </w:pPr>
      <w:r>
        <w:rPr>
          <w:rStyle w:val="FootnoteReference"/>
        </w:rPr>
        <w:footnoteRef/>
      </w:r>
      <w:r>
        <w:t xml:space="preserve"> </w:t>
      </w:r>
      <w:r w:rsidR="006738DD">
        <w:rPr>
          <w:i/>
          <w:iCs/>
        </w:rPr>
        <w:t xml:space="preserve">The Handbook </w:t>
      </w:r>
      <w:proofErr w:type="gramStart"/>
      <w:r w:rsidR="006738DD">
        <w:rPr>
          <w:i/>
          <w:iCs/>
        </w:rPr>
        <w:t>Of</w:t>
      </w:r>
      <w:proofErr w:type="gramEnd"/>
      <w:r w:rsidR="006738DD">
        <w:rPr>
          <w:i/>
          <w:iCs/>
        </w:rPr>
        <w:t xml:space="preserve"> Dates For Students Of English History</w:t>
      </w:r>
      <w:r>
        <w:t>, p</w:t>
      </w:r>
      <w:r w:rsidR="006738DD">
        <w:t>.</w:t>
      </w:r>
      <w:r>
        <w:t xml:space="preserve"> 158</w:t>
      </w:r>
      <w:r w:rsidR="006738DD">
        <w:t>.</w:t>
      </w:r>
    </w:p>
  </w:footnote>
  <w:footnote w:id="9">
    <w:p w14:paraId="5DF21955" w14:textId="62BB75F1" w:rsidR="00E60575" w:rsidRDefault="00E60575">
      <w:pPr>
        <w:pStyle w:val="FootnoteText"/>
      </w:pPr>
      <w:r>
        <w:rPr>
          <w:rStyle w:val="FootnoteReference"/>
        </w:rPr>
        <w:footnoteRef/>
      </w:r>
      <w:r>
        <w:t xml:space="preserve"> </w:t>
      </w:r>
      <w:r w:rsidR="006738DD">
        <w:t xml:space="preserve">K. S. B. Keats-Rohan, </w:t>
      </w:r>
      <w:r w:rsidR="006738DD">
        <w:rPr>
          <w:i/>
          <w:iCs/>
        </w:rPr>
        <w:t xml:space="preserve">Domesday Descendants: A Prosopography </w:t>
      </w:r>
      <w:proofErr w:type="gramStart"/>
      <w:r w:rsidR="006738DD">
        <w:rPr>
          <w:i/>
          <w:iCs/>
        </w:rPr>
        <w:t>Of</w:t>
      </w:r>
      <w:proofErr w:type="gramEnd"/>
      <w:r w:rsidR="006738DD">
        <w:rPr>
          <w:i/>
          <w:iCs/>
        </w:rPr>
        <w:t xml:space="preserve"> Persons Occurring </w:t>
      </w:r>
      <w:r w:rsidR="00536169">
        <w:rPr>
          <w:i/>
          <w:iCs/>
        </w:rPr>
        <w:t>In English</w:t>
      </w:r>
      <w:r w:rsidR="006738DD">
        <w:rPr>
          <w:i/>
          <w:iCs/>
        </w:rPr>
        <w:t xml:space="preserve"> Documents 1066-1166 II: Pipe Rolls to ‘Cartae </w:t>
      </w:r>
      <w:proofErr w:type="spellStart"/>
      <w:r w:rsidR="006738DD">
        <w:rPr>
          <w:i/>
          <w:iCs/>
        </w:rPr>
        <w:t>Baronum</w:t>
      </w:r>
      <w:proofErr w:type="spellEnd"/>
      <w:r w:rsidR="006738DD">
        <w:rPr>
          <w:i/>
          <w:iCs/>
        </w:rPr>
        <w:t>’</w:t>
      </w:r>
      <w:r w:rsidR="006738DD">
        <w:t>, (Martlesham: Boydell &amp; Brewer, 2002), p.1108.</w:t>
      </w:r>
    </w:p>
  </w:footnote>
  <w:footnote w:id="10">
    <w:p w14:paraId="27BD877C" w14:textId="645BA056" w:rsidR="001B15E2" w:rsidRDefault="001B15E2">
      <w:pPr>
        <w:pStyle w:val="FootnoteText"/>
      </w:pPr>
      <w:r>
        <w:rPr>
          <w:rStyle w:val="FootnoteReference"/>
        </w:rPr>
        <w:footnoteRef/>
      </w:r>
      <w:r>
        <w:t xml:space="preserve"> </w:t>
      </w:r>
      <w:r w:rsidR="006738DD">
        <w:rPr>
          <w:i/>
          <w:iCs/>
        </w:rPr>
        <w:t>The Handbook of Dates for Students of English History</w:t>
      </w:r>
      <w:r>
        <w:t>, p</w:t>
      </w:r>
      <w:r w:rsidR="006738DD">
        <w:t>.</w:t>
      </w:r>
      <w:r>
        <w:t xml:space="preserve"> 55</w:t>
      </w:r>
      <w:r w:rsidR="006738DD">
        <w:t>.</w:t>
      </w:r>
    </w:p>
  </w:footnote>
  <w:footnote w:id="11">
    <w:p w14:paraId="4F4386E6" w14:textId="2FA3F687" w:rsidR="00D47E07" w:rsidRPr="00D47E07" w:rsidRDefault="00D47E07">
      <w:pPr>
        <w:pStyle w:val="FootnoteText"/>
      </w:pPr>
      <w:r>
        <w:rPr>
          <w:rStyle w:val="FootnoteReference"/>
        </w:rPr>
        <w:footnoteRef/>
      </w:r>
      <w:r>
        <w:t xml:space="preserve"> Frank Merry Stenton, </w:t>
      </w:r>
      <w:r>
        <w:rPr>
          <w:i/>
          <w:iCs/>
        </w:rPr>
        <w:t xml:space="preserve">The First Century of English Feudalism, 1066-1166 </w:t>
      </w:r>
      <w:r>
        <w:t>(Oxford: Clarendon Press, 1963) p.92.</w:t>
      </w:r>
    </w:p>
  </w:footnote>
  <w:footnote w:id="12">
    <w:p w14:paraId="607CF98D" w14:textId="6C557FCD" w:rsidR="00D47E07" w:rsidRDefault="00D47E07">
      <w:pPr>
        <w:pStyle w:val="FootnoteText"/>
      </w:pPr>
      <w:r>
        <w:rPr>
          <w:rStyle w:val="FootnoteReference"/>
        </w:rPr>
        <w:footnoteRef/>
      </w:r>
      <w:r>
        <w:t xml:space="preserve"> </w:t>
      </w:r>
      <w:r w:rsidR="00536169">
        <w:t xml:space="preserve">Keats-Rohan, </w:t>
      </w:r>
      <w:r w:rsidR="00536169">
        <w:rPr>
          <w:i/>
          <w:iCs/>
        </w:rPr>
        <w:t xml:space="preserve">Domesday Descendants: A Prosopography </w:t>
      </w:r>
      <w:proofErr w:type="gramStart"/>
      <w:r w:rsidR="00536169">
        <w:rPr>
          <w:i/>
          <w:iCs/>
        </w:rPr>
        <w:t>Of</w:t>
      </w:r>
      <w:proofErr w:type="gramEnd"/>
      <w:r w:rsidR="00536169">
        <w:rPr>
          <w:i/>
          <w:iCs/>
        </w:rPr>
        <w:t xml:space="preserve"> Persons Occurring </w:t>
      </w:r>
      <w:r w:rsidR="00536169">
        <w:rPr>
          <w:i/>
          <w:iCs/>
        </w:rPr>
        <w:t>In English</w:t>
      </w:r>
      <w:r w:rsidR="00536169">
        <w:rPr>
          <w:i/>
          <w:iCs/>
        </w:rPr>
        <w:t xml:space="preserve"> Documents 1066-1166 II: Pipe Rolls to ‘Cartae </w:t>
      </w:r>
      <w:proofErr w:type="spellStart"/>
      <w:r w:rsidR="00536169">
        <w:rPr>
          <w:i/>
          <w:iCs/>
        </w:rPr>
        <w:t>Baronum</w:t>
      </w:r>
      <w:proofErr w:type="spellEnd"/>
      <w:r w:rsidR="00536169">
        <w:rPr>
          <w:i/>
          <w:iCs/>
        </w:rPr>
        <w:t>’</w:t>
      </w:r>
      <w:r w:rsidR="00536169">
        <w:t>, p.1108.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9069FD" w14:textId="4BB3FF2B" w:rsidR="005257CD" w:rsidRDefault="005257CD" w:rsidP="005257CD">
    <w:pPr>
      <w:pStyle w:val="Header"/>
    </w:pPr>
    <w:r>
      <w:t xml:space="preserve">2306897 Liss Dark </w:t>
    </w:r>
    <w:r>
      <w:tab/>
      <w:t>HPHI</w:t>
    </w:r>
    <w:proofErr w:type="gramStart"/>
    <w:r>
      <w:t>7016  –</w:t>
    </w:r>
    <w:proofErr w:type="gramEnd"/>
    <w:r>
      <w:t xml:space="preserve"> Assignment 3/Dating Exercise</w:t>
    </w:r>
  </w:p>
  <w:p w14:paraId="611105FA" w14:textId="58A14993" w:rsidR="005257CD" w:rsidRPr="005257CD" w:rsidRDefault="005257CD" w:rsidP="005257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4234F6"/>
    <w:multiLevelType w:val="multilevel"/>
    <w:tmpl w:val="07F0B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4181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7CD"/>
    <w:rsid w:val="0000493B"/>
    <w:rsid w:val="00055B59"/>
    <w:rsid w:val="00086F3D"/>
    <w:rsid w:val="000D1F2B"/>
    <w:rsid w:val="00135553"/>
    <w:rsid w:val="00143E71"/>
    <w:rsid w:val="0018657F"/>
    <w:rsid w:val="00193168"/>
    <w:rsid w:val="001B15E2"/>
    <w:rsid w:val="00236480"/>
    <w:rsid w:val="00236BDB"/>
    <w:rsid w:val="0024225C"/>
    <w:rsid w:val="002839E2"/>
    <w:rsid w:val="0029052B"/>
    <w:rsid w:val="002918D1"/>
    <w:rsid w:val="002B54FC"/>
    <w:rsid w:val="00314473"/>
    <w:rsid w:val="00356D52"/>
    <w:rsid w:val="003D22D2"/>
    <w:rsid w:val="00457AD7"/>
    <w:rsid w:val="004A38D0"/>
    <w:rsid w:val="004C7E3D"/>
    <w:rsid w:val="004D1E9A"/>
    <w:rsid w:val="004D4F9D"/>
    <w:rsid w:val="004E0E9E"/>
    <w:rsid w:val="005257CD"/>
    <w:rsid w:val="00536169"/>
    <w:rsid w:val="005961E7"/>
    <w:rsid w:val="005A0F41"/>
    <w:rsid w:val="005B4688"/>
    <w:rsid w:val="00615765"/>
    <w:rsid w:val="00646E2D"/>
    <w:rsid w:val="00650677"/>
    <w:rsid w:val="006738DD"/>
    <w:rsid w:val="006E0BD8"/>
    <w:rsid w:val="00753E04"/>
    <w:rsid w:val="00786217"/>
    <w:rsid w:val="0078652B"/>
    <w:rsid w:val="007A0384"/>
    <w:rsid w:val="0089212F"/>
    <w:rsid w:val="008972D7"/>
    <w:rsid w:val="008C77E7"/>
    <w:rsid w:val="00901913"/>
    <w:rsid w:val="009323EA"/>
    <w:rsid w:val="00964E14"/>
    <w:rsid w:val="00995106"/>
    <w:rsid w:val="009A421B"/>
    <w:rsid w:val="009F31CF"/>
    <w:rsid w:val="00A0005F"/>
    <w:rsid w:val="00A86186"/>
    <w:rsid w:val="00A90412"/>
    <w:rsid w:val="00A95762"/>
    <w:rsid w:val="00AD381B"/>
    <w:rsid w:val="00B41C71"/>
    <w:rsid w:val="00B62B54"/>
    <w:rsid w:val="00B64C31"/>
    <w:rsid w:val="00BD2455"/>
    <w:rsid w:val="00BF3E46"/>
    <w:rsid w:val="00C57CAF"/>
    <w:rsid w:val="00C8106C"/>
    <w:rsid w:val="00D47E07"/>
    <w:rsid w:val="00D52456"/>
    <w:rsid w:val="00D735B5"/>
    <w:rsid w:val="00E279F2"/>
    <w:rsid w:val="00E60575"/>
    <w:rsid w:val="00E80D36"/>
    <w:rsid w:val="00E842BE"/>
    <w:rsid w:val="00F23083"/>
    <w:rsid w:val="00F75856"/>
    <w:rsid w:val="00FC0BC5"/>
    <w:rsid w:val="00FC3EC9"/>
    <w:rsid w:val="00FE6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F5FC8"/>
  <w15:chartTrackingRefBased/>
  <w15:docId w15:val="{D5269A84-80F2-43F6-AC36-2E5B516F0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57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57CD"/>
  </w:style>
  <w:style w:type="paragraph" w:styleId="Footer">
    <w:name w:val="footer"/>
    <w:basedOn w:val="Normal"/>
    <w:link w:val="FooterChar"/>
    <w:uiPriority w:val="99"/>
    <w:unhideWhenUsed/>
    <w:rsid w:val="005257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57CD"/>
  </w:style>
  <w:style w:type="character" w:styleId="Hyperlink">
    <w:name w:val="Hyperlink"/>
    <w:basedOn w:val="DefaultParagraphFont"/>
    <w:uiPriority w:val="99"/>
    <w:unhideWhenUsed/>
    <w:rsid w:val="0024225C"/>
    <w:rPr>
      <w:color w:val="0563C1" w:themeColor="hyperlink"/>
      <w:u w:val="single"/>
    </w:rPr>
  </w:style>
  <w:style w:type="character" w:styleId="UnresolvedMention">
    <w:name w:val="Unresolved Mention"/>
    <w:basedOn w:val="DefaultParagraphFont"/>
    <w:uiPriority w:val="99"/>
    <w:semiHidden/>
    <w:unhideWhenUsed/>
    <w:rsid w:val="0024225C"/>
    <w:rPr>
      <w:color w:val="605E5C"/>
      <w:shd w:val="clear" w:color="auto" w:fill="E1DFDD"/>
    </w:rPr>
  </w:style>
  <w:style w:type="character" w:styleId="HTMLCite">
    <w:name w:val="HTML Cite"/>
    <w:basedOn w:val="DefaultParagraphFont"/>
    <w:uiPriority w:val="99"/>
    <w:semiHidden/>
    <w:unhideWhenUsed/>
    <w:rsid w:val="00457AD7"/>
    <w:rPr>
      <w:i/>
      <w:iCs/>
    </w:rPr>
  </w:style>
  <w:style w:type="paragraph" w:styleId="EndnoteText">
    <w:name w:val="endnote text"/>
    <w:basedOn w:val="Normal"/>
    <w:link w:val="EndnoteTextChar"/>
    <w:uiPriority w:val="99"/>
    <w:semiHidden/>
    <w:unhideWhenUsed/>
    <w:rsid w:val="009A421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A421B"/>
    <w:rPr>
      <w:sz w:val="20"/>
      <w:szCs w:val="20"/>
    </w:rPr>
  </w:style>
  <w:style w:type="character" w:styleId="EndnoteReference">
    <w:name w:val="endnote reference"/>
    <w:basedOn w:val="DefaultParagraphFont"/>
    <w:uiPriority w:val="99"/>
    <w:semiHidden/>
    <w:unhideWhenUsed/>
    <w:rsid w:val="009A421B"/>
    <w:rPr>
      <w:vertAlign w:val="superscript"/>
    </w:rPr>
  </w:style>
  <w:style w:type="paragraph" w:styleId="FootnoteText">
    <w:name w:val="footnote text"/>
    <w:basedOn w:val="Normal"/>
    <w:link w:val="FootnoteTextChar"/>
    <w:uiPriority w:val="99"/>
    <w:semiHidden/>
    <w:unhideWhenUsed/>
    <w:rsid w:val="009A421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A421B"/>
    <w:rPr>
      <w:sz w:val="20"/>
      <w:szCs w:val="20"/>
    </w:rPr>
  </w:style>
  <w:style w:type="character" w:styleId="FootnoteReference">
    <w:name w:val="footnote reference"/>
    <w:basedOn w:val="DefaultParagraphFont"/>
    <w:uiPriority w:val="99"/>
    <w:semiHidden/>
    <w:unhideWhenUsed/>
    <w:rsid w:val="009A421B"/>
    <w:rPr>
      <w:vertAlign w:val="superscript"/>
    </w:rPr>
  </w:style>
  <w:style w:type="character" w:styleId="Emphasis">
    <w:name w:val="Emphasis"/>
    <w:basedOn w:val="DefaultParagraphFont"/>
    <w:uiPriority w:val="20"/>
    <w:qFormat/>
    <w:rsid w:val="00E842BE"/>
    <w:rPr>
      <w:i/>
      <w:iCs/>
    </w:rPr>
  </w:style>
  <w:style w:type="character" w:styleId="FollowedHyperlink">
    <w:name w:val="FollowedHyperlink"/>
    <w:basedOn w:val="DefaultParagraphFont"/>
    <w:uiPriority w:val="99"/>
    <w:semiHidden/>
    <w:unhideWhenUsed/>
    <w:rsid w:val="006738D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7518494">
      <w:bodyDiv w:val="1"/>
      <w:marLeft w:val="0"/>
      <w:marRight w:val="0"/>
      <w:marTop w:val="0"/>
      <w:marBottom w:val="0"/>
      <w:divBdr>
        <w:top w:val="none" w:sz="0" w:space="0" w:color="auto"/>
        <w:left w:val="none" w:sz="0" w:space="0" w:color="auto"/>
        <w:bottom w:val="none" w:sz="0" w:space="0" w:color="auto"/>
        <w:right w:val="none" w:sz="0" w:space="0" w:color="auto"/>
      </w:divBdr>
    </w:div>
    <w:div w:id="1433818184">
      <w:bodyDiv w:val="1"/>
      <w:marLeft w:val="0"/>
      <w:marRight w:val="0"/>
      <w:marTop w:val="0"/>
      <w:marBottom w:val="0"/>
      <w:divBdr>
        <w:top w:val="none" w:sz="0" w:space="0" w:color="auto"/>
        <w:left w:val="none" w:sz="0" w:space="0" w:color="auto"/>
        <w:bottom w:val="none" w:sz="0" w:space="0" w:color="auto"/>
        <w:right w:val="none" w:sz="0" w:space="0" w:color="auto"/>
      </w:divBdr>
    </w:div>
    <w:div w:id="1545558991">
      <w:bodyDiv w:val="1"/>
      <w:marLeft w:val="0"/>
      <w:marRight w:val="0"/>
      <w:marTop w:val="0"/>
      <w:marBottom w:val="0"/>
      <w:divBdr>
        <w:top w:val="none" w:sz="0" w:space="0" w:color="auto"/>
        <w:left w:val="none" w:sz="0" w:space="0" w:color="auto"/>
        <w:bottom w:val="none" w:sz="0" w:space="0" w:color="auto"/>
        <w:right w:val="none" w:sz="0" w:space="0" w:color="auto"/>
      </w:divBdr>
    </w:div>
    <w:div w:id="1683820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62F779-647E-4EE4-AA0D-BAC07FFC0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817</Words>
  <Characters>4661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Liss Dark</dc:creator>
  <cp:keywords/>
  <dc:description/>
  <cp:lastModifiedBy>Liss Dark</cp:lastModifiedBy>
  <cp:revision>2</cp:revision>
  <dcterms:created xsi:type="dcterms:W3CDTF">2023-12-09T17:15:00Z</dcterms:created>
  <dcterms:modified xsi:type="dcterms:W3CDTF">2023-12-09T17:15:00Z</dcterms:modified>
</cp:coreProperties>
</file>