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D605C7" w:rsidRDefault="007E7745" w:rsidP="00C03A91">
      <w:pPr>
        <w:spacing w:line="360" w:lineRule="auto"/>
        <w:rPr>
          <w:rFonts w:ascii="Arial" w:hAnsi="Arial" w:cs="Arial"/>
          <w:szCs w:val="24"/>
        </w:rPr>
      </w:pPr>
    </w:p>
    <w:p w14:paraId="365DE405" w14:textId="77777777" w:rsidR="00EB12BC" w:rsidRPr="00D605C7" w:rsidRDefault="00EB12BC" w:rsidP="00C03A91">
      <w:pPr>
        <w:spacing w:line="360" w:lineRule="auto"/>
        <w:rPr>
          <w:rFonts w:ascii="Arial" w:hAnsi="Arial" w:cs="Arial"/>
          <w:szCs w:val="24"/>
        </w:rPr>
      </w:pPr>
      <w:r w:rsidRPr="00D605C7">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D605C7" w:rsidRDefault="00EB12BC" w:rsidP="00C03A91">
      <w:pPr>
        <w:spacing w:line="360" w:lineRule="auto"/>
        <w:rPr>
          <w:rFonts w:ascii="Arial" w:hAnsi="Arial" w:cs="Arial"/>
          <w:szCs w:val="24"/>
        </w:rPr>
      </w:pPr>
    </w:p>
    <w:p w14:paraId="0E6E9383" w14:textId="77777777" w:rsidR="00EB12BC" w:rsidRPr="00D605C7" w:rsidRDefault="00EB12BC" w:rsidP="00C03A91">
      <w:pPr>
        <w:spacing w:line="360" w:lineRule="auto"/>
        <w:rPr>
          <w:rFonts w:ascii="Arial" w:hAnsi="Arial" w:cs="Arial"/>
          <w:szCs w:val="24"/>
        </w:rPr>
      </w:pPr>
    </w:p>
    <w:p w14:paraId="431DBF4A" w14:textId="77777777" w:rsidR="00EB12BC" w:rsidRPr="00D605C7" w:rsidRDefault="00EB12BC" w:rsidP="00C03A91">
      <w:pPr>
        <w:spacing w:line="360" w:lineRule="auto"/>
        <w:rPr>
          <w:rFonts w:ascii="Arial" w:hAnsi="Arial" w:cs="Arial"/>
          <w:szCs w:val="24"/>
        </w:rPr>
      </w:pPr>
    </w:p>
    <w:p w14:paraId="67404449" w14:textId="77777777" w:rsidR="00EB12BC" w:rsidRPr="00020A00" w:rsidRDefault="00EB12BC" w:rsidP="00C03A91">
      <w:pPr>
        <w:tabs>
          <w:tab w:val="left" w:pos="6540"/>
        </w:tabs>
        <w:spacing w:line="360" w:lineRule="auto"/>
        <w:rPr>
          <w:rFonts w:ascii="Arial" w:hAnsi="Arial" w:cs="Arial"/>
          <w:sz w:val="32"/>
          <w:szCs w:val="32"/>
        </w:rPr>
      </w:pPr>
    </w:p>
    <w:p w14:paraId="27888C86" w14:textId="4775E4D8" w:rsidR="00EB12BC" w:rsidRPr="00020A00" w:rsidRDefault="00EB12BC" w:rsidP="00C03A91">
      <w:pPr>
        <w:tabs>
          <w:tab w:val="left" w:pos="6540"/>
        </w:tabs>
        <w:spacing w:line="360" w:lineRule="auto"/>
        <w:rPr>
          <w:rFonts w:ascii="Arial" w:hAnsi="Arial" w:cs="Arial"/>
          <w:sz w:val="32"/>
          <w:szCs w:val="32"/>
          <w:lang w:val="nl-NL"/>
        </w:rPr>
      </w:pPr>
      <w:r w:rsidRPr="00020A00">
        <w:rPr>
          <w:rFonts w:ascii="Arial" w:hAnsi="Arial" w:cs="Arial"/>
          <w:b/>
          <w:bCs/>
          <w:sz w:val="32"/>
          <w:szCs w:val="32"/>
          <w:lang w:val="nl-NL"/>
        </w:rPr>
        <w:t>Student name</w:t>
      </w:r>
      <w:r w:rsidRPr="00020A00">
        <w:rPr>
          <w:rFonts w:ascii="Arial" w:hAnsi="Arial" w:cs="Arial"/>
          <w:sz w:val="32"/>
          <w:szCs w:val="32"/>
          <w:lang w:val="nl-NL"/>
        </w:rPr>
        <w:t>:</w:t>
      </w:r>
      <w:r w:rsidR="00020A00">
        <w:rPr>
          <w:rFonts w:ascii="Arial" w:hAnsi="Arial" w:cs="Arial"/>
          <w:sz w:val="32"/>
          <w:szCs w:val="32"/>
          <w:lang w:val="nl-NL"/>
        </w:rPr>
        <w:t xml:space="preserve"> </w:t>
      </w:r>
      <w:r w:rsidR="009023BC" w:rsidRPr="00020A00">
        <w:rPr>
          <w:rFonts w:ascii="Arial" w:hAnsi="Arial" w:cs="Arial"/>
          <w:sz w:val="32"/>
          <w:szCs w:val="32"/>
          <w:lang w:val="nl-NL"/>
        </w:rPr>
        <w:t>ELISHA HAKIZUMWAMI</w:t>
      </w:r>
    </w:p>
    <w:p w14:paraId="3C83A8A7" w14:textId="1F85583A" w:rsidR="00EB12BC" w:rsidRPr="00020A00" w:rsidRDefault="00EB12BC" w:rsidP="00C03A91">
      <w:pPr>
        <w:tabs>
          <w:tab w:val="left" w:pos="6540"/>
        </w:tabs>
        <w:spacing w:line="360" w:lineRule="auto"/>
        <w:rPr>
          <w:rFonts w:ascii="Arial" w:hAnsi="Arial" w:cs="Arial"/>
          <w:sz w:val="32"/>
          <w:szCs w:val="32"/>
          <w:lang w:val="nl-NL"/>
        </w:rPr>
      </w:pPr>
      <w:r w:rsidRPr="00020A00">
        <w:rPr>
          <w:rFonts w:ascii="Arial" w:hAnsi="Arial" w:cs="Arial"/>
          <w:b/>
          <w:bCs/>
          <w:sz w:val="32"/>
          <w:szCs w:val="32"/>
          <w:lang w:val="nl-NL"/>
        </w:rPr>
        <w:t>Student ID</w:t>
      </w:r>
      <w:r w:rsidRPr="00020A00">
        <w:rPr>
          <w:rFonts w:ascii="Arial" w:hAnsi="Arial" w:cs="Arial"/>
          <w:sz w:val="32"/>
          <w:szCs w:val="32"/>
          <w:lang w:val="nl-NL"/>
        </w:rPr>
        <w:t>:</w:t>
      </w:r>
      <w:r w:rsidR="009023BC" w:rsidRPr="00020A00">
        <w:rPr>
          <w:rFonts w:ascii="Arial" w:hAnsi="Arial" w:cs="Arial"/>
          <w:sz w:val="32"/>
          <w:szCs w:val="32"/>
          <w:lang w:val="nl-NL"/>
        </w:rPr>
        <w:t xml:space="preserve"> 2438662</w:t>
      </w:r>
    </w:p>
    <w:p w14:paraId="21E9DC72" w14:textId="77777777" w:rsidR="00EB12BC" w:rsidRPr="00020A00" w:rsidRDefault="00EB12BC" w:rsidP="00C03A91">
      <w:pPr>
        <w:tabs>
          <w:tab w:val="left" w:pos="6540"/>
        </w:tabs>
        <w:spacing w:line="360" w:lineRule="auto"/>
        <w:rPr>
          <w:rFonts w:ascii="Arial" w:hAnsi="Arial" w:cs="Arial"/>
          <w:sz w:val="32"/>
          <w:szCs w:val="32"/>
          <w:lang w:val="nl-NL"/>
        </w:rPr>
      </w:pPr>
    </w:p>
    <w:p w14:paraId="6C580EA8" w14:textId="7167F0D9" w:rsidR="00D605C7" w:rsidRPr="00020A00" w:rsidRDefault="00EB12BC" w:rsidP="00D605C7">
      <w:pPr>
        <w:tabs>
          <w:tab w:val="left" w:pos="6540"/>
        </w:tabs>
        <w:spacing w:line="360" w:lineRule="auto"/>
        <w:rPr>
          <w:rFonts w:ascii="Arial" w:hAnsi="Arial" w:cs="Arial"/>
          <w:sz w:val="32"/>
          <w:szCs w:val="32"/>
          <w:lang w:val="nl-NL"/>
        </w:rPr>
      </w:pPr>
      <w:r w:rsidRPr="00020A00">
        <w:rPr>
          <w:rFonts w:ascii="Arial" w:hAnsi="Arial" w:cs="Arial"/>
          <w:b/>
          <w:bCs/>
          <w:sz w:val="32"/>
          <w:szCs w:val="32"/>
          <w:lang w:val="nl-NL"/>
        </w:rPr>
        <w:t>Module name</w:t>
      </w:r>
      <w:r w:rsidRPr="00020A00">
        <w:rPr>
          <w:rFonts w:ascii="Arial" w:hAnsi="Arial" w:cs="Arial"/>
          <w:sz w:val="32"/>
          <w:szCs w:val="32"/>
          <w:lang w:val="nl-NL"/>
        </w:rPr>
        <w:t xml:space="preserve">: </w:t>
      </w:r>
      <w:r w:rsidR="00D605C7" w:rsidRPr="00020A00">
        <w:rPr>
          <w:rFonts w:ascii="Arial" w:hAnsi="Arial" w:cs="Arial"/>
          <w:sz w:val="32"/>
          <w:szCs w:val="32"/>
          <w:lang w:val="nl-NL"/>
        </w:rPr>
        <w:t>Principles of Health and Social Care Practice</w:t>
      </w:r>
    </w:p>
    <w:p w14:paraId="4FD97C8C" w14:textId="1D08EC46" w:rsidR="00EB12BC" w:rsidRPr="00020A00" w:rsidRDefault="00EB12BC" w:rsidP="00C03A91">
      <w:pPr>
        <w:tabs>
          <w:tab w:val="left" w:pos="6540"/>
        </w:tabs>
        <w:spacing w:line="360" w:lineRule="auto"/>
        <w:rPr>
          <w:rFonts w:ascii="Arial" w:hAnsi="Arial" w:cs="Arial"/>
          <w:sz w:val="32"/>
          <w:szCs w:val="32"/>
        </w:rPr>
      </w:pPr>
      <w:r w:rsidRPr="00020A00">
        <w:rPr>
          <w:rFonts w:ascii="Arial" w:hAnsi="Arial" w:cs="Arial"/>
          <w:b/>
          <w:bCs/>
          <w:sz w:val="32"/>
          <w:szCs w:val="32"/>
        </w:rPr>
        <w:t>Module code</w:t>
      </w:r>
      <w:r w:rsidRPr="00020A00">
        <w:rPr>
          <w:rFonts w:ascii="Arial" w:hAnsi="Arial" w:cs="Arial"/>
          <w:sz w:val="32"/>
          <w:szCs w:val="32"/>
        </w:rPr>
        <w:t>:</w:t>
      </w:r>
      <w:r w:rsidR="00D605C7" w:rsidRPr="00020A00">
        <w:rPr>
          <w:rFonts w:ascii="Arial" w:hAnsi="Arial" w:cs="Arial"/>
          <w:sz w:val="32"/>
          <w:szCs w:val="32"/>
        </w:rPr>
        <w:t xml:space="preserve"> </w:t>
      </w:r>
      <w:r w:rsidR="00D605C7" w:rsidRPr="00020A00">
        <w:rPr>
          <w:rFonts w:ascii="Arial" w:hAnsi="Arial" w:cs="Arial"/>
          <w:sz w:val="32"/>
          <w:szCs w:val="32"/>
        </w:rPr>
        <w:t>BMHP5016</w:t>
      </w:r>
    </w:p>
    <w:p w14:paraId="658BE57E" w14:textId="0BBEAE3F" w:rsidR="00EB12BC" w:rsidRPr="00020A00" w:rsidRDefault="00EB12BC" w:rsidP="00C03A91">
      <w:pPr>
        <w:tabs>
          <w:tab w:val="left" w:pos="6540"/>
        </w:tabs>
        <w:spacing w:line="360" w:lineRule="auto"/>
        <w:rPr>
          <w:rFonts w:ascii="Arial" w:hAnsi="Arial" w:cs="Arial"/>
          <w:sz w:val="32"/>
          <w:szCs w:val="32"/>
        </w:rPr>
      </w:pPr>
      <w:r w:rsidRPr="00020A00">
        <w:rPr>
          <w:rFonts w:ascii="Arial" w:hAnsi="Arial" w:cs="Arial"/>
          <w:b/>
          <w:bCs/>
          <w:sz w:val="32"/>
          <w:szCs w:val="32"/>
        </w:rPr>
        <w:t>Lecturer name</w:t>
      </w:r>
      <w:r w:rsidRPr="00020A00">
        <w:rPr>
          <w:rFonts w:ascii="Arial" w:hAnsi="Arial" w:cs="Arial"/>
          <w:sz w:val="32"/>
          <w:szCs w:val="32"/>
        </w:rPr>
        <w:t>:</w:t>
      </w:r>
      <w:r w:rsidR="00D605C7" w:rsidRPr="00020A00">
        <w:rPr>
          <w:rFonts w:ascii="Arial" w:hAnsi="Arial" w:cs="Arial"/>
          <w:sz w:val="32"/>
          <w:szCs w:val="32"/>
        </w:rPr>
        <w:t xml:space="preserve"> </w:t>
      </w:r>
      <w:r w:rsidR="00D605C7" w:rsidRPr="00020A00">
        <w:rPr>
          <w:rFonts w:ascii="Arial" w:hAnsi="Arial" w:cs="Arial"/>
          <w:sz w:val="32"/>
          <w:szCs w:val="32"/>
        </w:rPr>
        <w:t xml:space="preserve">Dr </w:t>
      </w:r>
      <w:proofErr w:type="spellStart"/>
      <w:r w:rsidR="00D605C7" w:rsidRPr="00020A00">
        <w:rPr>
          <w:rFonts w:ascii="Arial" w:hAnsi="Arial" w:cs="Arial"/>
          <w:sz w:val="32"/>
          <w:szCs w:val="32"/>
        </w:rPr>
        <w:t>Itse</w:t>
      </w:r>
      <w:proofErr w:type="spellEnd"/>
      <w:r w:rsidR="00D605C7" w:rsidRPr="00020A00">
        <w:rPr>
          <w:rFonts w:ascii="Arial" w:hAnsi="Arial" w:cs="Arial"/>
          <w:sz w:val="32"/>
          <w:szCs w:val="32"/>
        </w:rPr>
        <w:t xml:space="preserve"> Olaoye</w:t>
      </w:r>
    </w:p>
    <w:p w14:paraId="1C66E4BE" w14:textId="77777777" w:rsidR="00D605C7" w:rsidRDefault="00D605C7" w:rsidP="00C03A91">
      <w:pPr>
        <w:tabs>
          <w:tab w:val="left" w:pos="6540"/>
        </w:tabs>
        <w:spacing w:line="360" w:lineRule="auto"/>
        <w:rPr>
          <w:rFonts w:ascii="Arial" w:hAnsi="Arial" w:cs="Arial"/>
          <w:szCs w:val="24"/>
        </w:rPr>
      </w:pPr>
    </w:p>
    <w:p w14:paraId="78AAF2C6" w14:textId="77777777" w:rsidR="00D605C7" w:rsidRDefault="00D605C7" w:rsidP="00C03A91">
      <w:pPr>
        <w:tabs>
          <w:tab w:val="left" w:pos="6540"/>
        </w:tabs>
        <w:spacing w:line="360" w:lineRule="auto"/>
        <w:rPr>
          <w:rFonts w:ascii="Arial" w:hAnsi="Arial" w:cs="Arial"/>
          <w:szCs w:val="24"/>
        </w:rPr>
      </w:pPr>
    </w:p>
    <w:p w14:paraId="519D3545" w14:textId="77777777" w:rsidR="00D605C7" w:rsidRDefault="00D605C7" w:rsidP="00C03A91">
      <w:pPr>
        <w:tabs>
          <w:tab w:val="left" w:pos="6540"/>
        </w:tabs>
        <w:spacing w:line="360" w:lineRule="auto"/>
        <w:rPr>
          <w:rFonts w:ascii="Arial" w:hAnsi="Arial" w:cs="Arial"/>
          <w:szCs w:val="24"/>
        </w:rPr>
      </w:pPr>
    </w:p>
    <w:p w14:paraId="15AA27AB" w14:textId="77777777" w:rsidR="00D605C7" w:rsidRDefault="00D605C7" w:rsidP="00C03A91">
      <w:pPr>
        <w:tabs>
          <w:tab w:val="left" w:pos="6540"/>
        </w:tabs>
        <w:spacing w:line="360" w:lineRule="auto"/>
        <w:rPr>
          <w:rFonts w:ascii="Arial" w:hAnsi="Arial" w:cs="Arial"/>
          <w:szCs w:val="24"/>
        </w:rPr>
      </w:pPr>
    </w:p>
    <w:p w14:paraId="649FCFEA" w14:textId="77777777" w:rsidR="00D605C7" w:rsidRDefault="00D605C7" w:rsidP="00C03A91">
      <w:pPr>
        <w:tabs>
          <w:tab w:val="left" w:pos="6540"/>
        </w:tabs>
        <w:spacing w:line="360" w:lineRule="auto"/>
        <w:rPr>
          <w:rFonts w:ascii="Arial" w:hAnsi="Arial" w:cs="Arial"/>
          <w:szCs w:val="24"/>
        </w:rPr>
      </w:pPr>
    </w:p>
    <w:p w14:paraId="0821EE0C" w14:textId="77777777" w:rsidR="00D605C7" w:rsidRDefault="00D605C7" w:rsidP="00C03A91">
      <w:pPr>
        <w:tabs>
          <w:tab w:val="left" w:pos="6540"/>
        </w:tabs>
        <w:spacing w:line="360" w:lineRule="auto"/>
        <w:rPr>
          <w:rFonts w:ascii="Arial" w:hAnsi="Arial" w:cs="Arial"/>
          <w:szCs w:val="24"/>
        </w:rPr>
      </w:pPr>
    </w:p>
    <w:p w14:paraId="1A70A437" w14:textId="77777777" w:rsidR="00D605C7" w:rsidRDefault="00D605C7" w:rsidP="00C03A91">
      <w:pPr>
        <w:tabs>
          <w:tab w:val="left" w:pos="6540"/>
        </w:tabs>
        <w:spacing w:line="360" w:lineRule="auto"/>
        <w:rPr>
          <w:rFonts w:ascii="Arial" w:hAnsi="Arial" w:cs="Arial"/>
          <w:szCs w:val="24"/>
        </w:rPr>
      </w:pPr>
    </w:p>
    <w:p w14:paraId="56663B45" w14:textId="77777777" w:rsidR="00D605C7" w:rsidRDefault="00D605C7" w:rsidP="00C03A91">
      <w:pPr>
        <w:tabs>
          <w:tab w:val="left" w:pos="6540"/>
        </w:tabs>
        <w:spacing w:line="360" w:lineRule="auto"/>
        <w:rPr>
          <w:rFonts w:ascii="Arial" w:hAnsi="Arial" w:cs="Arial"/>
          <w:szCs w:val="24"/>
        </w:rPr>
      </w:pPr>
    </w:p>
    <w:p w14:paraId="3747A7B2" w14:textId="77777777" w:rsidR="00D605C7" w:rsidRDefault="00D605C7" w:rsidP="00C03A91">
      <w:pPr>
        <w:tabs>
          <w:tab w:val="left" w:pos="6540"/>
        </w:tabs>
        <w:spacing w:line="360" w:lineRule="auto"/>
        <w:rPr>
          <w:rFonts w:ascii="Arial" w:hAnsi="Arial" w:cs="Arial"/>
          <w:szCs w:val="24"/>
        </w:rPr>
      </w:pPr>
    </w:p>
    <w:p w14:paraId="3E45E404" w14:textId="77777777" w:rsidR="00D605C7" w:rsidRDefault="00D605C7" w:rsidP="00C03A91">
      <w:pPr>
        <w:tabs>
          <w:tab w:val="left" w:pos="6540"/>
        </w:tabs>
        <w:spacing w:line="360" w:lineRule="auto"/>
        <w:rPr>
          <w:rFonts w:ascii="Arial" w:hAnsi="Arial" w:cs="Arial"/>
          <w:szCs w:val="24"/>
        </w:rPr>
      </w:pPr>
    </w:p>
    <w:p w14:paraId="08D09375" w14:textId="77777777" w:rsidR="00D605C7" w:rsidRPr="00D605C7" w:rsidRDefault="00D605C7" w:rsidP="00C03A91">
      <w:pPr>
        <w:tabs>
          <w:tab w:val="left" w:pos="6540"/>
        </w:tabs>
        <w:spacing w:line="360" w:lineRule="auto"/>
        <w:rPr>
          <w:rFonts w:ascii="Arial" w:hAnsi="Arial" w:cs="Arial"/>
          <w:szCs w:val="24"/>
        </w:rPr>
      </w:pPr>
    </w:p>
    <w:p w14:paraId="6F8BA89A" w14:textId="77777777" w:rsidR="00D605C7" w:rsidRPr="002D0A35" w:rsidRDefault="00D605C7" w:rsidP="00D605C7">
      <w:pPr>
        <w:tabs>
          <w:tab w:val="left" w:pos="6540"/>
        </w:tabs>
        <w:spacing w:line="360" w:lineRule="auto"/>
        <w:rPr>
          <w:rFonts w:ascii="Arial" w:hAnsi="Arial" w:cs="Arial"/>
          <w:b/>
          <w:bCs/>
          <w:sz w:val="32"/>
          <w:szCs w:val="32"/>
        </w:rPr>
      </w:pPr>
    </w:p>
    <w:p w14:paraId="53E131BD" w14:textId="05B4436F" w:rsidR="00D605C7" w:rsidRDefault="00D605C7" w:rsidP="00D605C7">
      <w:pPr>
        <w:tabs>
          <w:tab w:val="left" w:pos="6540"/>
        </w:tabs>
        <w:spacing w:line="360" w:lineRule="auto"/>
        <w:rPr>
          <w:rFonts w:ascii="Arial" w:hAnsi="Arial" w:cs="Arial"/>
          <w:b/>
          <w:bCs/>
          <w:sz w:val="32"/>
          <w:szCs w:val="32"/>
        </w:rPr>
      </w:pPr>
      <w:r w:rsidRPr="002D0A35">
        <w:rPr>
          <w:rFonts w:ascii="Arial" w:hAnsi="Arial" w:cs="Arial"/>
          <w:b/>
          <w:bCs/>
          <w:sz w:val="32"/>
          <w:szCs w:val="32"/>
        </w:rPr>
        <w:t>Table of Content</w:t>
      </w:r>
    </w:p>
    <w:p w14:paraId="0AF69C68" w14:textId="77777777" w:rsidR="002D0A35" w:rsidRPr="002D0A35" w:rsidRDefault="002D0A35" w:rsidP="00D605C7">
      <w:pPr>
        <w:tabs>
          <w:tab w:val="left" w:pos="6540"/>
        </w:tabs>
        <w:spacing w:line="360" w:lineRule="auto"/>
        <w:rPr>
          <w:rFonts w:ascii="Arial" w:hAnsi="Arial" w:cs="Arial"/>
          <w:b/>
          <w:bCs/>
          <w:sz w:val="32"/>
          <w:szCs w:val="32"/>
        </w:rPr>
      </w:pPr>
    </w:p>
    <w:p w14:paraId="36000DAB" w14:textId="77777777" w:rsidR="002D0A35" w:rsidRDefault="00D605C7" w:rsidP="002D0A35">
      <w:pPr>
        <w:pStyle w:val="ListParagraph"/>
        <w:numPr>
          <w:ilvl w:val="0"/>
          <w:numId w:val="5"/>
        </w:numPr>
        <w:tabs>
          <w:tab w:val="left" w:pos="6540"/>
        </w:tabs>
        <w:spacing w:line="360" w:lineRule="auto"/>
        <w:rPr>
          <w:rFonts w:ascii="Arial" w:hAnsi="Arial" w:cs="Arial"/>
          <w:b/>
          <w:bCs/>
          <w:sz w:val="22"/>
        </w:rPr>
      </w:pPr>
      <w:r w:rsidRPr="002D0A35">
        <w:rPr>
          <w:rFonts w:ascii="Arial" w:hAnsi="Arial" w:cs="Arial"/>
          <w:b/>
          <w:bCs/>
          <w:sz w:val="22"/>
        </w:rPr>
        <w:t>Introduction</w:t>
      </w:r>
    </w:p>
    <w:p w14:paraId="013DFBC0" w14:textId="31DAE7EC" w:rsidR="00D605C7" w:rsidRPr="002D0A35" w:rsidRDefault="00D605C7" w:rsidP="002D0A35">
      <w:pPr>
        <w:pStyle w:val="ListParagraph"/>
        <w:tabs>
          <w:tab w:val="left" w:pos="6540"/>
        </w:tabs>
        <w:spacing w:line="360" w:lineRule="auto"/>
        <w:rPr>
          <w:rFonts w:ascii="Arial" w:hAnsi="Arial" w:cs="Arial"/>
          <w:b/>
          <w:bCs/>
          <w:sz w:val="22"/>
        </w:rPr>
      </w:pPr>
      <w:r w:rsidRPr="002D0A35">
        <w:rPr>
          <w:rFonts w:ascii="Arial" w:hAnsi="Arial" w:cs="Arial"/>
          <w:b/>
          <w:bCs/>
          <w:sz w:val="22"/>
        </w:rPr>
        <w:tab/>
      </w:r>
    </w:p>
    <w:p w14:paraId="5165D1CC" w14:textId="77777777" w:rsidR="002D0A35" w:rsidRDefault="00D605C7" w:rsidP="002D0A35">
      <w:pPr>
        <w:pStyle w:val="ListParagraph"/>
        <w:numPr>
          <w:ilvl w:val="0"/>
          <w:numId w:val="5"/>
        </w:numPr>
        <w:tabs>
          <w:tab w:val="left" w:pos="6540"/>
        </w:tabs>
        <w:spacing w:line="360" w:lineRule="auto"/>
        <w:rPr>
          <w:rFonts w:ascii="Arial" w:hAnsi="Arial" w:cs="Arial"/>
          <w:b/>
          <w:bCs/>
          <w:sz w:val="22"/>
        </w:rPr>
      </w:pPr>
      <w:r w:rsidRPr="002D0A35">
        <w:rPr>
          <w:rFonts w:ascii="Arial" w:hAnsi="Arial" w:cs="Arial"/>
          <w:b/>
          <w:bCs/>
          <w:sz w:val="22"/>
        </w:rPr>
        <w:t>Emergence, Development and Critique of the Ethics of Care</w:t>
      </w:r>
    </w:p>
    <w:p w14:paraId="41EFB14B" w14:textId="3B193728" w:rsidR="00D605C7" w:rsidRPr="002D0A35" w:rsidRDefault="00D605C7" w:rsidP="002D0A35">
      <w:pPr>
        <w:pStyle w:val="ListParagraph"/>
        <w:tabs>
          <w:tab w:val="left" w:pos="6540"/>
        </w:tabs>
        <w:spacing w:line="360" w:lineRule="auto"/>
        <w:rPr>
          <w:rFonts w:ascii="Arial" w:hAnsi="Arial" w:cs="Arial"/>
          <w:b/>
          <w:bCs/>
          <w:sz w:val="22"/>
        </w:rPr>
      </w:pPr>
      <w:r w:rsidRPr="002D0A35">
        <w:rPr>
          <w:rFonts w:ascii="Arial" w:hAnsi="Arial" w:cs="Arial"/>
          <w:b/>
          <w:bCs/>
          <w:sz w:val="22"/>
        </w:rPr>
        <w:tab/>
      </w:r>
    </w:p>
    <w:p w14:paraId="0C087B49" w14:textId="77777777" w:rsidR="002D0A35" w:rsidRDefault="00D605C7" w:rsidP="002D0A35">
      <w:pPr>
        <w:pStyle w:val="ListParagraph"/>
        <w:numPr>
          <w:ilvl w:val="0"/>
          <w:numId w:val="5"/>
        </w:numPr>
        <w:tabs>
          <w:tab w:val="left" w:pos="6540"/>
        </w:tabs>
        <w:spacing w:line="360" w:lineRule="auto"/>
        <w:rPr>
          <w:rFonts w:ascii="Arial" w:hAnsi="Arial" w:cs="Arial"/>
          <w:b/>
          <w:bCs/>
          <w:sz w:val="22"/>
        </w:rPr>
      </w:pPr>
      <w:r w:rsidRPr="002D0A35">
        <w:rPr>
          <w:rFonts w:ascii="Arial" w:hAnsi="Arial" w:cs="Arial"/>
          <w:b/>
          <w:bCs/>
          <w:sz w:val="22"/>
        </w:rPr>
        <w:t>Application of the Ethics of Care to Health and Social Care Policy and Practi</w:t>
      </w:r>
      <w:r w:rsidR="002D0A35">
        <w:rPr>
          <w:rFonts w:ascii="Arial" w:hAnsi="Arial" w:cs="Arial"/>
          <w:b/>
          <w:bCs/>
          <w:sz w:val="22"/>
        </w:rPr>
        <w:t>ce</w:t>
      </w:r>
    </w:p>
    <w:p w14:paraId="6EEEF5C2" w14:textId="77777777" w:rsidR="002D0A35" w:rsidRDefault="002D0A35" w:rsidP="002D0A35">
      <w:pPr>
        <w:pStyle w:val="ListParagraph"/>
        <w:tabs>
          <w:tab w:val="left" w:pos="6540"/>
        </w:tabs>
        <w:spacing w:line="360" w:lineRule="auto"/>
        <w:rPr>
          <w:rFonts w:ascii="Arial" w:hAnsi="Arial" w:cs="Arial"/>
          <w:b/>
          <w:bCs/>
          <w:sz w:val="22"/>
        </w:rPr>
      </w:pPr>
    </w:p>
    <w:p w14:paraId="04AF6D96" w14:textId="77777777" w:rsidR="002D0A35" w:rsidRDefault="00D605C7" w:rsidP="002D0A35">
      <w:pPr>
        <w:pStyle w:val="ListParagraph"/>
        <w:numPr>
          <w:ilvl w:val="0"/>
          <w:numId w:val="5"/>
        </w:numPr>
        <w:tabs>
          <w:tab w:val="left" w:pos="6540"/>
        </w:tabs>
        <w:spacing w:line="360" w:lineRule="auto"/>
        <w:rPr>
          <w:rFonts w:ascii="Arial" w:hAnsi="Arial" w:cs="Arial"/>
          <w:b/>
          <w:bCs/>
          <w:sz w:val="22"/>
        </w:rPr>
      </w:pPr>
      <w:r w:rsidRPr="002D0A35">
        <w:rPr>
          <w:rFonts w:ascii="Arial" w:hAnsi="Arial" w:cs="Arial"/>
          <w:b/>
          <w:bCs/>
          <w:sz w:val="22"/>
        </w:rPr>
        <w:t>Recommendations</w:t>
      </w:r>
    </w:p>
    <w:p w14:paraId="4EC08CA6" w14:textId="60570032" w:rsidR="00D605C7" w:rsidRPr="002D0A35" w:rsidRDefault="00D605C7" w:rsidP="002D0A35">
      <w:pPr>
        <w:pStyle w:val="ListParagraph"/>
        <w:tabs>
          <w:tab w:val="left" w:pos="6540"/>
        </w:tabs>
        <w:spacing w:line="360" w:lineRule="auto"/>
        <w:rPr>
          <w:rFonts w:ascii="Arial" w:hAnsi="Arial" w:cs="Arial"/>
          <w:b/>
          <w:bCs/>
          <w:sz w:val="22"/>
        </w:rPr>
      </w:pPr>
      <w:r w:rsidRPr="002D0A35">
        <w:rPr>
          <w:rFonts w:ascii="Arial" w:hAnsi="Arial" w:cs="Arial"/>
          <w:b/>
          <w:bCs/>
          <w:sz w:val="22"/>
        </w:rPr>
        <w:tab/>
      </w:r>
    </w:p>
    <w:p w14:paraId="346F832C" w14:textId="77777777" w:rsidR="002D0A35" w:rsidRDefault="00D605C7" w:rsidP="002D0A35">
      <w:pPr>
        <w:pStyle w:val="ListParagraph"/>
        <w:numPr>
          <w:ilvl w:val="0"/>
          <w:numId w:val="5"/>
        </w:numPr>
        <w:tabs>
          <w:tab w:val="left" w:pos="6540"/>
        </w:tabs>
        <w:spacing w:line="360" w:lineRule="auto"/>
        <w:rPr>
          <w:rFonts w:ascii="Arial" w:hAnsi="Arial" w:cs="Arial"/>
          <w:b/>
          <w:bCs/>
          <w:sz w:val="22"/>
        </w:rPr>
      </w:pPr>
      <w:r w:rsidRPr="002D0A35">
        <w:rPr>
          <w:rFonts w:ascii="Arial" w:hAnsi="Arial" w:cs="Arial"/>
          <w:b/>
          <w:bCs/>
          <w:sz w:val="22"/>
        </w:rPr>
        <w:t>Conclusion</w:t>
      </w:r>
    </w:p>
    <w:p w14:paraId="4BE0897B" w14:textId="590BCACA" w:rsidR="00D605C7" w:rsidRPr="002D0A35" w:rsidRDefault="00D605C7" w:rsidP="002D0A35">
      <w:pPr>
        <w:pStyle w:val="ListParagraph"/>
        <w:tabs>
          <w:tab w:val="left" w:pos="6540"/>
        </w:tabs>
        <w:spacing w:line="360" w:lineRule="auto"/>
        <w:rPr>
          <w:rFonts w:ascii="Arial" w:hAnsi="Arial" w:cs="Arial"/>
          <w:b/>
          <w:bCs/>
          <w:sz w:val="22"/>
        </w:rPr>
      </w:pPr>
      <w:r w:rsidRPr="002D0A35">
        <w:rPr>
          <w:rFonts w:ascii="Arial" w:hAnsi="Arial" w:cs="Arial"/>
          <w:b/>
          <w:bCs/>
          <w:sz w:val="22"/>
        </w:rPr>
        <w:tab/>
      </w:r>
    </w:p>
    <w:p w14:paraId="000710F9" w14:textId="035D1A09" w:rsidR="00D605C7" w:rsidRPr="002D0A35" w:rsidRDefault="00D605C7" w:rsidP="002D0A35">
      <w:pPr>
        <w:pStyle w:val="ListParagraph"/>
        <w:numPr>
          <w:ilvl w:val="0"/>
          <w:numId w:val="5"/>
        </w:numPr>
        <w:tabs>
          <w:tab w:val="left" w:pos="6540"/>
        </w:tabs>
        <w:spacing w:line="360" w:lineRule="auto"/>
        <w:rPr>
          <w:rFonts w:ascii="Arial" w:hAnsi="Arial" w:cs="Arial"/>
          <w:b/>
          <w:bCs/>
          <w:sz w:val="22"/>
        </w:rPr>
      </w:pPr>
      <w:r w:rsidRPr="002D0A35">
        <w:rPr>
          <w:rFonts w:ascii="Arial" w:hAnsi="Arial" w:cs="Arial"/>
          <w:b/>
          <w:bCs/>
          <w:sz w:val="22"/>
        </w:rPr>
        <w:t>References</w:t>
      </w:r>
      <w:r w:rsidRPr="002D0A35">
        <w:rPr>
          <w:rFonts w:ascii="Arial" w:hAnsi="Arial" w:cs="Arial"/>
          <w:b/>
          <w:bCs/>
          <w:sz w:val="22"/>
        </w:rPr>
        <w:tab/>
      </w:r>
    </w:p>
    <w:p w14:paraId="2A22D967" w14:textId="77777777" w:rsidR="00D605C7" w:rsidRPr="002D0A35" w:rsidRDefault="00D605C7" w:rsidP="00D605C7">
      <w:pPr>
        <w:tabs>
          <w:tab w:val="left" w:pos="6540"/>
        </w:tabs>
        <w:spacing w:line="360" w:lineRule="auto"/>
        <w:rPr>
          <w:rFonts w:ascii="Arial" w:hAnsi="Arial" w:cs="Arial"/>
          <w:b/>
          <w:bCs/>
          <w:sz w:val="22"/>
        </w:rPr>
      </w:pPr>
    </w:p>
    <w:p w14:paraId="15FB200F" w14:textId="77777777" w:rsidR="00D605C7" w:rsidRPr="002D0A35" w:rsidRDefault="00D605C7" w:rsidP="00D605C7">
      <w:pPr>
        <w:tabs>
          <w:tab w:val="left" w:pos="6540"/>
        </w:tabs>
        <w:spacing w:line="360" w:lineRule="auto"/>
        <w:rPr>
          <w:rFonts w:ascii="Arial" w:hAnsi="Arial" w:cs="Arial"/>
          <w:b/>
          <w:bCs/>
          <w:sz w:val="22"/>
        </w:rPr>
      </w:pPr>
    </w:p>
    <w:p w14:paraId="5E09A62E" w14:textId="77777777" w:rsidR="00D605C7" w:rsidRDefault="00D605C7" w:rsidP="00D605C7">
      <w:pPr>
        <w:tabs>
          <w:tab w:val="left" w:pos="6540"/>
        </w:tabs>
        <w:spacing w:line="360" w:lineRule="auto"/>
        <w:rPr>
          <w:rFonts w:ascii="Arial" w:hAnsi="Arial" w:cs="Arial"/>
          <w:b/>
          <w:bCs/>
          <w:szCs w:val="24"/>
        </w:rPr>
      </w:pPr>
      <w:r w:rsidRPr="00D605C7">
        <w:rPr>
          <w:rFonts w:ascii="Arial" w:hAnsi="Arial" w:cs="Arial"/>
          <w:b/>
          <w:bCs/>
          <w:szCs w:val="24"/>
        </w:rPr>
        <w:t> </w:t>
      </w:r>
    </w:p>
    <w:p w14:paraId="747E9A09" w14:textId="77777777" w:rsidR="002D0A35" w:rsidRDefault="002D0A35" w:rsidP="00D605C7">
      <w:pPr>
        <w:tabs>
          <w:tab w:val="left" w:pos="6540"/>
        </w:tabs>
        <w:spacing w:line="360" w:lineRule="auto"/>
        <w:rPr>
          <w:rFonts w:ascii="Arial" w:hAnsi="Arial" w:cs="Arial"/>
          <w:b/>
          <w:bCs/>
          <w:szCs w:val="24"/>
        </w:rPr>
      </w:pPr>
    </w:p>
    <w:p w14:paraId="65F4AF15" w14:textId="77777777" w:rsidR="002D0A35" w:rsidRDefault="002D0A35" w:rsidP="00D605C7">
      <w:pPr>
        <w:tabs>
          <w:tab w:val="left" w:pos="6540"/>
        </w:tabs>
        <w:spacing w:line="360" w:lineRule="auto"/>
        <w:rPr>
          <w:rFonts w:ascii="Arial" w:hAnsi="Arial" w:cs="Arial"/>
          <w:b/>
          <w:bCs/>
          <w:szCs w:val="24"/>
        </w:rPr>
      </w:pPr>
    </w:p>
    <w:p w14:paraId="14076C89" w14:textId="77777777" w:rsidR="002D0A35" w:rsidRDefault="002D0A35" w:rsidP="00D605C7">
      <w:pPr>
        <w:tabs>
          <w:tab w:val="left" w:pos="6540"/>
        </w:tabs>
        <w:spacing w:line="360" w:lineRule="auto"/>
        <w:rPr>
          <w:rFonts w:ascii="Arial" w:hAnsi="Arial" w:cs="Arial"/>
          <w:b/>
          <w:bCs/>
          <w:szCs w:val="24"/>
        </w:rPr>
      </w:pPr>
    </w:p>
    <w:p w14:paraId="2DE7B8A5" w14:textId="77777777" w:rsidR="002D0A35" w:rsidRDefault="002D0A35" w:rsidP="00D605C7">
      <w:pPr>
        <w:tabs>
          <w:tab w:val="left" w:pos="6540"/>
        </w:tabs>
        <w:spacing w:line="360" w:lineRule="auto"/>
        <w:rPr>
          <w:rFonts w:ascii="Arial" w:hAnsi="Arial" w:cs="Arial"/>
          <w:b/>
          <w:bCs/>
          <w:szCs w:val="24"/>
        </w:rPr>
      </w:pPr>
    </w:p>
    <w:p w14:paraId="70E0AF88" w14:textId="77777777" w:rsidR="002D0A35" w:rsidRDefault="002D0A35" w:rsidP="00D605C7">
      <w:pPr>
        <w:tabs>
          <w:tab w:val="left" w:pos="6540"/>
        </w:tabs>
        <w:spacing w:line="360" w:lineRule="auto"/>
        <w:rPr>
          <w:rFonts w:ascii="Arial" w:hAnsi="Arial" w:cs="Arial"/>
          <w:b/>
          <w:bCs/>
          <w:szCs w:val="24"/>
        </w:rPr>
      </w:pPr>
    </w:p>
    <w:p w14:paraId="7E1B8CD8" w14:textId="77777777" w:rsidR="002D0A35" w:rsidRDefault="002D0A35" w:rsidP="00D605C7">
      <w:pPr>
        <w:tabs>
          <w:tab w:val="left" w:pos="6540"/>
        </w:tabs>
        <w:spacing w:line="360" w:lineRule="auto"/>
        <w:rPr>
          <w:rFonts w:ascii="Arial" w:hAnsi="Arial" w:cs="Arial"/>
          <w:b/>
          <w:bCs/>
          <w:szCs w:val="24"/>
        </w:rPr>
      </w:pPr>
    </w:p>
    <w:p w14:paraId="05DA5B7E" w14:textId="77777777" w:rsidR="002D0A35" w:rsidRDefault="002D0A35" w:rsidP="00D605C7">
      <w:pPr>
        <w:tabs>
          <w:tab w:val="left" w:pos="6540"/>
        </w:tabs>
        <w:spacing w:line="360" w:lineRule="auto"/>
        <w:rPr>
          <w:rFonts w:ascii="Arial" w:hAnsi="Arial" w:cs="Arial"/>
          <w:b/>
          <w:bCs/>
          <w:szCs w:val="24"/>
        </w:rPr>
      </w:pPr>
    </w:p>
    <w:p w14:paraId="57DDF8F5" w14:textId="77777777" w:rsidR="002D0A35" w:rsidRDefault="002D0A35" w:rsidP="00D605C7">
      <w:pPr>
        <w:tabs>
          <w:tab w:val="left" w:pos="6540"/>
        </w:tabs>
        <w:spacing w:line="360" w:lineRule="auto"/>
        <w:rPr>
          <w:rFonts w:ascii="Arial" w:hAnsi="Arial" w:cs="Arial"/>
          <w:b/>
          <w:bCs/>
          <w:szCs w:val="24"/>
        </w:rPr>
      </w:pPr>
    </w:p>
    <w:p w14:paraId="400EC416" w14:textId="77777777" w:rsidR="002D0A35" w:rsidRDefault="002D0A35" w:rsidP="00D605C7">
      <w:pPr>
        <w:tabs>
          <w:tab w:val="left" w:pos="6540"/>
        </w:tabs>
        <w:spacing w:line="360" w:lineRule="auto"/>
        <w:rPr>
          <w:rFonts w:ascii="Arial" w:hAnsi="Arial" w:cs="Arial"/>
          <w:b/>
          <w:bCs/>
          <w:szCs w:val="24"/>
        </w:rPr>
      </w:pPr>
    </w:p>
    <w:p w14:paraId="33391E89" w14:textId="77777777" w:rsidR="00D605C7" w:rsidRPr="00D605C7" w:rsidRDefault="00D605C7" w:rsidP="00D605C7">
      <w:pPr>
        <w:tabs>
          <w:tab w:val="left" w:pos="6540"/>
        </w:tabs>
        <w:spacing w:line="360" w:lineRule="auto"/>
        <w:rPr>
          <w:rFonts w:ascii="Arial" w:hAnsi="Arial" w:cs="Arial"/>
          <w:b/>
          <w:bCs/>
          <w:szCs w:val="24"/>
        </w:rPr>
      </w:pPr>
    </w:p>
    <w:p w14:paraId="31552FDC" w14:textId="77777777" w:rsidR="00D605C7" w:rsidRPr="002D0A35" w:rsidRDefault="00D605C7" w:rsidP="00D605C7">
      <w:pPr>
        <w:tabs>
          <w:tab w:val="left" w:pos="6540"/>
        </w:tabs>
        <w:spacing w:line="360" w:lineRule="auto"/>
        <w:rPr>
          <w:rFonts w:ascii="Arial" w:hAnsi="Arial" w:cs="Arial"/>
          <w:b/>
          <w:bCs/>
          <w:szCs w:val="24"/>
        </w:rPr>
      </w:pPr>
      <w:r w:rsidRPr="002D0A35">
        <w:rPr>
          <w:rFonts w:ascii="Arial" w:hAnsi="Arial" w:cs="Arial"/>
          <w:b/>
          <w:bCs/>
          <w:szCs w:val="24"/>
        </w:rPr>
        <w:lastRenderedPageBreak/>
        <w:t>Introduction</w:t>
      </w:r>
    </w:p>
    <w:p w14:paraId="2C19C657"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The principle of person-centred care forms a vital element of modern healthcare practice, taking into consideration the value of an individual’s preference, respect, rights and individuality. In relation to care facilities for elderly residents, it aims at placing the resident at the centre of decision-making process related to his or her well-being and health instead of viewing him/her as a passive participant of care provision. Nonetheless, implementing person-centred care remains challenging where there are workforce shortages, limited resources, and increasingly complex needs in the sector (Skills for Care, 2025).  </w:t>
      </w:r>
      <w:proofErr w:type="gramStart"/>
      <w:r w:rsidRPr="002D0A35">
        <w:rPr>
          <w:rFonts w:ascii="Arial" w:hAnsi="Arial" w:cs="Arial"/>
          <w:szCs w:val="24"/>
        </w:rPr>
        <w:t>In order to</w:t>
      </w:r>
      <w:proofErr w:type="gramEnd"/>
      <w:r w:rsidRPr="002D0A35">
        <w:rPr>
          <w:rFonts w:ascii="Arial" w:hAnsi="Arial" w:cs="Arial"/>
          <w:szCs w:val="24"/>
        </w:rPr>
        <w:t xml:space="preserve"> combat these systemic forces, the Ethics of Care contends that caring is an interdependent obligation that is inherently a moral response as opposed to mere contractual and procedural compliance.</w:t>
      </w:r>
    </w:p>
    <w:p w14:paraId="73DAD304"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One such approach is the Ethics of Care, which provides a theoretical model in terms of relationships, empathy and attentiveness rather than general principles and individual autonomy (Lloyd, 2019). Though other models like the social model of disability and the chains of care have some merit as theories in themselves, the Ethics of Care is chosen for analysis here because of its distinct consideration of the relationality of residential care services (Held, 2018). Specifically, while the social model of disability focuses on structural barriers and the chains of care model prioritises service logistics, both frameworks often fail to account for the immediate, empathetic interpersonal bond that constitutes the core of person-centred residential care. Whereas deontological theories emphasise the importance of following certain protocols, Ethics of Care gives primacy to the resident-carer relationship as central to person-centredness.</w:t>
      </w:r>
    </w:p>
    <w:p w14:paraId="2CDE315F" w14:textId="77777777" w:rsidR="00D605C7" w:rsidRDefault="00D605C7" w:rsidP="00D605C7">
      <w:pPr>
        <w:tabs>
          <w:tab w:val="left" w:pos="6540"/>
        </w:tabs>
        <w:spacing w:line="360" w:lineRule="auto"/>
        <w:rPr>
          <w:rFonts w:ascii="Arial" w:hAnsi="Arial" w:cs="Arial"/>
          <w:szCs w:val="24"/>
        </w:rPr>
      </w:pPr>
      <w:r w:rsidRPr="002D0A35">
        <w:rPr>
          <w:rFonts w:ascii="Arial" w:hAnsi="Arial" w:cs="Arial"/>
          <w:szCs w:val="24"/>
        </w:rPr>
        <w:t>This essay critically examines the emergence and critique of the Ethics of Care, evaluates its application to health and social care legislation, policy and residential practice, and proposes evidence-based recommendations for strengthening person-centred, partnership-based care in residential settings for older people.</w:t>
      </w:r>
    </w:p>
    <w:p w14:paraId="1CC305F4" w14:textId="77777777" w:rsidR="00020A00" w:rsidRDefault="00020A00" w:rsidP="00D605C7">
      <w:pPr>
        <w:tabs>
          <w:tab w:val="left" w:pos="6540"/>
        </w:tabs>
        <w:spacing w:line="360" w:lineRule="auto"/>
        <w:rPr>
          <w:rFonts w:ascii="Arial" w:hAnsi="Arial" w:cs="Arial"/>
          <w:szCs w:val="24"/>
        </w:rPr>
      </w:pPr>
    </w:p>
    <w:p w14:paraId="66CF060D" w14:textId="77777777" w:rsidR="00020A00" w:rsidRPr="002D0A35" w:rsidRDefault="00020A00" w:rsidP="00D605C7">
      <w:pPr>
        <w:tabs>
          <w:tab w:val="left" w:pos="6540"/>
        </w:tabs>
        <w:spacing w:line="360" w:lineRule="auto"/>
        <w:rPr>
          <w:rFonts w:ascii="Arial" w:hAnsi="Arial" w:cs="Arial"/>
          <w:szCs w:val="24"/>
        </w:rPr>
      </w:pPr>
    </w:p>
    <w:p w14:paraId="4F410803" w14:textId="2F2808B9" w:rsidR="00020A00" w:rsidRPr="002D0A35" w:rsidRDefault="00D605C7" w:rsidP="00D605C7">
      <w:pPr>
        <w:tabs>
          <w:tab w:val="left" w:pos="6540"/>
        </w:tabs>
        <w:spacing w:line="360" w:lineRule="auto"/>
        <w:rPr>
          <w:rFonts w:ascii="Arial" w:hAnsi="Arial" w:cs="Arial"/>
          <w:b/>
          <w:bCs/>
          <w:szCs w:val="24"/>
        </w:rPr>
      </w:pPr>
      <w:r w:rsidRPr="002D0A35">
        <w:rPr>
          <w:rFonts w:ascii="Arial" w:hAnsi="Arial" w:cs="Arial"/>
          <w:b/>
          <w:bCs/>
          <w:szCs w:val="24"/>
        </w:rPr>
        <w:t>Emergence, Development and Critique of the Ethics of Care</w:t>
      </w:r>
    </w:p>
    <w:p w14:paraId="4B4FD6F5"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lastRenderedPageBreak/>
        <w:t>The Ethics of Care was developed at the end of the twentieth century as a response to ethical philosophies founded on impartial principles and rights of individuals. The deontological and utilitarian approaches have been criticised as having overlooked the relational and emotional aspects of care that play a key role in caring about vulnerable people like elderly citizens. One of Carol Gilligan’s most notable works, "In a Different Voice" (1993), was the first fundamental criticism of Kohlberg’s theory of the stages of moral development. She suggested that the model developed by Kohlberg overrepresented the abstract approach to morality based on notions of justice. In this way, Gilligan argued that Kohlberg’s theory systematically excluded the relational and compassionate moral perspectives that she had observed to be especially common amongst women.</w:t>
      </w:r>
    </w:p>
    <w:p w14:paraId="50F63F68"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While Gilligan’s observations were primarily empirical rather than normative, they created the theoretical space for Nel </w:t>
      </w:r>
      <w:proofErr w:type="spellStart"/>
      <w:r w:rsidRPr="002D0A35">
        <w:rPr>
          <w:rFonts w:ascii="Arial" w:hAnsi="Arial" w:cs="Arial"/>
          <w:szCs w:val="24"/>
        </w:rPr>
        <w:t>Noddings</w:t>
      </w:r>
      <w:proofErr w:type="spellEnd"/>
      <w:r w:rsidRPr="002D0A35">
        <w:rPr>
          <w:rFonts w:ascii="Arial" w:hAnsi="Arial" w:cs="Arial"/>
          <w:szCs w:val="24"/>
        </w:rPr>
        <w:t xml:space="preserve"> (1984) to conceptualise care as a reciprocal ethical relation between the 'one-caring' and the 'cared-for'. </w:t>
      </w:r>
      <w:proofErr w:type="spellStart"/>
      <w:r w:rsidRPr="002D0A35">
        <w:rPr>
          <w:rFonts w:ascii="Arial" w:hAnsi="Arial" w:cs="Arial"/>
          <w:szCs w:val="24"/>
        </w:rPr>
        <w:t>Noddings</w:t>
      </w:r>
      <w:proofErr w:type="spellEnd"/>
      <w:r w:rsidRPr="002D0A35">
        <w:rPr>
          <w:rFonts w:ascii="Arial" w:hAnsi="Arial" w:cs="Arial"/>
          <w:szCs w:val="24"/>
        </w:rPr>
        <w:t xml:space="preserve"> argued that genuine care is contingent upon active attentiveness and responsiveness, rather than the mechanical completion of physical tasks. This formulation is particularly significant, as it prefigures the modern emphasis within health and social care on prioritising a resident’s subjective lived experience over standardised, output-driven service delivery (Kelly and Porr, 2018).</w:t>
      </w:r>
    </w:p>
    <w:p w14:paraId="11EB60C9"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Joan Tronto (1993; 2013) extended the theory from the interpersonal into the political, identifying caring about, caring for, </w:t>
      </w:r>
      <w:proofErr w:type="gramStart"/>
      <w:r w:rsidRPr="002D0A35">
        <w:rPr>
          <w:rFonts w:ascii="Arial" w:hAnsi="Arial" w:cs="Arial"/>
          <w:szCs w:val="24"/>
        </w:rPr>
        <w:t>care-giving</w:t>
      </w:r>
      <w:proofErr w:type="gramEnd"/>
      <w:r w:rsidRPr="002D0A35">
        <w:rPr>
          <w:rFonts w:ascii="Arial" w:hAnsi="Arial" w:cs="Arial"/>
          <w:szCs w:val="24"/>
        </w:rPr>
        <w:t>, care-receiving and caring with as interlocking phases, and arguing that care depends on supportive institutional structures rather than individual goodwill alone. This represents arguably the theory’s most significant contribution to residential practice, as it relocates the responsibility for person-centred care from the individual staff member’s subjective compassion to the institutional policies and organisational structures that dictate their working conditions. This transition is crucial, as it fundamentally alters how workforce pressure in residential care is understood, moving the focus from individual burnout to structural constraints. As Bartos (2019) suggests, recognising this shift is essential for addressing the systemic barriers that prevent the implementation of truly responsive care.</w:t>
      </w:r>
    </w:p>
    <w:p w14:paraId="0DECB6FF"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lastRenderedPageBreak/>
        <w:t xml:space="preserve">The theory’s adoption beyond the confines of feminist philosophy warrants rigorous scrutiny rather than mere acknowledgement. Nursing and social work disciplines integrated the Ethics of Care rapidly, as it provided a necessary vocabulary for practices; namely attentiveness, relational continuity, and emotional labour; that these professions inherently valued but which earlier bioethical frameworks, </w:t>
      </w:r>
      <w:proofErr w:type="spellStart"/>
      <w:r w:rsidRPr="002D0A35">
        <w:rPr>
          <w:rFonts w:ascii="Arial" w:hAnsi="Arial" w:cs="Arial"/>
          <w:szCs w:val="24"/>
        </w:rPr>
        <w:t>centered</w:t>
      </w:r>
      <w:proofErr w:type="spellEnd"/>
      <w:r w:rsidRPr="002D0A35">
        <w:rPr>
          <w:rFonts w:ascii="Arial" w:hAnsi="Arial" w:cs="Arial"/>
          <w:szCs w:val="24"/>
        </w:rPr>
        <w:t xml:space="preserve"> primarily on informed consent and autonomy, struggled to articulate (Weng, 2022; McAuliffe, 2023). This suggests that the theory's influence is derived as much from filling a pre-existing void in professional lexicon as it is from the strength of its philosophical challenge to Kohlberg. This nuance is frequently overlooked when the Ethics of Care is presented, as it often is, merely as a successful intellectual critique (Dassler, 2016; </w:t>
      </w:r>
      <w:proofErr w:type="spellStart"/>
      <w:r w:rsidRPr="002D0A35">
        <w:rPr>
          <w:rFonts w:ascii="Arial" w:hAnsi="Arial" w:cs="Arial"/>
          <w:szCs w:val="24"/>
        </w:rPr>
        <w:t>Leget</w:t>
      </w:r>
      <w:proofErr w:type="spellEnd"/>
      <w:r w:rsidRPr="002D0A35">
        <w:rPr>
          <w:rFonts w:ascii="Arial" w:hAnsi="Arial" w:cs="Arial"/>
          <w:szCs w:val="24"/>
        </w:rPr>
        <w:t xml:space="preserve"> et al., 2019).</w:t>
      </w:r>
    </w:p>
    <w:p w14:paraId="4D34FC0C" w14:textId="77777777" w:rsidR="00D605C7"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The theory's critics raise three substantive objections rather than one. To begin with, the first is essentialism: Gilligan’s initial theories were interpreted by some as equating care with womanhood, a view that is countered by modern theorists by defining care as an ethical capability of everyone instead of a gender role (Larrabee, 2016). The second problem is one of care versus justice, where the emphasis on relationship in the Ethics of Care can lead to inconsistency, while public services must act justly and treat people equally. Vanlaere and </w:t>
      </w:r>
      <w:proofErr w:type="spellStart"/>
      <w:r w:rsidRPr="002D0A35">
        <w:rPr>
          <w:rFonts w:ascii="Arial" w:hAnsi="Arial" w:cs="Arial"/>
          <w:szCs w:val="24"/>
        </w:rPr>
        <w:t>Gastmans</w:t>
      </w:r>
      <w:proofErr w:type="spellEnd"/>
      <w:r w:rsidRPr="002D0A35">
        <w:rPr>
          <w:rFonts w:ascii="Arial" w:hAnsi="Arial" w:cs="Arial"/>
          <w:szCs w:val="24"/>
        </w:rPr>
        <w:t xml:space="preserve"> (2011) attempt to resolve this through a personalist account that grounds care in a normative concept of the person rather than in relationship alone, though whether this fully satisfies justice-based objections remains contested. Third is the risk of paternalism: professionals who “care for” an older resident may substitute their own judgement for the resident's, particularly where capacity is diminished (Housholder, 2021). This is a risk the Mental Capacity Act 2005 attempts to constrain by presuming capacity and requiring the least restrictive option. The theory therefore requires integration with rights-based legal safeguards, not substitution for them, if it is to avoid legitimising the very paternalism it seeks to displace.</w:t>
      </w:r>
    </w:p>
    <w:p w14:paraId="0BA0C546" w14:textId="77777777" w:rsidR="00020A00" w:rsidRDefault="00020A00" w:rsidP="00D605C7">
      <w:pPr>
        <w:tabs>
          <w:tab w:val="left" w:pos="6540"/>
        </w:tabs>
        <w:spacing w:line="360" w:lineRule="auto"/>
        <w:rPr>
          <w:rFonts w:ascii="Arial" w:hAnsi="Arial" w:cs="Arial"/>
          <w:szCs w:val="24"/>
        </w:rPr>
      </w:pPr>
    </w:p>
    <w:p w14:paraId="3486CF00" w14:textId="77777777" w:rsidR="00020A00" w:rsidRDefault="00020A00" w:rsidP="00D605C7">
      <w:pPr>
        <w:tabs>
          <w:tab w:val="left" w:pos="6540"/>
        </w:tabs>
        <w:spacing w:line="360" w:lineRule="auto"/>
        <w:rPr>
          <w:rFonts w:ascii="Arial" w:hAnsi="Arial" w:cs="Arial"/>
          <w:szCs w:val="24"/>
        </w:rPr>
      </w:pPr>
    </w:p>
    <w:p w14:paraId="0D715D81" w14:textId="77777777" w:rsidR="00020A00" w:rsidRDefault="00020A00" w:rsidP="00D605C7">
      <w:pPr>
        <w:tabs>
          <w:tab w:val="left" w:pos="6540"/>
        </w:tabs>
        <w:spacing w:line="360" w:lineRule="auto"/>
        <w:rPr>
          <w:rFonts w:ascii="Arial" w:hAnsi="Arial" w:cs="Arial"/>
          <w:szCs w:val="24"/>
        </w:rPr>
      </w:pPr>
    </w:p>
    <w:p w14:paraId="5BD51F07" w14:textId="77777777" w:rsidR="00020A00" w:rsidRDefault="00020A00" w:rsidP="00D605C7">
      <w:pPr>
        <w:tabs>
          <w:tab w:val="left" w:pos="6540"/>
        </w:tabs>
        <w:spacing w:line="360" w:lineRule="auto"/>
        <w:rPr>
          <w:rFonts w:ascii="Arial" w:hAnsi="Arial" w:cs="Arial"/>
          <w:szCs w:val="24"/>
        </w:rPr>
      </w:pPr>
    </w:p>
    <w:p w14:paraId="04B64708" w14:textId="3701D1A9" w:rsidR="00D605C7" w:rsidRPr="002D0A35" w:rsidRDefault="00D605C7" w:rsidP="00D605C7">
      <w:pPr>
        <w:tabs>
          <w:tab w:val="left" w:pos="6540"/>
        </w:tabs>
        <w:spacing w:line="360" w:lineRule="auto"/>
        <w:rPr>
          <w:rFonts w:ascii="Arial" w:hAnsi="Arial" w:cs="Arial"/>
          <w:b/>
          <w:bCs/>
          <w:szCs w:val="24"/>
        </w:rPr>
      </w:pPr>
      <w:r w:rsidRPr="002D0A35">
        <w:rPr>
          <w:rFonts w:ascii="Arial" w:hAnsi="Arial" w:cs="Arial"/>
          <w:b/>
          <w:bCs/>
          <w:szCs w:val="24"/>
        </w:rPr>
        <w:lastRenderedPageBreak/>
        <w:t>Application of the Ethics of Care to Health and Social Care Policy and Practice</w:t>
      </w:r>
    </w:p>
    <w:p w14:paraId="5FCFBC3F"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The policy discourse in the UK has adopted the language of the Ethics of Care far more easily than the content. Wellbeing lies at the heart of adult social care according to the Care Act 2014 which obligates local authorities to advance dignity, safety from harm, participation and control over everyday decisions (Thacker et al., 2019). </w:t>
      </w:r>
      <w:proofErr w:type="gramStart"/>
      <w:r w:rsidRPr="002D0A35">
        <w:rPr>
          <w:rFonts w:ascii="Arial" w:hAnsi="Arial" w:cs="Arial"/>
          <w:szCs w:val="24"/>
        </w:rPr>
        <w:t>All of</w:t>
      </w:r>
      <w:proofErr w:type="gramEnd"/>
      <w:r w:rsidRPr="002D0A35">
        <w:rPr>
          <w:rFonts w:ascii="Arial" w:hAnsi="Arial" w:cs="Arial"/>
          <w:szCs w:val="24"/>
        </w:rPr>
        <w:t xml:space="preserve"> these requirements echo </w:t>
      </w:r>
      <w:proofErr w:type="spellStart"/>
      <w:r w:rsidRPr="002D0A35">
        <w:rPr>
          <w:rFonts w:ascii="Arial" w:hAnsi="Arial" w:cs="Arial"/>
          <w:szCs w:val="24"/>
        </w:rPr>
        <w:t>Tronto’s</w:t>
      </w:r>
      <w:proofErr w:type="spellEnd"/>
      <w:r w:rsidRPr="002D0A35">
        <w:rPr>
          <w:rFonts w:ascii="Arial" w:hAnsi="Arial" w:cs="Arial"/>
          <w:szCs w:val="24"/>
        </w:rPr>
        <w:t xml:space="preserve"> idea of caring about and caring for. Nevertheless, a duty in law is not a relationship in practice, and in the case of shortages in workforce and growing demands, care becomes an activity focused on completing tasks rather than establishing relationships (Syed et al., 2016). The shortage rate in adult social care has just begun returning to pre-pandemic levels after reaching above ten percent in 2021/22, and the industry still largely relies on recruitment from abroad to keep its workforce (Skills for Care, 2025). This instability is the precise organisational condition that </w:t>
      </w:r>
      <w:proofErr w:type="spellStart"/>
      <w:r w:rsidRPr="002D0A35">
        <w:rPr>
          <w:rFonts w:ascii="Arial" w:hAnsi="Arial" w:cs="Arial"/>
          <w:szCs w:val="24"/>
        </w:rPr>
        <w:t>Tronto</w:t>
      </w:r>
      <w:proofErr w:type="spellEnd"/>
      <w:r w:rsidRPr="002D0A35">
        <w:rPr>
          <w:rFonts w:ascii="Arial" w:hAnsi="Arial" w:cs="Arial"/>
          <w:szCs w:val="24"/>
        </w:rPr>
        <w:t xml:space="preserve"> sees as preceding the ability of any individual practitioner to care well.</w:t>
      </w:r>
    </w:p>
    <w:p w14:paraId="3F759B86"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Principles </w:t>
      </w:r>
      <w:proofErr w:type="gramStart"/>
      <w:r w:rsidRPr="002D0A35">
        <w:rPr>
          <w:rFonts w:ascii="Arial" w:hAnsi="Arial" w:cs="Arial"/>
          <w:szCs w:val="24"/>
        </w:rPr>
        <w:t>similar to</w:t>
      </w:r>
      <w:proofErr w:type="gramEnd"/>
      <w:r w:rsidRPr="002D0A35">
        <w:rPr>
          <w:rFonts w:ascii="Arial" w:hAnsi="Arial" w:cs="Arial"/>
          <w:szCs w:val="24"/>
        </w:rPr>
        <w:t xml:space="preserve"> those are articulated by the Care Quality Commission in Fundamental Standards in Regulation 9 which states that the care should be developed </w:t>
      </w:r>
      <w:proofErr w:type="gramStart"/>
      <w:r w:rsidRPr="002D0A35">
        <w:rPr>
          <w:rFonts w:ascii="Arial" w:hAnsi="Arial" w:cs="Arial"/>
          <w:szCs w:val="24"/>
        </w:rPr>
        <w:t>on the basis of</w:t>
      </w:r>
      <w:proofErr w:type="gramEnd"/>
      <w:r w:rsidRPr="002D0A35">
        <w:rPr>
          <w:rFonts w:ascii="Arial" w:hAnsi="Arial" w:cs="Arial"/>
          <w:szCs w:val="24"/>
        </w:rPr>
        <w:t xml:space="preserve"> collaborative assessment of needs and preferences (Care Quality Commission, 2015). This can be seen as an embodiment of </w:t>
      </w:r>
      <w:proofErr w:type="spellStart"/>
      <w:r w:rsidRPr="002D0A35">
        <w:rPr>
          <w:rFonts w:ascii="Arial" w:hAnsi="Arial" w:cs="Arial"/>
          <w:szCs w:val="24"/>
        </w:rPr>
        <w:t>Tronto's</w:t>
      </w:r>
      <w:proofErr w:type="spellEnd"/>
      <w:r w:rsidRPr="002D0A35">
        <w:rPr>
          <w:rFonts w:ascii="Arial" w:hAnsi="Arial" w:cs="Arial"/>
          <w:szCs w:val="24"/>
        </w:rPr>
        <w:t xml:space="preserve"> notion of attentiveness and responsiveness, but still, inspection evidence continues to show inconsistency </w:t>
      </w:r>
      <w:proofErr w:type="gramStart"/>
      <w:r w:rsidRPr="002D0A35">
        <w:rPr>
          <w:rFonts w:ascii="Arial" w:hAnsi="Arial" w:cs="Arial"/>
          <w:szCs w:val="24"/>
        </w:rPr>
        <w:t>as a result of</w:t>
      </w:r>
      <w:proofErr w:type="gramEnd"/>
      <w:r w:rsidRPr="002D0A35">
        <w:rPr>
          <w:rFonts w:ascii="Arial" w:hAnsi="Arial" w:cs="Arial"/>
          <w:szCs w:val="24"/>
        </w:rPr>
        <w:t xml:space="preserve"> staff shortages leading to lack of meaningful communication (Bridges et al., 2019; </w:t>
      </w:r>
      <w:proofErr w:type="spellStart"/>
      <w:r w:rsidRPr="002D0A35">
        <w:rPr>
          <w:rFonts w:ascii="Arial" w:hAnsi="Arial" w:cs="Arial"/>
          <w:szCs w:val="24"/>
        </w:rPr>
        <w:t>Nantsupawat</w:t>
      </w:r>
      <w:proofErr w:type="spellEnd"/>
      <w:r w:rsidRPr="002D0A35">
        <w:rPr>
          <w:rFonts w:ascii="Arial" w:hAnsi="Arial" w:cs="Arial"/>
          <w:szCs w:val="24"/>
        </w:rPr>
        <w:t xml:space="preserve"> et al., 2022). This illustrates that being compliant with a regulation is not as strong an assurance of relational care as the regulation itself suggests.</w:t>
      </w:r>
    </w:p>
    <w:p w14:paraId="1DDC26F8"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NICE guidance reinforces the same principles: its guideline on people's experience of adult social care (National Institute for Health and Care Excellence, 2018) and SCIE's practice resources on personalisation in care homes (Social Care Institute for Excellence, 2023) both call for active resident involvement in care planning. Person-centred practice has been associated with improved psychological wellbeing among older adults in both residential and home settings (Martínez et al., 2021; Lorber et al., 2025). This evidence is, however, largely correlational and drawn from cross-sectional surveys; it cannot establish that person-centred approaches cause </w:t>
      </w:r>
      <w:r w:rsidRPr="002D0A35">
        <w:rPr>
          <w:rFonts w:ascii="Arial" w:hAnsi="Arial" w:cs="Arial"/>
          <w:szCs w:val="24"/>
        </w:rPr>
        <w:lastRenderedPageBreak/>
        <w:t>improved wellbeing rather than simply co-occurring with better-resourced, better-staffed services. This is a distinction policy documents rarely acknowledge.</w:t>
      </w:r>
    </w:p>
    <w:p w14:paraId="21CFAFEB"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Partnership working exposes a further gap between the Ethics of Care's relational ideal and its practical delivery. Residential care depends on collaboration between nurses, social workers, general practitioners, therapists, care assistants, residents and families, and Glasby (2017) argue that where this collaboration fails, the consequences for service users can be severe rather than merely inefficient. Ethical tension arises specifically where family members' risk-averse preferences conflict with a resident's preference for independence; the Ethics of Care does not resolve this tension so much as name it, requiring practitioners to weigh safeguarding duties against autonomy case by case, without offering a decision procedure for doing so. This is arguably a genuine limitation of the theory as much as an implementation problem: it is better at diagnosing what good care should attend to than at adjudicating between competing legitimate claims.</w:t>
      </w:r>
    </w:p>
    <w:p w14:paraId="379C8A36"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A concrete illustration clarifies why </w:t>
      </w:r>
      <w:proofErr w:type="gramStart"/>
      <w:r w:rsidRPr="002D0A35">
        <w:rPr>
          <w:rFonts w:ascii="Arial" w:hAnsi="Arial" w:cs="Arial"/>
          <w:szCs w:val="24"/>
        </w:rPr>
        <w:t>this matters</w:t>
      </w:r>
      <w:proofErr w:type="gramEnd"/>
      <w:r w:rsidRPr="002D0A35">
        <w:rPr>
          <w:rFonts w:ascii="Arial" w:hAnsi="Arial" w:cs="Arial"/>
          <w:szCs w:val="24"/>
        </w:rPr>
        <w:t xml:space="preserve">. Where a resident with mild cognitive impairment wishes to continue walking unaccompanied in the grounds, and a family member requests this be restricted following a fall, staff are placed between two legitimate positions: the resident's autonomy and the family's safeguarding concern. </w:t>
      </w:r>
      <w:proofErr w:type="spellStart"/>
      <w:r w:rsidRPr="002D0A35">
        <w:rPr>
          <w:rFonts w:ascii="Arial" w:hAnsi="Arial" w:cs="Arial"/>
          <w:szCs w:val="24"/>
        </w:rPr>
        <w:t>Tronto's</w:t>
      </w:r>
      <w:proofErr w:type="spellEnd"/>
      <w:r w:rsidRPr="002D0A35">
        <w:rPr>
          <w:rFonts w:ascii="Arial" w:hAnsi="Arial" w:cs="Arial"/>
          <w:szCs w:val="24"/>
        </w:rPr>
        <w:t xml:space="preserve"> caring-with, which asks who should be involved in judging whether care has been good, offers a process for reaching a decision collaboratively. However, it does not tell staff which outcome is correct, it only insists that the </w:t>
      </w:r>
      <w:proofErr w:type="spellStart"/>
      <w:r w:rsidRPr="002D0A35">
        <w:rPr>
          <w:rFonts w:ascii="Arial" w:hAnsi="Arial" w:cs="Arial"/>
          <w:szCs w:val="24"/>
        </w:rPr>
        <w:t>resident's</w:t>
      </w:r>
      <w:proofErr w:type="spellEnd"/>
      <w:r w:rsidRPr="002D0A35">
        <w:rPr>
          <w:rFonts w:ascii="Arial" w:hAnsi="Arial" w:cs="Arial"/>
          <w:szCs w:val="24"/>
        </w:rPr>
        <w:t xml:space="preserve"> own voice must be part of that process rather than overridden by family or convenience (</w:t>
      </w:r>
      <w:proofErr w:type="spellStart"/>
      <w:r w:rsidRPr="002D0A35">
        <w:rPr>
          <w:rFonts w:ascii="Arial" w:hAnsi="Arial" w:cs="Arial"/>
          <w:szCs w:val="24"/>
        </w:rPr>
        <w:t>Tronto</w:t>
      </w:r>
      <w:proofErr w:type="spellEnd"/>
      <w:r w:rsidRPr="002D0A35">
        <w:rPr>
          <w:rFonts w:ascii="Arial" w:hAnsi="Arial" w:cs="Arial"/>
          <w:szCs w:val="24"/>
        </w:rPr>
        <w:t>, 2017). This is a genuine strength of the framework in everyday practice, even though, as noted above, it stops short of resolving the dilemma outright.</w:t>
      </w:r>
    </w:p>
    <w:p w14:paraId="0B6F0A2B" w14:textId="77777777" w:rsidR="00D605C7" w:rsidRDefault="00D605C7" w:rsidP="00D605C7">
      <w:pPr>
        <w:tabs>
          <w:tab w:val="left" w:pos="6540"/>
        </w:tabs>
        <w:spacing w:line="360" w:lineRule="auto"/>
        <w:rPr>
          <w:rFonts w:ascii="Arial" w:hAnsi="Arial" w:cs="Arial"/>
          <w:szCs w:val="24"/>
        </w:rPr>
      </w:pPr>
      <w:r w:rsidRPr="002D0A35">
        <w:rPr>
          <w:rFonts w:ascii="Arial" w:hAnsi="Arial" w:cs="Arial"/>
          <w:szCs w:val="24"/>
        </w:rPr>
        <w:t>Overall, the gap between the Ethics of Care's policy uptake and its practice reality is not primarily one of poor understanding among practitioners, but of resourcing. Legislation and guidance describe a relational standard of care that current staffing levels frequently cannot sustain (Skills for Care, 2025).</w:t>
      </w:r>
    </w:p>
    <w:p w14:paraId="4D48760F" w14:textId="77777777" w:rsidR="00020A00" w:rsidRDefault="00020A00" w:rsidP="00D605C7">
      <w:pPr>
        <w:tabs>
          <w:tab w:val="left" w:pos="6540"/>
        </w:tabs>
        <w:spacing w:line="360" w:lineRule="auto"/>
        <w:rPr>
          <w:rFonts w:ascii="Arial" w:hAnsi="Arial" w:cs="Arial"/>
          <w:szCs w:val="24"/>
        </w:rPr>
      </w:pPr>
    </w:p>
    <w:p w14:paraId="6612CF1F" w14:textId="77777777" w:rsidR="00020A00" w:rsidRDefault="00020A00" w:rsidP="00D605C7">
      <w:pPr>
        <w:tabs>
          <w:tab w:val="left" w:pos="6540"/>
        </w:tabs>
        <w:spacing w:line="360" w:lineRule="auto"/>
        <w:rPr>
          <w:rFonts w:ascii="Arial" w:hAnsi="Arial" w:cs="Arial"/>
          <w:szCs w:val="24"/>
        </w:rPr>
      </w:pPr>
    </w:p>
    <w:p w14:paraId="644B4779" w14:textId="77777777" w:rsidR="00020A00" w:rsidRDefault="00020A00" w:rsidP="00D605C7">
      <w:pPr>
        <w:tabs>
          <w:tab w:val="left" w:pos="6540"/>
        </w:tabs>
        <w:spacing w:line="360" w:lineRule="auto"/>
        <w:rPr>
          <w:rFonts w:ascii="Arial" w:hAnsi="Arial" w:cs="Arial"/>
          <w:szCs w:val="24"/>
        </w:rPr>
      </w:pPr>
    </w:p>
    <w:p w14:paraId="3DE5D136" w14:textId="1716E491" w:rsidR="00D605C7" w:rsidRPr="002D0A35" w:rsidRDefault="00D605C7" w:rsidP="00D605C7">
      <w:pPr>
        <w:tabs>
          <w:tab w:val="left" w:pos="6540"/>
        </w:tabs>
        <w:spacing w:line="360" w:lineRule="auto"/>
        <w:rPr>
          <w:rFonts w:ascii="Arial" w:hAnsi="Arial" w:cs="Arial"/>
          <w:b/>
          <w:bCs/>
          <w:szCs w:val="24"/>
        </w:rPr>
      </w:pPr>
      <w:r w:rsidRPr="002D0A35">
        <w:rPr>
          <w:rFonts w:ascii="Arial" w:hAnsi="Arial" w:cs="Arial"/>
          <w:b/>
          <w:bCs/>
          <w:szCs w:val="24"/>
        </w:rPr>
        <w:lastRenderedPageBreak/>
        <w:t>Recommendations</w:t>
      </w:r>
    </w:p>
    <w:p w14:paraId="3497EA4C"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Three recommendations follow, each considered here against its own limitations rather than presented as unproblematic.</w:t>
      </w:r>
    </w:p>
    <w:p w14:paraId="43042BBE"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First, workforce planning should protect time for relationship-building rather than treating staffing purely as a unit-cost variable. Evidence associating relational care with improved wellbeing (Lorber et al., 2025) supports this investment, but the recommendation is only as credible as the funding that would need to accompany it; without a parallel commitment to pay and retention, which Skills for Care (2025) argues is still lacking, additional staffing ratios risk becoming a paper requirement rather than a lived reality. For residents, this investment would mean receiving consistent, high-quality care from staff who have the time to know them as individuals, directly improving their overall quality of life.</w:t>
      </w:r>
    </w:p>
    <w:p w14:paraId="120EF277"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Second, continuing professional development should extend beyond communication skills to explicit training in balancing autonomy against duty of care, informed by the Mental Capacity Act 2005 and by Vanlaere and </w:t>
      </w:r>
      <w:proofErr w:type="spellStart"/>
      <w:r w:rsidRPr="002D0A35">
        <w:rPr>
          <w:rFonts w:ascii="Arial" w:hAnsi="Arial" w:cs="Arial"/>
          <w:szCs w:val="24"/>
        </w:rPr>
        <w:t>Gastmans</w:t>
      </w:r>
      <w:proofErr w:type="spellEnd"/>
      <w:r w:rsidRPr="002D0A35">
        <w:rPr>
          <w:rFonts w:ascii="Arial" w:hAnsi="Arial" w:cs="Arial"/>
          <w:szCs w:val="24"/>
        </w:rPr>
        <w:t>' (2011) personalist framework, so that practitioners have a working method for the ethical tensions the Ethics of Care identifies but does not resolve. The limitation here is opportunity cost: training time competes directly with the staffing pressures described above, and organisations under strain may deprioritise development in favour of immediate service delivery. By equipping staff to resolve ethical tensions effectively, residents would benefit from increased respect for their autonomy and a reduction in restrictive or paternalistic care practices.</w:t>
      </w:r>
    </w:p>
    <w:p w14:paraId="62787BEC"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Lastly, independent advocacy for residents who lack the ability to make decisions about their own care should be used to strengthen the process of partnership working and the participation of the residents themselves (Care Act 2014; Social Care Institute for Excellence, 2023). However, this is contingent on the advocacy services having enough resources available for themselves. This way, the residents will be able to have an actual impact on their planning process, making sure that their individual voices are heard.</w:t>
      </w:r>
    </w:p>
    <w:p w14:paraId="20975937" w14:textId="14E2EAFD" w:rsidR="00020A00"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None of these recommendations is sufficient alone. Collectively they indicate that person-centred care, understood through the Ethics of Care, is not primarily a training or attitudinal problem but a resourcing and structural one. This is consistent </w:t>
      </w:r>
      <w:r w:rsidRPr="002D0A35">
        <w:rPr>
          <w:rFonts w:ascii="Arial" w:hAnsi="Arial" w:cs="Arial"/>
          <w:szCs w:val="24"/>
        </w:rPr>
        <w:lastRenderedPageBreak/>
        <w:t xml:space="preserve">with </w:t>
      </w:r>
      <w:proofErr w:type="spellStart"/>
      <w:r w:rsidRPr="002D0A35">
        <w:rPr>
          <w:rFonts w:ascii="Arial" w:hAnsi="Arial" w:cs="Arial"/>
          <w:szCs w:val="24"/>
        </w:rPr>
        <w:t>Tronto's</w:t>
      </w:r>
      <w:proofErr w:type="spellEnd"/>
      <w:r w:rsidRPr="002D0A35">
        <w:rPr>
          <w:rFonts w:ascii="Arial" w:hAnsi="Arial" w:cs="Arial"/>
          <w:szCs w:val="24"/>
        </w:rPr>
        <w:t xml:space="preserve"> (2013) original argument that care is a political as well as an interpersonal responsibility</w:t>
      </w:r>
    </w:p>
    <w:p w14:paraId="4B654182" w14:textId="77777777" w:rsidR="00020A00" w:rsidRPr="002D0A35" w:rsidRDefault="00020A00" w:rsidP="00D605C7">
      <w:pPr>
        <w:tabs>
          <w:tab w:val="left" w:pos="6540"/>
        </w:tabs>
        <w:spacing w:line="360" w:lineRule="auto"/>
        <w:rPr>
          <w:rFonts w:ascii="Arial" w:hAnsi="Arial" w:cs="Arial"/>
          <w:szCs w:val="24"/>
        </w:rPr>
      </w:pPr>
    </w:p>
    <w:p w14:paraId="2CF61E8A" w14:textId="77777777" w:rsidR="00D605C7" w:rsidRPr="002D0A35" w:rsidRDefault="00D605C7" w:rsidP="00D605C7">
      <w:pPr>
        <w:tabs>
          <w:tab w:val="left" w:pos="6540"/>
        </w:tabs>
        <w:spacing w:line="360" w:lineRule="auto"/>
        <w:rPr>
          <w:rFonts w:ascii="Arial" w:hAnsi="Arial" w:cs="Arial"/>
          <w:b/>
          <w:bCs/>
          <w:szCs w:val="24"/>
        </w:rPr>
      </w:pPr>
      <w:r w:rsidRPr="002D0A35">
        <w:rPr>
          <w:rFonts w:ascii="Arial" w:hAnsi="Arial" w:cs="Arial"/>
          <w:b/>
          <w:bCs/>
          <w:szCs w:val="24"/>
        </w:rPr>
        <w:t>Conclusion</w:t>
      </w:r>
    </w:p>
    <w:p w14:paraId="78FE6A13" w14:textId="77777777" w:rsidR="00D605C7"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Whereas initially it was a critique of traditional moral philosophy, the Ethics of Care is now a cornerstone of most current person-centred policies in the United Kingdom. It is no surprise because the relationship aspect, attention and responsiveness are integral for the Care Act 2014, the Care Quality Commission Fundamental Standards and both NICE and SCIE policies. Nevertheless, as this essay stated, the application of the theory to practice in residential care settings is not limited primarily by theoretical challenges, but rather by the situation in the labour market that policy documents tend not to acknowledge explicitly (Although the care versus justice dichotomy and danger of paternalism </w:t>
      </w:r>
      <w:proofErr w:type="gramStart"/>
      <w:r w:rsidRPr="002D0A35">
        <w:rPr>
          <w:rFonts w:ascii="Arial" w:hAnsi="Arial" w:cs="Arial"/>
          <w:szCs w:val="24"/>
        </w:rPr>
        <w:t>still persist</w:t>
      </w:r>
      <w:proofErr w:type="gramEnd"/>
      <w:r w:rsidRPr="002D0A35">
        <w:rPr>
          <w:rFonts w:ascii="Arial" w:hAnsi="Arial" w:cs="Arial"/>
          <w:szCs w:val="24"/>
        </w:rPr>
        <w:t>). Increasing staffing resources, implementing ethical decision-making training and financing independent advocacy will contribute to closing the gap between the relational model of care that is described by the theory and current practice in residential care facilities. The long-term significance of the theory is not in solving all the ethical issues of residential care but in making sure that resource allocation, legislation and professional decision-making are all responding to one question: does this system ensure the resident's voice is being heard? </w:t>
      </w:r>
    </w:p>
    <w:p w14:paraId="6CB3CC02" w14:textId="77777777" w:rsidR="00020A00" w:rsidRDefault="00020A00" w:rsidP="00D605C7">
      <w:pPr>
        <w:tabs>
          <w:tab w:val="left" w:pos="6540"/>
        </w:tabs>
        <w:spacing w:line="360" w:lineRule="auto"/>
        <w:rPr>
          <w:rFonts w:ascii="Arial" w:hAnsi="Arial" w:cs="Arial"/>
          <w:szCs w:val="24"/>
        </w:rPr>
      </w:pPr>
    </w:p>
    <w:p w14:paraId="2F31B0F5" w14:textId="77777777" w:rsidR="00020A00" w:rsidRDefault="00020A00" w:rsidP="00D605C7">
      <w:pPr>
        <w:tabs>
          <w:tab w:val="left" w:pos="6540"/>
        </w:tabs>
        <w:spacing w:line="360" w:lineRule="auto"/>
        <w:rPr>
          <w:rFonts w:ascii="Arial" w:hAnsi="Arial" w:cs="Arial"/>
          <w:szCs w:val="24"/>
        </w:rPr>
      </w:pPr>
    </w:p>
    <w:p w14:paraId="60B33BFB" w14:textId="77777777" w:rsidR="00020A00" w:rsidRDefault="00020A00" w:rsidP="00D605C7">
      <w:pPr>
        <w:tabs>
          <w:tab w:val="left" w:pos="6540"/>
        </w:tabs>
        <w:spacing w:line="360" w:lineRule="auto"/>
        <w:rPr>
          <w:rFonts w:ascii="Arial" w:hAnsi="Arial" w:cs="Arial"/>
          <w:szCs w:val="24"/>
        </w:rPr>
      </w:pPr>
    </w:p>
    <w:p w14:paraId="40A84B15" w14:textId="77777777" w:rsidR="00020A00" w:rsidRDefault="00020A00" w:rsidP="00D605C7">
      <w:pPr>
        <w:tabs>
          <w:tab w:val="left" w:pos="6540"/>
        </w:tabs>
        <w:spacing w:line="360" w:lineRule="auto"/>
        <w:rPr>
          <w:rFonts w:ascii="Arial" w:hAnsi="Arial" w:cs="Arial"/>
          <w:szCs w:val="24"/>
        </w:rPr>
      </w:pPr>
    </w:p>
    <w:p w14:paraId="46DD43B1" w14:textId="77777777" w:rsidR="00020A00" w:rsidRDefault="00020A00" w:rsidP="00D605C7">
      <w:pPr>
        <w:tabs>
          <w:tab w:val="left" w:pos="6540"/>
        </w:tabs>
        <w:spacing w:line="360" w:lineRule="auto"/>
        <w:rPr>
          <w:rFonts w:ascii="Arial" w:hAnsi="Arial" w:cs="Arial"/>
          <w:szCs w:val="24"/>
        </w:rPr>
      </w:pPr>
    </w:p>
    <w:p w14:paraId="49B16A31" w14:textId="77777777" w:rsidR="00020A00" w:rsidRDefault="00020A00" w:rsidP="00D605C7">
      <w:pPr>
        <w:tabs>
          <w:tab w:val="left" w:pos="6540"/>
        </w:tabs>
        <w:spacing w:line="360" w:lineRule="auto"/>
        <w:rPr>
          <w:rFonts w:ascii="Arial" w:hAnsi="Arial" w:cs="Arial"/>
          <w:szCs w:val="24"/>
        </w:rPr>
      </w:pPr>
    </w:p>
    <w:p w14:paraId="5FFBB8FB" w14:textId="77777777" w:rsidR="00020A00" w:rsidRDefault="00020A00" w:rsidP="00D605C7">
      <w:pPr>
        <w:tabs>
          <w:tab w:val="left" w:pos="6540"/>
        </w:tabs>
        <w:spacing w:line="360" w:lineRule="auto"/>
        <w:rPr>
          <w:rFonts w:ascii="Arial" w:hAnsi="Arial" w:cs="Arial"/>
          <w:szCs w:val="24"/>
        </w:rPr>
      </w:pPr>
    </w:p>
    <w:p w14:paraId="5C0144DB" w14:textId="77777777" w:rsidR="00020A00" w:rsidRDefault="00020A00" w:rsidP="00D605C7">
      <w:pPr>
        <w:tabs>
          <w:tab w:val="left" w:pos="6540"/>
        </w:tabs>
        <w:spacing w:line="360" w:lineRule="auto"/>
        <w:rPr>
          <w:rFonts w:ascii="Arial" w:hAnsi="Arial" w:cs="Arial"/>
          <w:szCs w:val="24"/>
        </w:rPr>
      </w:pPr>
    </w:p>
    <w:p w14:paraId="0492B54D" w14:textId="77777777" w:rsidR="00020A00" w:rsidRDefault="00020A00" w:rsidP="00D605C7">
      <w:pPr>
        <w:tabs>
          <w:tab w:val="left" w:pos="6540"/>
        </w:tabs>
        <w:spacing w:line="360" w:lineRule="auto"/>
        <w:rPr>
          <w:rFonts w:ascii="Arial" w:hAnsi="Arial" w:cs="Arial"/>
          <w:szCs w:val="24"/>
        </w:rPr>
      </w:pPr>
    </w:p>
    <w:p w14:paraId="533841DA" w14:textId="605DABBF" w:rsidR="00D605C7" w:rsidRPr="00020A00" w:rsidRDefault="00D605C7" w:rsidP="00D605C7">
      <w:pPr>
        <w:tabs>
          <w:tab w:val="left" w:pos="6540"/>
        </w:tabs>
        <w:spacing w:line="360" w:lineRule="auto"/>
        <w:rPr>
          <w:rFonts w:ascii="Arial" w:hAnsi="Arial" w:cs="Arial"/>
          <w:b/>
          <w:bCs/>
          <w:szCs w:val="24"/>
        </w:rPr>
      </w:pPr>
      <w:r w:rsidRPr="00020A00">
        <w:rPr>
          <w:rFonts w:ascii="Arial" w:hAnsi="Arial" w:cs="Arial"/>
          <w:b/>
          <w:bCs/>
          <w:szCs w:val="24"/>
        </w:rPr>
        <w:lastRenderedPageBreak/>
        <w:t>References</w:t>
      </w:r>
    </w:p>
    <w:p w14:paraId="30433837"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Bartos, A.E., (2019). Introduction: Stretching the boundaries of care. Gender, Place &amp; Culture, 26(6), pp.767-777.</w:t>
      </w:r>
    </w:p>
    <w:p w14:paraId="1DD05EAA"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Bridges, J., Griffiths, P., Oliver, E. and Pickering, R.M., (2019). Hospital nurse staffing and staff–patient interactions: an observational study. BMJ quality &amp; safety, 28(9), pp.706-713.</w:t>
      </w:r>
    </w:p>
    <w:p w14:paraId="5DCC5A93"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Care Act (2014) (c.23). London: The Stationery Office.</w:t>
      </w:r>
    </w:p>
    <w:p w14:paraId="03BBA9CC"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Care Quality Commission (2015) Guidance for Providers on Meeting the Regulations: Health and Social Care Act 2008 (Regulated Activities) Regulations 2014, Regulation 9: Person-Centred Care. Newcastle upon Tyne: CQC. https://www.cqc.org.uk/sites/default/files/20150324_guidance_providers_meeting_regulations_01.pdf </w:t>
      </w:r>
    </w:p>
    <w:p w14:paraId="516DBC44"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Dassler, T., (2016). From care ethics to care politics. Toward a political notion of care. </w:t>
      </w:r>
      <w:proofErr w:type="spellStart"/>
      <w:r w:rsidRPr="002D0A35">
        <w:rPr>
          <w:rFonts w:ascii="Arial" w:hAnsi="Arial" w:cs="Arial"/>
          <w:szCs w:val="24"/>
        </w:rPr>
        <w:t>UiT</w:t>
      </w:r>
      <w:proofErr w:type="spellEnd"/>
      <w:r w:rsidRPr="002D0A35">
        <w:rPr>
          <w:rFonts w:ascii="Arial" w:hAnsi="Arial" w:cs="Arial"/>
          <w:szCs w:val="24"/>
        </w:rPr>
        <w:t>–</w:t>
      </w:r>
      <w:proofErr w:type="spellStart"/>
      <w:r w:rsidRPr="002D0A35">
        <w:rPr>
          <w:rFonts w:ascii="Arial" w:hAnsi="Arial" w:cs="Arial"/>
          <w:szCs w:val="24"/>
        </w:rPr>
        <w:t>Norges</w:t>
      </w:r>
      <w:proofErr w:type="spellEnd"/>
      <w:r w:rsidRPr="002D0A35">
        <w:rPr>
          <w:rFonts w:ascii="Arial" w:hAnsi="Arial" w:cs="Arial"/>
          <w:szCs w:val="24"/>
        </w:rPr>
        <w:t xml:space="preserve"> </w:t>
      </w:r>
      <w:proofErr w:type="spellStart"/>
      <w:r w:rsidRPr="002D0A35">
        <w:rPr>
          <w:rFonts w:ascii="Arial" w:hAnsi="Arial" w:cs="Arial"/>
          <w:szCs w:val="24"/>
        </w:rPr>
        <w:t>arktiske</w:t>
      </w:r>
      <w:proofErr w:type="spellEnd"/>
      <w:r w:rsidRPr="002D0A35">
        <w:rPr>
          <w:rFonts w:ascii="Arial" w:hAnsi="Arial" w:cs="Arial"/>
          <w:szCs w:val="24"/>
        </w:rPr>
        <w:t xml:space="preserve"> </w:t>
      </w:r>
      <w:proofErr w:type="spellStart"/>
      <w:r w:rsidRPr="002D0A35">
        <w:rPr>
          <w:rFonts w:ascii="Arial" w:hAnsi="Arial" w:cs="Arial"/>
          <w:szCs w:val="24"/>
        </w:rPr>
        <w:t>universitet</w:t>
      </w:r>
      <w:proofErr w:type="spellEnd"/>
      <w:r w:rsidRPr="002D0A35">
        <w:rPr>
          <w:rFonts w:ascii="Arial" w:hAnsi="Arial" w:cs="Arial"/>
          <w:szCs w:val="24"/>
        </w:rPr>
        <w:t>, Tromsø, Norway.</w:t>
      </w:r>
    </w:p>
    <w:p w14:paraId="79DC6FA4"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Gilligan, C., (1993). In a different voice: Psychological theory and women’s development. Harvard university press.</w:t>
      </w:r>
    </w:p>
    <w:p w14:paraId="18B3D8D9"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Glasby, J., (2017). Partnership working in health and social care (pp. 71-94). Policy Press.</w:t>
      </w:r>
    </w:p>
    <w:p w14:paraId="4692B075"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Held, V., (2018). The ethics of care. The Oxford handbook of distributive justice, pp.213-234.</w:t>
      </w:r>
    </w:p>
    <w:p w14:paraId="0488581E"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Housholder, A.L., (2021). Care of older adults: autonomy, capacity and duty to protect. In </w:t>
      </w:r>
      <w:proofErr w:type="spellStart"/>
      <w:r w:rsidRPr="002D0A35">
        <w:rPr>
          <w:rFonts w:ascii="Arial" w:hAnsi="Arial" w:cs="Arial"/>
          <w:szCs w:val="24"/>
        </w:rPr>
        <w:t>Dermatoethics</w:t>
      </w:r>
      <w:proofErr w:type="spellEnd"/>
      <w:r w:rsidRPr="002D0A35">
        <w:rPr>
          <w:rFonts w:ascii="Arial" w:hAnsi="Arial" w:cs="Arial"/>
          <w:szCs w:val="24"/>
        </w:rPr>
        <w:t>: Contemporary Ethics and Professionalism in Dermatology (pp. 13-23). Cham: Springer International Publishing.</w:t>
      </w:r>
    </w:p>
    <w:p w14:paraId="7DA921AE"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Kelly, P. and Porr, C., 2018. Ethical Nursing Care Versus Cost Containment: Considerations to Enhance RN Practice. Online Journal of Issues in Nursing, 23(1).</w:t>
      </w:r>
    </w:p>
    <w:p w14:paraId="5C7E058C"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Larrabee, M.J., (2016). An ethic of care: Feminist and interdisciplinary perspectives. Routledge.</w:t>
      </w:r>
    </w:p>
    <w:p w14:paraId="69A7B714" w14:textId="77777777" w:rsidR="00D605C7" w:rsidRPr="002D0A35" w:rsidRDefault="00D605C7" w:rsidP="00D605C7">
      <w:pPr>
        <w:tabs>
          <w:tab w:val="left" w:pos="6540"/>
        </w:tabs>
        <w:spacing w:line="360" w:lineRule="auto"/>
        <w:rPr>
          <w:rFonts w:ascii="Arial" w:hAnsi="Arial" w:cs="Arial"/>
          <w:szCs w:val="24"/>
        </w:rPr>
      </w:pPr>
      <w:proofErr w:type="spellStart"/>
      <w:r w:rsidRPr="002D0A35">
        <w:rPr>
          <w:rFonts w:ascii="Arial" w:hAnsi="Arial" w:cs="Arial"/>
          <w:szCs w:val="24"/>
        </w:rPr>
        <w:t>Leget</w:t>
      </w:r>
      <w:proofErr w:type="spellEnd"/>
      <w:r w:rsidRPr="002D0A35">
        <w:rPr>
          <w:rFonts w:ascii="Arial" w:hAnsi="Arial" w:cs="Arial"/>
          <w:szCs w:val="24"/>
        </w:rPr>
        <w:t>, C., Van Nistelrooij, I. and Visse, M., (2019). Beyond demarcation: Care ethics as an interdisciplinary field of inquiry. Nursing ethics, 26(1), pp.17-25.</w:t>
      </w:r>
    </w:p>
    <w:p w14:paraId="622777B2"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lastRenderedPageBreak/>
        <w:t xml:space="preserve">Lloyd, L., (2019). The individual in social care: the ethics of care and the ‘personalisation </w:t>
      </w:r>
      <w:proofErr w:type="spellStart"/>
      <w:r w:rsidRPr="002D0A35">
        <w:rPr>
          <w:rFonts w:ascii="Arial" w:hAnsi="Arial" w:cs="Arial"/>
          <w:szCs w:val="24"/>
        </w:rPr>
        <w:t>agenda’in</w:t>
      </w:r>
      <w:proofErr w:type="spellEnd"/>
      <w:r w:rsidRPr="002D0A35">
        <w:rPr>
          <w:rFonts w:ascii="Arial" w:hAnsi="Arial" w:cs="Arial"/>
          <w:szCs w:val="24"/>
        </w:rPr>
        <w:t xml:space="preserve"> services for older people in England. In Care Ethics (pp. 109-121). Routledge.</w:t>
      </w:r>
    </w:p>
    <w:p w14:paraId="1F27C40E"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Lorber, M., Mlinar </w:t>
      </w:r>
      <w:proofErr w:type="spellStart"/>
      <w:r w:rsidRPr="002D0A35">
        <w:rPr>
          <w:rFonts w:ascii="Arial" w:hAnsi="Arial" w:cs="Arial"/>
          <w:szCs w:val="24"/>
        </w:rPr>
        <w:t>Reljić</w:t>
      </w:r>
      <w:proofErr w:type="spellEnd"/>
      <w:r w:rsidRPr="002D0A35">
        <w:rPr>
          <w:rFonts w:ascii="Arial" w:hAnsi="Arial" w:cs="Arial"/>
          <w:szCs w:val="24"/>
        </w:rPr>
        <w:t>, N., McCormack, B. and Kmetec, S., (2025), June. Person-Centred Care in Association with Psychological Well-Being of Older Adults. In Healthcare (Vol. 13, No. 12, p. 1379). MDPI.</w:t>
      </w:r>
    </w:p>
    <w:p w14:paraId="5398FF23"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Martinez, T., Postigo, A., Cuesta, M. and Muniz, J., (2021). Person</w:t>
      </w:r>
      <w:r w:rsidRPr="002D0A35">
        <w:rPr>
          <w:rFonts w:ascii="Cambria Math" w:hAnsi="Cambria Math" w:cs="Cambria Math"/>
          <w:szCs w:val="24"/>
        </w:rPr>
        <w:t>‐</w:t>
      </w:r>
      <w:r w:rsidRPr="002D0A35">
        <w:rPr>
          <w:rFonts w:ascii="Arial" w:hAnsi="Arial" w:cs="Arial"/>
          <w:szCs w:val="24"/>
        </w:rPr>
        <w:t>Centred Care for older people: Convergence and assessment of users’ relatives’ and staff's perspectives. Journal of advanced nursing, 77(6), pp.2916-2927.</w:t>
      </w:r>
    </w:p>
    <w:p w14:paraId="2F80C871"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McAuliffe, D., (2023). An ethic of care: Contributions to social work practice. In Social work theory and ethics: Ideas in practice (pp. 349-366). Singapore: Springer Nature Singapore.</w:t>
      </w:r>
    </w:p>
    <w:p w14:paraId="7A967203" w14:textId="77777777" w:rsidR="00D605C7" w:rsidRPr="002D0A35" w:rsidRDefault="00D605C7" w:rsidP="00D605C7">
      <w:pPr>
        <w:tabs>
          <w:tab w:val="left" w:pos="6540"/>
        </w:tabs>
        <w:spacing w:line="360" w:lineRule="auto"/>
        <w:rPr>
          <w:rFonts w:ascii="Arial" w:hAnsi="Arial" w:cs="Arial"/>
          <w:szCs w:val="24"/>
        </w:rPr>
      </w:pPr>
      <w:proofErr w:type="spellStart"/>
      <w:r w:rsidRPr="002D0A35">
        <w:rPr>
          <w:rFonts w:ascii="Arial" w:hAnsi="Arial" w:cs="Arial"/>
          <w:szCs w:val="24"/>
        </w:rPr>
        <w:t>Nantsupawat</w:t>
      </w:r>
      <w:proofErr w:type="spellEnd"/>
      <w:r w:rsidRPr="002D0A35">
        <w:rPr>
          <w:rFonts w:ascii="Arial" w:hAnsi="Arial" w:cs="Arial"/>
          <w:szCs w:val="24"/>
        </w:rPr>
        <w:t xml:space="preserve">, A., Poghosyan, L., </w:t>
      </w:r>
      <w:proofErr w:type="spellStart"/>
      <w:r w:rsidRPr="002D0A35">
        <w:rPr>
          <w:rFonts w:ascii="Arial" w:hAnsi="Arial" w:cs="Arial"/>
          <w:szCs w:val="24"/>
        </w:rPr>
        <w:t>Wichaikhum</w:t>
      </w:r>
      <w:proofErr w:type="spellEnd"/>
      <w:r w:rsidRPr="002D0A35">
        <w:rPr>
          <w:rFonts w:ascii="Arial" w:hAnsi="Arial" w:cs="Arial"/>
          <w:szCs w:val="24"/>
        </w:rPr>
        <w:t xml:space="preserve">, O.A., </w:t>
      </w:r>
      <w:proofErr w:type="spellStart"/>
      <w:r w:rsidRPr="002D0A35">
        <w:rPr>
          <w:rFonts w:ascii="Arial" w:hAnsi="Arial" w:cs="Arial"/>
          <w:szCs w:val="24"/>
        </w:rPr>
        <w:t>Kunaviktikul</w:t>
      </w:r>
      <w:proofErr w:type="spellEnd"/>
      <w:r w:rsidRPr="002D0A35">
        <w:rPr>
          <w:rFonts w:ascii="Arial" w:hAnsi="Arial" w:cs="Arial"/>
          <w:szCs w:val="24"/>
        </w:rPr>
        <w:t xml:space="preserve">, W., Fang, Y., </w:t>
      </w:r>
      <w:proofErr w:type="spellStart"/>
      <w:r w:rsidRPr="002D0A35">
        <w:rPr>
          <w:rFonts w:ascii="Arial" w:hAnsi="Arial" w:cs="Arial"/>
          <w:szCs w:val="24"/>
        </w:rPr>
        <w:t>Kueakomoldej</w:t>
      </w:r>
      <w:proofErr w:type="spellEnd"/>
      <w:r w:rsidRPr="002D0A35">
        <w:rPr>
          <w:rFonts w:ascii="Arial" w:hAnsi="Arial" w:cs="Arial"/>
          <w:szCs w:val="24"/>
        </w:rPr>
        <w:t xml:space="preserve">, S., </w:t>
      </w:r>
      <w:proofErr w:type="spellStart"/>
      <w:r w:rsidRPr="002D0A35">
        <w:rPr>
          <w:rFonts w:ascii="Arial" w:hAnsi="Arial" w:cs="Arial"/>
          <w:szCs w:val="24"/>
        </w:rPr>
        <w:t>Thienthong</w:t>
      </w:r>
      <w:proofErr w:type="spellEnd"/>
      <w:r w:rsidRPr="002D0A35">
        <w:rPr>
          <w:rFonts w:ascii="Arial" w:hAnsi="Arial" w:cs="Arial"/>
          <w:szCs w:val="24"/>
        </w:rPr>
        <w:t xml:space="preserve">, H. and </w:t>
      </w:r>
      <w:proofErr w:type="spellStart"/>
      <w:r w:rsidRPr="002D0A35">
        <w:rPr>
          <w:rFonts w:ascii="Arial" w:hAnsi="Arial" w:cs="Arial"/>
          <w:szCs w:val="24"/>
        </w:rPr>
        <w:t>Turale</w:t>
      </w:r>
      <w:proofErr w:type="spellEnd"/>
      <w:r w:rsidRPr="002D0A35">
        <w:rPr>
          <w:rFonts w:ascii="Arial" w:hAnsi="Arial" w:cs="Arial"/>
          <w:szCs w:val="24"/>
        </w:rPr>
        <w:t>, S., (2022). Nurse staffing, missed care, quality of care and adverse events: A cross</w:t>
      </w:r>
      <w:r w:rsidRPr="002D0A35">
        <w:rPr>
          <w:rFonts w:ascii="Cambria Math" w:hAnsi="Cambria Math" w:cs="Cambria Math"/>
          <w:szCs w:val="24"/>
        </w:rPr>
        <w:t>‐</w:t>
      </w:r>
      <w:r w:rsidRPr="002D0A35">
        <w:rPr>
          <w:rFonts w:ascii="Arial" w:hAnsi="Arial" w:cs="Arial"/>
          <w:szCs w:val="24"/>
        </w:rPr>
        <w:t>sectional study. Journal of nursing management, 30(2), pp.447-454.</w:t>
      </w:r>
    </w:p>
    <w:p w14:paraId="78A0CA8F"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National Institute for Health and Care Excellence (2018) People's Experience in Adult Social Care Services: Improving the Experience of Care and Support for People Using Adult Social Care Services. NICE guideline NG86. London: NICE.  Available at: https://www.nice.org.uk/guidance/ng86 </w:t>
      </w:r>
    </w:p>
    <w:p w14:paraId="4B87B853" w14:textId="77777777" w:rsidR="00D605C7" w:rsidRPr="002D0A35" w:rsidRDefault="00D605C7" w:rsidP="00D605C7">
      <w:pPr>
        <w:tabs>
          <w:tab w:val="left" w:pos="6540"/>
        </w:tabs>
        <w:spacing w:line="360" w:lineRule="auto"/>
        <w:rPr>
          <w:rFonts w:ascii="Arial" w:hAnsi="Arial" w:cs="Arial"/>
          <w:szCs w:val="24"/>
        </w:rPr>
      </w:pPr>
      <w:proofErr w:type="spellStart"/>
      <w:r w:rsidRPr="002D0A35">
        <w:rPr>
          <w:rFonts w:ascii="Arial" w:hAnsi="Arial" w:cs="Arial"/>
          <w:szCs w:val="24"/>
        </w:rPr>
        <w:t>Noddings</w:t>
      </w:r>
      <w:proofErr w:type="spellEnd"/>
      <w:r w:rsidRPr="002D0A35">
        <w:rPr>
          <w:rFonts w:ascii="Arial" w:hAnsi="Arial" w:cs="Arial"/>
          <w:szCs w:val="24"/>
        </w:rPr>
        <w:t xml:space="preserve">, N., (1984). Caring: A feminine approach to ethics and Moral Education. Berkeley: University of California Press. </w:t>
      </w:r>
    </w:p>
    <w:p w14:paraId="30B7230B"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Skills for Care (2025) The State of the Adult Social Care Sector and Workforce in England (2025). Leeds: Skills for Care. https://www.skillsforcare.org.uk/Adult-Social-Care-Workforce-Data/workforceintelligence/resources/Reports/National/The-state-of-the-adult-social-care-sector-and-workforce-in-England-(2025).pdf </w:t>
      </w:r>
    </w:p>
    <w:p w14:paraId="7CC81D22"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Social Care Institute for Excellence (2023) Improving Personalisation in Care Homes: Care Home Action Plan. London: SCIE. Available at: www.scie.org.uk/person-centred-care/improving-personalisation-in-care-homes </w:t>
      </w:r>
    </w:p>
    <w:p w14:paraId="24128DC6"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lastRenderedPageBreak/>
        <w:t xml:space="preserve">Syed, I., Daly, T., Armstrong, P., Lowndes, R., </w:t>
      </w:r>
      <w:proofErr w:type="spellStart"/>
      <w:r w:rsidRPr="002D0A35">
        <w:rPr>
          <w:rFonts w:ascii="Arial" w:hAnsi="Arial" w:cs="Arial"/>
          <w:szCs w:val="24"/>
        </w:rPr>
        <w:t>Chadoin</w:t>
      </w:r>
      <w:proofErr w:type="spellEnd"/>
      <w:r w:rsidRPr="002D0A35">
        <w:rPr>
          <w:rFonts w:ascii="Arial" w:hAnsi="Arial" w:cs="Arial"/>
          <w:szCs w:val="24"/>
        </w:rPr>
        <w:t xml:space="preserve">, M. and Naidoo, V., (2016). How Do Work Hierarchies and Strict Divisions of Labour Impact Care </w:t>
      </w:r>
      <w:proofErr w:type="spellStart"/>
      <w:r w:rsidRPr="002D0A35">
        <w:rPr>
          <w:rFonts w:ascii="Arial" w:hAnsi="Arial" w:cs="Arial"/>
          <w:szCs w:val="24"/>
        </w:rPr>
        <w:t>Workers’experiences</w:t>
      </w:r>
      <w:proofErr w:type="spellEnd"/>
      <w:r w:rsidRPr="002D0A35">
        <w:rPr>
          <w:rFonts w:ascii="Arial" w:hAnsi="Arial" w:cs="Arial"/>
          <w:szCs w:val="24"/>
        </w:rPr>
        <w:t xml:space="preserve"> </w:t>
      </w:r>
      <w:proofErr w:type="gramStart"/>
      <w:r w:rsidRPr="002D0A35">
        <w:rPr>
          <w:rFonts w:ascii="Arial" w:hAnsi="Arial" w:cs="Arial"/>
          <w:szCs w:val="24"/>
        </w:rPr>
        <w:t>Of</w:t>
      </w:r>
      <w:proofErr w:type="gramEnd"/>
      <w:r w:rsidRPr="002D0A35">
        <w:rPr>
          <w:rFonts w:ascii="Arial" w:hAnsi="Arial" w:cs="Arial"/>
          <w:szCs w:val="24"/>
        </w:rPr>
        <w:t xml:space="preserve"> Health and Safety? Case </w:t>
      </w:r>
      <w:proofErr w:type="spellStart"/>
      <w:r w:rsidRPr="002D0A35">
        <w:rPr>
          <w:rFonts w:ascii="Arial" w:hAnsi="Arial" w:cs="Arial"/>
          <w:szCs w:val="24"/>
        </w:rPr>
        <w:t>Studiesof</w:t>
      </w:r>
      <w:proofErr w:type="spellEnd"/>
      <w:r w:rsidRPr="002D0A35">
        <w:rPr>
          <w:rFonts w:ascii="Arial" w:hAnsi="Arial" w:cs="Arial"/>
          <w:szCs w:val="24"/>
        </w:rPr>
        <w:t xml:space="preserve"> Long Term Care in Toronto. The journal of nursing home research sciences, 2(1), p.41. </w:t>
      </w:r>
    </w:p>
    <w:p w14:paraId="76D5B879"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Thacker, H., Anka, A. and Penhale, B., 2019. Could curiosity save lives? An exploration into the value of employing professional curiosity and partnership work in safeguarding adults under the Care Act 2014. The Journal of Adult Protection, 21(5), pp.252-267.</w:t>
      </w:r>
    </w:p>
    <w:p w14:paraId="0012E81B" w14:textId="77777777" w:rsidR="00D605C7" w:rsidRPr="002D0A35" w:rsidRDefault="00D605C7" w:rsidP="00D605C7">
      <w:pPr>
        <w:tabs>
          <w:tab w:val="left" w:pos="6540"/>
        </w:tabs>
        <w:spacing w:line="360" w:lineRule="auto"/>
        <w:rPr>
          <w:rFonts w:ascii="Arial" w:hAnsi="Arial" w:cs="Arial"/>
          <w:szCs w:val="24"/>
        </w:rPr>
      </w:pPr>
      <w:proofErr w:type="spellStart"/>
      <w:r w:rsidRPr="002D0A35">
        <w:rPr>
          <w:rFonts w:ascii="Arial" w:hAnsi="Arial" w:cs="Arial"/>
          <w:szCs w:val="24"/>
        </w:rPr>
        <w:t>Tronto</w:t>
      </w:r>
      <w:proofErr w:type="spellEnd"/>
      <w:r w:rsidRPr="002D0A35">
        <w:rPr>
          <w:rFonts w:ascii="Arial" w:hAnsi="Arial" w:cs="Arial"/>
          <w:szCs w:val="24"/>
        </w:rPr>
        <w:t xml:space="preserve">, J., (2017). There is an alternative: </w:t>
      </w:r>
      <w:proofErr w:type="spellStart"/>
      <w:r w:rsidRPr="002D0A35">
        <w:rPr>
          <w:rFonts w:ascii="Arial" w:hAnsi="Arial" w:cs="Arial"/>
          <w:szCs w:val="24"/>
        </w:rPr>
        <w:t>homines</w:t>
      </w:r>
      <w:proofErr w:type="spellEnd"/>
      <w:r w:rsidRPr="002D0A35">
        <w:rPr>
          <w:rFonts w:ascii="Arial" w:hAnsi="Arial" w:cs="Arial"/>
          <w:szCs w:val="24"/>
        </w:rPr>
        <w:t xml:space="preserve"> </w:t>
      </w:r>
      <w:proofErr w:type="spellStart"/>
      <w:r w:rsidRPr="002D0A35">
        <w:rPr>
          <w:rFonts w:ascii="Arial" w:hAnsi="Arial" w:cs="Arial"/>
          <w:szCs w:val="24"/>
        </w:rPr>
        <w:t>curans</w:t>
      </w:r>
      <w:proofErr w:type="spellEnd"/>
      <w:r w:rsidRPr="002D0A35">
        <w:rPr>
          <w:rFonts w:ascii="Arial" w:hAnsi="Arial" w:cs="Arial"/>
          <w:szCs w:val="24"/>
        </w:rPr>
        <w:t xml:space="preserve"> and the limits of neoliberalism. International Journal of care and caring, 1(1), pp.27-43.</w:t>
      </w:r>
    </w:p>
    <w:p w14:paraId="705F07E2" w14:textId="77777777" w:rsidR="00D605C7" w:rsidRPr="002D0A35" w:rsidRDefault="00D605C7" w:rsidP="00D605C7">
      <w:pPr>
        <w:tabs>
          <w:tab w:val="left" w:pos="6540"/>
        </w:tabs>
        <w:spacing w:line="360" w:lineRule="auto"/>
        <w:rPr>
          <w:rFonts w:ascii="Arial" w:hAnsi="Arial" w:cs="Arial"/>
          <w:szCs w:val="24"/>
        </w:rPr>
      </w:pPr>
      <w:proofErr w:type="spellStart"/>
      <w:r w:rsidRPr="002D0A35">
        <w:rPr>
          <w:rFonts w:ascii="Arial" w:hAnsi="Arial" w:cs="Arial"/>
          <w:szCs w:val="24"/>
        </w:rPr>
        <w:t>Tronto</w:t>
      </w:r>
      <w:proofErr w:type="spellEnd"/>
      <w:r w:rsidRPr="002D0A35">
        <w:rPr>
          <w:rFonts w:ascii="Arial" w:hAnsi="Arial" w:cs="Arial"/>
          <w:szCs w:val="24"/>
        </w:rPr>
        <w:t>, J., (1993). Moral boundaries: A political argument for an ethic of care. Routledge.</w:t>
      </w:r>
    </w:p>
    <w:p w14:paraId="08BE4C29" w14:textId="77777777" w:rsidR="00D605C7" w:rsidRPr="002D0A35" w:rsidRDefault="00D605C7" w:rsidP="00D605C7">
      <w:pPr>
        <w:tabs>
          <w:tab w:val="left" w:pos="6540"/>
        </w:tabs>
        <w:spacing w:line="360" w:lineRule="auto"/>
        <w:rPr>
          <w:rFonts w:ascii="Arial" w:hAnsi="Arial" w:cs="Arial"/>
          <w:szCs w:val="24"/>
        </w:rPr>
      </w:pPr>
      <w:proofErr w:type="spellStart"/>
      <w:r w:rsidRPr="002D0A35">
        <w:rPr>
          <w:rFonts w:ascii="Arial" w:hAnsi="Arial" w:cs="Arial"/>
          <w:szCs w:val="24"/>
        </w:rPr>
        <w:t>Tronto</w:t>
      </w:r>
      <w:proofErr w:type="spellEnd"/>
      <w:r w:rsidRPr="002D0A35">
        <w:rPr>
          <w:rFonts w:ascii="Arial" w:hAnsi="Arial" w:cs="Arial"/>
          <w:szCs w:val="24"/>
        </w:rPr>
        <w:t>, J.C., (2013). Caring democracy: Markets, equality, and justice. In Caring democracy. New York University Press.</w:t>
      </w:r>
    </w:p>
    <w:p w14:paraId="077C871B"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Vanlaere, L. and </w:t>
      </w:r>
      <w:proofErr w:type="spellStart"/>
      <w:r w:rsidRPr="002D0A35">
        <w:rPr>
          <w:rFonts w:ascii="Arial" w:hAnsi="Arial" w:cs="Arial"/>
          <w:szCs w:val="24"/>
        </w:rPr>
        <w:t>Gastmans</w:t>
      </w:r>
      <w:proofErr w:type="spellEnd"/>
      <w:r w:rsidRPr="002D0A35">
        <w:rPr>
          <w:rFonts w:ascii="Arial" w:hAnsi="Arial" w:cs="Arial"/>
          <w:szCs w:val="24"/>
        </w:rPr>
        <w:t>, C., (2011). A personalist approach to care ethics. Nursing ethics, 18(2), pp.161-173.</w:t>
      </w:r>
    </w:p>
    <w:p w14:paraId="4F57D1DA" w14:textId="77777777" w:rsidR="00D605C7" w:rsidRPr="002D0A35" w:rsidRDefault="00D605C7" w:rsidP="00D605C7">
      <w:pPr>
        <w:tabs>
          <w:tab w:val="left" w:pos="6540"/>
        </w:tabs>
        <w:spacing w:line="360" w:lineRule="auto"/>
        <w:rPr>
          <w:rFonts w:ascii="Arial" w:hAnsi="Arial" w:cs="Arial"/>
          <w:szCs w:val="24"/>
        </w:rPr>
      </w:pPr>
      <w:r w:rsidRPr="002D0A35">
        <w:rPr>
          <w:rFonts w:ascii="Arial" w:hAnsi="Arial" w:cs="Arial"/>
          <w:szCs w:val="24"/>
        </w:rPr>
        <w:t xml:space="preserve">Weng, S.S., (2022). Ethics in integrated health care: Social workers’ perspective. Ethics &amp; </w:t>
      </w:r>
      <w:proofErr w:type="spellStart"/>
      <w:r w:rsidRPr="002D0A35">
        <w:rPr>
          <w:rFonts w:ascii="Arial" w:hAnsi="Arial" w:cs="Arial"/>
          <w:szCs w:val="24"/>
        </w:rPr>
        <w:t>Behavior</w:t>
      </w:r>
      <w:proofErr w:type="spellEnd"/>
      <w:r w:rsidRPr="002D0A35">
        <w:rPr>
          <w:rFonts w:ascii="Arial" w:hAnsi="Arial" w:cs="Arial"/>
          <w:szCs w:val="24"/>
        </w:rPr>
        <w:t>, 32(3), pp.259-272.</w:t>
      </w:r>
    </w:p>
    <w:p w14:paraId="771A7720" w14:textId="77777777" w:rsidR="00D605C7" w:rsidRPr="002D0A35" w:rsidRDefault="00D605C7" w:rsidP="00D605C7">
      <w:pPr>
        <w:tabs>
          <w:tab w:val="left" w:pos="6540"/>
        </w:tabs>
        <w:spacing w:line="360" w:lineRule="auto"/>
        <w:rPr>
          <w:rFonts w:ascii="Arial" w:hAnsi="Arial" w:cs="Arial"/>
          <w:sz w:val="28"/>
          <w:szCs w:val="28"/>
        </w:rPr>
      </w:pPr>
    </w:p>
    <w:p w14:paraId="3066BA27" w14:textId="77777777" w:rsidR="00D605C7" w:rsidRPr="002D0A35" w:rsidRDefault="00D605C7" w:rsidP="00C03A91">
      <w:pPr>
        <w:tabs>
          <w:tab w:val="left" w:pos="6540"/>
        </w:tabs>
        <w:spacing w:line="360" w:lineRule="auto"/>
        <w:rPr>
          <w:rFonts w:ascii="Arial" w:hAnsi="Arial" w:cs="Arial"/>
          <w:sz w:val="28"/>
          <w:szCs w:val="28"/>
        </w:rPr>
      </w:pPr>
    </w:p>
    <w:sectPr w:rsidR="00D605C7" w:rsidRPr="002D0A35" w:rsidSect="0037028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F7A81" w14:textId="77777777" w:rsidR="00111C16" w:rsidRDefault="00111C16" w:rsidP="00C03A91">
      <w:pPr>
        <w:spacing w:after="0" w:line="240" w:lineRule="auto"/>
      </w:pPr>
      <w:r>
        <w:separator/>
      </w:r>
    </w:p>
  </w:endnote>
  <w:endnote w:type="continuationSeparator" w:id="0">
    <w:p w14:paraId="065942FA" w14:textId="77777777" w:rsidR="00111C16" w:rsidRDefault="00111C16"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AC5D4" w14:textId="77777777" w:rsidR="00111C16" w:rsidRDefault="00111C16" w:rsidP="00C03A91">
      <w:pPr>
        <w:spacing w:after="0" w:line="240" w:lineRule="auto"/>
      </w:pPr>
      <w:r>
        <w:separator/>
      </w:r>
    </w:p>
  </w:footnote>
  <w:footnote w:type="continuationSeparator" w:id="0">
    <w:p w14:paraId="3CB9BB67" w14:textId="77777777" w:rsidR="00111C16" w:rsidRDefault="00111C16"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9C065D"/>
    <w:multiLevelType w:val="hybridMultilevel"/>
    <w:tmpl w:val="8BB041B2"/>
    <w:lvl w:ilvl="0" w:tplc="53D0B87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277C19"/>
    <w:multiLevelType w:val="hybridMultilevel"/>
    <w:tmpl w:val="544087BA"/>
    <w:lvl w:ilvl="0" w:tplc="CD60507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9D2409"/>
    <w:multiLevelType w:val="hybridMultilevel"/>
    <w:tmpl w:val="17381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2944685">
    <w:abstractNumId w:val="1"/>
  </w:num>
  <w:num w:numId="2" w16cid:durableId="1940680655">
    <w:abstractNumId w:val="0"/>
  </w:num>
  <w:num w:numId="3" w16cid:durableId="342167121">
    <w:abstractNumId w:val="3"/>
  </w:num>
  <w:num w:numId="4" w16cid:durableId="848447299">
    <w:abstractNumId w:val="2"/>
  </w:num>
  <w:num w:numId="5" w16cid:durableId="1027561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E0F"/>
    <w:rsid w:val="00020A00"/>
    <w:rsid w:val="00076AC0"/>
    <w:rsid w:val="000B17F2"/>
    <w:rsid w:val="000C4EDA"/>
    <w:rsid w:val="00111C16"/>
    <w:rsid w:val="001B7A40"/>
    <w:rsid w:val="001F6DDB"/>
    <w:rsid w:val="00216C85"/>
    <w:rsid w:val="00273EDD"/>
    <w:rsid w:val="002C3965"/>
    <w:rsid w:val="002D0A35"/>
    <w:rsid w:val="002D5EDB"/>
    <w:rsid w:val="00321C4C"/>
    <w:rsid w:val="00370282"/>
    <w:rsid w:val="004577F7"/>
    <w:rsid w:val="005247B0"/>
    <w:rsid w:val="0056104F"/>
    <w:rsid w:val="00563AF8"/>
    <w:rsid w:val="0057616D"/>
    <w:rsid w:val="005851AD"/>
    <w:rsid w:val="005C5F3B"/>
    <w:rsid w:val="005D7E92"/>
    <w:rsid w:val="007A1B39"/>
    <w:rsid w:val="007A7297"/>
    <w:rsid w:val="007E7745"/>
    <w:rsid w:val="008353D4"/>
    <w:rsid w:val="00852806"/>
    <w:rsid w:val="008942A0"/>
    <w:rsid w:val="009023BC"/>
    <w:rsid w:val="00940407"/>
    <w:rsid w:val="00980FD0"/>
    <w:rsid w:val="00986F78"/>
    <w:rsid w:val="00995C46"/>
    <w:rsid w:val="009D1D1E"/>
    <w:rsid w:val="00A035FD"/>
    <w:rsid w:val="00A30248"/>
    <w:rsid w:val="00AA4DD8"/>
    <w:rsid w:val="00BA4C65"/>
    <w:rsid w:val="00BE6943"/>
    <w:rsid w:val="00BF7262"/>
    <w:rsid w:val="00C03A91"/>
    <w:rsid w:val="00CA564E"/>
    <w:rsid w:val="00CD2863"/>
    <w:rsid w:val="00CD73C3"/>
    <w:rsid w:val="00CE7A90"/>
    <w:rsid w:val="00D23057"/>
    <w:rsid w:val="00D605C7"/>
    <w:rsid w:val="00D73FB0"/>
    <w:rsid w:val="00D870AB"/>
    <w:rsid w:val="00DA2A1E"/>
    <w:rsid w:val="00DB6D4B"/>
    <w:rsid w:val="00DE477A"/>
    <w:rsid w:val="00E2038D"/>
    <w:rsid w:val="00E92200"/>
    <w:rsid w:val="00EB12BC"/>
    <w:rsid w:val="00F137E3"/>
    <w:rsid w:val="00F23281"/>
    <w:rsid w:val="00F44C8F"/>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E03E95B8-CA8B-6841-89AD-42CBBCC5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3087</Words>
  <Characters>17601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elisha HAK</cp:lastModifiedBy>
  <cp:revision>2</cp:revision>
  <dcterms:created xsi:type="dcterms:W3CDTF">2026-07-31T12:48:00Z</dcterms:created>
  <dcterms:modified xsi:type="dcterms:W3CDTF">2026-07-31T12:48:00Z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dade0373-29ad-46b1-9dff-d2e332f6c911</vt:lpwstr>
  </property>
</Properties>
</file>