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AC493" w14:textId="3F2E3950" w:rsidR="00924A27" w:rsidRPr="00924A27" w:rsidRDefault="00924A27" w:rsidP="00924A27">
      <w:pPr>
        <w:spacing w:line="480" w:lineRule="auto"/>
        <w:jc w:val="center"/>
        <w:rPr>
          <w:rFonts w:ascii="Times New Roman" w:hAnsi="Times New Roman" w:cs="Times New Roman"/>
          <w:b/>
          <w:bCs/>
          <w:sz w:val="32"/>
          <w:szCs w:val="32"/>
          <w:u w:val="thick"/>
        </w:rPr>
      </w:pPr>
      <w:r w:rsidRPr="00924A27">
        <w:rPr>
          <w:rFonts w:ascii="Times New Roman" w:hAnsi="Times New Roman" w:cs="Times New Roman"/>
          <w:b/>
          <w:bCs/>
          <w:sz w:val="32"/>
          <w:szCs w:val="32"/>
          <w:u w:val="thick"/>
        </w:rPr>
        <w:t>Financial Ratio Analysis of B&amp;M European Value Retail S.A.</w:t>
      </w:r>
    </w:p>
    <w:p w14:paraId="65DD28A4" w14:textId="785AA877" w:rsidR="00924A27" w:rsidRPr="00924A27" w:rsidRDefault="00924A27" w:rsidP="00924A27">
      <w:pPr>
        <w:spacing w:line="480" w:lineRule="auto"/>
        <w:jc w:val="center"/>
        <w:rPr>
          <w:rFonts w:ascii="Times New Roman" w:hAnsi="Times New Roman" w:cs="Times New Roman"/>
          <w:b/>
          <w:bCs/>
          <w:sz w:val="32"/>
          <w:szCs w:val="32"/>
          <w:u w:val="thick"/>
        </w:rPr>
      </w:pPr>
      <w:r w:rsidRPr="00924A27">
        <w:rPr>
          <w:rFonts w:ascii="Times New Roman" w:hAnsi="Times New Roman" w:cs="Times New Roman"/>
          <w:b/>
          <w:bCs/>
          <w:sz w:val="32"/>
          <w:szCs w:val="32"/>
          <w:u w:val="thick"/>
        </w:rPr>
        <w:t>2024-2025</w:t>
      </w:r>
    </w:p>
    <w:p w14:paraId="08891541" w14:textId="77777777" w:rsidR="00924A27" w:rsidRDefault="00924A27" w:rsidP="007000B0">
      <w:pPr>
        <w:spacing w:line="480" w:lineRule="auto"/>
        <w:rPr>
          <w:rFonts w:ascii="Times New Roman" w:hAnsi="Times New Roman" w:cs="Times New Roman"/>
          <w:b/>
          <w:bCs/>
          <w:u w:val="thick"/>
        </w:rPr>
      </w:pPr>
    </w:p>
    <w:p w14:paraId="0C8A51F5" w14:textId="0FB4074F"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t xml:space="preserve">Introduction </w:t>
      </w:r>
    </w:p>
    <w:p w14:paraId="35D5A0AB" w14:textId="77777777" w:rsid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This report evaluates the performance of B&amp;M European Value Retail S.A., using its Annual Report and Accounts 2025 and Annual Report and Accounts 2024, as a major European discount retailer, based </w:t>
      </w:r>
      <w:r>
        <w:rPr>
          <w:rFonts w:ascii="Times New Roman" w:hAnsi="Times New Roman" w:cs="Times New Roman"/>
        </w:rPr>
        <w:t>in</w:t>
      </w:r>
      <w:r w:rsidRPr="007000B0">
        <w:rPr>
          <w:rFonts w:ascii="Times New Roman" w:hAnsi="Times New Roman" w:cs="Times New Roman"/>
        </w:rPr>
        <w:t xml:space="preserve"> the B&amp;M UK, France and Heron Foods. Financial statement analysis is an important tool which helps in evaluating a company </w:t>
      </w:r>
      <w:r w:rsidRPr="007000B0">
        <w:rPr>
          <w:rFonts w:ascii="Times New Roman" w:hAnsi="Times New Roman" w:cs="Times New Roman"/>
        </w:rPr>
        <w:t>about</w:t>
      </w:r>
      <w:r w:rsidRPr="007000B0">
        <w:rPr>
          <w:rFonts w:ascii="Times New Roman" w:hAnsi="Times New Roman" w:cs="Times New Roman"/>
        </w:rPr>
        <w:t xml:space="preserve"> its profitability, liquidity, efficiency and long-term financial strength; therefore</w:t>
      </w:r>
      <w:r>
        <w:rPr>
          <w:rFonts w:ascii="Times New Roman" w:hAnsi="Times New Roman" w:cs="Times New Roman"/>
        </w:rPr>
        <w:t>,</w:t>
      </w:r>
      <w:r w:rsidRPr="007000B0">
        <w:rPr>
          <w:rFonts w:ascii="Times New Roman" w:hAnsi="Times New Roman" w:cs="Times New Roman"/>
        </w:rPr>
        <w:t xml:space="preserve"> it allows for better </w:t>
      </w:r>
      <w:r>
        <w:rPr>
          <w:rFonts w:ascii="Times New Roman" w:hAnsi="Times New Roman" w:cs="Times New Roman"/>
        </w:rPr>
        <w:t>decision-making</w:t>
      </w:r>
      <w:r w:rsidRPr="007000B0">
        <w:rPr>
          <w:rFonts w:ascii="Times New Roman" w:hAnsi="Times New Roman" w:cs="Times New Roman"/>
        </w:rPr>
        <w:t xml:space="preserve"> by both the company itself </w:t>
      </w:r>
      <w:r>
        <w:rPr>
          <w:rFonts w:ascii="Times New Roman" w:hAnsi="Times New Roman" w:cs="Times New Roman"/>
        </w:rPr>
        <w:t>and</w:t>
      </w:r>
      <w:r w:rsidRPr="007000B0">
        <w:rPr>
          <w:rFonts w:ascii="Times New Roman" w:hAnsi="Times New Roman" w:cs="Times New Roman"/>
        </w:rPr>
        <w:t xml:space="preserve"> potential investors. (Olayinka, 2022; Lee, 2023). The Annual Reports for FY25 and FY24 were used for evaluation purposes. Due to FY24 being 53 weeks long compared to 52 weeks for FY25, it is important to evaluate profitability using only the 52-week comparable EBITDA figures.</w:t>
      </w:r>
    </w:p>
    <w:p w14:paraId="2A9B4440" w14:textId="5E62F23F"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B&amp;M’s revenues increased from £5,484m in FY24 to £5,571m in FY25, inclusive of the 52-week comparable revenues from £5,372m to £5,571m; however</w:t>
      </w:r>
      <w:r>
        <w:rPr>
          <w:rFonts w:ascii="Times New Roman" w:hAnsi="Times New Roman" w:cs="Times New Roman"/>
        </w:rPr>
        <w:t>,</w:t>
      </w:r>
      <w:r w:rsidRPr="007000B0">
        <w:rPr>
          <w:rFonts w:ascii="Times New Roman" w:hAnsi="Times New Roman" w:cs="Times New Roman"/>
        </w:rPr>
        <w:t xml:space="preserve"> there has been a decrease in profitability. Adjusted EBITDA for the 52-week comparable basis decreased from £602m in FY24 to £591m in FY25</w:t>
      </w:r>
      <w:r>
        <w:rPr>
          <w:rFonts w:ascii="Times New Roman" w:hAnsi="Times New Roman" w:cs="Times New Roman"/>
        </w:rPr>
        <w:t>,</w:t>
      </w:r>
      <w:r w:rsidRPr="007000B0">
        <w:rPr>
          <w:rFonts w:ascii="Times New Roman" w:hAnsi="Times New Roman" w:cs="Times New Roman"/>
        </w:rPr>
        <w:t xml:space="preserve"> and the statutory profit before tax decreased from £498m in FY24 to £431m in FY25. Free cash flow after tax also decreased from £382m in FY24 to £311m in FY25.</w:t>
      </w:r>
    </w:p>
    <w:p w14:paraId="006E0850" w14:textId="102E7C5A" w:rsidR="007000B0" w:rsidRDefault="007000B0" w:rsidP="007000B0">
      <w:pPr>
        <w:spacing w:line="480" w:lineRule="auto"/>
        <w:rPr>
          <w:rFonts w:ascii="Times New Roman" w:hAnsi="Times New Roman" w:cs="Times New Roman"/>
        </w:rPr>
      </w:pPr>
      <w:r w:rsidRPr="007000B0">
        <w:rPr>
          <w:rFonts w:ascii="Times New Roman" w:hAnsi="Times New Roman" w:cs="Times New Roman"/>
        </w:rPr>
        <w:t>Current assets increased from £1,046m to £1,343m; however</w:t>
      </w:r>
      <w:r>
        <w:rPr>
          <w:rFonts w:ascii="Times New Roman" w:hAnsi="Times New Roman" w:cs="Times New Roman"/>
        </w:rPr>
        <w:t>,</w:t>
      </w:r>
      <w:r w:rsidRPr="007000B0">
        <w:rPr>
          <w:rFonts w:ascii="Times New Roman" w:hAnsi="Times New Roman" w:cs="Times New Roman"/>
        </w:rPr>
        <w:t xml:space="preserve"> current liabilities also went from £794m to £997m. Inventory increased significantly from £776m in FY24 to £883m in FY25, while cash increased from £182m in FY24 to £217m in FY25. Total assets also increased from £3,625m in FY24 to £4,007m in FY25; however</w:t>
      </w:r>
      <w:r>
        <w:rPr>
          <w:rFonts w:ascii="Times New Roman" w:hAnsi="Times New Roman" w:cs="Times New Roman"/>
        </w:rPr>
        <w:t>,</w:t>
      </w:r>
      <w:r w:rsidRPr="007000B0">
        <w:rPr>
          <w:rFonts w:ascii="Times New Roman" w:hAnsi="Times New Roman" w:cs="Times New Roman"/>
        </w:rPr>
        <w:t xml:space="preserve"> total liabilities increased </w:t>
      </w:r>
      <w:r w:rsidRPr="007000B0">
        <w:rPr>
          <w:rFonts w:ascii="Times New Roman" w:hAnsi="Times New Roman" w:cs="Times New Roman"/>
        </w:rPr>
        <w:lastRenderedPageBreak/>
        <w:t xml:space="preserve">from £2,891m in FY24 to £3,255m in FY25. Finally, equity has remained negative at </w:t>
      </w:r>
      <w:r w:rsidRPr="007000B0">
        <w:rPr>
          <w:rFonts w:ascii="Times New Roman" w:hAnsi="Times New Roman" w:cs="Times New Roman"/>
        </w:rPr>
        <w:t>£ (734) m</w:t>
      </w:r>
      <w:r w:rsidRPr="007000B0">
        <w:rPr>
          <w:rFonts w:ascii="Times New Roman" w:hAnsi="Times New Roman" w:cs="Times New Roman"/>
        </w:rPr>
        <w:t xml:space="preserve"> FY24 and FY25, </w:t>
      </w:r>
      <w:r w:rsidRPr="007000B0">
        <w:rPr>
          <w:rFonts w:ascii="Times New Roman" w:hAnsi="Times New Roman" w:cs="Times New Roman"/>
        </w:rPr>
        <w:t>because of</w:t>
      </w:r>
      <w:r w:rsidRPr="007000B0">
        <w:rPr>
          <w:rFonts w:ascii="Times New Roman" w:hAnsi="Times New Roman" w:cs="Times New Roman"/>
        </w:rPr>
        <w:t xml:space="preserve"> the group’s capital structure, with much of the capital paid to shareholders and not as evidence of imminent </w:t>
      </w:r>
      <w:r w:rsidRPr="007000B0">
        <w:rPr>
          <w:rFonts w:ascii="Times New Roman" w:hAnsi="Times New Roman" w:cs="Times New Roman"/>
        </w:rPr>
        <w:t>insolvency.</w:t>
      </w:r>
    </w:p>
    <w:p w14:paraId="155694D8" w14:textId="62652FF5"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t>Ratios</w:t>
      </w:r>
      <w:r w:rsidRPr="007000B0">
        <w:rPr>
          <w:rFonts w:ascii="Times New Roman" w:hAnsi="Times New Roman" w:cs="Times New Roman"/>
          <w:b/>
          <w:bCs/>
          <w:u w:val="thick"/>
        </w:rPr>
        <w:t xml:space="preserve"> for Profitability</w:t>
      </w:r>
    </w:p>
    <w:p w14:paraId="3598E5D5" w14:textId="4D8FFF93" w:rsidR="007000B0" w:rsidRPr="00924A27" w:rsidRDefault="007000B0" w:rsidP="00924A27">
      <w:pPr>
        <w:pStyle w:val="ListParagraph"/>
        <w:numPr>
          <w:ilvl w:val="0"/>
          <w:numId w:val="6"/>
        </w:numPr>
        <w:spacing w:line="480" w:lineRule="auto"/>
        <w:rPr>
          <w:rFonts w:ascii="Times New Roman" w:hAnsi="Times New Roman" w:cs="Times New Roman"/>
          <w:b/>
          <w:bCs/>
          <w:u w:val="thick"/>
        </w:rPr>
      </w:pPr>
      <w:r w:rsidRPr="00924A27">
        <w:rPr>
          <w:rFonts w:ascii="Times New Roman" w:hAnsi="Times New Roman" w:cs="Times New Roman"/>
          <w:b/>
          <w:bCs/>
          <w:u w:val="thick"/>
        </w:rPr>
        <w:t>Margins for Gross Profits</w:t>
      </w:r>
    </w:p>
    <w:p w14:paraId="6CA5E2B3" w14:textId="033A848B"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A slight increase was achieved by B&amp;M </w:t>
      </w:r>
      <w:r>
        <w:rPr>
          <w:rFonts w:ascii="Times New Roman" w:hAnsi="Times New Roman" w:cs="Times New Roman"/>
        </w:rPr>
        <w:t>in</w:t>
      </w:r>
      <w:r w:rsidRPr="007000B0">
        <w:rPr>
          <w:rFonts w:ascii="Times New Roman" w:hAnsi="Times New Roman" w:cs="Times New Roman"/>
        </w:rPr>
        <w:t xml:space="preserve"> its gross profit margin. On a comparable 52-week basis, gross profits increased from £1,993m to £2,092m, resulting in a gross profit margin increase from 37.1% to 37.6%. This demonstrates B&amp;M's ability to continue purchasing effectively while maintaining product margins. The report indicates that this could be attributed to B&amp;M's improved General Merchandise mix</w:t>
      </w:r>
      <w:r>
        <w:rPr>
          <w:rFonts w:ascii="Times New Roman" w:hAnsi="Times New Roman" w:cs="Times New Roman"/>
        </w:rPr>
        <w:t>,</w:t>
      </w:r>
      <w:r w:rsidRPr="007000B0">
        <w:rPr>
          <w:rFonts w:ascii="Times New Roman" w:hAnsi="Times New Roman" w:cs="Times New Roman"/>
        </w:rPr>
        <w:t xml:space="preserve"> along with strong customer sales through clean sell-through, as evidenced by the 0.5% increase in statutory gross margin from 36.9% to 37.4%. In addition, research supports that gross margin trend analysis provides a good measure of operational competitiveness and pricing strength (Lee, 2023).</w:t>
      </w:r>
    </w:p>
    <w:p w14:paraId="44A1B17F" w14:textId="6882E39A" w:rsidR="007000B0" w:rsidRPr="00924A27" w:rsidRDefault="007000B0" w:rsidP="00924A27">
      <w:pPr>
        <w:pStyle w:val="ListParagraph"/>
        <w:numPr>
          <w:ilvl w:val="0"/>
          <w:numId w:val="6"/>
        </w:numPr>
        <w:spacing w:line="480" w:lineRule="auto"/>
        <w:rPr>
          <w:rFonts w:ascii="Times New Roman" w:hAnsi="Times New Roman" w:cs="Times New Roman"/>
          <w:b/>
          <w:bCs/>
          <w:u w:val="thick"/>
        </w:rPr>
      </w:pPr>
      <w:r w:rsidRPr="00924A27">
        <w:rPr>
          <w:rFonts w:ascii="Times New Roman" w:hAnsi="Times New Roman" w:cs="Times New Roman"/>
          <w:b/>
          <w:bCs/>
          <w:u w:val="thick"/>
        </w:rPr>
        <w:t>Margins for Operating Profits</w:t>
      </w:r>
    </w:p>
    <w:p w14:paraId="017DADA1" w14:textId="1BE720C8"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The operating profit margin showed a deterioration when compared to the prior year. On a recasting 52-week basis, the operating profit margin fell from 11.2% (£602m/£5,372m) for FY24 to 10.6% (£591m/£5,571m) for FY25. It was reported that one of the key reasons for this decline was that B&amp;M incurred additional operating costs </w:t>
      </w:r>
      <w:r w:rsidRPr="007000B0">
        <w:rPr>
          <w:rFonts w:ascii="Times New Roman" w:hAnsi="Times New Roman" w:cs="Times New Roman"/>
        </w:rPr>
        <w:t>because of</w:t>
      </w:r>
      <w:r w:rsidRPr="007000B0">
        <w:rPr>
          <w:rFonts w:ascii="Times New Roman" w:hAnsi="Times New Roman" w:cs="Times New Roman"/>
        </w:rPr>
        <w:t xml:space="preserve"> a 10% increase in the National Minimum Wage, as well as due to declining like-for-like sales in B&amp;M UK (where </w:t>
      </w:r>
      <w:r>
        <w:rPr>
          <w:rFonts w:ascii="Times New Roman" w:hAnsi="Times New Roman" w:cs="Times New Roman"/>
        </w:rPr>
        <w:t>the company's</w:t>
      </w:r>
      <w:r w:rsidRPr="007000B0">
        <w:rPr>
          <w:rFonts w:ascii="Times New Roman" w:hAnsi="Times New Roman" w:cs="Times New Roman"/>
        </w:rPr>
        <w:t xml:space="preserve"> sales decreased by 3.1%). Although the number of stores opened was increasing, B&amp;M's core estate was performing less significantly</w:t>
      </w:r>
      <w:r>
        <w:rPr>
          <w:rFonts w:ascii="Times New Roman" w:hAnsi="Times New Roman" w:cs="Times New Roman"/>
        </w:rPr>
        <w:t>,</w:t>
      </w:r>
      <w:r w:rsidRPr="007000B0">
        <w:rPr>
          <w:rFonts w:ascii="Times New Roman" w:hAnsi="Times New Roman" w:cs="Times New Roman"/>
        </w:rPr>
        <w:t xml:space="preserve"> and cost inflation also reduced B&amp;M's operating leverage capacity.</w:t>
      </w:r>
    </w:p>
    <w:p w14:paraId="5E7654F5" w14:textId="77777777" w:rsidR="00924A27" w:rsidRDefault="00924A27" w:rsidP="007000B0">
      <w:pPr>
        <w:spacing w:line="480" w:lineRule="auto"/>
        <w:rPr>
          <w:rFonts w:ascii="Times New Roman" w:hAnsi="Times New Roman" w:cs="Times New Roman"/>
          <w:b/>
          <w:bCs/>
          <w:u w:val="thick"/>
        </w:rPr>
      </w:pPr>
    </w:p>
    <w:p w14:paraId="73BDCEC2" w14:textId="14EA172D" w:rsidR="007000B0" w:rsidRPr="00924A27" w:rsidRDefault="007000B0" w:rsidP="00924A27">
      <w:pPr>
        <w:pStyle w:val="ListParagraph"/>
        <w:numPr>
          <w:ilvl w:val="0"/>
          <w:numId w:val="6"/>
        </w:numPr>
        <w:spacing w:line="480" w:lineRule="auto"/>
        <w:rPr>
          <w:rFonts w:ascii="Times New Roman" w:hAnsi="Times New Roman" w:cs="Times New Roman"/>
          <w:b/>
          <w:bCs/>
          <w:u w:val="thick"/>
        </w:rPr>
      </w:pPr>
      <w:r w:rsidRPr="00924A27">
        <w:rPr>
          <w:rFonts w:ascii="Times New Roman" w:hAnsi="Times New Roman" w:cs="Times New Roman"/>
          <w:b/>
          <w:bCs/>
          <w:u w:val="thick"/>
        </w:rPr>
        <w:lastRenderedPageBreak/>
        <w:t>Margins for Net Profits</w:t>
      </w:r>
    </w:p>
    <w:p w14:paraId="695542AF" w14:textId="139C734B"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The decline in net profit margins was </w:t>
      </w:r>
      <w:r w:rsidRPr="007000B0">
        <w:rPr>
          <w:rFonts w:ascii="Times New Roman" w:hAnsi="Times New Roman" w:cs="Times New Roman"/>
        </w:rPr>
        <w:t>like</w:t>
      </w:r>
      <w:r w:rsidRPr="007000B0">
        <w:rPr>
          <w:rFonts w:ascii="Times New Roman" w:hAnsi="Times New Roman" w:cs="Times New Roman"/>
        </w:rPr>
        <w:t xml:space="preserve"> that of operating profit margins. Using statutory pre-tax profit measurements as the basis of analysis indicated a decline in net profit margins from 9.1% for FY24 (£498m/£5,484m) to 7.7% for FY25 (£431m/£5,571m). The decline in net margin was, therefore, greater than the decline in operating margins</w:t>
      </w:r>
      <w:r>
        <w:rPr>
          <w:rFonts w:ascii="Times New Roman" w:hAnsi="Times New Roman" w:cs="Times New Roman"/>
        </w:rPr>
        <w:t>,</w:t>
      </w:r>
      <w:r w:rsidRPr="007000B0">
        <w:rPr>
          <w:rFonts w:ascii="Times New Roman" w:hAnsi="Times New Roman" w:cs="Times New Roman"/>
        </w:rPr>
        <w:t xml:space="preserve"> indicating that B&amp;M experienced an increase in finance costs. Finance costs attributable to right-of-use assets rose from £69m to £77m</w:t>
      </w:r>
      <w:r>
        <w:rPr>
          <w:rFonts w:ascii="Times New Roman" w:hAnsi="Times New Roman" w:cs="Times New Roman"/>
        </w:rPr>
        <w:t>,</w:t>
      </w:r>
      <w:r w:rsidRPr="007000B0">
        <w:rPr>
          <w:rFonts w:ascii="Times New Roman" w:hAnsi="Times New Roman" w:cs="Times New Roman"/>
        </w:rPr>
        <w:t xml:space="preserve"> and other net finance costs rose from £40m to £59m.</w:t>
      </w:r>
      <w:r>
        <w:rPr>
          <w:rFonts w:ascii="Times New Roman" w:hAnsi="Times New Roman" w:cs="Times New Roman"/>
        </w:rPr>
        <w:t xml:space="preserve"> </w:t>
      </w:r>
      <w:r w:rsidRPr="007000B0">
        <w:rPr>
          <w:rFonts w:ascii="Times New Roman" w:hAnsi="Times New Roman" w:cs="Times New Roman"/>
        </w:rPr>
        <w:t xml:space="preserve">As stated by </w:t>
      </w:r>
      <w:proofErr w:type="spellStart"/>
      <w:r w:rsidRPr="007000B0">
        <w:rPr>
          <w:rFonts w:ascii="Times New Roman" w:hAnsi="Times New Roman" w:cs="Times New Roman"/>
        </w:rPr>
        <w:t>Arhinful</w:t>
      </w:r>
      <w:proofErr w:type="spellEnd"/>
      <w:r w:rsidRPr="007000B0">
        <w:rPr>
          <w:rFonts w:ascii="Times New Roman" w:hAnsi="Times New Roman" w:cs="Times New Roman"/>
        </w:rPr>
        <w:t xml:space="preserve"> and Radmehr (2023), increased leverage can negatively affect financial performance if the costs of borrowing are increased.</w:t>
      </w:r>
    </w:p>
    <w:p w14:paraId="2A0A7ED3" w14:textId="376AE46E" w:rsidR="007000B0" w:rsidRPr="00924A27" w:rsidRDefault="007000B0" w:rsidP="00924A27">
      <w:pPr>
        <w:pStyle w:val="ListParagraph"/>
        <w:numPr>
          <w:ilvl w:val="0"/>
          <w:numId w:val="6"/>
        </w:numPr>
        <w:spacing w:line="480" w:lineRule="auto"/>
        <w:rPr>
          <w:rFonts w:ascii="Times New Roman" w:hAnsi="Times New Roman" w:cs="Times New Roman"/>
          <w:b/>
          <w:bCs/>
          <w:u w:val="thick"/>
        </w:rPr>
      </w:pPr>
      <w:r w:rsidRPr="00924A27">
        <w:rPr>
          <w:rFonts w:ascii="Times New Roman" w:hAnsi="Times New Roman" w:cs="Times New Roman"/>
          <w:b/>
          <w:bCs/>
          <w:u w:val="thick"/>
        </w:rPr>
        <w:t>Liquidity Ratios</w:t>
      </w:r>
    </w:p>
    <w:p w14:paraId="57B9152D"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Although there was a slight increase in liquidity levels, they remained relatively constrained. The current ratio improved from 1.32:1 for FY24 to 1.35:1 for FY25. The acid-test ratio improved from 0.34:1 to 0.46:1 due to the increased cash and current financial assets held by B&amp;M. However, both ratios indicate that B&amp;M typically manages working capital efficiently rather than maintaining substantial liquid reserves. This is a common practice in value retailing and requires effective controls, budgeting and cash management as outlined by Isibor et al. (2022).</w:t>
      </w:r>
    </w:p>
    <w:p w14:paraId="0C241AA0" w14:textId="2C08B012" w:rsidR="007000B0" w:rsidRPr="00924A27" w:rsidRDefault="007000B0" w:rsidP="00924A27">
      <w:pPr>
        <w:pStyle w:val="ListParagraph"/>
        <w:numPr>
          <w:ilvl w:val="0"/>
          <w:numId w:val="6"/>
        </w:numPr>
        <w:spacing w:line="480" w:lineRule="auto"/>
        <w:rPr>
          <w:rFonts w:ascii="Times New Roman" w:hAnsi="Times New Roman" w:cs="Times New Roman"/>
          <w:b/>
          <w:bCs/>
          <w:u w:val="thick"/>
        </w:rPr>
      </w:pPr>
      <w:r w:rsidRPr="00924A27">
        <w:rPr>
          <w:rFonts w:ascii="Times New Roman" w:hAnsi="Times New Roman" w:cs="Times New Roman"/>
          <w:b/>
          <w:bCs/>
          <w:u w:val="thick"/>
        </w:rPr>
        <w:t>Efficiency Ratios</w:t>
      </w:r>
    </w:p>
    <w:p w14:paraId="018F0784"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Results for efficiency ratios were mixed. The inventory turnover has decreased from approximately 4.44 times in FY24 to 4.18 times for FY25, which is equivalent to approximately an increase from 82 days to 87 days of inventory. As indicated by the Chair, the only way to increase stock holdings is to increase inventory, which is a key contributor to the reduction in free cash flow during the year. Increased inventory levels were likely required to facilitate expansion as well as to provide service levels to customers, yet these </w:t>
      </w:r>
      <w:r w:rsidRPr="007000B0">
        <w:rPr>
          <w:rFonts w:ascii="Times New Roman" w:hAnsi="Times New Roman" w:cs="Times New Roman"/>
        </w:rPr>
        <w:lastRenderedPageBreak/>
        <w:t>levels will also result in higher levels of cash tied up in inventory. According to Renaldo (2022), the application of advanced business intelligence and analytics will allow for improved stock planning and financial optimisation, which is highly relevant in the current environment.</w:t>
      </w:r>
    </w:p>
    <w:p w14:paraId="4FB25D84" w14:textId="4548AF79"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t>Changes in Performance</w:t>
      </w:r>
    </w:p>
    <w:p w14:paraId="751B02D6" w14:textId="64E88E19"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Overall, the Company underperformed in FY25 relative to FY24, although sales continued to </w:t>
      </w:r>
      <w:r w:rsidRPr="007000B0">
        <w:rPr>
          <w:rFonts w:ascii="Times New Roman" w:hAnsi="Times New Roman" w:cs="Times New Roman"/>
        </w:rPr>
        <w:t xml:space="preserve">increase. </w:t>
      </w:r>
      <w:r>
        <w:rPr>
          <w:rFonts w:ascii="Times New Roman" w:hAnsi="Times New Roman" w:cs="Times New Roman"/>
        </w:rPr>
        <w:t xml:space="preserve"> </w:t>
      </w:r>
      <w:r w:rsidRPr="007000B0">
        <w:rPr>
          <w:rFonts w:ascii="Times New Roman" w:hAnsi="Times New Roman" w:cs="Times New Roman"/>
        </w:rPr>
        <w:t>Like</w:t>
      </w:r>
      <w:r w:rsidRPr="007000B0">
        <w:rPr>
          <w:rFonts w:ascii="Times New Roman" w:hAnsi="Times New Roman" w:cs="Times New Roman"/>
        </w:rPr>
        <w:t>-for-like sales in the UK, wage inflation, higher interest rates, and an increase in stock investment were the main factors affecting B&amp;M's recent financial results. There were also other factors affecting the company's results. Examples of these include:</w:t>
      </w:r>
    </w:p>
    <w:p w14:paraId="2848AF19" w14:textId="09993714" w:rsidR="007000B0" w:rsidRPr="007000B0" w:rsidRDefault="007000B0" w:rsidP="007000B0">
      <w:pPr>
        <w:pStyle w:val="ListParagraph"/>
        <w:numPr>
          <w:ilvl w:val="0"/>
          <w:numId w:val="1"/>
        </w:numPr>
        <w:spacing w:line="480" w:lineRule="auto"/>
        <w:rPr>
          <w:rFonts w:ascii="Times New Roman" w:hAnsi="Times New Roman" w:cs="Times New Roman"/>
        </w:rPr>
      </w:pPr>
      <w:r w:rsidRPr="007000B0">
        <w:rPr>
          <w:rFonts w:ascii="Times New Roman" w:hAnsi="Times New Roman" w:cs="Times New Roman"/>
        </w:rPr>
        <w:t xml:space="preserve">B&amp;M reported that weather outside of their normal seasons affected the sales of their gardening category, such that sales for this product line ended below expectations. </w:t>
      </w:r>
    </w:p>
    <w:p w14:paraId="07722688" w14:textId="0BD80A88" w:rsidR="007000B0" w:rsidRPr="007000B0" w:rsidRDefault="007000B0" w:rsidP="007000B0">
      <w:pPr>
        <w:pStyle w:val="ListParagraph"/>
        <w:numPr>
          <w:ilvl w:val="0"/>
          <w:numId w:val="1"/>
        </w:numPr>
        <w:spacing w:line="480" w:lineRule="auto"/>
        <w:rPr>
          <w:rFonts w:ascii="Times New Roman" w:hAnsi="Times New Roman" w:cs="Times New Roman"/>
        </w:rPr>
      </w:pPr>
      <w:r w:rsidRPr="007000B0">
        <w:rPr>
          <w:rFonts w:ascii="Times New Roman" w:hAnsi="Times New Roman" w:cs="Times New Roman"/>
        </w:rPr>
        <w:t xml:space="preserve">The timing of Easter relative to Q1 affected Q1 </w:t>
      </w:r>
      <w:r w:rsidRPr="007000B0">
        <w:rPr>
          <w:rFonts w:ascii="Times New Roman" w:hAnsi="Times New Roman" w:cs="Times New Roman"/>
        </w:rPr>
        <w:t>compared</w:t>
      </w:r>
      <w:r w:rsidRPr="007000B0">
        <w:rPr>
          <w:rFonts w:ascii="Times New Roman" w:hAnsi="Times New Roman" w:cs="Times New Roman"/>
        </w:rPr>
        <w:t xml:space="preserve"> with the normal year.</w:t>
      </w:r>
    </w:p>
    <w:p w14:paraId="413CD7B8" w14:textId="7641C1C7" w:rsidR="007000B0" w:rsidRPr="007000B0" w:rsidRDefault="007000B0" w:rsidP="007000B0">
      <w:pPr>
        <w:pStyle w:val="ListParagraph"/>
        <w:numPr>
          <w:ilvl w:val="0"/>
          <w:numId w:val="1"/>
        </w:numPr>
        <w:spacing w:line="480" w:lineRule="auto"/>
        <w:rPr>
          <w:rFonts w:ascii="Times New Roman" w:hAnsi="Times New Roman" w:cs="Times New Roman"/>
        </w:rPr>
      </w:pPr>
      <w:r w:rsidRPr="007000B0">
        <w:rPr>
          <w:rFonts w:ascii="Times New Roman" w:hAnsi="Times New Roman" w:cs="Times New Roman"/>
        </w:rPr>
        <w:t>Growth at the Heron format has moderated significantly after two exceptional years.</w:t>
      </w:r>
    </w:p>
    <w:p w14:paraId="562C7D0B" w14:textId="450D33EC"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However, new stores (in both the UK and France) continue to perform exceptionally well, France's sales increased 7.8%, and B&amp;M was able to maintain a robust gross margin. These points, taken together, suggest the company's business model is fundamentally strong; however, FY25 has also revealed a higher level of pressure </w:t>
      </w:r>
      <w:r>
        <w:rPr>
          <w:rFonts w:ascii="Times New Roman" w:hAnsi="Times New Roman" w:cs="Times New Roman"/>
        </w:rPr>
        <w:t>exists</w:t>
      </w:r>
      <w:r w:rsidRPr="007000B0">
        <w:rPr>
          <w:rFonts w:ascii="Times New Roman" w:hAnsi="Times New Roman" w:cs="Times New Roman"/>
        </w:rPr>
        <w:t xml:space="preserve"> on the company's ability to control costs and </w:t>
      </w:r>
      <w:r>
        <w:rPr>
          <w:rFonts w:ascii="Times New Roman" w:hAnsi="Times New Roman" w:cs="Times New Roman"/>
        </w:rPr>
        <w:t>maximise</w:t>
      </w:r>
      <w:r w:rsidRPr="007000B0">
        <w:rPr>
          <w:rFonts w:ascii="Times New Roman" w:hAnsi="Times New Roman" w:cs="Times New Roman"/>
        </w:rPr>
        <w:t xml:space="preserve"> the performance of mature stores. </w:t>
      </w:r>
    </w:p>
    <w:p w14:paraId="5A798BCD" w14:textId="77777777"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t>Recommend Areas for Improvement</w:t>
      </w:r>
    </w:p>
    <w:p w14:paraId="6D6F072B"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As B&amp;M moves forward, there are several areas where the company could increase its profitability. </w:t>
      </w:r>
    </w:p>
    <w:p w14:paraId="5772F94D" w14:textId="2BB46EAD" w:rsidR="007000B0" w:rsidRPr="007000B0" w:rsidRDefault="007000B0" w:rsidP="007000B0">
      <w:pPr>
        <w:pStyle w:val="ListParagraph"/>
        <w:numPr>
          <w:ilvl w:val="0"/>
          <w:numId w:val="3"/>
        </w:numPr>
        <w:spacing w:line="480" w:lineRule="auto"/>
        <w:rPr>
          <w:rFonts w:ascii="Times New Roman" w:hAnsi="Times New Roman" w:cs="Times New Roman"/>
        </w:rPr>
      </w:pPr>
      <w:r w:rsidRPr="007000B0">
        <w:rPr>
          <w:rFonts w:ascii="Times New Roman" w:hAnsi="Times New Roman" w:cs="Times New Roman"/>
        </w:rPr>
        <w:t xml:space="preserve">First, B&amp;M can restore like-for-like sales growth by improving its merchandising, </w:t>
      </w:r>
      <w:r w:rsidRPr="007000B0">
        <w:rPr>
          <w:rFonts w:ascii="Times New Roman" w:hAnsi="Times New Roman" w:cs="Times New Roman"/>
        </w:rPr>
        <w:t>range</w:t>
      </w:r>
      <w:r w:rsidRPr="007000B0">
        <w:rPr>
          <w:rFonts w:ascii="Times New Roman" w:hAnsi="Times New Roman" w:cs="Times New Roman"/>
        </w:rPr>
        <w:t xml:space="preserve">, and overall store standards in the UK. </w:t>
      </w:r>
    </w:p>
    <w:p w14:paraId="70D2E266" w14:textId="080DED1B" w:rsidR="007000B0" w:rsidRPr="007000B0" w:rsidRDefault="007000B0" w:rsidP="007000B0">
      <w:pPr>
        <w:pStyle w:val="ListParagraph"/>
        <w:numPr>
          <w:ilvl w:val="0"/>
          <w:numId w:val="3"/>
        </w:numPr>
        <w:spacing w:line="480" w:lineRule="auto"/>
        <w:rPr>
          <w:rFonts w:ascii="Times New Roman" w:hAnsi="Times New Roman" w:cs="Times New Roman"/>
        </w:rPr>
      </w:pPr>
      <w:r w:rsidRPr="007000B0">
        <w:rPr>
          <w:rFonts w:ascii="Times New Roman" w:hAnsi="Times New Roman" w:cs="Times New Roman"/>
        </w:rPr>
        <w:lastRenderedPageBreak/>
        <w:t xml:space="preserve">Second, implementing tighter inventory management measures will release cash and improve working capital efficiency. </w:t>
      </w:r>
    </w:p>
    <w:p w14:paraId="654464AE" w14:textId="45E3CF02" w:rsidR="007000B0" w:rsidRPr="007000B0" w:rsidRDefault="007000B0" w:rsidP="007000B0">
      <w:pPr>
        <w:pStyle w:val="ListParagraph"/>
        <w:numPr>
          <w:ilvl w:val="0"/>
          <w:numId w:val="3"/>
        </w:numPr>
        <w:spacing w:line="480" w:lineRule="auto"/>
        <w:rPr>
          <w:rFonts w:ascii="Times New Roman" w:hAnsi="Times New Roman" w:cs="Times New Roman"/>
        </w:rPr>
      </w:pPr>
      <w:r w:rsidRPr="007000B0">
        <w:rPr>
          <w:rFonts w:ascii="Times New Roman" w:hAnsi="Times New Roman" w:cs="Times New Roman"/>
        </w:rPr>
        <w:t>Third, implementing predictive analytical tools can help with the forecast of demand and reduce the amount of excess inventory (</w:t>
      </w:r>
      <w:proofErr w:type="spellStart"/>
      <w:r w:rsidRPr="007000B0">
        <w:rPr>
          <w:rFonts w:ascii="Times New Roman" w:hAnsi="Times New Roman" w:cs="Times New Roman"/>
        </w:rPr>
        <w:t>Ojika</w:t>
      </w:r>
      <w:proofErr w:type="spellEnd"/>
      <w:r w:rsidRPr="007000B0">
        <w:rPr>
          <w:rFonts w:ascii="Times New Roman" w:hAnsi="Times New Roman" w:cs="Times New Roman"/>
        </w:rPr>
        <w:t xml:space="preserve"> et al., 2023). </w:t>
      </w:r>
    </w:p>
    <w:p w14:paraId="0BD74A58" w14:textId="6D567832" w:rsidR="007000B0" w:rsidRPr="007000B0" w:rsidRDefault="007000B0" w:rsidP="007000B0">
      <w:pPr>
        <w:pStyle w:val="ListParagraph"/>
        <w:numPr>
          <w:ilvl w:val="0"/>
          <w:numId w:val="3"/>
        </w:numPr>
        <w:spacing w:line="480" w:lineRule="auto"/>
        <w:rPr>
          <w:rFonts w:ascii="Times New Roman" w:hAnsi="Times New Roman" w:cs="Times New Roman"/>
        </w:rPr>
      </w:pPr>
      <w:r w:rsidRPr="007000B0">
        <w:rPr>
          <w:rFonts w:ascii="Times New Roman" w:hAnsi="Times New Roman" w:cs="Times New Roman"/>
        </w:rPr>
        <w:t>Fourth, B&amp;M should continue to carefully manage its borrowings</w:t>
      </w:r>
      <w:r>
        <w:rPr>
          <w:rFonts w:ascii="Times New Roman" w:hAnsi="Times New Roman" w:cs="Times New Roman"/>
        </w:rPr>
        <w:t>,</w:t>
      </w:r>
      <w:r w:rsidRPr="007000B0">
        <w:rPr>
          <w:rFonts w:ascii="Times New Roman" w:hAnsi="Times New Roman" w:cs="Times New Roman"/>
        </w:rPr>
        <w:t xml:space="preserve"> given that interest rates are increasing and will continue to rise. </w:t>
      </w:r>
    </w:p>
    <w:p w14:paraId="5D4BD15B" w14:textId="20124BFD" w:rsidR="007000B0" w:rsidRPr="007000B0" w:rsidRDefault="007000B0" w:rsidP="007000B0">
      <w:pPr>
        <w:pStyle w:val="ListParagraph"/>
        <w:numPr>
          <w:ilvl w:val="0"/>
          <w:numId w:val="3"/>
        </w:numPr>
        <w:spacing w:line="480" w:lineRule="auto"/>
        <w:rPr>
          <w:rFonts w:ascii="Times New Roman" w:hAnsi="Times New Roman" w:cs="Times New Roman"/>
        </w:rPr>
      </w:pPr>
      <w:r w:rsidRPr="007000B0">
        <w:rPr>
          <w:rFonts w:ascii="Times New Roman" w:hAnsi="Times New Roman" w:cs="Times New Roman"/>
        </w:rPr>
        <w:t xml:space="preserve">Fifth, greater investment in data-driven decision-making and operational intelligence may also help to improve margins and resource allocation (Renaldo &amp; Putri, 2023). </w:t>
      </w:r>
    </w:p>
    <w:p w14:paraId="30D2631B" w14:textId="77777777" w:rsidR="007000B0" w:rsidRDefault="007000B0" w:rsidP="007000B0">
      <w:pPr>
        <w:pStyle w:val="ListParagraph"/>
        <w:numPr>
          <w:ilvl w:val="0"/>
          <w:numId w:val="3"/>
        </w:numPr>
        <w:spacing w:line="480" w:lineRule="auto"/>
        <w:rPr>
          <w:rFonts w:ascii="Times New Roman" w:hAnsi="Times New Roman" w:cs="Times New Roman"/>
        </w:rPr>
      </w:pPr>
      <w:r w:rsidRPr="007000B0">
        <w:rPr>
          <w:rFonts w:ascii="Times New Roman" w:hAnsi="Times New Roman" w:cs="Times New Roman"/>
        </w:rPr>
        <w:t>Finally, B&amp;M should enhance its sustainability strategy as studies indicate that implementing sustainable business models, improving overall ESG quality, increasing CSR activity, and creating green innovation can help to account for long-term resilience and performance (</w:t>
      </w:r>
      <w:proofErr w:type="spellStart"/>
      <w:r w:rsidRPr="007000B0">
        <w:rPr>
          <w:rFonts w:ascii="Times New Roman" w:hAnsi="Times New Roman" w:cs="Times New Roman"/>
        </w:rPr>
        <w:t>Goffetti</w:t>
      </w:r>
      <w:proofErr w:type="spellEnd"/>
      <w:r w:rsidRPr="007000B0">
        <w:rPr>
          <w:rFonts w:ascii="Times New Roman" w:hAnsi="Times New Roman" w:cs="Times New Roman"/>
        </w:rPr>
        <w:t xml:space="preserve"> et al., 2022; Homayoun et al., 2023; </w:t>
      </w:r>
      <w:proofErr w:type="spellStart"/>
      <w:r w:rsidRPr="007000B0">
        <w:rPr>
          <w:rFonts w:ascii="Times New Roman" w:hAnsi="Times New Roman" w:cs="Times New Roman"/>
        </w:rPr>
        <w:t>Gawęda</w:t>
      </w:r>
      <w:proofErr w:type="spellEnd"/>
      <w:r w:rsidRPr="007000B0">
        <w:rPr>
          <w:rFonts w:ascii="Times New Roman" w:hAnsi="Times New Roman" w:cs="Times New Roman"/>
        </w:rPr>
        <w:t xml:space="preserve">, 2022). </w:t>
      </w:r>
    </w:p>
    <w:p w14:paraId="40AB8386" w14:textId="19A02C81"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For a retailer such as B&amp;M, this could include implementing lower energy stores, reducing packaging, </w:t>
      </w:r>
      <w:r>
        <w:rPr>
          <w:rFonts w:ascii="Times New Roman" w:hAnsi="Times New Roman" w:cs="Times New Roman"/>
        </w:rPr>
        <w:t xml:space="preserve">and </w:t>
      </w:r>
      <w:r w:rsidRPr="007000B0">
        <w:rPr>
          <w:rFonts w:ascii="Times New Roman" w:hAnsi="Times New Roman" w:cs="Times New Roman"/>
        </w:rPr>
        <w:t>implementing more efficient logistics. and waste reduction practices to promote environmental sustainability; however, these efforts may also promote overall cost efficiency in the long run.</w:t>
      </w:r>
    </w:p>
    <w:p w14:paraId="7C44F710" w14:textId="77777777"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t>Conclusion</w:t>
      </w:r>
    </w:p>
    <w:p w14:paraId="7F76622D" w14:textId="7E8105D0" w:rsid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In conclusion, the ratio analysis performed on B&amp;M's financial performance over the most recent reporting period has proven to be a useful tool for evaluating the company's profitability. The ratios depict that the business remains a strong performer in generating profits and revenues in FY25; however, the decrease in gross and net margins, the decrease in cash generated, and the decrease in inventory turnover relative to the prior year depict the slowing business due to the increased level of inflation, increased interest rates, and </w:t>
      </w:r>
      <w:r w:rsidRPr="007000B0">
        <w:rPr>
          <w:rFonts w:ascii="Times New Roman" w:hAnsi="Times New Roman" w:cs="Times New Roman"/>
        </w:rPr>
        <w:lastRenderedPageBreak/>
        <w:t>dampened performance of like-for-like sales. Overall, the results suggest that B&amp;M continues to be a company that has a significant ability to grow based on its scale and pricing advantage and has many opportunities for potential expansion; however, the rapid increase in the costs of goods and services, an increase in interest rates, and the slowing pace of overall like-for-like sales will continue to exert a high amount of pressure on the company. These findings support the belief that ratio analysis can be an effective tool to provide insight into B&amp;M's performance trends and identify areas for practical improvement (Olayinka, 2022).</w:t>
      </w:r>
    </w:p>
    <w:p w14:paraId="3AD480DB" w14:textId="0C142743"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t>Calculations</w:t>
      </w:r>
    </w:p>
    <w:p w14:paraId="43C8DAC1" w14:textId="00CB3408"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t>Gross Profit Margin</w:t>
      </w:r>
    </w:p>
    <w:p w14:paraId="0B7D01D9"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2,092 / 5,571 × 100 = 37.6%</w:t>
      </w:r>
    </w:p>
    <w:p w14:paraId="55BC8C3E"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FY24 = 1,993 / 5,372 × 100 = 37.1%</w:t>
      </w:r>
    </w:p>
    <w:p w14:paraId="3D5CF905" w14:textId="4AC36C31"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t>Operating Profit Margin</w:t>
      </w:r>
    </w:p>
    <w:p w14:paraId="32CA0E22"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591 / 5,571 × 100 = 10.6%</w:t>
      </w:r>
    </w:p>
    <w:p w14:paraId="0C8CF59D"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FY24 = 602 / 5,372 × 100 = 11.2%</w:t>
      </w:r>
    </w:p>
    <w:p w14:paraId="16B7318C" w14:textId="3768091F"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t>Net Profit Margin (using PBT)</w:t>
      </w:r>
    </w:p>
    <w:p w14:paraId="0CF49377"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431 / 5,571 × 100 = 7.7%</w:t>
      </w:r>
    </w:p>
    <w:p w14:paraId="1DC9FA46"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FY24 = 498 / 5,484 × 100 = 9.1%</w:t>
      </w:r>
    </w:p>
    <w:p w14:paraId="68931230" w14:textId="44BBB150"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t>Current Ratio</w:t>
      </w:r>
    </w:p>
    <w:p w14:paraId="6D2DB591"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1,343 / 997 = 1.35:1</w:t>
      </w:r>
    </w:p>
    <w:p w14:paraId="0D9B7EBB" w14:textId="77777777" w:rsidR="007000B0" w:rsidRDefault="007000B0" w:rsidP="007000B0">
      <w:pPr>
        <w:spacing w:line="480" w:lineRule="auto"/>
        <w:rPr>
          <w:rFonts w:ascii="Times New Roman" w:hAnsi="Times New Roman" w:cs="Times New Roman"/>
        </w:rPr>
      </w:pPr>
      <w:r w:rsidRPr="007000B0">
        <w:rPr>
          <w:rFonts w:ascii="Times New Roman" w:hAnsi="Times New Roman" w:cs="Times New Roman"/>
        </w:rPr>
        <w:t>FY24 = 1,046 / 794 = 1.32:1</w:t>
      </w:r>
    </w:p>
    <w:p w14:paraId="4BD77551" w14:textId="77777777" w:rsidR="00924A27" w:rsidRPr="007000B0" w:rsidRDefault="00924A27" w:rsidP="007000B0">
      <w:pPr>
        <w:spacing w:line="480" w:lineRule="auto"/>
        <w:rPr>
          <w:rFonts w:ascii="Times New Roman" w:hAnsi="Times New Roman" w:cs="Times New Roman"/>
        </w:rPr>
      </w:pPr>
    </w:p>
    <w:p w14:paraId="21597393" w14:textId="417D9175"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lastRenderedPageBreak/>
        <w:t>Acid-Test Ratio</w:t>
      </w:r>
    </w:p>
    <w:p w14:paraId="7FB3853F"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(1,343 - 883) / 997 = 0.46:1</w:t>
      </w:r>
    </w:p>
    <w:p w14:paraId="06D364E0" w14:textId="23BC895B"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FY24 = (1,046 - 776) / 794 = 0.34:1</w:t>
      </w:r>
    </w:p>
    <w:p w14:paraId="4EE840B0" w14:textId="21F4B3C5"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t>Inventory Turnover</w:t>
      </w:r>
    </w:p>
    <w:p w14:paraId="3F0685FD"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3,479 / ((883 + 776) / 2) = 4.18 times</w:t>
      </w:r>
    </w:p>
    <w:p w14:paraId="784F23E2"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FY24 = 3,449 / ((776 + 764) / 2) = 4.44 times</w:t>
      </w:r>
    </w:p>
    <w:p w14:paraId="0F20814D" w14:textId="655814CC" w:rsidR="007000B0" w:rsidRPr="007000B0" w:rsidRDefault="007000B0" w:rsidP="007000B0">
      <w:pPr>
        <w:pStyle w:val="ListParagraph"/>
        <w:numPr>
          <w:ilvl w:val="0"/>
          <w:numId w:val="5"/>
        </w:numPr>
        <w:spacing w:line="480" w:lineRule="auto"/>
        <w:rPr>
          <w:rFonts w:ascii="Times New Roman" w:hAnsi="Times New Roman" w:cs="Times New Roman"/>
          <w:b/>
          <w:bCs/>
        </w:rPr>
      </w:pPr>
      <w:r w:rsidRPr="007000B0">
        <w:rPr>
          <w:rFonts w:ascii="Times New Roman" w:hAnsi="Times New Roman" w:cs="Times New Roman"/>
          <w:b/>
          <w:bCs/>
        </w:rPr>
        <w:t>Inventory Holding Period</w:t>
      </w:r>
    </w:p>
    <w:p w14:paraId="6D0D2589"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FY25 = 365 / 4.18 = 87 days</w:t>
      </w:r>
    </w:p>
    <w:p w14:paraId="4B36A7C6" w14:textId="2C65EC4F" w:rsidR="007000B0" w:rsidRDefault="007000B0" w:rsidP="007000B0">
      <w:pPr>
        <w:spacing w:line="480" w:lineRule="auto"/>
        <w:rPr>
          <w:rFonts w:ascii="Times New Roman" w:hAnsi="Times New Roman" w:cs="Times New Roman"/>
        </w:rPr>
      </w:pPr>
      <w:r w:rsidRPr="007000B0">
        <w:rPr>
          <w:rFonts w:ascii="Times New Roman" w:hAnsi="Times New Roman" w:cs="Times New Roman"/>
        </w:rPr>
        <w:t>FY24 = 365 / 4.44 = 82 days</w:t>
      </w:r>
    </w:p>
    <w:p w14:paraId="3EBE7E66" w14:textId="77777777" w:rsidR="007000B0" w:rsidRDefault="007000B0" w:rsidP="007000B0">
      <w:pPr>
        <w:spacing w:line="480" w:lineRule="auto"/>
        <w:rPr>
          <w:rFonts w:ascii="Times New Roman" w:hAnsi="Times New Roman" w:cs="Times New Roman"/>
        </w:rPr>
      </w:pPr>
    </w:p>
    <w:p w14:paraId="0A3868CC" w14:textId="77777777" w:rsidR="007000B0" w:rsidRDefault="007000B0" w:rsidP="007000B0">
      <w:pPr>
        <w:spacing w:line="480" w:lineRule="auto"/>
        <w:rPr>
          <w:rFonts w:ascii="Times New Roman" w:hAnsi="Times New Roman" w:cs="Times New Roman"/>
        </w:rPr>
      </w:pPr>
    </w:p>
    <w:p w14:paraId="2AB7B352" w14:textId="77777777" w:rsidR="007000B0" w:rsidRDefault="007000B0" w:rsidP="007000B0">
      <w:pPr>
        <w:spacing w:line="480" w:lineRule="auto"/>
        <w:rPr>
          <w:rFonts w:ascii="Times New Roman" w:hAnsi="Times New Roman" w:cs="Times New Roman"/>
        </w:rPr>
      </w:pPr>
    </w:p>
    <w:p w14:paraId="600CEB83" w14:textId="77777777" w:rsidR="007000B0" w:rsidRDefault="007000B0" w:rsidP="007000B0">
      <w:pPr>
        <w:spacing w:line="480" w:lineRule="auto"/>
        <w:rPr>
          <w:rFonts w:ascii="Times New Roman" w:hAnsi="Times New Roman" w:cs="Times New Roman"/>
        </w:rPr>
      </w:pPr>
    </w:p>
    <w:p w14:paraId="109BC1F7" w14:textId="77777777" w:rsidR="007000B0" w:rsidRDefault="007000B0" w:rsidP="007000B0">
      <w:pPr>
        <w:spacing w:line="480" w:lineRule="auto"/>
        <w:rPr>
          <w:rFonts w:ascii="Times New Roman" w:hAnsi="Times New Roman" w:cs="Times New Roman"/>
        </w:rPr>
      </w:pPr>
    </w:p>
    <w:p w14:paraId="63A2CC19" w14:textId="77777777" w:rsidR="007000B0" w:rsidRDefault="007000B0" w:rsidP="007000B0">
      <w:pPr>
        <w:spacing w:line="480" w:lineRule="auto"/>
        <w:rPr>
          <w:rFonts w:ascii="Times New Roman" w:hAnsi="Times New Roman" w:cs="Times New Roman"/>
        </w:rPr>
      </w:pPr>
    </w:p>
    <w:p w14:paraId="07D94087" w14:textId="77777777" w:rsidR="007000B0" w:rsidRDefault="007000B0" w:rsidP="007000B0">
      <w:pPr>
        <w:spacing w:line="480" w:lineRule="auto"/>
        <w:rPr>
          <w:rFonts w:ascii="Times New Roman" w:hAnsi="Times New Roman" w:cs="Times New Roman"/>
        </w:rPr>
      </w:pPr>
    </w:p>
    <w:p w14:paraId="28FEE1D1" w14:textId="77777777" w:rsidR="007000B0" w:rsidRDefault="007000B0" w:rsidP="007000B0">
      <w:pPr>
        <w:spacing w:line="480" w:lineRule="auto"/>
        <w:rPr>
          <w:rFonts w:ascii="Times New Roman" w:hAnsi="Times New Roman" w:cs="Times New Roman"/>
        </w:rPr>
      </w:pPr>
    </w:p>
    <w:p w14:paraId="3F66EBD4" w14:textId="77777777" w:rsidR="007000B0" w:rsidRDefault="007000B0" w:rsidP="007000B0">
      <w:pPr>
        <w:spacing w:line="480" w:lineRule="auto"/>
        <w:rPr>
          <w:rFonts w:ascii="Times New Roman" w:hAnsi="Times New Roman" w:cs="Times New Roman"/>
        </w:rPr>
      </w:pPr>
    </w:p>
    <w:p w14:paraId="33F0778A" w14:textId="77777777" w:rsidR="007000B0" w:rsidRDefault="007000B0" w:rsidP="007000B0">
      <w:pPr>
        <w:spacing w:line="480" w:lineRule="auto"/>
        <w:rPr>
          <w:rFonts w:ascii="Times New Roman" w:hAnsi="Times New Roman" w:cs="Times New Roman"/>
        </w:rPr>
      </w:pPr>
    </w:p>
    <w:p w14:paraId="11BF699D" w14:textId="77777777" w:rsidR="00924A27" w:rsidRDefault="00924A27" w:rsidP="007000B0">
      <w:pPr>
        <w:spacing w:line="480" w:lineRule="auto"/>
        <w:rPr>
          <w:rFonts w:ascii="Times New Roman" w:hAnsi="Times New Roman" w:cs="Times New Roman"/>
        </w:rPr>
      </w:pPr>
    </w:p>
    <w:p w14:paraId="451FE433" w14:textId="2CC4B779" w:rsidR="007000B0" w:rsidRPr="007000B0" w:rsidRDefault="007000B0" w:rsidP="007000B0">
      <w:pPr>
        <w:spacing w:line="480" w:lineRule="auto"/>
        <w:rPr>
          <w:rFonts w:ascii="Times New Roman" w:hAnsi="Times New Roman" w:cs="Times New Roman"/>
          <w:b/>
          <w:bCs/>
          <w:u w:val="thick"/>
        </w:rPr>
      </w:pPr>
      <w:r w:rsidRPr="007000B0">
        <w:rPr>
          <w:rFonts w:ascii="Times New Roman" w:hAnsi="Times New Roman" w:cs="Times New Roman"/>
          <w:b/>
          <w:bCs/>
          <w:u w:val="thick"/>
        </w:rPr>
        <w:lastRenderedPageBreak/>
        <w:t xml:space="preserve">References </w:t>
      </w:r>
    </w:p>
    <w:p w14:paraId="34F37875" w14:textId="7BE59F2D" w:rsidR="007000B0" w:rsidRPr="007000B0" w:rsidRDefault="007000B0" w:rsidP="007000B0">
      <w:pPr>
        <w:spacing w:line="480" w:lineRule="auto"/>
        <w:rPr>
          <w:rFonts w:ascii="Times New Roman" w:hAnsi="Times New Roman" w:cs="Times New Roman"/>
        </w:rPr>
      </w:pPr>
      <w:proofErr w:type="spellStart"/>
      <w:r w:rsidRPr="007000B0">
        <w:rPr>
          <w:rFonts w:ascii="Times New Roman" w:hAnsi="Times New Roman" w:cs="Times New Roman"/>
        </w:rPr>
        <w:t>Arhinful</w:t>
      </w:r>
      <w:proofErr w:type="spellEnd"/>
      <w:r w:rsidRPr="007000B0">
        <w:rPr>
          <w:rFonts w:ascii="Times New Roman" w:hAnsi="Times New Roman" w:cs="Times New Roman"/>
        </w:rPr>
        <w:t xml:space="preserve">, R., &amp; Radmehr, M. (2023). The impact of financial leverage on the financial performance of the firms listed on the Tokyo </w:t>
      </w:r>
      <w:r>
        <w:rPr>
          <w:rFonts w:ascii="Times New Roman" w:hAnsi="Times New Roman" w:cs="Times New Roman"/>
        </w:rPr>
        <w:t>Stock Exchange</w:t>
      </w:r>
      <w:r w:rsidRPr="007000B0">
        <w:rPr>
          <w:rFonts w:ascii="Times New Roman" w:hAnsi="Times New Roman" w:cs="Times New Roman"/>
        </w:rPr>
        <w:t xml:space="preserve">. </w:t>
      </w:r>
      <w:r w:rsidRPr="007000B0">
        <w:rPr>
          <w:rFonts w:ascii="Times New Roman" w:hAnsi="Times New Roman" w:cs="Times New Roman"/>
          <w:i/>
          <w:iCs/>
        </w:rPr>
        <w:t>Sage Open, 13</w:t>
      </w:r>
      <w:r w:rsidRPr="007000B0">
        <w:rPr>
          <w:rFonts w:ascii="Times New Roman" w:hAnsi="Times New Roman" w:cs="Times New Roman"/>
        </w:rPr>
        <w:t>(4), 21582440231204099.</w:t>
      </w:r>
    </w:p>
    <w:p w14:paraId="52DB2EDB"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Das, S., Santra, S., &amp; Sarkar, A. (2024). Qualitative study on e-commerce and brick-and-mortar stores: A machine learning approach. In </w:t>
      </w:r>
      <w:r w:rsidRPr="00924A27">
        <w:rPr>
          <w:rFonts w:ascii="Times New Roman" w:hAnsi="Times New Roman" w:cs="Times New Roman"/>
          <w:i/>
          <w:iCs/>
        </w:rPr>
        <w:t xml:space="preserve">Deep learning applications in operations research (pp. 206–216). </w:t>
      </w:r>
      <w:r w:rsidRPr="007000B0">
        <w:rPr>
          <w:rFonts w:ascii="Times New Roman" w:hAnsi="Times New Roman" w:cs="Times New Roman"/>
        </w:rPr>
        <w:t>Auerbach Publications.</w:t>
      </w:r>
    </w:p>
    <w:p w14:paraId="733956B0" w14:textId="77777777" w:rsidR="007000B0" w:rsidRPr="007000B0" w:rsidRDefault="007000B0" w:rsidP="007000B0">
      <w:pPr>
        <w:spacing w:line="480" w:lineRule="auto"/>
        <w:rPr>
          <w:rFonts w:ascii="Times New Roman" w:hAnsi="Times New Roman" w:cs="Times New Roman"/>
        </w:rPr>
      </w:pPr>
      <w:proofErr w:type="spellStart"/>
      <w:r w:rsidRPr="007000B0">
        <w:rPr>
          <w:rFonts w:ascii="Times New Roman" w:hAnsi="Times New Roman" w:cs="Times New Roman"/>
        </w:rPr>
        <w:t>Gawęda</w:t>
      </w:r>
      <w:proofErr w:type="spellEnd"/>
      <w:r w:rsidRPr="007000B0">
        <w:rPr>
          <w:rFonts w:ascii="Times New Roman" w:hAnsi="Times New Roman" w:cs="Times New Roman"/>
        </w:rPr>
        <w:t xml:space="preserve">, A. (2022). ESG rating and market valuation of the firm: Sector approach. </w:t>
      </w:r>
      <w:r w:rsidRPr="00924A27">
        <w:rPr>
          <w:rFonts w:ascii="Times New Roman" w:hAnsi="Times New Roman" w:cs="Times New Roman"/>
          <w:i/>
          <w:iCs/>
        </w:rPr>
        <w:t>European Journal of Sustainable Development, 11</w:t>
      </w:r>
      <w:r w:rsidRPr="007000B0">
        <w:rPr>
          <w:rFonts w:ascii="Times New Roman" w:hAnsi="Times New Roman" w:cs="Times New Roman"/>
        </w:rPr>
        <w:t>(4), 91–91.</w:t>
      </w:r>
    </w:p>
    <w:p w14:paraId="47E0544A"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Goffetti, G., Böckin, D., Baumann, H., Tillman, A. M., &amp; Zobel, T. (2022). Towards sustainable business models with a novel life cycle assessment method. </w:t>
      </w:r>
      <w:r w:rsidRPr="00924A27">
        <w:rPr>
          <w:rFonts w:ascii="Times New Roman" w:hAnsi="Times New Roman" w:cs="Times New Roman"/>
          <w:i/>
          <w:iCs/>
        </w:rPr>
        <w:t>Business Strategy and the Environment, 31</w:t>
      </w:r>
      <w:r w:rsidRPr="007000B0">
        <w:rPr>
          <w:rFonts w:ascii="Times New Roman" w:hAnsi="Times New Roman" w:cs="Times New Roman"/>
        </w:rPr>
        <w:t>(5), 2019–2035.</w:t>
      </w:r>
    </w:p>
    <w:p w14:paraId="3A196973"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Homayoun, S., Mashayekhi, B., </w:t>
      </w:r>
      <w:proofErr w:type="spellStart"/>
      <w:r w:rsidRPr="007000B0">
        <w:rPr>
          <w:rFonts w:ascii="Times New Roman" w:hAnsi="Times New Roman" w:cs="Times New Roman"/>
        </w:rPr>
        <w:t>Jahangard</w:t>
      </w:r>
      <w:proofErr w:type="spellEnd"/>
      <w:r w:rsidRPr="007000B0">
        <w:rPr>
          <w:rFonts w:ascii="Times New Roman" w:hAnsi="Times New Roman" w:cs="Times New Roman"/>
        </w:rPr>
        <w:t xml:space="preserve">, A., </w:t>
      </w:r>
      <w:proofErr w:type="spellStart"/>
      <w:r w:rsidRPr="007000B0">
        <w:rPr>
          <w:rFonts w:ascii="Times New Roman" w:hAnsi="Times New Roman" w:cs="Times New Roman"/>
        </w:rPr>
        <w:t>Samavat</w:t>
      </w:r>
      <w:proofErr w:type="spellEnd"/>
      <w:r w:rsidRPr="007000B0">
        <w:rPr>
          <w:rFonts w:ascii="Times New Roman" w:hAnsi="Times New Roman" w:cs="Times New Roman"/>
        </w:rPr>
        <w:t xml:space="preserve">, M., &amp; Rezaee, Z. (2023). The controversial link between CSR and financial performance: The mediating role of green innovation. </w:t>
      </w:r>
      <w:r w:rsidRPr="00924A27">
        <w:rPr>
          <w:rFonts w:ascii="Times New Roman" w:hAnsi="Times New Roman" w:cs="Times New Roman"/>
          <w:i/>
          <w:iCs/>
        </w:rPr>
        <w:t>Sustainability, 15</w:t>
      </w:r>
      <w:r w:rsidRPr="007000B0">
        <w:rPr>
          <w:rFonts w:ascii="Times New Roman" w:hAnsi="Times New Roman" w:cs="Times New Roman"/>
        </w:rPr>
        <w:t>(13), 10650.</w:t>
      </w:r>
    </w:p>
    <w:p w14:paraId="20A633BB" w14:textId="77777777"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Isibor, N. J., Ibeh, A. I., </w:t>
      </w:r>
      <w:proofErr w:type="spellStart"/>
      <w:r w:rsidRPr="007000B0">
        <w:rPr>
          <w:rFonts w:ascii="Times New Roman" w:hAnsi="Times New Roman" w:cs="Times New Roman"/>
        </w:rPr>
        <w:t>Ewim</w:t>
      </w:r>
      <w:proofErr w:type="spellEnd"/>
      <w:r w:rsidRPr="007000B0">
        <w:rPr>
          <w:rFonts w:ascii="Times New Roman" w:hAnsi="Times New Roman" w:cs="Times New Roman"/>
        </w:rPr>
        <w:t xml:space="preserve">, C. P. M., Sam-Bulya, N. J., &amp; Martha, E. (2022). A financial control and performance management framework for SMEs: Strengthening budgeting, risk mitigation, and profitability. </w:t>
      </w:r>
      <w:r w:rsidRPr="00924A27">
        <w:rPr>
          <w:rFonts w:ascii="Times New Roman" w:hAnsi="Times New Roman" w:cs="Times New Roman"/>
          <w:i/>
          <w:iCs/>
        </w:rPr>
        <w:t>International Journal of Multidisciplinary Research and Growth Evaluation, 3</w:t>
      </w:r>
      <w:r w:rsidRPr="007000B0">
        <w:rPr>
          <w:rFonts w:ascii="Times New Roman" w:hAnsi="Times New Roman" w:cs="Times New Roman"/>
        </w:rPr>
        <w:t>(1), 761–768.</w:t>
      </w:r>
    </w:p>
    <w:p w14:paraId="7C1DD398" w14:textId="77777777" w:rsidR="00924A27"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Lee, C. C. (2023). Analyses of the operating performance of information service companies based on indicators of financial statements. </w:t>
      </w:r>
      <w:r w:rsidRPr="00924A27">
        <w:rPr>
          <w:rFonts w:ascii="Times New Roman" w:hAnsi="Times New Roman" w:cs="Times New Roman"/>
          <w:i/>
          <w:iCs/>
        </w:rPr>
        <w:t>Asia Pacific Management Review, 28</w:t>
      </w:r>
      <w:r w:rsidRPr="007000B0">
        <w:rPr>
          <w:rFonts w:ascii="Times New Roman" w:hAnsi="Times New Roman" w:cs="Times New Roman"/>
        </w:rPr>
        <w:t>(4), 410–419.</w:t>
      </w:r>
    </w:p>
    <w:p w14:paraId="79CFD6D4" w14:textId="20C336E6"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lastRenderedPageBreak/>
        <w:t xml:space="preserve">Olayinka, A. A. (2022). Financial statement analysis as a tool for investment decisions and assessment of companies’ performance. </w:t>
      </w:r>
      <w:r w:rsidRPr="00924A27">
        <w:rPr>
          <w:rFonts w:ascii="Times New Roman" w:hAnsi="Times New Roman" w:cs="Times New Roman"/>
          <w:i/>
          <w:iCs/>
        </w:rPr>
        <w:t>International Journal of Financial, Accounting, and Management, 4</w:t>
      </w:r>
      <w:r w:rsidRPr="007000B0">
        <w:rPr>
          <w:rFonts w:ascii="Times New Roman" w:hAnsi="Times New Roman" w:cs="Times New Roman"/>
        </w:rPr>
        <w:t>(1), 49–66.</w:t>
      </w:r>
    </w:p>
    <w:p w14:paraId="5F53869F" w14:textId="6E43044C" w:rsidR="007000B0" w:rsidRPr="007000B0" w:rsidRDefault="007000B0" w:rsidP="007000B0">
      <w:pPr>
        <w:spacing w:line="480" w:lineRule="auto"/>
        <w:rPr>
          <w:rFonts w:ascii="Times New Roman" w:hAnsi="Times New Roman" w:cs="Times New Roman"/>
        </w:rPr>
      </w:pPr>
      <w:proofErr w:type="spellStart"/>
      <w:r w:rsidRPr="007000B0">
        <w:rPr>
          <w:rFonts w:ascii="Times New Roman" w:hAnsi="Times New Roman" w:cs="Times New Roman"/>
        </w:rPr>
        <w:t>Ojika</w:t>
      </w:r>
      <w:proofErr w:type="spellEnd"/>
      <w:r w:rsidRPr="007000B0">
        <w:rPr>
          <w:rFonts w:ascii="Times New Roman" w:hAnsi="Times New Roman" w:cs="Times New Roman"/>
        </w:rPr>
        <w:t xml:space="preserve">, F. U., </w:t>
      </w:r>
      <w:proofErr w:type="spellStart"/>
      <w:r w:rsidRPr="007000B0">
        <w:rPr>
          <w:rFonts w:ascii="Times New Roman" w:hAnsi="Times New Roman" w:cs="Times New Roman"/>
        </w:rPr>
        <w:t>Onaghinor</w:t>
      </w:r>
      <w:proofErr w:type="spellEnd"/>
      <w:r w:rsidRPr="007000B0">
        <w:rPr>
          <w:rFonts w:ascii="Times New Roman" w:hAnsi="Times New Roman" w:cs="Times New Roman"/>
        </w:rPr>
        <w:t xml:space="preserve">, O. S. A. Z. E. E., Esan, O. J., </w:t>
      </w:r>
      <w:proofErr w:type="spellStart"/>
      <w:r w:rsidRPr="007000B0">
        <w:rPr>
          <w:rFonts w:ascii="Times New Roman" w:hAnsi="Times New Roman" w:cs="Times New Roman"/>
        </w:rPr>
        <w:t>Daraojimba</w:t>
      </w:r>
      <w:proofErr w:type="spellEnd"/>
      <w:r w:rsidRPr="007000B0">
        <w:rPr>
          <w:rFonts w:ascii="Times New Roman" w:hAnsi="Times New Roman" w:cs="Times New Roman"/>
        </w:rPr>
        <w:t xml:space="preserve">, A. I., &amp; Ubamadu, B. C. (2023). A predictive analytics model for strategic business decision-making: A framework for financial risk </w:t>
      </w:r>
      <w:r w:rsidR="00924A27">
        <w:rPr>
          <w:rFonts w:ascii="Times New Roman" w:hAnsi="Times New Roman" w:cs="Times New Roman"/>
        </w:rPr>
        <w:t>minimisation</w:t>
      </w:r>
      <w:r w:rsidRPr="007000B0">
        <w:rPr>
          <w:rFonts w:ascii="Times New Roman" w:hAnsi="Times New Roman" w:cs="Times New Roman"/>
        </w:rPr>
        <w:t xml:space="preserve"> and resource </w:t>
      </w:r>
      <w:r w:rsidR="00924A27">
        <w:rPr>
          <w:rFonts w:ascii="Times New Roman" w:hAnsi="Times New Roman" w:cs="Times New Roman"/>
        </w:rPr>
        <w:t>optimisation</w:t>
      </w:r>
      <w:r w:rsidRPr="007000B0">
        <w:rPr>
          <w:rFonts w:ascii="Times New Roman" w:hAnsi="Times New Roman" w:cs="Times New Roman"/>
        </w:rPr>
        <w:t xml:space="preserve">. </w:t>
      </w:r>
      <w:r w:rsidRPr="00924A27">
        <w:rPr>
          <w:rFonts w:ascii="Times New Roman" w:hAnsi="Times New Roman" w:cs="Times New Roman"/>
          <w:i/>
          <w:iCs/>
        </w:rPr>
        <w:t>IRE Journals, 7</w:t>
      </w:r>
      <w:r w:rsidRPr="007000B0">
        <w:rPr>
          <w:rFonts w:ascii="Times New Roman" w:hAnsi="Times New Roman" w:cs="Times New Roman"/>
        </w:rPr>
        <w:t>(2), 764–766.</w:t>
      </w:r>
    </w:p>
    <w:p w14:paraId="6A3E9FB8" w14:textId="4E31087B"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Renaldo, N. (2022). </w:t>
      </w:r>
      <w:r w:rsidR="00924A27">
        <w:rPr>
          <w:rFonts w:ascii="Times New Roman" w:hAnsi="Times New Roman" w:cs="Times New Roman"/>
        </w:rPr>
        <w:t>Optimising</w:t>
      </w:r>
      <w:r w:rsidRPr="007000B0">
        <w:rPr>
          <w:rFonts w:ascii="Times New Roman" w:hAnsi="Times New Roman" w:cs="Times New Roman"/>
        </w:rPr>
        <w:t xml:space="preserve"> company finances using business intelligence in accounting. </w:t>
      </w:r>
      <w:r w:rsidRPr="00924A27">
        <w:rPr>
          <w:rFonts w:ascii="Times New Roman" w:hAnsi="Times New Roman" w:cs="Times New Roman"/>
          <w:i/>
          <w:iCs/>
        </w:rPr>
        <w:t>Journal of Applied Business and Technology, 3</w:t>
      </w:r>
      <w:r w:rsidRPr="007000B0">
        <w:rPr>
          <w:rFonts w:ascii="Times New Roman" w:hAnsi="Times New Roman" w:cs="Times New Roman"/>
        </w:rPr>
        <w:t>(2), 209–213.</w:t>
      </w:r>
    </w:p>
    <w:p w14:paraId="3F0993BA" w14:textId="6682A88C" w:rsidR="007000B0" w:rsidRPr="007000B0" w:rsidRDefault="007000B0" w:rsidP="007000B0">
      <w:pPr>
        <w:spacing w:line="480" w:lineRule="auto"/>
        <w:rPr>
          <w:rFonts w:ascii="Times New Roman" w:hAnsi="Times New Roman" w:cs="Times New Roman"/>
        </w:rPr>
      </w:pPr>
      <w:r w:rsidRPr="007000B0">
        <w:rPr>
          <w:rFonts w:ascii="Times New Roman" w:hAnsi="Times New Roman" w:cs="Times New Roman"/>
        </w:rPr>
        <w:t xml:space="preserve">Renaldo, N., &amp; Putri, N. Y. (2023). How </w:t>
      </w:r>
      <w:r w:rsidR="00924A27">
        <w:rPr>
          <w:rFonts w:ascii="Times New Roman" w:hAnsi="Times New Roman" w:cs="Times New Roman"/>
        </w:rPr>
        <w:t xml:space="preserve">do </w:t>
      </w:r>
      <w:r w:rsidRPr="007000B0">
        <w:rPr>
          <w:rFonts w:ascii="Times New Roman" w:hAnsi="Times New Roman" w:cs="Times New Roman"/>
        </w:rPr>
        <w:t xml:space="preserve">business intelligence, intellectual capital, and company performance increase company value? Leverage as moderation. </w:t>
      </w:r>
      <w:r w:rsidRPr="00924A27">
        <w:rPr>
          <w:rFonts w:ascii="Times New Roman" w:hAnsi="Times New Roman" w:cs="Times New Roman"/>
          <w:i/>
          <w:iCs/>
        </w:rPr>
        <w:t>Journal of Applied Business and Technology, 4</w:t>
      </w:r>
      <w:r w:rsidRPr="007000B0">
        <w:rPr>
          <w:rFonts w:ascii="Times New Roman" w:hAnsi="Times New Roman" w:cs="Times New Roman"/>
        </w:rPr>
        <w:t>(1), 93–99.</w:t>
      </w:r>
    </w:p>
    <w:sectPr w:rsidR="007000B0" w:rsidRPr="00700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E2956"/>
    <w:multiLevelType w:val="hybridMultilevel"/>
    <w:tmpl w:val="15CEE2E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D52C6"/>
    <w:multiLevelType w:val="hybridMultilevel"/>
    <w:tmpl w:val="AB325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F54332"/>
    <w:multiLevelType w:val="hybridMultilevel"/>
    <w:tmpl w:val="09A2F36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B27CA7"/>
    <w:multiLevelType w:val="hybridMultilevel"/>
    <w:tmpl w:val="0E263070"/>
    <w:lvl w:ilvl="0" w:tplc="0D68AD3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95755"/>
    <w:multiLevelType w:val="hybridMultilevel"/>
    <w:tmpl w:val="7ACC57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B03A39"/>
    <w:multiLevelType w:val="hybridMultilevel"/>
    <w:tmpl w:val="228EFA72"/>
    <w:lvl w:ilvl="0" w:tplc="065436A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954526">
    <w:abstractNumId w:val="2"/>
  </w:num>
  <w:num w:numId="2" w16cid:durableId="163513060">
    <w:abstractNumId w:val="3"/>
  </w:num>
  <w:num w:numId="3" w16cid:durableId="1071391893">
    <w:abstractNumId w:val="0"/>
  </w:num>
  <w:num w:numId="4" w16cid:durableId="1142307449">
    <w:abstractNumId w:val="5"/>
  </w:num>
  <w:num w:numId="5" w16cid:durableId="724524797">
    <w:abstractNumId w:val="1"/>
  </w:num>
  <w:num w:numId="6" w16cid:durableId="13319818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0B0"/>
    <w:rsid w:val="007000B0"/>
    <w:rsid w:val="00924A27"/>
    <w:rsid w:val="0097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1236E"/>
  <w15:chartTrackingRefBased/>
  <w15:docId w15:val="{C0A9E5ED-9BAD-40EE-B8C0-6A3BADC8C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0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00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0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0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0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0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0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0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0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0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00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0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0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0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0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0B0"/>
    <w:rPr>
      <w:rFonts w:eastAsiaTheme="majorEastAsia" w:cstheme="majorBidi"/>
      <w:color w:val="272727" w:themeColor="text1" w:themeTint="D8"/>
    </w:rPr>
  </w:style>
  <w:style w:type="paragraph" w:styleId="Title">
    <w:name w:val="Title"/>
    <w:basedOn w:val="Normal"/>
    <w:next w:val="Normal"/>
    <w:link w:val="TitleChar"/>
    <w:uiPriority w:val="10"/>
    <w:qFormat/>
    <w:rsid w:val="00700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0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0B0"/>
    <w:pPr>
      <w:spacing w:before="160"/>
      <w:jc w:val="center"/>
    </w:pPr>
    <w:rPr>
      <w:i/>
      <w:iCs/>
      <w:color w:val="404040" w:themeColor="text1" w:themeTint="BF"/>
    </w:rPr>
  </w:style>
  <w:style w:type="character" w:customStyle="1" w:styleId="QuoteChar">
    <w:name w:val="Quote Char"/>
    <w:basedOn w:val="DefaultParagraphFont"/>
    <w:link w:val="Quote"/>
    <w:uiPriority w:val="29"/>
    <w:rsid w:val="007000B0"/>
    <w:rPr>
      <w:i/>
      <w:iCs/>
      <w:color w:val="404040" w:themeColor="text1" w:themeTint="BF"/>
    </w:rPr>
  </w:style>
  <w:style w:type="paragraph" w:styleId="ListParagraph">
    <w:name w:val="List Paragraph"/>
    <w:basedOn w:val="Normal"/>
    <w:uiPriority w:val="34"/>
    <w:qFormat/>
    <w:rsid w:val="007000B0"/>
    <w:pPr>
      <w:ind w:left="720"/>
      <w:contextualSpacing/>
    </w:pPr>
  </w:style>
  <w:style w:type="character" w:styleId="IntenseEmphasis">
    <w:name w:val="Intense Emphasis"/>
    <w:basedOn w:val="DefaultParagraphFont"/>
    <w:uiPriority w:val="21"/>
    <w:qFormat/>
    <w:rsid w:val="007000B0"/>
    <w:rPr>
      <w:i/>
      <w:iCs/>
      <w:color w:val="0F4761" w:themeColor="accent1" w:themeShade="BF"/>
    </w:rPr>
  </w:style>
  <w:style w:type="paragraph" w:styleId="IntenseQuote">
    <w:name w:val="Intense Quote"/>
    <w:basedOn w:val="Normal"/>
    <w:next w:val="Normal"/>
    <w:link w:val="IntenseQuoteChar"/>
    <w:uiPriority w:val="30"/>
    <w:qFormat/>
    <w:rsid w:val="00700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0B0"/>
    <w:rPr>
      <w:i/>
      <w:iCs/>
      <w:color w:val="0F4761" w:themeColor="accent1" w:themeShade="BF"/>
    </w:rPr>
  </w:style>
  <w:style w:type="character" w:styleId="IntenseReference">
    <w:name w:val="Intense Reference"/>
    <w:basedOn w:val="DefaultParagraphFont"/>
    <w:uiPriority w:val="32"/>
    <w:qFormat/>
    <w:rsid w:val="007000B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1819</Words>
  <Characters>10371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2026-04-22T13:12:00Z</dcterms:created>
  <dcterms:modified xsi:type="dcterms:W3CDTF">2026-04-22T13:27:00Z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f9559d3f-5958-429a-af7a-7edd2d2ae3ae</vt:lpwstr>
  </property>
</Properties>
</file>