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Kai Synnott 1805590</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Fonts w:ascii="Cardo" w:cs="Cardo" w:eastAsia="Cardo" w:hAnsi="Cardo"/>
          <w:sz w:val="24"/>
          <w:szCs w:val="24"/>
          <w:rtl w:val="0"/>
        </w:rPr>
        <w:t xml:space="preserve">⦁    A person is guilty of theft under Section 1 Theft Act 1968 which states:</w:t>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sz w:val="24"/>
          <w:szCs w:val="24"/>
          <w:rtl w:val="0"/>
        </w:rPr>
        <w:t xml:space="preserve"> ‘A person is guilty of theft if he dishonestly appropriates property, belonging to another, with the intention of permanently depriving the other of it.’</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In order to establish an offence of theft each of the five elements of the offence must be proved, these are:</w:t>
      </w:r>
    </w:p>
    <w:p w:rsidR="00000000" w:rsidDel="00000000" w:rsidP="00000000" w:rsidRDefault="00000000" w:rsidRPr="00000000" w14:paraId="00000009">
      <w:pPr>
        <w:rPr>
          <w:sz w:val="24"/>
          <w:szCs w:val="24"/>
        </w:rPr>
      </w:pPr>
      <w:r w:rsidDel="00000000" w:rsidR="00000000" w:rsidRPr="00000000">
        <w:rPr>
          <w:sz w:val="24"/>
          <w:szCs w:val="24"/>
          <w:rtl w:val="0"/>
        </w:rPr>
        <w:t xml:space="preserve"> Dishonestly</w:t>
      </w:r>
    </w:p>
    <w:p w:rsidR="00000000" w:rsidDel="00000000" w:rsidP="00000000" w:rsidRDefault="00000000" w:rsidRPr="00000000" w14:paraId="0000000A">
      <w:pPr>
        <w:rPr>
          <w:sz w:val="24"/>
          <w:szCs w:val="24"/>
        </w:rPr>
      </w:pPr>
      <w:r w:rsidDel="00000000" w:rsidR="00000000" w:rsidRPr="00000000">
        <w:rPr>
          <w:sz w:val="24"/>
          <w:szCs w:val="24"/>
          <w:rtl w:val="0"/>
        </w:rPr>
        <w:t xml:space="preserve"> Appropriates</w:t>
      </w:r>
    </w:p>
    <w:p w:rsidR="00000000" w:rsidDel="00000000" w:rsidP="00000000" w:rsidRDefault="00000000" w:rsidRPr="00000000" w14:paraId="0000000B">
      <w:pPr>
        <w:rPr>
          <w:sz w:val="24"/>
          <w:szCs w:val="24"/>
        </w:rPr>
      </w:pPr>
      <w:r w:rsidDel="00000000" w:rsidR="00000000" w:rsidRPr="00000000">
        <w:rPr>
          <w:sz w:val="24"/>
          <w:szCs w:val="24"/>
          <w:rtl w:val="0"/>
        </w:rPr>
        <w:t xml:space="preserve"> Property</w:t>
      </w:r>
    </w:p>
    <w:p w:rsidR="00000000" w:rsidDel="00000000" w:rsidP="00000000" w:rsidRDefault="00000000" w:rsidRPr="00000000" w14:paraId="0000000C">
      <w:pPr>
        <w:rPr>
          <w:sz w:val="24"/>
          <w:szCs w:val="24"/>
        </w:rPr>
      </w:pPr>
      <w:r w:rsidDel="00000000" w:rsidR="00000000" w:rsidRPr="00000000">
        <w:rPr>
          <w:sz w:val="24"/>
          <w:szCs w:val="24"/>
          <w:rtl w:val="0"/>
        </w:rPr>
        <w:t xml:space="preserve"> Belonging to another</w:t>
      </w:r>
    </w:p>
    <w:p w:rsidR="00000000" w:rsidDel="00000000" w:rsidP="00000000" w:rsidRDefault="00000000" w:rsidRPr="00000000" w14:paraId="0000000D">
      <w:pPr>
        <w:rPr>
          <w:sz w:val="24"/>
          <w:szCs w:val="24"/>
        </w:rPr>
      </w:pPr>
      <w:r w:rsidDel="00000000" w:rsidR="00000000" w:rsidRPr="00000000">
        <w:rPr>
          <w:sz w:val="24"/>
          <w:szCs w:val="24"/>
          <w:rtl w:val="0"/>
        </w:rPr>
        <w:t xml:space="preserve"> Intention to permanently deprive.</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b w:val="1"/>
          <w:sz w:val="24"/>
          <w:szCs w:val="24"/>
          <w:rtl w:val="0"/>
        </w:rPr>
        <w:t xml:space="preserve">Explain the elements ‘Dishonesty’ and ‘Belonging to Another</w:t>
      </w:r>
      <w:r w:rsidDel="00000000" w:rsidR="00000000" w:rsidRPr="00000000">
        <w:rPr>
          <w:sz w:val="24"/>
          <w:szCs w:val="24"/>
          <w:rtl w:val="0"/>
        </w:rPr>
        <w:t xml:space="preserve">’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spacing w:line="480" w:lineRule="auto"/>
        <w:ind w:firstLine="720"/>
        <w:rPr>
          <w:sz w:val="24"/>
          <w:szCs w:val="24"/>
        </w:rPr>
      </w:pPr>
      <w:r w:rsidDel="00000000" w:rsidR="00000000" w:rsidRPr="00000000">
        <w:rPr>
          <w:sz w:val="24"/>
          <w:szCs w:val="24"/>
          <w:rtl w:val="0"/>
        </w:rPr>
        <w:t xml:space="preserve">Dishonest is required for the legal prosecution for someone violating the theft act, However this act does not outline what counts as dishonest. It does however define what could not be seen as dishonest with the main part being down to genuine belief. There are three cases in which dishonesty would not be valid during an act of perceived theft. The first being, that he or she has a right to deprive the other of that item for themselves or a third party. This can be associated with either the right or belief of ownership towards said item in which would not result in dishonest or appropriating property of another if you  had genuine belief it was yours or claiming it for a third party. The second is, that consent would have been given if the recipient was present before or during the appropriation. This is most commonly used for the aspect of borrowing when and again genuine belief plays a large aspect towards this. The final aspect that is not deemed dishonest is that property belonging to another has ended up in your possession and the identification and return would be impossible by reasonable steps. This is used for money and credit or debit cards as, physically, money found on the floor is impossible to return to its owner and therefore not counted as theft. However find and use someone's credit card would be as they are easily identified and are able to return. The aspect of Belonging to another is to identify the rightful owner of said property. Property amounts to all money and physical objects owned by a person or on their land, however similarly to dishonesty the act outlines what is not considered property, with one of the main aspects being the three F’s. These being flowers, fruit and foliage growing wild, this stipulation is important as a purposely planted flower and so forth would be considered property. This also applies to mushrooms and wild animals that are not captive or protected by other legal means. With this in mind section 5 of the theft act 1968 out lines the term belonging to another as “The property appropriated must belong to someone other than the person appropriating it, or it cannot be stolen”, under this it is impossible to steal your own property and an item intentionally thrown away means the owner has relinquished their claim onto it and that item as no owner and therefore cannot be legally stolen.</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Fonts w:ascii="Cardo" w:cs="Cardo" w:eastAsia="Cardo" w:hAnsi="Cardo"/>
          <w:sz w:val="24"/>
          <w:szCs w:val="24"/>
          <w:rtl w:val="0"/>
        </w:rPr>
        <w:t xml:space="preserve">⦁    Burglary is defined as :  </w:t>
      </w:r>
    </w:p>
    <w:p w:rsidR="00000000" w:rsidDel="00000000" w:rsidP="00000000" w:rsidRDefault="00000000" w:rsidRPr="00000000" w14:paraId="00000026">
      <w:pPr>
        <w:rPr>
          <w:sz w:val="24"/>
          <w:szCs w:val="24"/>
        </w:rPr>
      </w:pPr>
      <w:r w:rsidDel="00000000" w:rsidR="00000000" w:rsidRPr="00000000">
        <w:rPr>
          <w:sz w:val="24"/>
          <w:szCs w:val="24"/>
          <w:rtl w:val="0"/>
        </w:rPr>
        <w:t xml:space="preserve">Section 9(1)(a) of the Theft Act 1968 burglary is committed by a person who enters a building or part of a building as a trespasser with intent to:</w:t>
      </w:r>
    </w:p>
    <w:p w:rsidR="00000000" w:rsidDel="00000000" w:rsidP="00000000" w:rsidRDefault="00000000" w:rsidRPr="00000000" w14:paraId="00000027">
      <w:pPr>
        <w:rPr>
          <w:sz w:val="24"/>
          <w:szCs w:val="24"/>
        </w:rPr>
      </w:pPr>
      <w:r w:rsidDel="00000000" w:rsidR="00000000" w:rsidRPr="00000000">
        <w:rPr>
          <w:sz w:val="24"/>
          <w:szCs w:val="24"/>
          <w:rtl w:val="0"/>
        </w:rPr>
        <w:t xml:space="preserve">a. Steal anything in the building or part of the building or</w:t>
      </w:r>
    </w:p>
    <w:p w:rsidR="00000000" w:rsidDel="00000000" w:rsidP="00000000" w:rsidRDefault="00000000" w:rsidRPr="00000000" w14:paraId="00000028">
      <w:pPr>
        <w:rPr>
          <w:sz w:val="24"/>
          <w:szCs w:val="24"/>
        </w:rPr>
      </w:pPr>
      <w:r w:rsidDel="00000000" w:rsidR="00000000" w:rsidRPr="00000000">
        <w:rPr>
          <w:sz w:val="24"/>
          <w:szCs w:val="24"/>
          <w:rtl w:val="0"/>
        </w:rPr>
        <w:t xml:space="preserve">b. Inflict grievous bodily harm on any person therein or</w:t>
      </w:r>
    </w:p>
    <w:p w:rsidR="00000000" w:rsidDel="00000000" w:rsidP="00000000" w:rsidRDefault="00000000" w:rsidRPr="00000000" w14:paraId="00000029">
      <w:pPr>
        <w:rPr>
          <w:sz w:val="24"/>
          <w:szCs w:val="24"/>
        </w:rPr>
      </w:pPr>
      <w:r w:rsidDel="00000000" w:rsidR="00000000" w:rsidRPr="00000000">
        <w:rPr>
          <w:sz w:val="24"/>
          <w:szCs w:val="24"/>
          <w:rtl w:val="0"/>
        </w:rPr>
        <w:t xml:space="preserve">c. Do unlawful damage to the building or anything therein.</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Section 9(1) (b) of the Theft Act 1968 burglary is committed by a person who having entered any building or part of a building as a trespasser:</w:t>
      </w:r>
    </w:p>
    <w:p w:rsidR="00000000" w:rsidDel="00000000" w:rsidP="00000000" w:rsidRDefault="00000000" w:rsidRPr="00000000" w14:paraId="0000002C">
      <w:pPr>
        <w:rPr>
          <w:sz w:val="24"/>
          <w:szCs w:val="24"/>
        </w:rPr>
      </w:pPr>
      <w:r w:rsidDel="00000000" w:rsidR="00000000" w:rsidRPr="00000000">
        <w:rPr>
          <w:sz w:val="24"/>
          <w:szCs w:val="24"/>
          <w:rtl w:val="0"/>
        </w:rPr>
        <w:t xml:space="preserve"> steals or attempts to steal anything therein, or</w:t>
      </w:r>
    </w:p>
    <w:p w:rsidR="00000000" w:rsidDel="00000000" w:rsidP="00000000" w:rsidRDefault="00000000" w:rsidRPr="00000000" w14:paraId="0000002D">
      <w:pPr>
        <w:rPr>
          <w:sz w:val="24"/>
          <w:szCs w:val="24"/>
        </w:rPr>
      </w:pPr>
      <w:r w:rsidDel="00000000" w:rsidR="00000000" w:rsidRPr="00000000">
        <w:rPr>
          <w:sz w:val="24"/>
          <w:szCs w:val="24"/>
          <w:rtl w:val="0"/>
        </w:rPr>
        <w:t xml:space="preserve"> inflicts or attempts to inflict grievous bodily harm on any person therein.</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b w:val="1"/>
          <w:sz w:val="24"/>
          <w:szCs w:val="24"/>
        </w:rPr>
      </w:pPr>
      <w:r w:rsidDel="00000000" w:rsidR="00000000" w:rsidRPr="00000000">
        <w:rPr>
          <w:b w:val="1"/>
          <w:sz w:val="24"/>
          <w:szCs w:val="24"/>
          <w:rtl w:val="0"/>
        </w:rPr>
        <w:t xml:space="preserve">Explain the elements ‘Enters’ and ‘Building or part of a building’ in relation to the offence of burglary.</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spacing w:line="480" w:lineRule="auto"/>
        <w:ind w:firstLine="720"/>
        <w:rPr>
          <w:sz w:val="24"/>
          <w:szCs w:val="24"/>
        </w:rPr>
      </w:pPr>
      <w:r w:rsidDel="00000000" w:rsidR="00000000" w:rsidRPr="00000000">
        <w:rPr>
          <w:sz w:val="24"/>
          <w:szCs w:val="24"/>
          <w:rtl w:val="0"/>
        </w:rPr>
        <w:t xml:space="preserve">Enters in terms of the offence of burglary 9 (a) relates to the intent to enter a building or part of a building owned by another with the intent to steal or attempt to steal. inflict grievous bodily harm and or damage any item or the property itself. The key aspect with this in mind is the property belongs to another as this signifies you as a trespasser. As burglary cannot take place if you have a lawful right or consent of the owner to be within the property in question as that would instead result as a theft. Despite the aspect of consent, this can be removed by the owner of the property at any time and once done so any action taken afterwards would be that of a trespasser and can be associated with burglary if any further action was taken. However for section 9(b) the intent as aforementioned is not suitable enough for this as an act must have occurred be this a theft, property damage or GBH. Building in regard to burglary must be a structure with Premeanance, for which can relate towards a roof and concrete flooring. However this does extend to vehicles which can contain livable dwellings such as caravans and motorhomes. Despite this extension a static caravan which has no living people within would not count as a building, to the same extent that a tent does not count as a building. The aspect of ‘Part of a Building’ extends the legality of building to include spaces within either shared or allowed spaces. A common example would be people in a shared house, you have a legal right to the common areas and your room ,however, other tenants' rooms would constitute under burglary as part of a building as you have no legal or consensual right to enter and therefore a burglary would be committed. Even though you did not break the aspect of the building rule of burglary.   </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rFonts w:ascii="Cardo" w:cs="Cardo" w:eastAsia="Cardo" w:hAnsi="Cardo"/>
          <w:sz w:val="24"/>
          <w:szCs w:val="24"/>
          <w:rtl w:val="0"/>
        </w:rPr>
        <w:t xml:space="preserve">⦁    A person (A) throws a brick at a group of people walking along the street intending that the brick hits and injures someone, the person does not know any of the people in the group and does not aim at any of them in particular. The brick hits one of the group on the head causing a really serious bodily harm resulting in hospitalisation.  </w:t>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sz w:val="24"/>
          <w:szCs w:val="24"/>
          <w:rtl w:val="0"/>
        </w:rPr>
        <w:t xml:space="preserve">What offence has been committed by A?</w:t>
      </w:r>
    </w:p>
    <w:p w:rsidR="00000000" w:rsidDel="00000000" w:rsidP="00000000" w:rsidRDefault="00000000" w:rsidRPr="00000000" w14:paraId="00000057">
      <w:pPr>
        <w:rPr>
          <w:b w:val="1"/>
          <w:sz w:val="24"/>
          <w:szCs w:val="24"/>
        </w:rPr>
      </w:pPr>
      <w:r w:rsidDel="00000000" w:rsidR="00000000" w:rsidRPr="00000000">
        <w:rPr>
          <w:b w:val="1"/>
          <w:sz w:val="24"/>
          <w:szCs w:val="24"/>
          <w:rtl w:val="0"/>
        </w:rPr>
        <w:t xml:space="preserve">Explain your answer.</w:t>
      </w:r>
    </w:p>
    <w:p w:rsidR="00000000" w:rsidDel="00000000" w:rsidP="00000000" w:rsidRDefault="00000000" w:rsidRPr="00000000" w14:paraId="00000058">
      <w:pPr>
        <w:rPr>
          <w:b w:val="1"/>
          <w:sz w:val="24"/>
          <w:szCs w:val="24"/>
        </w:rPr>
      </w:pPr>
      <w:r w:rsidDel="00000000" w:rsidR="00000000" w:rsidRPr="00000000">
        <w:rPr>
          <w:rtl w:val="0"/>
        </w:rPr>
      </w:r>
    </w:p>
    <w:p w:rsidR="00000000" w:rsidDel="00000000" w:rsidP="00000000" w:rsidRDefault="00000000" w:rsidRPr="00000000" w14:paraId="00000059">
      <w:pPr>
        <w:spacing w:line="480" w:lineRule="auto"/>
        <w:ind w:firstLine="720"/>
        <w:rPr>
          <w:sz w:val="24"/>
          <w:szCs w:val="24"/>
        </w:rPr>
      </w:pPr>
      <w:r w:rsidDel="00000000" w:rsidR="00000000" w:rsidRPr="00000000">
        <w:rPr>
          <w:sz w:val="24"/>
          <w:szCs w:val="24"/>
          <w:rtl w:val="0"/>
        </w:rPr>
        <w:t xml:space="preserve">The crime committed by A was Grievous bodily harm under section 18 of the Offences against the persons act 1861.</w:t>
      </w:r>
    </w:p>
    <w:p w:rsidR="00000000" w:rsidDel="00000000" w:rsidP="00000000" w:rsidRDefault="00000000" w:rsidRPr="00000000" w14:paraId="0000005A">
      <w:pPr>
        <w:spacing w:line="480" w:lineRule="auto"/>
        <w:rPr>
          <w:sz w:val="24"/>
          <w:szCs w:val="24"/>
        </w:rPr>
      </w:pPr>
      <w:r w:rsidDel="00000000" w:rsidR="00000000" w:rsidRPr="00000000">
        <w:rPr>
          <w:rtl w:val="0"/>
        </w:rPr>
      </w:r>
    </w:p>
    <w:p w:rsidR="00000000" w:rsidDel="00000000" w:rsidP="00000000" w:rsidRDefault="00000000" w:rsidRPr="00000000" w14:paraId="0000005B">
      <w:pPr>
        <w:spacing w:line="480" w:lineRule="auto"/>
        <w:ind w:firstLine="720"/>
        <w:rPr>
          <w:sz w:val="24"/>
          <w:szCs w:val="24"/>
        </w:rPr>
      </w:pPr>
      <w:r w:rsidDel="00000000" w:rsidR="00000000" w:rsidRPr="00000000">
        <w:rPr>
          <w:sz w:val="24"/>
          <w:szCs w:val="24"/>
          <w:rtl w:val="0"/>
        </w:rPr>
        <w:t xml:space="preserve">Section 18 defines GBH as “Whosoever shall unlawfully and maliciously, by any means whatsoever wound or cause any grievous bodily harm to any person with intent to do some grievous bodily harm to any person, or with intent to resist or prevent the lawful apprehension or detention of any person shall be guilty of felony” this diffirefs from section 20 due the the intent to maliciously cause harm and or injury. A, purposely aims and throws a brick towards a group of people, in which the person afflicted with the serious wound would have the right to claim under this section. A fulls under this due to the aforementioned definition of GBH and its factors. Firstly the unlawful and malicious by any means whatsoever, this is portrayed with the application of force and use of a brick being hurled towards a group of people. There is no reasonable reason to do so and no lawful reason which demonstrates the malliciousness of the action. It also demonstrates person A’s intent as no person of a sound mind or judgment would perceive the same action without the possibility of serious harm to those of the group which further shows A’s intent. The grievous bodily harm was present with the head wound of the victim which required hospitalization, however as aforementioned on other member of the group could claim towards the said offence as no physical harm came to them. Despite this person A has cleared all of the necessary steps for committing GBH under section 18 and could be dealing with a maximum penalty of life imprisonment.</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rFonts w:ascii="Cardo" w:cs="Cardo" w:eastAsia="Cardo" w:hAnsi="Cardo"/>
          <w:sz w:val="24"/>
          <w:szCs w:val="24"/>
          <w:rtl w:val="0"/>
        </w:rPr>
        <w:t xml:space="preserve">⦁    The Victims Charter states that :</w:t>
      </w:r>
    </w:p>
    <w:p w:rsidR="00000000" w:rsidDel="00000000" w:rsidP="00000000" w:rsidRDefault="00000000" w:rsidRPr="00000000" w14:paraId="00000085">
      <w:pPr>
        <w:rPr>
          <w:sz w:val="24"/>
          <w:szCs w:val="24"/>
        </w:rPr>
      </w:pPr>
      <w:r w:rsidDel="00000000" w:rsidR="00000000" w:rsidRPr="00000000">
        <w:rPr>
          <w:sz w:val="24"/>
          <w:szCs w:val="24"/>
          <w:rtl w:val="0"/>
        </w:rPr>
        <w:t xml:space="preserve">“Victims of crime should be treated in a respectful, sensitive, tailored and professional manner without discrimination of any kind. They should receive appropriate support to help them, as far as possible, to cope and recover and be protected from re-victimisation”.</w:t>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b w:val="1"/>
          <w:sz w:val="24"/>
          <w:szCs w:val="24"/>
          <w:rtl w:val="0"/>
        </w:rPr>
        <w:t xml:space="preserve">Explain how the needs of victims can be met from initial reporting of an offence through to court appearance and trial</w:t>
      </w:r>
      <w:r w:rsidDel="00000000" w:rsidR="00000000" w:rsidRPr="00000000">
        <w:rPr>
          <w:sz w:val="24"/>
          <w:szCs w:val="24"/>
          <w:rtl w:val="0"/>
        </w:rPr>
        <w:t xml:space="preserve">.</w:t>
      </w:r>
    </w:p>
    <w:p w:rsidR="00000000" w:rsidDel="00000000" w:rsidP="00000000" w:rsidRDefault="00000000" w:rsidRPr="00000000" w14:paraId="00000088">
      <w:pPr>
        <w:rPr>
          <w:sz w:val="24"/>
          <w:szCs w:val="24"/>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spacing w:line="480" w:lineRule="auto"/>
        <w:rPr>
          <w:sz w:val="24"/>
          <w:szCs w:val="24"/>
        </w:rPr>
      </w:pPr>
      <w:r w:rsidDel="00000000" w:rsidR="00000000" w:rsidRPr="00000000">
        <w:rPr>
          <w:sz w:val="24"/>
          <w:szCs w:val="24"/>
          <w:rtl w:val="0"/>
        </w:rPr>
        <w:tab/>
        <w:t xml:space="preserve">The victim needs to feel validated by an officer that their crime has been reported and that something will come from it, this relates to any and every crime as a person the victim of a crime has had their world shattered and may be reluctant to feel safe. Due to this all victims are entitled to a written confirmation of the crime report which can be sent by post, text, email or handwritten. An explanation of the justice system and the process their report will be taken. The assessment and offer of emotional support for victims to which can be done within 5 days of the report to determine what level of support might be needed. They should be informed on how often they could receive updates on their cases and should be informed if no further action towards their case should be taken. They also deserve the right to know the conclusion of the case whether or not that case resulted in an arrest or not.</w:t>
      </w:r>
    </w:p>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rPr>
          <w:sz w:val="24"/>
          <w:szCs w:val="24"/>
        </w:rPr>
      </w:pP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rtl w:val="0"/>
        </w:rPr>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sz w:val="24"/>
          <w:szCs w:val="24"/>
        </w:rPr>
      </w:pPr>
      <w:r w:rsidDel="00000000" w:rsidR="00000000" w:rsidRPr="00000000">
        <w:rPr>
          <w:rtl w:val="0"/>
        </w:rPr>
      </w:r>
    </w:p>
    <w:p w:rsidR="00000000" w:rsidDel="00000000" w:rsidP="00000000" w:rsidRDefault="00000000" w:rsidRPr="00000000" w14:paraId="00000099">
      <w:pPr>
        <w:rPr>
          <w:sz w:val="24"/>
          <w:szCs w:val="24"/>
        </w:rPr>
      </w:pPr>
      <w:r w:rsidDel="00000000" w:rsidR="00000000" w:rsidRPr="00000000">
        <w:rPr>
          <w:rFonts w:ascii="Cardo" w:cs="Cardo" w:eastAsia="Cardo" w:hAnsi="Cardo"/>
          <w:sz w:val="24"/>
          <w:szCs w:val="24"/>
          <w:rtl w:val="0"/>
        </w:rPr>
        <w:t xml:space="preserve">⦁    When interviewing Victims Witnesses and Suspects police officers rely on the ‘PEACE’ model a national framework for Investigative Interviewing.</w:t>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rPr>
          <w:sz w:val="24"/>
          <w:szCs w:val="24"/>
        </w:rPr>
      </w:pPr>
      <w:r w:rsidDel="00000000" w:rsidR="00000000" w:rsidRPr="00000000">
        <w:rPr>
          <w:b w:val="1"/>
          <w:sz w:val="24"/>
          <w:szCs w:val="24"/>
          <w:rtl w:val="0"/>
        </w:rPr>
        <w:t xml:space="preserve">Explain the PEACE model component parts and critically evaluate its effectiveness in interviewing suspects.</w:t>
      </w:r>
      <w:r w:rsidDel="00000000" w:rsidR="00000000" w:rsidRPr="00000000">
        <w:rPr>
          <w:sz w:val="24"/>
          <w:szCs w:val="24"/>
          <w:rtl w:val="0"/>
        </w:rPr>
        <w:t xml:space="preserve">   </w:t>
      </w:r>
    </w:p>
    <w:p w:rsidR="00000000" w:rsidDel="00000000" w:rsidP="00000000" w:rsidRDefault="00000000" w:rsidRPr="00000000" w14:paraId="0000009C">
      <w:pPr>
        <w:rPr>
          <w:sz w:val="24"/>
          <w:szCs w:val="24"/>
        </w:rPr>
      </w:pPr>
      <w:r w:rsidDel="00000000" w:rsidR="00000000" w:rsidRPr="00000000">
        <w:rPr>
          <w:rtl w:val="0"/>
        </w:rPr>
      </w:r>
    </w:p>
    <w:p w:rsidR="00000000" w:rsidDel="00000000" w:rsidP="00000000" w:rsidRDefault="00000000" w:rsidRPr="00000000" w14:paraId="0000009D">
      <w:pPr>
        <w:spacing w:line="480" w:lineRule="auto"/>
        <w:ind w:firstLine="720"/>
        <w:rPr>
          <w:sz w:val="24"/>
          <w:szCs w:val="24"/>
        </w:rPr>
      </w:pPr>
      <w:r w:rsidDel="00000000" w:rsidR="00000000" w:rsidRPr="00000000">
        <w:rPr>
          <w:sz w:val="24"/>
          <w:szCs w:val="24"/>
          <w:rtl w:val="0"/>
        </w:rPr>
        <w:t xml:space="preserve">PEACE is an investigative interviewing standard that is used within the UK each component has many uses for the processing and helping of victims and or witnessins towards a crime. The Companats stand for: P, Planning and Preparation, this relates to the steps before an interview and includes the interview prep, the written plan and making necessary arrangements for the person going to be questioned . E, engage and explain, this is vitally important as this is the opening for the interview and the person in question should be told clearly why and what they are about to be asked. The officer interview should make every attempt to be aware of the person in question's characteristics and history and create a relaxed and or safe space as this creates a more talkative atmosphere. </w:t>
      </w:r>
      <w:r w:rsidDel="00000000" w:rsidR="00000000" w:rsidRPr="00000000">
        <w:rPr>
          <w:sz w:val="24"/>
          <w:szCs w:val="24"/>
          <w:rtl w:val="0"/>
        </w:rPr>
        <w:t xml:space="preserve">A, Account</w:t>
      </w:r>
      <w:r w:rsidDel="00000000" w:rsidR="00000000" w:rsidRPr="00000000">
        <w:rPr>
          <w:sz w:val="24"/>
          <w:szCs w:val="24"/>
          <w:rtl w:val="0"/>
        </w:rPr>
        <w:t xml:space="preserve"> clarification and challenge, This is the literally question stage which the questions should be preplanned through step P. Despite this it is crucial that the statement taken is not immediately agreed with as factual and any attempt to challenge this information should be taken, to not only verify the account as much as possible but to fact check with other possible statements to determine what actually occurred during an accident and not what one person perceived. C, closure, relates to the finish of an interview and should be done so in a timely fashion as to not end abruptly, this can  be done with a summary and the witness statement being checked by the person in question and can be finalized with any recording equipment being turned off once finished. This is also when an officer should explain what happens now with regard to the statement being a witness or the court date and time for a suspect. E, Evaluation covers the summary of the interview and includes deciding on if or any further action needs to be taken from this interview and fact checking to see if this account holds up towards any others. As a template, The PEACE model holds up extremely well towards a perfect interview structure and outlines many key points that are essential for interview witnesses. Despite this there are two key factors that limit this model. The first being the capability of the interviewer, a person interview should have some degree of charisma or presence depending on the situation, a witness would be more comfortable with a light hearted person who is easy to talk to , where as a suspect may need a more prominent and strong handed person to prompt them to talk truly. This is subject to opinion and circumstances, however can be seen as a valid point. The second factor is that this model does not outline circumstances for unruly or unwilling interviews. It can be argued that this aspect could be covered within the planning and preparation, however, that would be difficult during an interview with an unknown member of the public to the police, as this model assumes that everybody being questioned will react the same. This is definitely not the case as everyone reacts differently to times of stress being a witness, victim or suspect to a crime.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